
<file path=[Content_Types].xml><?xml version="1.0" encoding="utf-8"?>
<Types xmlns="http://schemas.openxmlformats.org/package/2006/content-types">
  <Default Extension="emf" ContentType="image/x-emf"/>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4888C" w14:textId="77777777" w:rsidR="009757A9" w:rsidRDefault="000D2E34">
      <w:pPr>
        <w:spacing w:before="1" w:after="34" w:line="690" w:lineRule="exact"/>
        <w:ind w:left="720"/>
        <w:textAlignment w:val="baseline"/>
        <w:rPr>
          <w:rFonts w:ascii="Arial" w:eastAsia="Arial" w:hAnsi="Arial"/>
          <w:b/>
          <w:color w:val="FFFFFF"/>
          <w:spacing w:val="31"/>
          <w:w w:val="90"/>
          <w:sz w:val="60"/>
        </w:rPr>
      </w:pPr>
      <w:r>
        <w:rPr>
          <w:noProof/>
          <w:lang w:val="en-AU" w:eastAsia="en-AU"/>
        </w:rPr>
        <mc:AlternateContent>
          <mc:Choice Requires="wps">
            <w:drawing>
              <wp:anchor distT="0" distB="0" distL="114300" distR="114300" simplePos="0" relativeHeight="251291136" behindDoc="1" locked="0" layoutInCell="1" allowOverlap="1" wp14:anchorId="13A2DF92" wp14:editId="6A67A48D">
                <wp:simplePos x="0" y="0"/>
                <wp:positionH relativeFrom="page">
                  <wp:posOffset>0</wp:posOffset>
                </wp:positionH>
                <wp:positionV relativeFrom="page">
                  <wp:posOffset>0</wp:posOffset>
                </wp:positionV>
                <wp:extent cx="7562215" cy="10692130"/>
                <wp:effectExtent l="0" t="0" r="0" b="0"/>
                <wp:wrapNone/>
                <wp:docPr id="997"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solidFill>
                          <a:srgbClr val="5C718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DCB14" w14:textId="77777777" w:rsidR="00490F33" w:rsidRDefault="00490F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2DF92" id="_x0000_t202" coordsize="21600,21600" o:spt="202" path="m,l,21600r21600,l21600,xe">
                <v:stroke joinstyle="miter"/>
                <v:path gradientshapeok="t" o:connecttype="rect"/>
              </v:shapetype>
              <v:shape id="_x0000_s0" o:spid="_x0000_s1026" type="#_x0000_t202" style="position:absolute;left:0;text-align:left;margin-left:0;margin-top:0;width:595.45pt;height:841.9pt;z-index:-25202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40DgIAAPIDAAAOAAAAZHJzL2Uyb0RvYy54bWysU9tu2zAMfR+wfxD0vviyXBojTtGl6DCg&#10;uwDdngtZlmNhtqhRSuzu60fJaRp0b8P0IIgidchzSG2ux75jR4VOgyl5Nks5U0ZCrc2+5D++3727&#10;4sx5YWrRgVElf1KOX2/fvtkMtlA5tNDVChmBGFcMtuSt97ZIEidb1Qs3A6sMORvAXngycZ/UKAZC&#10;77skT9NlMgDWFkEq5+j2dnLybcRvGiX916ZxyrOu5FSbjzvGvQp7st2IYo/CtlqeyhD/UEUvtKGk&#10;Z6hb4QU7oP4LqtcSwUHjZxL6BJpGSxU5EJssfcXmoRVWRS4kjrNnmdz/g5Vfjt+Q6brk6/WKMyN6&#10;atLjmNJ6dFGewbqCoh4sxfnxA4zU5kjV2XuQPx0zsGuF2asbRBhaJWoqLwvCJhdPQ0Nc4QJINXyG&#10;mrKIg4cINDbYB+1IDUbo1Kanc2vU6Jmky9VimefZgjNJvixdrvPsfSwvEcXze4vOf1TQs3AoOVLz&#10;I7443jsf6hHFc0hI56DT9Z3uumjgvtp1yI6CBmWxW2VXeaTwKqwzIdhAeDYhhptINHCbWPqxGskZ&#10;CFdQPxFlhGnw6KPQoQX8zdlAQ1dy9+sgUHHWfTIk2zqbz8OURmO+WOVk4KWnuvQIIwmq5J6z6bjz&#10;02QfLOp9S5mmRhm4IakbHTV4qepUNw1WlOb0CcLkXtox6uWrbv8AAAD//wMAUEsDBBQABgAIAAAA&#10;IQDp5vgZ3gAAAAcBAAAPAAAAZHJzL2Rvd25yZXYueG1sTI9BS8QwEIXvgv8hjODNTbuya9ptuiyC&#10;IAiKVdlrthnbajMpSdrt/nuzXvQyvOEN731TbGfTswmd7yxJSBcJMKTa6o4aCe9vDzcCmA+KtOot&#10;oYQTetiWlxeFyrU90itOVWhYDCGfKwltCEPOua9bNMov7IAUvU/rjApxdQ3XTh1juOn5MknW3KiO&#10;YkOrBrxvsf6uRiPBTS9ipOdVtRS77DH92j+tPk53Ul5fzbsNsIBz+DuGM35EhzIyHexI2rNeQnwk&#10;/M6zl2ZJBuwQ1VrcCuBlwf/zlz8AAAD//wMAUEsBAi0AFAAGAAgAAAAhALaDOJL+AAAA4QEAABMA&#10;AAAAAAAAAAAAAAAAAAAAAFtDb250ZW50X1R5cGVzXS54bWxQSwECLQAUAAYACAAAACEAOP0h/9YA&#10;AACUAQAACwAAAAAAAAAAAAAAAAAvAQAAX3JlbHMvLnJlbHNQSwECLQAUAAYACAAAACEAmHBuNA4C&#10;AADyAwAADgAAAAAAAAAAAAAAAAAuAgAAZHJzL2Uyb0RvYy54bWxQSwECLQAUAAYACAAAACEA6eb4&#10;Gd4AAAAHAQAADwAAAAAAAAAAAAAAAABoBAAAZHJzL2Rvd25yZXYueG1sUEsFBgAAAAAEAAQA8wAA&#10;AHMFAAAAAA==&#10;" fillcolor="#5c7182" stroked="f">
                <v:textbox>
                  <w:txbxContent>
                    <w:p w14:paraId="313DCB14" w14:textId="77777777" w:rsidR="00490F33" w:rsidRDefault="00490F33"/>
                  </w:txbxContent>
                </v:textbox>
                <w10:wrap anchorx="page" anchory="page"/>
              </v:shape>
            </w:pict>
          </mc:Fallback>
        </mc:AlternateContent>
      </w:r>
      <w:r>
        <w:rPr>
          <w:noProof/>
          <w:lang w:val="en-AU" w:eastAsia="en-AU"/>
        </w:rPr>
        <mc:AlternateContent>
          <mc:Choice Requires="wps">
            <w:drawing>
              <wp:anchor distT="0" distB="0" distL="0" distR="0" simplePos="0" relativeHeight="251293184" behindDoc="1" locked="0" layoutInCell="1" allowOverlap="1" wp14:anchorId="25209E20" wp14:editId="6F5EF07D">
                <wp:simplePos x="0" y="0"/>
                <wp:positionH relativeFrom="page">
                  <wp:posOffset>198120</wp:posOffset>
                </wp:positionH>
                <wp:positionV relativeFrom="page">
                  <wp:posOffset>0</wp:posOffset>
                </wp:positionV>
                <wp:extent cx="6908800" cy="7146925"/>
                <wp:effectExtent l="0" t="0" r="0" b="0"/>
                <wp:wrapSquare wrapText="bothSides"/>
                <wp:docPr id="996"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714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6E2AD" w14:textId="77777777" w:rsidR="00490F33" w:rsidRDefault="00490F33">
                            <w:pPr>
                              <w:spacing w:after="2389"/>
                              <w:ind w:right="13"/>
                              <w:textAlignment w:val="baseline"/>
                            </w:pPr>
                            <w:r>
                              <w:rPr>
                                <w:noProof/>
                                <w:lang w:val="en-AU" w:eastAsia="en-AU"/>
                              </w:rPr>
                              <w:drawing>
                                <wp:inline distT="0" distB="0" distL="0" distR="0" wp14:anchorId="12D10D9B" wp14:editId="1B3D9F56">
                                  <wp:extent cx="6900545" cy="5629910"/>
                                  <wp:effectExtent l="0" t="0" r="0" b="0"/>
                                  <wp:docPr id="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a:extLst>
                                              <a:ext uri="{C183D7F6-B498-43B3-948B-1728B52AA6E4}">
                                                <adec:decorative xmlns:adec="http://schemas.microsoft.com/office/drawing/2017/decorative" val="1"/>
                                              </a:ext>
                                            </a:extLst>
                                          </pic:cNvPr>
                                          <pic:cNvPicPr preferRelativeResize="0"/>
                                        </pic:nvPicPr>
                                        <pic:blipFill>
                                          <a:blip r:embed="rId11"/>
                                          <a:stretch>
                                            <a:fillRect/>
                                          </a:stretch>
                                        </pic:blipFill>
                                        <pic:spPr>
                                          <a:xfrm>
                                            <a:off x="0" y="0"/>
                                            <a:ext cx="6900545" cy="56299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09E20" id="Text Box 717" o:spid="_x0000_s1027" type="#_x0000_t202" style="position:absolute;left:0;text-align:left;margin-left:15.6pt;margin-top:0;width:544pt;height:562.75pt;z-index:-252023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5hr7wEAAMIDAAAOAAAAZHJzL2Uyb0RvYy54bWysU9tu2zAMfR+wfxD0vtgJtlyMOEXXosOA&#10;7gK0+wBGlmNhtqhRSuzs60fJSdptb0VfBEqkjs45pNZXQ9eKgyZv0JZyOsml0FZhZeyulD8e794t&#10;pfABbAUtWl3Ko/byavP2zbp3hZ5hg22lSTCI9UXvStmE4Ios86rRHfgJOm05WSN1EHhLu6wi6Bm9&#10;a7NZns+zHqlyhEp7z6e3Y1JuEn5daxW+1bXXQbSlZG4hrZTWbVyzzRqKHYFrjDrRgBew6MBYfvQC&#10;dQsBxJ7Mf1CdUYQe6zBR2GVY10bppIHVTPN/1Dw04HTSwuZ4d7HJvx6s+nr4TsJUpVyt5lJY6LhJ&#10;j3oI4iMOYjFdRId65wsufHBcGgZOcKeTWu/uUf30wuJNA3anr4mwbzRUzHAab2bPro44PoJs+y9Y&#10;8UOwD5iAhpq6aB8bIhidO3W8dCeSUXw4X+XLZc4pxbnF9P18NfuQ3oDifN2RD580diIGpSRuf4KH&#10;w70PkQ4U55L4msU707ZpBFr71wEXxpNEPzIeuYdhOySvkrYobYvVkfUQjoPFH4GDBum3FD0PVSn9&#10;rz2QlqL9bNmTOIHngM7B9hyAVXy1lEGKMbwJ46TuHZldw8ij6xav2bfaJEVPLE50eVCS0NNQx0l8&#10;vk9VT19v8wcAAP//AwBQSwMEFAAGAAgAAAAhAOwwTb7dAAAACQEAAA8AAABkcnMvZG93bnJldi54&#10;bWxMj0FPg0AQhe8m/Q+baeLNLmDaWGRpGqMnEyPFg8cFprApO4vstsV/73Cyt3l5L2++l+0m24sL&#10;jt44UhCvIhBItWsMtQq+yreHJxA+aGp07wgV/KKHXb64y3TauCsVeDmEVnAJ+VQr6EIYUil93aHV&#10;fuUGJPaObrQ6sBxb2Yz6yuW2l0kUbaTVhvhDpwd86bA+Hc5Wwf6bilfz81F9FsfClOU2ovfNSan7&#10;5bR/BhFwCv9hmPEZHXJmqtyZGi96BY9xwkkFPGh243jLupqvZL0GmWfydkH+BwAA//8DAFBLAQIt&#10;ABQABgAIAAAAIQC2gziS/gAAAOEBAAATAAAAAAAAAAAAAAAAAAAAAABbQ29udGVudF9UeXBlc10u&#10;eG1sUEsBAi0AFAAGAAgAAAAhADj9If/WAAAAlAEAAAsAAAAAAAAAAAAAAAAALwEAAF9yZWxzLy5y&#10;ZWxzUEsBAi0AFAAGAAgAAAAhALvzmGvvAQAAwgMAAA4AAAAAAAAAAAAAAAAALgIAAGRycy9lMm9E&#10;b2MueG1sUEsBAi0AFAAGAAgAAAAhAOwwTb7dAAAACQEAAA8AAAAAAAAAAAAAAAAASQQAAGRycy9k&#10;b3ducmV2LnhtbFBLBQYAAAAABAAEAPMAAABTBQAAAAA=&#10;" filled="f" stroked="f">
                <v:textbox inset="0,0,0,0">
                  <w:txbxContent>
                    <w:p w14:paraId="0646E2AD" w14:textId="77777777" w:rsidR="00490F33" w:rsidRDefault="00490F33">
                      <w:pPr>
                        <w:spacing w:after="2389"/>
                        <w:ind w:right="13"/>
                        <w:textAlignment w:val="baseline"/>
                      </w:pPr>
                      <w:r>
                        <w:rPr>
                          <w:noProof/>
                          <w:lang w:val="en-AU" w:eastAsia="en-AU"/>
                        </w:rPr>
                        <w:drawing>
                          <wp:inline distT="0" distB="0" distL="0" distR="0" wp14:anchorId="12D10D9B" wp14:editId="1B3D9F56">
                            <wp:extent cx="6900545" cy="5629910"/>
                            <wp:effectExtent l="0" t="0" r="0" b="0"/>
                            <wp:docPr id="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a:extLst>
                                        <a:ext uri="{C183D7F6-B498-43B3-948B-1728B52AA6E4}">
                                          <adec:decorative xmlns:adec="http://schemas.microsoft.com/office/drawing/2017/decorative" val="1"/>
                                        </a:ext>
                                      </a:extLst>
                                    </pic:cNvPr>
                                    <pic:cNvPicPr preferRelativeResize="0"/>
                                  </pic:nvPicPr>
                                  <pic:blipFill>
                                    <a:blip r:embed="rId11"/>
                                    <a:stretch>
                                      <a:fillRect/>
                                    </a:stretch>
                                  </pic:blipFill>
                                  <pic:spPr>
                                    <a:xfrm>
                                      <a:off x="0" y="0"/>
                                      <a:ext cx="6900545" cy="5629910"/>
                                    </a:xfrm>
                                    <a:prstGeom prst="rect">
                                      <a:avLst/>
                                    </a:prstGeom>
                                  </pic:spPr>
                                </pic:pic>
                              </a:graphicData>
                            </a:graphic>
                          </wp:inline>
                        </w:drawing>
                      </w:r>
                    </w:p>
                  </w:txbxContent>
                </v:textbox>
                <w10:wrap type="square" anchorx="page" anchory="page"/>
              </v:shape>
            </w:pict>
          </mc:Fallback>
        </mc:AlternateContent>
      </w:r>
      <w:r w:rsidR="00083242">
        <w:rPr>
          <w:rFonts w:ascii="Arial" w:eastAsia="Arial" w:hAnsi="Arial"/>
          <w:b/>
          <w:color w:val="FFFFFF"/>
          <w:spacing w:val="31"/>
          <w:w w:val="90"/>
          <w:sz w:val="60"/>
        </w:rPr>
        <w:t>LOOKING TO THE FUTURE</w:t>
      </w:r>
    </w:p>
    <w:p w14:paraId="66A7551F" w14:textId="77777777" w:rsidR="009757A9" w:rsidRDefault="000D2E34">
      <w:pPr>
        <w:spacing w:before="131" w:line="379" w:lineRule="exact"/>
        <w:ind w:left="720" w:right="1008"/>
        <w:textAlignment w:val="baseline"/>
        <w:rPr>
          <w:rFonts w:ascii="Arial" w:eastAsia="Arial" w:hAnsi="Arial"/>
          <w:color w:val="FFFFFF"/>
          <w:sz w:val="29"/>
        </w:rPr>
      </w:pPr>
      <w:r>
        <w:rPr>
          <w:noProof/>
          <w:lang w:val="en-AU" w:eastAsia="en-AU"/>
        </w:rPr>
        <mc:AlternateContent>
          <mc:Choice Requires="wps">
            <w:drawing>
              <wp:anchor distT="0" distB="0" distL="114300" distR="114300" simplePos="0" relativeHeight="251791872" behindDoc="0" locked="0" layoutInCell="1" allowOverlap="1" wp14:anchorId="283CD476" wp14:editId="40AF7FD2">
                <wp:simplePos x="0" y="0"/>
                <wp:positionH relativeFrom="page">
                  <wp:posOffset>670560</wp:posOffset>
                </wp:positionH>
                <wp:positionV relativeFrom="page">
                  <wp:posOffset>7613650</wp:posOffset>
                </wp:positionV>
                <wp:extent cx="5855970" cy="0"/>
                <wp:effectExtent l="0" t="0" r="0" b="0"/>
                <wp:wrapNone/>
                <wp:docPr id="995" name="Lin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5970" cy="0"/>
                        </a:xfrm>
                        <a:prstGeom prst="line">
                          <a:avLst/>
                        </a:prstGeom>
                        <a:noFill/>
                        <a:ln w="6350">
                          <a:solidFill>
                            <a:srgbClr val="0707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45A00" id="Line 716" o:spid="_x0000_s1026" style="position:absolute;z-index:2517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8pt,599.5pt" to="513.9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OE0AEAAIYDAAAOAAAAZHJzL2Uyb0RvYy54bWysU8uO2zAMvBfoPwi6N062cB5GnD0k3V7S&#10;NsBuP4CRZFuoLAqSEid/X0p5dNu9LQoDgiiSw+GQXj6eesOOygeNtuaT0ZgzZQVKbdua/3x5+jTn&#10;LESwEgxaVfOzCvxx9fHDcnCVesAOjVSeEYgN1eBq3sXoqqIIolM9hBE6ZcnZoO8hkunbQnoYCL03&#10;xcN4PC0G9NJ5FCoEet1cnHyV8ZtGifijaYKKzNScuMV8+nzu01msllC1HlynxZUGvINFD9pS0TvU&#10;BiKwg9dvoHotPAZs4khgX2DTaKFyD9TNZPxPN88dOJV7IXGCu8sU/h+s+H7ceaZlzReLkjMLPQ1p&#10;q61is8k0qTO4UFHQ2u586k+c7LPbovgVmMV1B7ZVmeXL2VHiJGUUf6UkIziqsR++oaQYOETMUp0a&#10;3ydIEoGd8kTO94moU2SCHst5WS5mNDhx8xVQ3RKdD/Grwp6lS80Nsc7AcNyGmIhAdQtJdSw+aWPy&#10;wI1lQ82nn8txTghotEzOFBZ8u18bz46QVmZG3zx3RZ7XYQl5A6G7xGXXZZk8HqzMVToF8sv1HkGb&#10;y51YGXtVKQlzkXiP8rzzN/Vo2Jn+dTHTNr22c/af32f1GwAA//8DAFBLAwQUAAYACAAAACEApbNz&#10;wd8AAAAOAQAADwAAAGRycy9kb3ducmV2LnhtbEyPQUvDQBCF74L/YRnBi9jdNtiYmE0pQvUm2Aq9&#10;TrPbJCQ7G7LbNv57pwfR27yZx5vvFavJ9eJsx9B60jCfKRCWKm9aqjV87TaPzyBCRDLYe7Iavm2A&#10;VXl7U2Bu/IU+7Xkba8EhFHLU0MQ45FKGqrEOw8wPlvh29KPDyHKspRnxwuGulwulltJhS/yhwcG+&#10;Nrbqtienoc66NP3YJ2vc7LL+4a3bH9+TROv7u2n9AiLaKf6Z4YrP6FAy08GfyATRs1ZPS7byMM8y&#10;bnW1qEXKdQ6/O1kW8n+N8gcAAP//AwBQSwECLQAUAAYACAAAACEAtoM4kv4AAADhAQAAEwAAAAAA&#10;AAAAAAAAAAAAAAAAW0NvbnRlbnRfVHlwZXNdLnhtbFBLAQItABQABgAIAAAAIQA4/SH/1gAAAJQB&#10;AAALAAAAAAAAAAAAAAAAAC8BAABfcmVscy8ucmVsc1BLAQItABQABgAIAAAAIQAOACOE0AEAAIYD&#10;AAAOAAAAAAAAAAAAAAAAAC4CAABkcnMvZTJvRG9jLnhtbFBLAQItABQABgAIAAAAIQCls3PB3wAA&#10;AA4BAAAPAAAAAAAAAAAAAAAAACoEAABkcnMvZG93bnJldi54bWxQSwUGAAAAAAQABADzAAAANgUA&#10;AAAA&#10;" strokecolor="#070708" strokeweight=".5pt">
                <w10:wrap anchorx="page" anchory="page"/>
              </v:line>
            </w:pict>
          </mc:Fallback>
        </mc:AlternateContent>
      </w:r>
      <w:r w:rsidR="00083242">
        <w:rPr>
          <w:rFonts w:ascii="Arial" w:eastAsia="Arial" w:hAnsi="Arial"/>
          <w:color w:val="FFFFFF"/>
          <w:sz w:val="29"/>
        </w:rPr>
        <w:t>REPORT OF THE REVIEW OF SENIOR SECONDARY PATHWAYS INTO WORK, FURTHER EDUCATION AND TRAINING</w:t>
      </w:r>
    </w:p>
    <w:p w14:paraId="3C79868A" w14:textId="77777777" w:rsidR="009757A9" w:rsidRDefault="00083242">
      <w:pPr>
        <w:spacing w:before="296" w:line="294" w:lineRule="exact"/>
        <w:ind w:left="720"/>
        <w:textAlignment w:val="baseline"/>
        <w:rPr>
          <w:rFonts w:ascii="Arial" w:eastAsia="Arial" w:hAnsi="Arial"/>
          <w:color w:val="FFFFFF"/>
          <w:sz w:val="26"/>
        </w:rPr>
      </w:pPr>
      <w:r>
        <w:rPr>
          <w:rFonts w:ascii="Arial" w:eastAsia="Arial" w:hAnsi="Arial"/>
          <w:color w:val="FFFFFF"/>
          <w:sz w:val="26"/>
        </w:rPr>
        <w:t>JUNE 2020</w:t>
      </w:r>
    </w:p>
    <w:p w14:paraId="1D2B34C7" w14:textId="77777777" w:rsidR="009757A9" w:rsidRDefault="00083242">
      <w:pPr>
        <w:spacing w:before="764" w:line="261" w:lineRule="exact"/>
        <w:ind w:left="720"/>
        <w:textAlignment w:val="baseline"/>
        <w:rPr>
          <w:rFonts w:ascii="Arial" w:eastAsia="Arial" w:hAnsi="Arial"/>
          <w:i/>
          <w:color w:val="FFFFFF"/>
          <w:sz w:val="21"/>
        </w:rPr>
      </w:pPr>
      <w:r>
        <w:rPr>
          <w:rFonts w:ascii="Arial" w:eastAsia="Arial" w:hAnsi="Arial"/>
          <w:i/>
          <w:color w:val="FFFFFF"/>
          <w:sz w:val="21"/>
        </w:rPr>
        <w:t xml:space="preserve">The world is moving at a tremendous rate; going no one knows where. We must </w:t>
      </w:r>
      <w:r>
        <w:rPr>
          <w:rFonts w:ascii="Arial" w:eastAsia="Arial" w:hAnsi="Arial"/>
          <w:i/>
          <w:color w:val="FFFFFF"/>
          <w:sz w:val="21"/>
        </w:rPr>
        <w:br/>
        <w:t xml:space="preserve">prepare our children, not for the world of the past, not for our world, but for their </w:t>
      </w:r>
      <w:r>
        <w:rPr>
          <w:rFonts w:ascii="Arial" w:eastAsia="Arial" w:hAnsi="Arial"/>
          <w:i/>
          <w:color w:val="FFFFFF"/>
          <w:sz w:val="21"/>
        </w:rPr>
        <w:br/>
        <w:t>world</w:t>
      </w:r>
      <w:r>
        <w:rPr>
          <w:rFonts w:ascii="Arial" w:eastAsia="Arial" w:hAnsi="Arial"/>
          <w:i/>
          <w:color w:val="FDFDFD"/>
          <w:sz w:val="21"/>
        </w:rPr>
        <w:t xml:space="preserve"> –</w:t>
      </w:r>
      <w:r>
        <w:rPr>
          <w:rFonts w:ascii="Arial" w:eastAsia="Arial" w:hAnsi="Arial"/>
          <w:i/>
          <w:color w:val="FFFFFF"/>
          <w:sz w:val="21"/>
        </w:rPr>
        <w:t xml:space="preserve"> the world of the future.</w:t>
      </w:r>
    </w:p>
    <w:p w14:paraId="1D946533" w14:textId="77777777" w:rsidR="009757A9" w:rsidRDefault="00083242">
      <w:pPr>
        <w:spacing w:before="125" w:line="235" w:lineRule="exact"/>
        <w:ind w:left="720"/>
        <w:textAlignment w:val="baseline"/>
        <w:rPr>
          <w:rFonts w:ascii="Arial" w:eastAsia="Arial" w:hAnsi="Arial"/>
          <w:i/>
          <w:color w:val="FFFFFF"/>
          <w:spacing w:val="-5"/>
          <w:sz w:val="21"/>
        </w:rPr>
      </w:pPr>
      <w:r>
        <w:rPr>
          <w:rFonts w:ascii="Arial" w:eastAsia="Arial" w:hAnsi="Arial"/>
          <w:i/>
          <w:color w:val="FFFFFF"/>
          <w:spacing w:val="-5"/>
          <w:sz w:val="21"/>
        </w:rPr>
        <w:t>John Dewey, radio broadcast, early 1940s.</w:t>
      </w:r>
    </w:p>
    <w:p w14:paraId="60FB2420" w14:textId="77777777" w:rsidR="009757A9" w:rsidRDefault="009757A9">
      <w:pPr>
        <w:sectPr w:rsidR="009757A9">
          <w:pgSz w:w="11909" w:h="16838"/>
          <w:pgMar w:top="0" w:right="717" w:bottom="1062" w:left="312" w:header="720" w:footer="720" w:gutter="0"/>
          <w:cols w:space="720"/>
        </w:sectPr>
      </w:pPr>
    </w:p>
    <w:p w14:paraId="1DA5CE39" w14:textId="77777777" w:rsidR="009757A9" w:rsidRDefault="00083242">
      <w:pPr>
        <w:spacing w:after="586"/>
        <w:ind w:left="1642" w:right="7411"/>
        <w:textAlignment w:val="baseline"/>
      </w:pPr>
      <w:r>
        <w:rPr>
          <w:noProof/>
          <w:lang w:val="en-AU" w:eastAsia="en-AU"/>
        </w:rPr>
        <w:lastRenderedPageBreak/>
        <w:drawing>
          <wp:inline distT="0" distB="0" distL="0" distR="0" wp14:anchorId="27C763AC" wp14:editId="2BFB9237">
            <wp:extent cx="1813560" cy="633730"/>
            <wp:effectExtent l="0" t="0" r="0" b="0"/>
            <wp:docPr id="2" name="Picture" descr="Education Council logo"/>
            <wp:cNvGraphicFramePr/>
            <a:graphic xmlns:a="http://schemas.openxmlformats.org/drawingml/2006/main">
              <a:graphicData uri="http://schemas.openxmlformats.org/drawingml/2006/picture">
                <pic:pic xmlns:pic="http://schemas.openxmlformats.org/drawingml/2006/picture">
                  <pic:nvPicPr>
                    <pic:cNvPr id="2" name="Picture" descr="Education Council logo"/>
                    <pic:cNvPicPr preferRelativeResize="0"/>
                  </pic:nvPicPr>
                  <pic:blipFill>
                    <a:blip r:embed="rId12"/>
                    <a:stretch>
                      <a:fillRect/>
                    </a:stretch>
                  </pic:blipFill>
                  <pic:spPr>
                    <a:xfrm>
                      <a:off x="0" y="0"/>
                      <a:ext cx="1813560" cy="633730"/>
                    </a:xfrm>
                    <a:prstGeom prst="rect">
                      <a:avLst/>
                    </a:prstGeom>
                  </pic:spPr>
                </pic:pic>
              </a:graphicData>
            </a:graphic>
          </wp:inline>
        </w:drawing>
      </w:r>
    </w:p>
    <w:p w14:paraId="7CE51813" w14:textId="77777777" w:rsidR="009757A9" w:rsidRDefault="000D2E34">
      <w:pPr>
        <w:spacing w:before="1" w:after="28" w:line="690" w:lineRule="exact"/>
        <w:ind w:left="1584"/>
        <w:textAlignment w:val="baseline"/>
        <w:rPr>
          <w:rFonts w:ascii="Arial" w:eastAsia="Arial" w:hAnsi="Arial"/>
          <w:b/>
          <w:color w:val="545861"/>
          <w:spacing w:val="31"/>
          <w:w w:val="90"/>
          <w:sz w:val="60"/>
        </w:rPr>
      </w:pPr>
      <w:r>
        <w:rPr>
          <w:noProof/>
          <w:lang w:val="en-AU" w:eastAsia="en-AU"/>
        </w:rPr>
        <mc:AlternateContent>
          <mc:Choice Requires="wps">
            <w:drawing>
              <wp:anchor distT="0" distB="0" distL="0" distR="0" simplePos="0" relativeHeight="251294208" behindDoc="1" locked="0" layoutInCell="1" allowOverlap="1" wp14:anchorId="7D718042" wp14:editId="06524E01">
                <wp:simplePos x="0" y="0"/>
                <wp:positionH relativeFrom="page">
                  <wp:posOffset>801370</wp:posOffset>
                </wp:positionH>
                <wp:positionV relativeFrom="page">
                  <wp:posOffset>0</wp:posOffset>
                </wp:positionV>
                <wp:extent cx="6760845" cy="6071870"/>
                <wp:effectExtent l="0" t="0" r="0" b="0"/>
                <wp:wrapSquare wrapText="bothSides"/>
                <wp:docPr id="994"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6071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25773" w14:textId="77777777" w:rsidR="00490F33" w:rsidRDefault="00490F33">
                            <w:pPr>
                              <w:spacing w:after="850"/>
                              <w:textAlignment w:val="baseline"/>
                            </w:pPr>
                            <w:r>
                              <w:rPr>
                                <w:noProof/>
                                <w:lang w:val="en-AU" w:eastAsia="en-AU"/>
                              </w:rPr>
                              <w:drawing>
                                <wp:inline distT="0" distB="0" distL="0" distR="0" wp14:anchorId="1BCEE272" wp14:editId="74C25AF1">
                                  <wp:extent cx="6760845" cy="5532120"/>
                                  <wp:effectExtent l="0" t="0" r="0" b="0"/>
                                  <wp:docPr id="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a:extLst>
                                              <a:ext uri="{C183D7F6-B498-43B3-948B-1728B52AA6E4}">
                                                <adec:decorative xmlns:adec="http://schemas.microsoft.com/office/drawing/2017/decorative" val="1"/>
                                              </a:ext>
                                            </a:extLst>
                                          </pic:cNvPr>
                                          <pic:cNvPicPr preferRelativeResize="0"/>
                                        </pic:nvPicPr>
                                        <pic:blipFill>
                                          <a:blip r:embed="rId13"/>
                                          <a:stretch>
                                            <a:fillRect/>
                                          </a:stretch>
                                        </pic:blipFill>
                                        <pic:spPr>
                                          <a:xfrm>
                                            <a:off x="0" y="0"/>
                                            <a:ext cx="6760845"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18042" id="Text Box 715" o:spid="_x0000_s1028" type="#_x0000_t202" style="position:absolute;left:0;text-align:left;margin-left:63.1pt;margin-top:0;width:532.35pt;height:478.1pt;z-index:-252022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2Y8QEAAMIDAAAOAAAAZHJzL2Uyb0RvYy54bWysU9tu2zAMfR+wfxD0vtgJ2qQ14hRdiw4D&#10;unVAuw9gZDkWZosapcTOvn6UHGfd9jbsRaB4OTo8pNY3Q9eKgyZv0JZyPsul0FZhZeyulF9fHt5d&#10;SeED2ApatLqUR+3lzebtm3XvCr3ABttKk2AQ64velbIJwRVZ5lWjO/AzdNpysEbqIPCVdllF0DN6&#10;12aLPF9mPVLlCJX2nr33Y1BuEn5daxWe6trrINpSMreQTkrnNp7ZZg3FjsA1Rp1owD+w6MBYfvQM&#10;dQ8BxJ7MX1CdUYQe6zBT2GVY10bp1AN3M8//6Oa5AadTLyyOd2eZ/P+DVZ8PX0iYqpTX1xdSWOh4&#10;SC96COI9DmI1v4wK9c4XnPjsODUMHOBJp269e0T1zQuLdw3Ynb4lwr7RUDHDeazMXpWOOD6CbPtP&#10;WPFDsA+YgIaauigfCyIYnSd1PE8nklHsXK6W+dXFpRSKY8t8Nb9apfllUEzljnz4oLET0Sgl8fgT&#10;PBwefYh0oJhS4msWH0zbphVo7W8OToyeRD8yHrmHYTskrRaTKlusjtwP4bhY/BHYaJB+SNHzUpXS&#10;f98DaSnaj5Y1iRs4GTQZ28kAq7i0lEGK0bwL46buHZldw8ij6hZvWbfapI6iwCOLE11elNToaanj&#10;Jr6+p6xfX2/zEwAA//8DAFBLAwQUAAYACAAAACEA/XghUNwAAAAJAQAADwAAAGRycy9kb3ducmV2&#10;LnhtbEyPzU7DMBCE70i8g7VI3KjdSEQkxKkqBCckRJoeODrxNokar0PstuHt2Z7gOPpG81NsFjeK&#10;M85h8KRhvVIgkFpvB+o07Ou3hycQIRqyZvSEGn4wwKa8vSlMbv2FKjzvYic4hEJuNPQxTrmUoe3R&#10;mbDyExKzg5+diSznTtrZXDjcjTJRKpXODMQNvZnwpcf2uDs5Ddsvql6H74/mszpUQ11nit7To9b3&#10;d8v2GUTEJf6Z4Tqfp0PJmxp/IhvEyDpJE7Zq4EdXvM5UBqLRkD0ykGUh/z8ofwEAAP//AwBQSwEC&#10;LQAUAAYACAAAACEAtoM4kv4AAADhAQAAEwAAAAAAAAAAAAAAAAAAAAAAW0NvbnRlbnRfVHlwZXNd&#10;LnhtbFBLAQItABQABgAIAAAAIQA4/SH/1gAAAJQBAAALAAAAAAAAAAAAAAAAAC8BAABfcmVscy8u&#10;cmVsc1BLAQItABQABgAIAAAAIQBTmP2Y8QEAAMIDAAAOAAAAAAAAAAAAAAAAAC4CAABkcnMvZTJv&#10;RG9jLnhtbFBLAQItABQABgAIAAAAIQD9eCFQ3AAAAAkBAAAPAAAAAAAAAAAAAAAAAEsEAABkcnMv&#10;ZG93bnJldi54bWxQSwUGAAAAAAQABADzAAAAVAUAAAAA&#10;" filled="f" stroked="f">
                <v:textbox inset="0,0,0,0">
                  <w:txbxContent>
                    <w:p w14:paraId="14125773" w14:textId="77777777" w:rsidR="00490F33" w:rsidRDefault="00490F33">
                      <w:pPr>
                        <w:spacing w:after="850"/>
                        <w:textAlignment w:val="baseline"/>
                      </w:pPr>
                      <w:r>
                        <w:rPr>
                          <w:noProof/>
                          <w:lang w:val="en-AU" w:eastAsia="en-AU"/>
                        </w:rPr>
                        <w:drawing>
                          <wp:inline distT="0" distB="0" distL="0" distR="0" wp14:anchorId="1BCEE272" wp14:editId="74C25AF1">
                            <wp:extent cx="6760845" cy="5532120"/>
                            <wp:effectExtent l="0" t="0" r="0" b="0"/>
                            <wp:docPr id="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a:extLst>
                                        <a:ext uri="{C183D7F6-B498-43B3-948B-1728B52AA6E4}">
                                          <adec:decorative xmlns:adec="http://schemas.microsoft.com/office/drawing/2017/decorative" val="1"/>
                                        </a:ext>
                                      </a:extLst>
                                    </pic:cNvPr>
                                    <pic:cNvPicPr preferRelativeResize="0"/>
                                  </pic:nvPicPr>
                                  <pic:blipFill>
                                    <a:blip r:embed="rId13"/>
                                    <a:stretch>
                                      <a:fillRect/>
                                    </a:stretch>
                                  </pic:blipFill>
                                  <pic:spPr>
                                    <a:xfrm>
                                      <a:off x="0" y="0"/>
                                      <a:ext cx="6760845" cy="5532120"/>
                                    </a:xfrm>
                                    <a:prstGeom prst="rect">
                                      <a:avLst/>
                                    </a:prstGeom>
                                  </pic:spPr>
                                </pic:pic>
                              </a:graphicData>
                            </a:graphic>
                          </wp:inline>
                        </w:drawing>
                      </w:r>
                    </w:p>
                  </w:txbxContent>
                </v:textbox>
                <w10:wrap type="square" anchorx="page" anchory="page"/>
              </v:shape>
            </w:pict>
          </mc:Fallback>
        </mc:AlternateContent>
      </w:r>
      <w:r w:rsidR="00083242">
        <w:rPr>
          <w:rFonts w:ascii="Arial" w:eastAsia="Arial" w:hAnsi="Arial"/>
          <w:b/>
          <w:color w:val="545861"/>
          <w:spacing w:val="31"/>
          <w:w w:val="90"/>
          <w:sz w:val="60"/>
        </w:rPr>
        <w:t>LOOKING TO THE FUTURE</w:t>
      </w:r>
    </w:p>
    <w:p w14:paraId="7BD99A05" w14:textId="77777777" w:rsidR="009757A9" w:rsidRDefault="000D2E34">
      <w:pPr>
        <w:spacing w:before="135" w:line="379" w:lineRule="exact"/>
        <w:ind w:left="1584" w:right="1152"/>
        <w:textAlignment w:val="baseline"/>
        <w:rPr>
          <w:rFonts w:ascii="Arial" w:eastAsia="Arial" w:hAnsi="Arial"/>
          <w:color w:val="545861"/>
          <w:sz w:val="29"/>
        </w:rPr>
      </w:pPr>
      <w:r>
        <w:rPr>
          <w:noProof/>
          <w:lang w:val="en-AU" w:eastAsia="en-AU"/>
        </w:rPr>
        <mc:AlternateContent>
          <mc:Choice Requires="wps">
            <w:drawing>
              <wp:anchor distT="0" distB="0" distL="114300" distR="114300" simplePos="0" relativeHeight="251792896" behindDoc="0" locked="0" layoutInCell="1" allowOverlap="1" wp14:anchorId="1E8730BE" wp14:editId="43659B3A">
                <wp:simplePos x="0" y="0"/>
                <wp:positionH relativeFrom="page">
                  <wp:posOffset>1024255</wp:posOffset>
                </wp:positionH>
                <wp:positionV relativeFrom="page">
                  <wp:posOffset>7543800</wp:posOffset>
                </wp:positionV>
                <wp:extent cx="5852795" cy="0"/>
                <wp:effectExtent l="0" t="0" r="0" b="0"/>
                <wp:wrapNone/>
                <wp:docPr id="993" name="Lin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0"/>
                        </a:xfrm>
                        <a:prstGeom prst="line">
                          <a:avLst/>
                        </a:prstGeom>
                        <a:noFill/>
                        <a:ln w="6350">
                          <a:solidFill>
                            <a:srgbClr val="0A08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AF5D3" id="Line 714" o:spid="_x0000_s1026" style="position:absolute;z-index:25179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65pt,594pt" to="541.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R70gEAAIYDAAAOAAAAZHJzL2Uyb0RvYy54bWysU8GO2yAQvVfqPyDujZ1ss5tYcVZV0u0l&#10;7Uba7QdMANuowCAgsfP3BZyk2/ZW9YIGZubNmzfD6nHQipyE8xJNTaeTkhJhGHJp2pp+f336sKDE&#10;BzAcFBpR07Pw9HH9/t2qt5WYYYeKC0ciiPFVb2vahWCrovCsExr8BK0w0dmg0xDi1bUFd9BHdK2K&#10;WVneFz06bh0y4X183Y5Ous74TSNYeG4aLwJRNY3cQj5dPg/pLNYrqFoHtpPsQgP+gYUGaWLRG9QW&#10;ApCjk39BackcemzChKEusGkkE7mH2M20/KOblw6syL1Ecby9yeT/Hyz7dto7InlNl8s7SgzoOKSd&#10;NII8TD8mdXrrqxi0MXuX+mODebE7ZD88MbjpwLQis3w925g4TRnFbynp4m2scei/Io8xcAyYpRoa&#10;pxNkFIEMeSLn20TEEAiLj/PFfPawnFPCrr4CqmuidT58EahJMmqqIusMDKedD4kIVNeQVMfgk1Qq&#10;D1wZ0tf0/m5e5gSPSvLkTGHetYeNcuQEaWU+lYtykbuKnrdhCXkLvhvjsmtcJodHw3OVTgD/fLED&#10;SDXakZUyF5WSMKPEB+TnvbuqF4ed6V8WM23T23vO/vV91j8BAAD//wMAUEsDBBQABgAIAAAAIQB6&#10;m35q3AAAAA4BAAAPAAAAZHJzL2Rvd25yZXYueG1sTE/LboMwELxX6j9YW6m3xtAoESGYqI9Eao5N&#10;q5wN3gACrxF2CPn7bg5Ve5vZGc3OZJvJdmLEwTeOFMSzCARS6UxDlYLvr91TAsIHTUZ3jlDBFT1s&#10;8vu7TKfGXegTx0OoBIeQT7WCOoQ+ldKXNVrtZ65HYu3kBqsD06GSZtAXDredfI6ipbS6If5Q6x7f&#10;aizbw9kq2F+Ld9d+hNH6/WL7ujuubBuMUo8P08saRMAp/JnhVp+rQ86dCncm40XHfBnP2cogThJe&#10;dbNEyZxR8XuTeSb/z8h/AAAA//8DAFBLAQItABQABgAIAAAAIQC2gziS/gAAAOEBAAATAAAAAAAA&#10;AAAAAAAAAAAAAABbQ29udGVudF9UeXBlc10ueG1sUEsBAi0AFAAGAAgAAAAhADj9If/WAAAAlAEA&#10;AAsAAAAAAAAAAAAAAAAALwEAAF9yZWxzLy5yZWxzUEsBAi0AFAAGAAgAAAAhACsNVHvSAQAAhgMA&#10;AA4AAAAAAAAAAAAAAAAALgIAAGRycy9lMm9Eb2MueG1sUEsBAi0AFAAGAAgAAAAhAHqbfmrcAAAA&#10;DgEAAA8AAAAAAAAAAAAAAAAALAQAAGRycy9kb3ducmV2LnhtbFBLBQYAAAAABAAEAPMAAAA1BQAA&#10;AAA=&#10;" strokecolor="#0a0808" strokeweight=".5pt">
                <w10:wrap anchorx="page" anchory="page"/>
              </v:line>
            </w:pict>
          </mc:Fallback>
        </mc:AlternateContent>
      </w:r>
      <w:r w:rsidR="00083242">
        <w:rPr>
          <w:rFonts w:ascii="Arial" w:eastAsia="Arial" w:hAnsi="Arial"/>
          <w:color w:val="545861"/>
          <w:sz w:val="29"/>
        </w:rPr>
        <w:t>REPORT OF THE REVIEW OF SENIOR SECONDARY PATHWAYS INTO WORK, FURTHER EDUCATION AND TRAINING</w:t>
      </w:r>
    </w:p>
    <w:p w14:paraId="65F69B3D" w14:textId="77777777" w:rsidR="009757A9" w:rsidRDefault="00083242">
      <w:pPr>
        <w:spacing w:before="291" w:line="295" w:lineRule="exact"/>
        <w:ind w:left="1584"/>
        <w:textAlignment w:val="baseline"/>
        <w:rPr>
          <w:rFonts w:ascii="Arial" w:eastAsia="Arial" w:hAnsi="Arial"/>
          <w:color w:val="545861"/>
          <w:sz w:val="26"/>
        </w:rPr>
      </w:pPr>
      <w:r>
        <w:rPr>
          <w:rFonts w:ascii="Arial" w:eastAsia="Arial" w:hAnsi="Arial"/>
          <w:color w:val="545861"/>
          <w:sz w:val="26"/>
        </w:rPr>
        <w:t>JUNE 2020</w:t>
      </w:r>
    </w:p>
    <w:p w14:paraId="40AE62E1" w14:textId="77777777" w:rsidR="009757A9" w:rsidRDefault="00083242">
      <w:pPr>
        <w:spacing w:before="956" w:line="245" w:lineRule="exact"/>
        <w:ind w:left="1584"/>
        <w:textAlignment w:val="baseline"/>
        <w:rPr>
          <w:rFonts w:ascii="Arial" w:eastAsia="Arial" w:hAnsi="Arial"/>
          <w:b/>
          <w:color w:val="000000"/>
          <w:spacing w:val="3"/>
          <w:sz w:val="21"/>
        </w:rPr>
      </w:pPr>
      <w:r>
        <w:rPr>
          <w:rFonts w:ascii="Arial" w:eastAsia="Arial" w:hAnsi="Arial"/>
          <w:b/>
          <w:color w:val="000000"/>
          <w:spacing w:val="3"/>
          <w:sz w:val="21"/>
        </w:rPr>
        <w:t xml:space="preserve">Review Panel: </w:t>
      </w:r>
      <w:r>
        <w:rPr>
          <w:rFonts w:ascii="Tahoma" w:eastAsia="Tahoma" w:hAnsi="Tahoma"/>
          <w:color w:val="000000"/>
          <w:spacing w:val="3"/>
          <w:sz w:val="20"/>
        </w:rPr>
        <w:t>Professor Peter Shergold AC (Chair), Professor Tom Calma AO, Ms Sarina Russo,</w:t>
      </w:r>
    </w:p>
    <w:p w14:paraId="7D1424E8" w14:textId="77777777" w:rsidR="009757A9" w:rsidRDefault="00083242">
      <w:pPr>
        <w:spacing w:before="19" w:after="1281" w:line="245" w:lineRule="exact"/>
        <w:ind w:left="3024"/>
        <w:textAlignment w:val="baseline"/>
        <w:rPr>
          <w:rFonts w:ascii="Tahoma" w:eastAsia="Tahoma" w:hAnsi="Tahoma"/>
          <w:color w:val="000000"/>
          <w:spacing w:val="4"/>
          <w:sz w:val="20"/>
        </w:rPr>
      </w:pPr>
      <w:r>
        <w:rPr>
          <w:rFonts w:ascii="Tahoma" w:eastAsia="Tahoma" w:hAnsi="Tahoma"/>
          <w:color w:val="000000"/>
          <w:spacing w:val="4"/>
          <w:sz w:val="20"/>
        </w:rPr>
        <w:t>Ms Patrea Walton PSM, Ms Jennifer Westacott AO, Dr Don Zoellner, Mr Patrick O’Reilly.</w:t>
      </w:r>
    </w:p>
    <w:p w14:paraId="08D8C9F3" w14:textId="77777777" w:rsidR="009757A9" w:rsidRDefault="00083242">
      <w:pPr>
        <w:textAlignment w:val="baseline"/>
      </w:pPr>
      <w:r>
        <w:rPr>
          <w:noProof/>
          <w:lang w:val="en-AU" w:eastAsia="en-AU"/>
        </w:rPr>
        <w:drawing>
          <wp:inline distT="0" distB="0" distL="0" distR="0" wp14:anchorId="2C00CE5F" wp14:editId="35F9E53C">
            <wp:extent cx="7562215" cy="4629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7FC837E1" w14:textId="77777777" w:rsidR="009757A9" w:rsidRDefault="009757A9">
      <w:pPr>
        <w:sectPr w:rsidR="009757A9">
          <w:pgSz w:w="11909" w:h="16838"/>
          <w:pgMar w:top="0" w:right="0" w:bottom="0" w:left="0" w:header="720" w:footer="720" w:gutter="0"/>
          <w:cols w:space="720"/>
        </w:sectPr>
      </w:pPr>
    </w:p>
    <w:p w14:paraId="3F14B351" w14:textId="77777777" w:rsidR="009757A9" w:rsidRDefault="00083242">
      <w:pPr>
        <w:spacing w:before="4" w:after="636"/>
        <w:ind w:left="850" w:right="8203"/>
        <w:textAlignment w:val="baseline"/>
      </w:pPr>
      <w:r>
        <w:rPr>
          <w:noProof/>
          <w:lang w:val="en-AU" w:eastAsia="en-AU"/>
        </w:rPr>
        <w:lastRenderedPageBreak/>
        <w:drawing>
          <wp:inline distT="0" distB="0" distL="0" distR="0" wp14:anchorId="4EDBF6A7" wp14:editId="432AD6FF">
            <wp:extent cx="1813560" cy="633730"/>
            <wp:effectExtent l="0" t="0" r="0" b="0"/>
            <wp:docPr id="5" name="Picture" descr="Education Council logo"/>
            <wp:cNvGraphicFramePr/>
            <a:graphic xmlns:a="http://schemas.openxmlformats.org/drawingml/2006/main">
              <a:graphicData uri="http://schemas.openxmlformats.org/drawingml/2006/picture">
                <pic:pic xmlns:pic="http://schemas.openxmlformats.org/drawingml/2006/picture">
                  <pic:nvPicPr>
                    <pic:cNvPr id="5" name="Picture" descr="Education Council logo"/>
                    <pic:cNvPicPr preferRelativeResize="0"/>
                  </pic:nvPicPr>
                  <pic:blipFill>
                    <a:blip r:embed="rId15"/>
                    <a:stretch>
                      <a:fillRect/>
                    </a:stretch>
                  </pic:blipFill>
                  <pic:spPr>
                    <a:xfrm>
                      <a:off x="0" y="0"/>
                      <a:ext cx="1813560" cy="633730"/>
                    </a:xfrm>
                    <a:prstGeom prst="rect">
                      <a:avLst/>
                    </a:prstGeom>
                  </pic:spPr>
                </pic:pic>
              </a:graphicData>
            </a:graphic>
          </wp:inline>
        </w:drawing>
      </w:r>
    </w:p>
    <w:p w14:paraId="182FF894" w14:textId="77777777" w:rsidR="009757A9" w:rsidRDefault="00083242">
      <w:pPr>
        <w:spacing w:before="8" w:line="216" w:lineRule="exact"/>
        <w:ind w:left="864"/>
        <w:textAlignment w:val="baseline"/>
        <w:rPr>
          <w:rFonts w:ascii="Tahoma" w:eastAsia="Tahoma" w:hAnsi="Tahoma"/>
          <w:color w:val="404042"/>
          <w:spacing w:val="10"/>
          <w:sz w:val="18"/>
        </w:rPr>
      </w:pPr>
      <w:r>
        <w:rPr>
          <w:rFonts w:ascii="Tahoma" w:eastAsia="Tahoma" w:hAnsi="Tahoma"/>
          <w:color w:val="404042"/>
          <w:spacing w:val="10"/>
          <w:sz w:val="18"/>
        </w:rPr>
        <w:t>ISBN</w:t>
      </w:r>
    </w:p>
    <w:p w14:paraId="03600A8E" w14:textId="77777777" w:rsidR="009757A9" w:rsidRDefault="00083242">
      <w:pPr>
        <w:spacing w:before="197" w:line="216" w:lineRule="exact"/>
        <w:ind w:left="864"/>
        <w:textAlignment w:val="baseline"/>
        <w:rPr>
          <w:rFonts w:ascii="Tahoma" w:eastAsia="Tahoma" w:hAnsi="Tahoma"/>
          <w:color w:val="404042"/>
          <w:sz w:val="18"/>
        </w:rPr>
      </w:pPr>
      <w:r>
        <w:rPr>
          <w:rFonts w:ascii="Tahoma" w:eastAsia="Tahoma" w:hAnsi="Tahoma"/>
          <w:color w:val="404042"/>
          <w:sz w:val="18"/>
        </w:rPr>
        <w:t>978-1-76051-935-3</w:t>
      </w:r>
    </w:p>
    <w:p w14:paraId="16819353" w14:textId="77777777" w:rsidR="009757A9" w:rsidRDefault="00083242">
      <w:pPr>
        <w:spacing w:before="24"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Looking to the future – Report of the review of senior secondary pathways</w:t>
      </w:r>
    </w:p>
    <w:p w14:paraId="03FD914D" w14:textId="77777777" w:rsidR="009757A9" w:rsidRDefault="00083242">
      <w:pPr>
        <w:spacing w:before="20"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into work, further education and training [PDF]</w:t>
      </w:r>
    </w:p>
    <w:p w14:paraId="31BBE8A7" w14:textId="77777777" w:rsidR="009757A9" w:rsidRDefault="00083242">
      <w:pPr>
        <w:spacing w:before="188" w:line="216" w:lineRule="exact"/>
        <w:ind w:left="864"/>
        <w:textAlignment w:val="baseline"/>
        <w:rPr>
          <w:rFonts w:ascii="Tahoma" w:eastAsia="Tahoma" w:hAnsi="Tahoma"/>
          <w:color w:val="404042"/>
          <w:sz w:val="18"/>
        </w:rPr>
      </w:pPr>
      <w:r>
        <w:rPr>
          <w:rFonts w:ascii="Tahoma" w:eastAsia="Tahoma" w:hAnsi="Tahoma"/>
          <w:color w:val="404042"/>
          <w:sz w:val="18"/>
        </w:rPr>
        <w:t>978-1-76051-936-0</w:t>
      </w:r>
    </w:p>
    <w:p w14:paraId="10D9128E" w14:textId="77777777" w:rsidR="009757A9" w:rsidRDefault="00083242">
      <w:pPr>
        <w:spacing w:before="24"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Looking to the future – Report of the review of senior secondary pathways</w:t>
      </w:r>
    </w:p>
    <w:p w14:paraId="72A99ACA" w14:textId="77777777" w:rsidR="009757A9" w:rsidRDefault="00083242">
      <w:pPr>
        <w:spacing w:before="20"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into work, further education and training [DOCX]</w:t>
      </w:r>
    </w:p>
    <w:p w14:paraId="6FA422FA" w14:textId="77777777" w:rsidR="009757A9" w:rsidRDefault="00083242">
      <w:pPr>
        <w:spacing w:before="193" w:line="216" w:lineRule="exact"/>
        <w:ind w:left="864"/>
        <w:textAlignment w:val="baseline"/>
        <w:rPr>
          <w:rFonts w:ascii="Tahoma" w:eastAsia="Tahoma" w:hAnsi="Tahoma"/>
          <w:color w:val="404042"/>
          <w:spacing w:val="-1"/>
          <w:sz w:val="18"/>
        </w:rPr>
      </w:pPr>
      <w:r>
        <w:rPr>
          <w:rFonts w:ascii="Tahoma" w:eastAsia="Tahoma" w:hAnsi="Tahoma"/>
          <w:color w:val="404042"/>
          <w:spacing w:val="-1"/>
          <w:sz w:val="18"/>
        </w:rPr>
        <w:t>978-1-76051-937-7</w:t>
      </w:r>
    </w:p>
    <w:p w14:paraId="06DECABC" w14:textId="77777777" w:rsidR="009757A9" w:rsidRDefault="00083242">
      <w:pPr>
        <w:spacing w:before="24"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Looking to the future – Report of the review of senior secondary pathways</w:t>
      </w:r>
    </w:p>
    <w:p w14:paraId="2C142FCB" w14:textId="77777777" w:rsidR="009757A9" w:rsidRDefault="00083242">
      <w:pPr>
        <w:spacing w:before="20"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into work, further education and training [PRINT]</w:t>
      </w:r>
    </w:p>
    <w:p w14:paraId="1D7A39A4" w14:textId="77777777" w:rsidR="009757A9" w:rsidRDefault="00083242">
      <w:pPr>
        <w:spacing w:before="164" w:after="685" w:line="240" w:lineRule="exact"/>
        <w:ind w:left="864"/>
        <w:textAlignment w:val="baseline"/>
        <w:rPr>
          <w:rFonts w:ascii="Tahoma" w:eastAsia="Tahoma" w:hAnsi="Tahoma"/>
          <w:color w:val="404042"/>
          <w:sz w:val="18"/>
        </w:rPr>
      </w:pPr>
      <w:r>
        <w:rPr>
          <w:rFonts w:ascii="Tahoma" w:eastAsia="Tahoma" w:hAnsi="Tahoma"/>
          <w:color w:val="404042"/>
          <w:sz w:val="18"/>
        </w:rPr>
        <w:t xml:space="preserve">© Education Services Australia, as the legal entity for the Council of </w:t>
      </w:r>
      <w:r>
        <w:rPr>
          <w:rFonts w:ascii="Tahoma" w:eastAsia="Tahoma" w:hAnsi="Tahoma"/>
          <w:color w:val="404042"/>
          <w:sz w:val="18"/>
        </w:rPr>
        <w:br/>
        <w:t>Australian Governments Education Council.</w:t>
      </w:r>
    </w:p>
    <w:p w14:paraId="75021993" w14:textId="77777777" w:rsidR="009757A9" w:rsidRDefault="00083242">
      <w:pPr>
        <w:spacing w:after="233"/>
        <w:ind w:left="845" w:right="9720"/>
        <w:textAlignment w:val="baseline"/>
      </w:pPr>
      <w:r>
        <w:rPr>
          <w:noProof/>
          <w:lang w:val="en-AU" w:eastAsia="en-AU"/>
        </w:rPr>
        <w:drawing>
          <wp:inline distT="0" distB="0" distL="0" distR="0" wp14:anchorId="71916618" wp14:editId="575FA9C1">
            <wp:extent cx="853440" cy="311150"/>
            <wp:effectExtent l="0" t="0" r="0" b="0"/>
            <wp:docPr id="6" name="Picture" descr="CC logo"/>
            <wp:cNvGraphicFramePr/>
            <a:graphic xmlns:a="http://schemas.openxmlformats.org/drawingml/2006/main">
              <a:graphicData uri="http://schemas.openxmlformats.org/drawingml/2006/picture">
                <pic:pic xmlns:pic="http://schemas.openxmlformats.org/drawingml/2006/picture">
                  <pic:nvPicPr>
                    <pic:cNvPr id="6" name="Picture" descr="CC logo"/>
                    <pic:cNvPicPr preferRelativeResize="0"/>
                  </pic:nvPicPr>
                  <pic:blipFill>
                    <a:blip r:embed="rId16"/>
                    <a:stretch>
                      <a:fillRect/>
                    </a:stretch>
                  </pic:blipFill>
                  <pic:spPr>
                    <a:xfrm>
                      <a:off x="0" y="0"/>
                      <a:ext cx="853440" cy="311150"/>
                    </a:xfrm>
                    <a:prstGeom prst="rect">
                      <a:avLst/>
                    </a:prstGeom>
                  </pic:spPr>
                </pic:pic>
              </a:graphicData>
            </a:graphic>
          </wp:inline>
        </w:drawing>
      </w:r>
    </w:p>
    <w:p w14:paraId="6C9C03CD" w14:textId="77777777" w:rsidR="009757A9" w:rsidRDefault="00083242">
      <w:pPr>
        <w:spacing w:line="237" w:lineRule="exact"/>
        <w:ind w:left="864"/>
        <w:textAlignment w:val="baseline"/>
        <w:rPr>
          <w:rFonts w:ascii="Tahoma" w:eastAsia="Tahoma" w:hAnsi="Tahoma"/>
          <w:color w:val="404042"/>
          <w:sz w:val="18"/>
        </w:rPr>
      </w:pPr>
      <w:r>
        <w:rPr>
          <w:rFonts w:ascii="Tahoma" w:eastAsia="Tahoma" w:hAnsi="Tahoma"/>
          <w:color w:val="404042"/>
          <w:sz w:val="18"/>
        </w:rPr>
        <w:t xml:space="preserve">With the exception of any photographs, logos or material protected by </w:t>
      </w:r>
      <w:r>
        <w:rPr>
          <w:rFonts w:ascii="Tahoma" w:eastAsia="Tahoma" w:hAnsi="Tahoma"/>
          <w:color w:val="404042"/>
          <w:sz w:val="18"/>
        </w:rPr>
        <w:br/>
        <w:t xml:space="preserve">a trade mark and where otherwise noted, all material presented in this </w:t>
      </w:r>
      <w:r>
        <w:rPr>
          <w:rFonts w:ascii="Tahoma" w:eastAsia="Tahoma" w:hAnsi="Tahoma"/>
          <w:color w:val="404042"/>
          <w:sz w:val="18"/>
        </w:rPr>
        <w:br/>
        <w:t xml:space="preserve">document is provided under a Creative Commons Attribution-No Derivative </w:t>
      </w:r>
      <w:r>
        <w:rPr>
          <w:rFonts w:ascii="Tahoma" w:eastAsia="Tahoma" w:hAnsi="Tahoma"/>
          <w:color w:val="404042"/>
          <w:sz w:val="18"/>
        </w:rPr>
        <w:br/>
        <w:t>4.0 International</w:t>
      </w:r>
      <w:r>
        <w:rPr>
          <w:rFonts w:ascii="Tahoma" w:eastAsia="Tahoma" w:hAnsi="Tahoma"/>
          <w:color w:val="007896"/>
          <w:sz w:val="18"/>
        </w:rPr>
        <w:t xml:space="preserve"> </w:t>
      </w:r>
      <w:hyperlink r:id="rId17">
        <w:r>
          <w:rPr>
            <w:rFonts w:ascii="Tahoma" w:eastAsia="Tahoma" w:hAnsi="Tahoma"/>
            <w:color w:val="0000FF"/>
            <w:sz w:val="18"/>
            <w:u w:val="single"/>
          </w:rPr>
          <w:t>(https://creativecommons.org/licenses/by-nd/4.0/</w:t>
        </w:r>
      </w:hyperlink>
      <w:r>
        <w:rPr>
          <w:rFonts w:ascii="Tahoma" w:eastAsia="Tahoma" w:hAnsi="Tahoma"/>
          <w:color w:val="007896"/>
          <w:sz w:val="18"/>
        </w:rPr>
        <w:t>).</w:t>
      </w:r>
    </w:p>
    <w:p w14:paraId="384AC2CA" w14:textId="77777777" w:rsidR="009757A9" w:rsidRDefault="00083242">
      <w:pPr>
        <w:spacing w:before="168" w:line="240" w:lineRule="exact"/>
        <w:ind w:left="864"/>
        <w:textAlignment w:val="baseline"/>
        <w:rPr>
          <w:rFonts w:ascii="Tahoma" w:eastAsia="Tahoma" w:hAnsi="Tahoma"/>
          <w:color w:val="404042"/>
          <w:sz w:val="18"/>
        </w:rPr>
      </w:pPr>
      <w:r>
        <w:rPr>
          <w:rFonts w:ascii="Tahoma" w:eastAsia="Tahoma" w:hAnsi="Tahoma"/>
          <w:color w:val="404042"/>
          <w:sz w:val="18"/>
        </w:rPr>
        <w:t xml:space="preserve">The details of the relevant licence conditions are available on the Creative </w:t>
      </w:r>
      <w:r>
        <w:rPr>
          <w:rFonts w:ascii="Tahoma" w:eastAsia="Tahoma" w:hAnsi="Tahoma"/>
          <w:color w:val="404042"/>
          <w:sz w:val="18"/>
        </w:rPr>
        <w:br/>
        <w:t xml:space="preserve">Commons website (accessible using the links provided) as is the full legal </w:t>
      </w:r>
      <w:r>
        <w:rPr>
          <w:rFonts w:ascii="Tahoma" w:eastAsia="Tahoma" w:hAnsi="Tahoma"/>
          <w:color w:val="404042"/>
          <w:sz w:val="18"/>
        </w:rPr>
        <w:br/>
        <w:t>code for the CC BY-ND 4.0 International licence</w:t>
      </w:r>
      <w:r>
        <w:rPr>
          <w:rFonts w:ascii="Tahoma" w:eastAsia="Tahoma" w:hAnsi="Tahoma"/>
          <w:color w:val="007896"/>
          <w:sz w:val="18"/>
        </w:rPr>
        <w:t xml:space="preserve"> (</w:t>
      </w:r>
      <w:hyperlink r:id="rId18">
        <w:r>
          <w:rPr>
            <w:rFonts w:ascii="Tahoma" w:eastAsia="Tahoma" w:hAnsi="Tahoma"/>
            <w:color w:val="0000FF"/>
            <w:sz w:val="18"/>
            <w:u w:val="single"/>
          </w:rPr>
          <w:t>https://creativecommons.</w:t>
        </w:r>
      </w:hyperlink>
      <w:r>
        <w:rPr>
          <w:rFonts w:ascii="Tahoma" w:eastAsia="Tahoma" w:hAnsi="Tahoma"/>
          <w:color w:val="007896"/>
          <w:sz w:val="18"/>
        </w:rPr>
        <w:t xml:space="preserve"> </w:t>
      </w:r>
      <w:r>
        <w:rPr>
          <w:rFonts w:ascii="Tahoma" w:eastAsia="Tahoma" w:hAnsi="Tahoma"/>
          <w:color w:val="007896"/>
          <w:sz w:val="18"/>
        </w:rPr>
        <w:br/>
      </w:r>
      <w:hyperlink r:id="rId19">
        <w:r>
          <w:rPr>
            <w:rFonts w:ascii="Tahoma" w:eastAsia="Tahoma" w:hAnsi="Tahoma"/>
            <w:color w:val="0000FF"/>
            <w:sz w:val="18"/>
            <w:u w:val="single"/>
          </w:rPr>
          <w:t>org/licenses/by-nd/4.0/legalcode</w:t>
        </w:r>
      </w:hyperlink>
      <w:r>
        <w:rPr>
          <w:rFonts w:ascii="Tahoma" w:eastAsia="Tahoma" w:hAnsi="Tahoma"/>
          <w:color w:val="007896"/>
          <w:sz w:val="18"/>
        </w:rPr>
        <w:t>).</w:t>
      </w:r>
    </w:p>
    <w:p w14:paraId="271F87D7" w14:textId="77777777" w:rsidR="009757A9" w:rsidRDefault="00083242">
      <w:pPr>
        <w:spacing w:before="168" w:line="240" w:lineRule="exact"/>
        <w:ind w:left="864"/>
        <w:textAlignment w:val="baseline"/>
        <w:rPr>
          <w:rFonts w:ascii="Tahoma" w:eastAsia="Tahoma" w:hAnsi="Tahoma"/>
          <w:color w:val="404042"/>
          <w:sz w:val="18"/>
        </w:rPr>
      </w:pPr>
      <w:r>
        <w:rPr>
          <w:rFonts w:ascii="Tahoma" w:eastAsia="Tahoma" w:hAnsi="Tahoma"/>
          <w:color w:val="404042"/>
          <w:sz w:val="18"/>
        </w:rPr>
        <w:t xml:space="preserve">Copyright requests and enquiries concerning further authorisation should </w:t>
      </w:r>
      <w:r>
        <w:rPr>
          <w:rFonts w:ascii="Tahoma" w:eastAsia="Tahoma" w:hAnsi="Tahoma"/>
          <w:color w:val="404042"/>
          <w:sz w:val="18"/>
        </w:rPr>
        <w:br/>
        <w:t>be addressed to:</w:t>
      </w:r>
    </w:p>
    <w:p w14:paraId="7FAB0F61" w14:textId="77777777" w:rsidR="009757A9" w:rsidRDefault="00083242">
      <w:pPr>
        <w:spacing w:before="193" w:line="219" w:lineRule="exact"/>
        <w:ind w:left="864"/>
        <w:textAlignment w:val="baseline"/>
        <w:rPr>
          <w:rFonts w:ascii="Verdana" w:eastAsia="Verdana" w:hAnsi="Verdana"/>
          <w:color w:val="404042"/>
          <w:sz w:val="17"/>
        </w:rPr>
      </w:pPr>
      <w:r>
        <w:rPr>
          <w:rFonts w:ascii="Verdana" w:eastAsia="Verdana" w:hAnsi="Verdana"/>
          <w:color w:val="404042"/>
          <w:sz w:val="17"/>
        </w:rPr>
        <w:t>The Copyright Officer, Department of Education, Skills and Employment</w:t>
      </w:r>
    </w:p>
    <w:p w14:paraId="6079F8FE" w14:textId="77777777" w:rsidR="009757A9" w:rsidRDefault="00083242">
      <w:pPr>
        <w:spacing w:before="20" w:line="216" w:lineRule="exact"/>
        <w:ind w:left="864"/>
        <w:textAlignment w:val="baseline"/>
        <w:rPr>
          <w:rFonts w:ascii="Tahoma" w:eastAsia="Tahoma" w:hAnsi="Tahoma"/>
          <w:color w:val="404042"/>
          <w:spacing w:val="5"/>
          <w:sz w:val="18"/>
        </w:rPr>
      </w:pPr>
      <w:r>
        <w:rPr>
          <w:rFonts w:ascii="Tahoma" w:eastAsia="Tahoma" w:hAnsi="Tahoma"/>
          <w:color w:val="404042"/>
          <w:spacing w:val="5"/>
          <w:sz w:val="18"/>
        </w:rPr>
        <w:t>Location code C50MA10</w:t>
      </w:r>
    </w:p>
    <w:p w14:paraId="425212BF" w14:textId="77777777" w:rsidR="009757A9" w:rsidRDefault="00083242">
      <w:pPr>
        <w:spacing w:before="24"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GPO Box 9880 Canberra ACT 2601 or emailed to</w:t>
      </w:r>
      <w:r>
        <w:rPr>
          <w:rFonts w:ascii="Tahoma" w:eastAsia="Tahoma" w:hAnsi="Tahoma"/>
          <w:color w:val="007896"/>
          <w:spacing w:val="5"/>
          <w:sz w:val="18"/>
        </w:rPr>
        <w:t xml:space="preserve"> </w:t>
      </w:r>
      <w:hyperlink r:id="rId20">
        <w:r>
          <w:rPr>
            <w:rFonts w:ascii="Tahoma" w:eastAsia="Tahoma" w:hAnsi="Tahoma"/>
            <w:color w:val="0000FF"/>
            <w:spacing w:val="5"/>
            <w:sz w:val="18"/>
            <w:u w:val="single"/>
          </w:rPr>
          <w:t>copyright@dese.gov.au</w:t>
        </w:r>
      </w:hyperlink>
      <w:r>
        <w:rPr>
          <w:rFonts w:ascii="Tahoma" w:eastAsia="Tahoma" w:hAnsi="Tahoma"/>
          <w:color w:val="007896"/>
          <w:spacing w:val="5"/>
          <w:sz w:val="18"/>
        </w:rPr>
        <w:t xml:space="preserve"> </w:t>
      </w:r>
    </w:p>
    <w:p w14:paraId="61A6077F" w14:textId="77777777" w:rsidR="009757A9" w:rsidRDefault="00083242">
      <w:pPr>
        <w:spacing w:before="610" w:line="209" w:lineRule="exact"/>
        <w:ind w:left="864"/>
        <w:textAlignment w:val="baseline"/>
        <w:rPr>
          <w:rFonts w:ascii="Arial" w:eastAsia="Arial" w:hAnsi="Arial"/>
          <w:b/>
          <w:color w:val="404042"/>
          <w:sz w:val="19"/>
        </w:rPr>
      </w:pPr>
      <w:r>
        <w:rPr>
          <w:rFonts w:ascii="Arial" w:eastAsia="Arial" w:hAnsi="Arial"/>
          <w:b/>
          <w:color w:val="404042"/>
          <w:sz w:val="19"/>
        </w:rPr>
        <w:t>Disclaimer</w:t>
      </w:r>
    </w:p>
    <w:p w14:paraId="397A725F" w14:textId="77777777" w:rsidR="009757A9" w:rsidRDefault="00083242">
      <w:pPr>
        <w:spacing w:before="171" w:line="240" w:lineRule="exact"/>
        <w:ind w:left="864"/>
        <w:textAlignment w:val="baseline"/>
        <w:rPr>
          <w:rFonts w:ascii="Tahoma" w:eastAsia="Tahoma" w:hAnsi="Tahoma"/>
          <w:color w:val="404042"/>
          <w:sz w:val="18"/>
        </w:rPr>
      </w:pPr>
      <w:r>
        <w:rPr>
          <w:rFonts w:ascii="Tahoma" w:eastAsia="Tahoma" w:hAnsi="Tahoma"/>
          <w:color w:val="404042"/>
          <w:sz w:val="18"/>
        </w:rPr>
        <w:t xml:space="preserve">This publication reports on the Review of senior secondary pathways </w:t>
      </w:r>
      <w:r>
        <w:rPr>
          <w:rFonts w:ascii="Tahoma" w:eastAsia="Tahoma" w:hAnsi="Tahoma"/>
          <w:color w:val="404042"/>
          <w:sz w:val="18"/>
        </w:rPr>
        <w:br/>
      </w:r>
      <w:r>
        <w:rPr>
          <w:rFonts w:ascii="Verdana" w:eastAsia="Verdana" w:hAnsi="Verdana"/>
          <w:color w:val="404042"/>
          <w:sz w:val="17"/>
        </w:rPr>
        <w:t xml:space="preserve">into work, further education and training and does not necessarily reflect </w:t>
      </w:r>
      <w:r>
        <w:rPr>
          <w:rFonts w:ascii="Verdana" w:eastAsia="Verdana" w:hAnsi="Verdana"/>
          <w:color w:val="404042"/>
          <w:sz w:val="17"/>
        </w:rPr>
        <w:br/>
      </w:r>
      <w:r>
        <w:rPr>
          <w:rFonts w:ascii="Tahoma" w:eastAsia="Tahoma" w:hAnsi="Tahoma"/>
          <w:color w:val="404042"/>
          <w:sz w:val="18"/>
        </w:rPr>
        <w:t xml:space="preserve">the views of Education Council or of Australian and state and territory </w:t>
      </w:r>
      <w:r>
        <w:rPr>
          <w:rFonts w:ascii="Tahoma" w:eastAsia="Tahoma" w:hAnsi="Tahoma"/>
          <w:color w:val="404042"/>
          <w:sz w:val="18"/>
        </w:rPr>
        <w:br/>
        <w:t xml:space="preserve">governments. This publication also does not constitute legal assistance </w:t>
      </w:r>
      <w:r>
        <w:rPr>
          <w:rFonts w:ascii="Tahoma" w:eastAsia="Tahoma" w:hAnsi="Tahoma"/>
          <w:color w:val="404042"/>
          <w:sz w:val="18"/>
        </w:rPr>
        <w:br/>
        <w:t>or advice.</w:t>
      </w:r>
    </w:p>
    <w:p w14:paraId="29827B2F" w14:textId="77777777" w:rsidR="009757A9" w:rsidRDefault="00083242">
      <w:pPr>
        <w:spacing w:before="172" w:after="1699" w:line="240" w:lineRule="exact"/>
        <w:ind w:left="864"/>
        <w:textAlignment w:val="baseline"/>
        <w:rPr>
          <w:rFonts w:ascii="Tahoma" w:eastAsia="Tahoma" w:hAnsi="Tahoma"/>
          <w:color w:val="404042"/>
          <w:sz w:val="18"/>
        </w:rPr>
      </w:pPr>
      <w:r>
        <w:rPr>
          <w:rFonts w:ascii="Tahoma" w:eastAsia="Tahoma" w:hAnsi="Tahoma"/>
          <w:color w:val="404042"/>
          <w:sz w:val="18"/>
        </w:rPr>
        <w:t xml:space="preserve">This report must be attributed as the: Looking to the Future - Report of </w:t>
      </w:r>
      <w:r>
        <w:rPr>
          <w:rFonts w:ascii="Tahoma" w:eastAsia="Tahoma" w:hAnsi="Tahoma"/>
          <w:color w:val="404042"/>
          <w:sz w:val="18"/>
        </w:rPr>
        <w:br/>
        <w:t xml:space="preserve">the review of senior secondary pathways into work, further education </w:t>
      </w:r>
      <w:r>
        <w:rPr>
          <w:rFonts w:ascii="Tahoma" w:eastAsia="Tahoma" w:hAnsi="Tahoma"/>
          <w:color w:val="404042"/>
          <w:sz w:val="18"/>
        </w:rPr>
        <w:br/>
        <w:t>and training.</w:t>
      </w:r>
    </w:p>
    <w:p w14:paraId="0DBC774B" w14:textId="77777777" w:rsidR="009757A9" w:rsidRDefault="00083242">
      <w:pPr>
        <w:textAlignment w:val="baseline"/>
      </w:pPr>
      <w:r>
        <w:rPr>
          <w:noProof/>
          <w:lang w:val="en-AU" w:eastAsia="en-AU"/>
        </w:rPr>
        <w:drawing>
          <wp:inline distT="0" distB="0" distL="0" distR="0" wp14:anchorId="00870838" wp14:editId="5752EE6F">
            <wp:extent cx="7562215" cy="46291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p w14:paraId="12393B16" w14:textId="77777777" w:rsidR="009757A9" w:rsidRDefault="009757A9">
      <w:pPr>
        <w:sectPr w:rsidR="009757A9">
          <w:pgSz w:w="11909" w:h="16838"/>
          <w:pgMar w:top="1100" w:right="0" w:bottom="0" w:left="0" w:header="720" w:footer="720" w:gutter="0"/>
          <w:cols w:space="720"/>
        </w:sectPr>
      </w:pPr>
    </w:p>
    <w:p w14:paraId="389C6F5E" w14:textId="77777777" w:rsidR="009757A9" w:rsidRDefault="00083242">
      <w:pPr>
        <w:spacing w:before="2" w:line="454" w:lineRule="exact"/>
        <w:ind w:left="864"/>
        <w:textAlignment w:val="baseline"/>
        <w:rPr>
          <w:rFonts w:ascii="Arial" w:eastAsia="Arial" w:hAnsi="Arial"/>
          <w:b/>
          <w:color w:val="00708E"/>
          <w:spacing w:val="6"/>
          <w:w w:val="95"/>
          <w:sz w:val="39"/>
        </w:rPr>
      </w:pPr>
      <w:r>
        <w:rPr>
          <w:rFonts w:ascii="Arial" w:eastAsia="Arial" w:hAnsi="Arial"/>
          <w:b/>
          <w:color w:val="00708E"/>
          <w:spacing w:val="6"/>
          <w:w w:val="95"/>
          <w:sz w:val="39"/>
        </w:rPr>
        <w:lastRenderedPageBreak/>
        <w:t>CONTENTS</w:t>
      </w:r>
    </w:p>
    <w:p w14:paraId="646941B6" w14:textId="77777777" w:rsidR="009757A9" w:rsidRDefault="00083242">
      <w:pPr>
        <w:tabs>
          <w:tab w:val="left" w:pos="8784"/>
        </w:tabs>
        <w:spacing w:before="256" w:after="35" w:line="275" w:lineRule="exact"/>
        <w:ind w:left="864"/>
        <w:textAlignment w:val="baseline"/>
        <w:rPr>
          <w:rFonts w:ascii="Tahoma" w:eastAsia="Tahoma" w:hAnsi="Tahoma"/>
          <w:color w:val="007896"/>
        </w:rPr>
      </w:pPr>
      <w:r>
        <w:rPr>
          <w:rFonts w:ascii="Tahoma" w:eastAsia="Tahoma" w:hAnsi="Tahoma"/>
          <w:color w:val="007896"/>
        </w:rPr>
        <w:t>Letter from the Chair</w:t>
      </w:r>
      <w:r>
        <w:rPr>
          <w:rFonts w:ascii="Tahoma" w:eastAsia="Tahoma" w:hAnsi="Tahoma"/>
          <w:color w:val="007896"/>
        </w:rPr>
        <w:tab/>
      </w:r>
      <w:r>
        <w:rPr>
          <w:rFonts w:ascii="Arial" w:eastAsia="Arial" w:hAnsi="Arial"/>
          <w:b/>
          <w:color w:val="007896"/>
          <w:sz w:val="23"/>
        </w:rPr>
        <w:t>6</w:t>
      </w:r>
    </w:p>
    <w:p w14:paraId="350AD7C8" w14:textId="77777777" w:rsidR="009757A9" w:rsidRDefault="000D2E34">
      <w:pPr>
        <w:tabs>
          <w:tab w:val="left" w:pos="8784"/>
        </w:tabs>
        <w:spacing w:before="300" w:after="30" w:line="275" w:lineRule="exact"/>
        <w:ind w:left="864"/>
        <w:textAlignment w:val="baseline"/>
        <w:rPr>
          <w:rFonts w:ascii="Tahoma" w:eastAsia="Tahoma" w:hAnsi="Tahoma"/>
          <w:color w:val="007896"/>
        </w:rPr>
      </w:pPr>
      <w:r>
        <w:rPr>
          <w:noProof/>
          <w:lang w:val="en-AU" w:eastAsia="en-AU"/>
        </w:rPr>
        <mc:AlternateContent>
          <mc:Choice Requires="wps">
            <w:drawing>
              <wp:anchor distT="0" distB="0" distL="114300" distR="114300" simplePos="0" relativeHeight="251793920" behindDoc="0" locked="0" layoutInCell="1" allowOverlap="1" wp14:anchorId="23920AF8" wp14:editId="34BB8796">
                <wp:simplePos x="0" y="0"/>
                <wp:positionH relativeFrom="page">
                  <wp:posOffset>539750</wp:posOffset>
                </wp:positionH>
                <wp:positionV relativeFrom="page">
                  <wp:posOffset>1347470</wp:posOffset>
                </wp:positionV>
                <wp:extent cx="6483350" cy="0"/>
                <wp:effectExtent l="0" t="0" r="0" b="0"/>
                <wp:wrapNone/>
                <wp:docPr id="992" name="Lin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9266B" id="Line 713" o:spid="_x0000_s1026" style="position:absolute;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106.1pt" to="553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OwLzQEAAIYDAAAOAAAAZHJzL2Uyb0RvYy54bWysU02PGjEMvVfqf4hyL8NHy8KIYQ/Q7YW2&#10;SLv9ASbJMFEzcZQEZvj3dTLAtttb1UsUx/bz87Ozeuxbw87KB4224pPRmDNlBUptjxX/8fL0YcFZ&#10;iGAlGLSq4hcV+OP6/btV50o1xQaNVJ4RiA1l5yrexOjKogiiUS2EETplyVmjbyGS6Y+F9NARemuK&#10;6Xg8Lzr00nkUKgR63Q5Ovs74da1E/F7XQUVmKk7cYj59Pg/pLNYrKI8eXKPFlQb8A4sWtKWid6gt&#10;RGAnr/+CarXwGLCOI4FtgXWthco9UDeT8ZtunhtwKvdC4gR3lyn8P1jx7bz3TMuKL5dTziy0NKSd&#10;too9TGZJnc6FkoI2du9Tf6K3z26H4mdgFjcN2KPKLF8ujhInKaP4IyUZwVGNQ/cVJcXAKWKWqq99&#10;myBJBNbniVzuE1F9ZIIe5x8Xs9knGpy4+Qoob4nOh/hFYcvSpeKGWGdgOO9CTESgvIWkOhaftDF5&#10;4MayjsATcvIENFomZzb88bAxnp0hrcz4YbGc567ehCXkLYRmiMsIwzJ5PFmZqzQK5OfrPYI2w51Y&#10;GXtVKQkzSHxAedn7m3o07Ez/uphpm363c/br91n/AgAA//8DAFBLAwQUAAYACAAAACEAgtlWh98A&#10;AAALAQAADwAAAGRycy9kb3ducmV2LnhtbEyPT0vEMBDF74LfIYzgRdykVddSmy7in4N42iroMW1m&#10;m2IzKUl2W7+9WRD0OG8e7/1etVnsyA7ow+BIQrYSwJA6pwfqJby/PV8WwEJUpNXoCCV8Y4BNfXpS&#10;qVK7mbZ4aGLPUgiFUkkwMU4l56EzaFVYuQkp/XbOWxXT6XuuvZpTuB15LsSaWzVQajBqwgeD3Vez&#10;txK288X1U2M+XnavzXR1W4jP9tE7Kc/Plvs7YBGX+GeGI35ChzoxtW5POrBRQnGTpkQJeZbnwI6G&#10;TKyT1P5KvK74/w31DwAAAP//AwBQSwECLQAUAAYACAAAACEAtoM4kv4AAADhAQAAEwAAAAAAAAAA&#10;AAAAAAAAAAAAW0NvbnRlbnRfVHlwZXNdLnhtbFBLAQItABQABgAIAAAAIQA4/SH/1gAAAJQBAAAL&#10;AAAAAAAAAAAAAAAAAC8BAABfcmVscy8ucmVsc1BLAQItABQABgAIAAAAIQD6JOwLzQEAAIYDAAAO&#10;AAAAAAAAAAAAAAAAAC4CAABkcnMvZTJvRG9jLnhtbFBLAQItABQABgAIAAAAIQCC2VaH3wAAAAsB&#10;AAAPAAAAAAAAAAAAAAAAACcEAABkcnMvZG93bnJldi54bWxQSwUGAAAAAAQABADzAAAAMwUAAAAA&#10;" strokecolor="#007896" strokeweight=".5pt">
                <w10:wrap anchorx="page" anchory="page"/>
              </v:line>
            </w:pict>
          </mc:Fallback>
        </mc:AlternateContent>
      </w:r>
      <w:r w:rsidR="00083242">
        <w:rPr>
          <w:rFonts w:ascii="Tahoma" w:eastAsia="Tahoma" w:hAnsi="Tahoma"/>
          <w:color w:val="007896"/>
        </w:rPr>
        <w:t>Terms of Reference</w:t>
      </w:r>
      <w:r w:rsidR="00083242">
        <w:rPr>
          <w:rFonts w:ascii="Tahoma" w:eastAsia="Tahoma" w:hAnsi="Tahoma"/>
          <w:color w:val="007896"/>
        </w:rPr>
        <w:tab/>
      </w:r>
      <w:r w:rsidR="00083242">
        <w:rPr>
          <w:rFonts w:ascii="Arial" w:eastAsia="Arial" w:hAnsi="Arial"/>
          <w:b/>
          <w:color w:val="007896"/>
          <w:sz w:val="23"/>
        </w:rPr>
        <w:t>8</w:t>
      </w:r>
    </w:p>
    <w:p w14:paraId="7C04E660" w14:textId="77777777" w:rsidR="009757A9" w:rsidRDefault="000D2E34">
      <w:pPr>
        <w:tabs>
          <w:tab w:val="left" w:pos="8784"/>
        </w:tabs>
        <w:spacing w:before="300" w:after="45" w:line="275" w:lineRule="exact"/>
        <w:ind w:left="864"/>
        <w:textAlignment w:val="baseline"/>
        <w:rPr>
          <w:rFonts w:ascii="Tahoma" w:eastAsia="Tahoma" w:hAnsi="Tahoma"/>
          <w:color w:val="007896"/>
        </w:rPr>
      </w:pPr>
      <w:r>
        <w:rPr>
          <w:noProof/>
          <w:lang w:val="en-AU" w:eastAsia="en-AU"/>
        </w:rPr>
        <mc:AlternateContent>
          <mc:Choice Requires="wps">
            <w:drawing>
              <wp:anchor distT="0" distB="0" distL="114300" distR="114300" simplePos="0" relativeHeight="251794944" behindDoc="0" locked="0" layoutInCell="1" allowOverlap="1" wp14:anchorId="194D67E0" wp14:editId="4996C2CF">
                <wp:simplePos x="0" y="0"/>
                <wp:positionH relativeFrom="page">
                  <wp:posOffset>539750</wp:posOffset>
                </wp:positionH>
                <wp:positionV relativeFrom="page">
                  <wp:posOffset>1740535</wp:posOffset>
                </wp:positionV>
                <wp:extent cx="6483350" cy="0"/>
                <wp:effectExtent l="0" t="0" r="0" b="0"/>
                <wp:wrapNone/>
                <wp:docPr id="991" name="Lin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0F704" id="Line 712" o:spid="_x0000_s1026" style="position:absolute;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137.05pt" to="553pt,1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TWzgEAAIYDAAAOAAAAZHJzL2Uyb0RvYy54bWysU01v2zAMvQ/YfxB0X+ykW5oYcXpI1l2y&#10;LUC7H8BIsi1UFgVJiZN/P0r56Nbdhl4EUSQfHx+pxcOxN+ygfNBoaz4elZwpK1Bq29b81/Pjpxln&#10;IYKVYNCqmp9U4A/Ljx8Wg6vUBDs0UnlGIDZUg6t5F6OriiKITvUQRuiUJWeDvodIpm8L6WEg9N4U&#10;k7KcFgN66TwKFQK9rs9Ovsz4TaNE/Nk0QUVmak7cYj59PnfpLJYLqFoPrtPiQgP+g0UP2lLRG9Qa&#10;IrC91/9A9Vp4DNjEkcC+wKbRQuUeqJtx+aabpw6cyr2QOMHdZArvByt+HLaeaVnz+XzMmYWehrTR&#10;VrH78SSpM7hQUdDKbn3qTxztk9ugeAnM4qoD26rM8vnkKHGcMoq/UpIRHNXYDd9RUgzsI2apjo3v&#10;EySJwI55IqfbRNQxMkGP08+zu7svNDhx9RVQXROdD/Gbwp6lS80Nsc7AcNiEmIhAdQ1JdSw+amPy&#10;wI1lA4En5OQJaLRMzmz4drcynh0grUx5P5tPc1dvwhLyGkJ3jssI52XyuLcyV+kUyK+XewRtzndi&#10;ZexFpSTMWeIdytPWX9WjYWf6l8VM2/SnnbNfv8/yNwAAAP//AwBQSwMEFAAGAAgAAAAhAPiZyDLf&#10;AAAACwEAAA8AAABkcnMvZG93bnJldi54bWxMj81OwzAQhO9IvIO1SFwQtVNKG4U4FeLngDg1IMHR&#10;ibdxRLyObLcJb48rIcFxZ0cz35Tb2Q7siD70jiRkCwEMqXW6p07C+9vzdQ4sREVaDY5QwjcG2Fbn&#10;Z6UqtJtoh8c6diyFUCiUBBPjWHAeWoNWhYUbkdJv77xVMZ2+49qrKYXbgS+FWHOrekoNRo34YLD9&#10;qg9Wwm66Wj3V5uNl/1qPN5tcfDaP3kl5eTHf3wGLOMc/M5zwEzpUialxB9KBDRLy2zQlSlhuVhmw&#10;kyET6yQ1vxKvSv5/Q/UDAAD//wMAUEsBAi0AFAAGAAgAAAAhALaDOJL+AAAA4QEAABMAAAAAAAAA&#10;AAAAAAAAAAAAAFtDb250ZW50X1R5cGVzXS54bWxQSwECLQAUAAYACAAAACEAOP0h/9YAAACUAQAA&#10;CwAAAAAAAAAAAAAAAAAvAQAAX3JlbHMvLnJlbHNQSwECLQAUAAYACAAAACEAXFuU1s4BAACGAwAA&#10;DgAAAAAAAAAAAAAAAAAuAgAAZHJzL2Uyb0RvYy54bWxQSwECLQAUAAYACAAAACEA+JnIMt8AAAAL&#10;AQAADwAAAAAAAAAAAAAAAAAoBAAAZHJzL2Rvd25yZXYueG1sUEsFBgAAAAAEAAQA8wAAADQFAAAA&#10;AA==&#10;" strokecolor="#007896" strokeweight=".5pt">
                <w10:wrap anchorx="page" anchory="page"/>
              </v:line>
            </w:pict>
          </mc:Fallback>
        </mc:AlternateContent>
      </w:r>
      <w:r w:rsidR="00083242">
        <w:rPr>
          <w:rFonts w:ascii="Tahoma" w:eastAsia="Tahoma" w:hAnsi="Tahoma"/>
          <w:color w:val="007896"/>
        </w:rPr>
        <w:t>Executive summary</w:t>
      </w:r>
      <w:r w:rsidR="00083242">
        <w:rPr>
          <w:rFonts w:ascii="Tahoma" w:eastAsia="Tahoma" w:hAnsi="Tahoma"/>
          <w:color w:val="007896"/>
        </w:rPr>
        <w:tab/>
      </w:r>
      <w:r w:rsidR="00083242">
        <w:rPr>
          <w:rFonts w:ascii="Arial" w:eastAsia="Arial" w:hAnsi="Arial"/>
          <w:b/>
          <w:color w:val="007896"/>
          <w:sz w:val="23"/>
        </w:rPr>
        <w:t>12</w:t>
      </w:r>
    </w:p>
    <w:p w14:paraId="6306DF18" w14:textId="77777777" w:rsidR="009757A9" w:rsidRDefault="000D2E34">
      <w:pPr>
        <w:tabs>
          <w:tab w:val="left" w:pos="8784"/>
        </w:tabs>
        <w:spacing w:before="295" w:after="45" w:line="275" w:lineRule="exact"/>
        <w:ind w:left="864"/>
        <w:textAlignment w:val="baseline"/>
        <w:rPr>
          <w:rFonts w:ascii="Tahoma" w:eastAsia="Tahoma" w:hAnsi="Tahoma"/>
          <w:color w:val="007896"/>
          <w:spacing w:val="-1"/>
        </w:rPr>
      </w:pPr>
      <w:r>
        <w:rPr>
          <w:noProof/>
          <w:lang w:val="en-AU" w:eastAsia="en-AU"/>
        </w:rPr>
        <mc:AlternateContent>
          <mc:Choice Requires="wps">
            <w:drawing>
              <wp:anchor distT="0" distB="0" distL="114300" distR="114300" simplePos="0" relativeHeight="251795968" behindDoc="0" locked="0" layoutInCell="1" allowOverlap="1" wp14:anchorId="37BC4F26" wp14:editId="4E353760">
                <wp:simplePos x="0" y="0"/>
                <wp:positionH relativeFrom="page">
                  <wp:posOffset>539750</wp:posOffset>
                </wp:positionH>
                <wp:positionV relativeFrom="page">
                  <wp:posOffset>2136775</wp:posOffset>
                </wp:positionV>
                <wp:extent cx="6483350" cy="0"/>
                <wp:effectExtent l="0" t="0" r="0" b="0"/>
                <wp:wrapNone/>
                <wp:docPr id="990" name="Lin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29894" id="Line 711" o:spid="_x0000_s1026" style="position:absolute;z-index:25179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168.25pt" to="553pt,1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hpzgEAAIYDAAAOAAAAZHJzL2Uyb0RvYy54bWysU01v2zAMvQ/YfxB0X+y0W5oYcXpI1l2y&#10;LUC7H8BIsi1MFgVJiZ1/P0r56Lrdhl0EUSQfHx+p5ePYG3ZUPmi0NZ9OSs6UFSi1bWv+4+Xpw5yz&#10;EMFKMGhVzU8q8MfV+3fLwVXqDjs0UnlGIDZUg6t5F6OriiKITvUQJuiUJWeDvodIpm8L6WEg9N4U&#10;d2U5Kwb00nkUKgR63ZydfJXxm0aJ+L1pgorM1Jy4xXz6fO7TWayWULUeXKfFhQb8A4setKWiN6gN&#10;RGAHr/+C6rXwGLCJE4F9gU2jhco9UDfT8o9unjtwKvdC4gR3kyn8P1jx7bjzTMuaLxakj4WehrTV&#10;VrGH6TSpM7hQUdDa7nzqT4z22W1R/AzM4roD26rM8uXkKDFnFG9SkhEc1dgPX1FSDBwiZqnGxvcJ&#10;kkRgY57I6TYRNUYm6HH2cX5//4mIiauvgOqa6HyIXxT2LF1qboh1BobjNkSiTqHXkFTH4pM2Jg/c&#10;WDYQeEJOnoBGy+TMhm/3a+PZEdLKlA/zxSzpQGBvwhLyBkJ3jsuu8zJ5PFiZq3QK5OfLPYI25zsB&#10;GUt4V2HOEu9RnnY+1UnvNOxc8bKYaZt+t3PU6/dZ/QIAAP//AwBQSwMEFAAGAAgAAAAhAIq7i+rg&#10;AAAACwEAAA8AAABkcnMvZG93bnJldi54bWxMj81OwzAQhO9IvIO1SFwQtUtoiEKcCvFzQD01VCpH&#10;J97GEfE6it0mvD2uhATHnR3NfFOsZ9uzE46+cyRhuRDAkBqnO2ol7D7ebjNgPijSqneEEr7Rw7q8&#10;vChUrt1EWzxVoWUxhHyuJJgQhpxz3xi0yi/cgBR/BzdaFeI5tlyPaorhtud3QqTcqo5ig1EDPhts&#10;vqqjlbCdbu5fK7N/P2yqIXnIxGf9Mjopr6/mp0dgAefwZ4YzfkSHMjLV7kjas15CtopTgoQkSVfA&#10;zoalSKNU/0q8LPj/DeUPAAAA//8DAFBLAQItABQABgAIAAAAIQC2gziS/gAAAOEBAAATAAAAAAAA&#10;AAAAAAAAAAAAAABbQ29udGVudF9UeXBlc10ueG1sUEsBAi0AFAAGAAgAAAAhADj9If/WAAAAlAEA&#10;AAsAAAAAAAAAAAAAAAAALwEAAF9yZWxzLy5yZWxzUEsBAi0AFAAGAAgAAAAhAJ5HWGnOAQAAhgMA&#10;AA4AAAAAAAAAAAAAAAAALgIAAGRycy9lMm9Eb2MueG1sUEsBAi0AFAAGAAgAAAAhAIq7i+rgAAAA&#10;CwEAAA8AAAAAAAAAAAAAAAAAKAQAAGRycy9kb3ducmV2LnhtbFBLBQYAAAAABAAEAPMAAAA1BQAA&#10;AAA=&#10;" strokecolor="#007896" strokeweight=".5pt">
                <w10:wrap anchorx="page" anchory="page"/>
              </v:line>
            </w:pict>
          </mc:Fallback>
        </mc:AlternateContent>
      </w:r>
      <w:r w:rsidR="00083242">
        <w:rPr>
          <w:rFonts w:ascii="Tahoma" w:eastAsia="Tahoma" w:hAnsi="Tahoma"/>
          <w:color w:val="007896"/>
          <w:spacing w:val="-1"/>
        </w:rPr>
        <w:t>Findings</w:t>
      </w:r>
      <w:r w:rsidR="00083242">
        <w:rPr>
          <w:rFonts w:ascii="Tahoma" w:eastAsia="Tahoma" w:hAnsi="Tahoma"/>
          <w:color w:val="007896"/>
          <w:spacing w:val="-1"/>
        </w:rPr>
        <w:tab/>
      </w:r>
      <w:r w:rsidR="00083242">
        <w:rPr>
          <w:rFonts w:ascii="Arial" w:eastAsia="Arial" w:hAnsi="Arial"/>
          <w:b/>
          <w:color w:val="007896"/>
          <w:spacing w:val="-1"/>
          <w:sz w:val="23"/>
        </w:rPr>
        <w:t>17</w:t>
      </w:r>
    </w:p>
    <w:p w14:paraId="19A97D0E" w14:textId="77777777" w:rsidR="009757A9" w:rsidRDefault="000D2E34">
      <w:pPr>
        <w:tabs>
          <w:tab w:val="left" w:pos="8784"/>
        </w:tabs>
        <w:spacing w:before="295" w:after="45" w:line="275" w:lineRule="exact"/>
        <w:ind w:left="864"/>
        <w:textAlignment w:val="baseline"/>
        <w:rPr>
          <w:rFonts w:ascii="Tahoma" w:eastAsia="Tahoma" w:hAnsi="Tahoma"/>
          <w:color w:val="007896"/>
        </w:rPr>
      </w:pPr>
      <w:r>
        <w:rPr>
          <w:noProof/>
          <w:lang w:val="en-AU" w:eastAsia="en-AU"/>
        </w:rPr>
        <mc:AlternateContent>
          <mc:Choice Requires="wps">
            <w:drawing>
              <wp:anchor distT="0" distB="0" distL="114300" distR="114300" simplePos="0" relativeHeight="251796992" behindDoc="0" locked="0" layoutInCell="1" allowOverlap="1" wp14:anchorId="6A9A3E28" wp14:editId="3A4F6E08">
                <wp:simplePos x="0" y="0"/>
                <wp:positionH relativeFrom="page">
                  <wp:posOffset>539750</wp:posOffset>
                </wp:positionH>
                <wp:positionV relativeFrom="page">
                  <wp:posOffset>2529840</wp:posOffset>
                </wp:positionV>
                <wp:extent cx="6483350" cy="0"/>
                <wp:effectExtent l="0" t="0" r="0" b="0"/>
                <wp:wrapNone/>
                <wp:docPr id="989" name="Lin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B5A6F" id="Line 710" o:spid="_x0000_s1026" style="position:absolute;z-index:25179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199.2pt" to="553pt,1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q+zgEAAIYDAAAOAAAAZHJzL2Uyb0RvYy54bWysU01v2zAMvQ/YfxB0X+y0W5oYcXpI1l2y&#10;LUC7H8BIsi1MFgVJiZ1/P0r56Nbdhl0EUSQfHx+p5ePYG3ZUPmi0NZ9OSs6UFSi1bWv+4+Xpw5yz&#10;EMFKMGhVzU8q8MfV+3fLwVXqDjs0UnlGIDZUg6t5F6OriiKITvUQJuiUJWeDvodIpm8L6WEg9N4U&#10;d2U5Kwb00nkUKgR63ZydfJXxm0aJ+L1pgorM1Jy4xXz6fO7TWayWULUeXKfFhQb8A4setKWiN6gN&#10;RGAHr/+C6rXwGLCJE4F9gU2jhco9UDfT8k03zx04lXshcYK7yRT+H6z4dtx5pmXNF/MFZxZ6GtJW&#10;W8UeplmdwYWKgtZ251N/YrTPboviZ2AW1x3YVmWWLydHidOkZ/FHSjKCoxr74StKioFDxCzV2Pg+&#10;QZIIbMwTOd0mosbIBD3OPs7v7z/R4MTVV0B1TXQ+xC8Ke5YuNTfEOgPDcRtiIgLVNSTVsfikjckD&#10;N5YNBJ6Qkyeg0TI5s+Hb/dp4doS0MuXDfDHLXb0JS8gbCN05LiOcl8njwcpcpVMgP1/uEbQ534mV&#10;sReVkjBpVUO1R3na+at6NOxM/7KYaZt+t3P26/dZ/QIAAP//AwBQSwMEFAAGAAgAAAAhAFBOOPLg&#10;AAAACwEAAA8AAABkcnMvZG93bnJldi54bWxMj81OwzAQhO9IvIO1SFwQtUtLG0KcCvFzQJwaKsHR&#10;ibdxRLyObLcJb48rIcFxZ0cz3xSbyfbsiD50jiTMZwIYUuN0R62E3fvLdQYsREVa9Y5QwjcG2JTn&#10;Z4XKtRtpi8cqtiyFUMiVBBPjkHMeGoNWhZkbkNJv77xVMZ2+5dqrMYXbnt8IseJWdZQajBrw0WDz&#10;VR2shO14tXyuzMfr/q0aFutMfNZP3kl5eTE93AOLOMU/M5zwEzqUial2B9KB9RKy2zQlSljcZUtg&#10;J8NcrJJU/0q8LPj/DeUPAAAA//8DAFBLAQItABQABgAIAAAAIQC2gziS/gAAAOEBAAATAAAAAAAA&#10;AAAAAAAAAAAAAABbQ29udGVudF9UeXBlc10ueG1sUEsBAi0AFAAGAAgAAAAhADj9If/WAAAAlAEA&#10;AAsAAAAAAAAAAAAAAAAALwEAAF9yZWxzLy5yZWxzUEsBAi0AFAAGAAgAAAAhAMe6yr7OAQAAhgMA&#10;AA4AAAAAAAAAAAAAAAAALgIAAGRycy9lMm9Eb2MueG1sUEsBAi0AFAAGAAgAAAAhAFBOOPLgAAAA&#10;CwEAAA8AAAAAAAAAAAAAAAAAKAQAAGRycy9kb3ducmV2LnhtbFBLBQYAAAAABAAEAPMAAAA1BQAA&#10;AAA=&#10;" strokecolor="#007896" strokeweight=".5pt">
                <w10:wrap anchorx="page" anchory="page"/>
              </v:line>
            </w:pict>
          </mc:Fallback>
        </mc:AlternateContent>
      </w:r>
      <w:r w:rsidR="00083242">
        <w:rPr>
          <w:rFonts w:ascii="Tahoma" w:eastAsia="Tahoma" w:hAnsi="Tahoma"/>
          <w:color w:val="007896"/>
        </w:rPr>
        <w:t>Recommendations</w:t>
      </w:r>
      <w:r w:rsidR="00083242">
        <w:rPr>
          <w:rFonts w:ascii="Tahoma" w:eastAsia="Tahoma" w:hAnsi="Tahoma"/>
          <w:color w:val="007896"/>
        </w:rPr>
        <w:tab/>
      </w:r>
      <w:r w:rsidR="00083242">
        <w:rPr>
          <w:rFonts w:ascii="Arial" w:eastAsia="Arial" w:hAnsi="Arial"/>
          <w:b/>
          <w:color w:val="007896"/>
          <w:sz w:val="23"/>
        </w:rPr>
        <w:t>20</w:t>
      </w:r>
    </w:p>
    <w:p w14:paraId="162F33B1" w14:textId="77777777" w:rsidR="009757A9" w:rsidRDefault="000D2E34">
      <w:pPr>
        <w:tabs>
          <w:tab w:val="left" w:pos="8784"/>
        </w:tabs>
        <w:spacing w:before="295" w:after="45" w:line="275" w:lineRule="exact"/>
        <w:ind w:left="864"/>
        <w:textAlignment w:val="baseline"/>
        <w:rPr>
          <w:rFonts w:ascii="Tahoma" w:eastAsia="Tahoma" w:hAnsi="Tahoma"/>
          <w:color w:val="007896"/>
        </w:rPr>
      </w:pPr>
      <w:r>
        <w:rPr>
          <w:noProof/>
          <w:lang w:val="en-AU" w:eastAsia="en-AU"/>
        </w:rPr>
        <mc:AlternateContent>
          <mc:Choice Requires="wps">
            <w:drawing>
              <wp:anchor distT="0" distB="0" distL="114300" distR="114300" simplePos="0" relativeHeight="251798016" behindDoc="0" locked="0" layoutInCell="1" allowOverlap="1" wp14:anchorId="143CF928" wp14:editId="022F3B9E">
                <wp:simplePos x="0" y="0"/>
                <wp:positionH relativeFrom="page">
                  <wp:posOffset>539750</wp:posOffset>
                </wp:positionH>
                <wp:positionV relativeFrom="page">
                  <wp:posOffset>2922905</wp:posOffset>
                </wp:positionV>
                <wp:extent cx="6483350" cy="0"/>
                <wp:effectExtent l="0" t="0" r="0" b="0"/>
                <wp:wrapNone/>
                <wp:docPr id="988"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1B435" id="Line 709" o:spid="_x0000_s1026" style="position:absolute;z-index:25179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30.15pt" to="553pt,2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YdzQEAAIYDAAAOAAAAZHJzL2Uyb0RvYy54bWysU01v2zAMvQ/YfxB0X+y0W5oYcXpI1l2y&#10;LUC7H8BIsi1MFgVJiZ1/P0r56Nbdhl0EUSQfHx+p5ePYG3ZUPmi0NZ9OSs6UFSi1bWv+4+Xpw5yz&#10;EMFKMGhVzU8q8MfV+3fLwVXqDjs0UnlGIDZUg6t5F6OriiKITvUQJuiUJWeDvodIpm8L6WEg9N4U&#10;d2U5Kwb00nkUKgR63ZydfJXxm0aJ+L1pgorM1Jy4xXz6fO7TWayWULUeXKfFhQb8A4setKWiN6gN&#10;RGAHr/+C6rXwGLCJE4F9gU2jhco9UDfT8k03zx04lXshcYK7yRT+H6z4dtx5pmXNF3MalYWehrTV&#10;VrGHcpHUGVyoKGhtdz71J0b77LYofgZmcd2BbVVm+XJylDhNGcUfKckIjmrsh68oKQYOEbNUY+P7&#10;BEkisDFP5HSbiBojE/Q4+zi/v/9EgxNXXwHVNdH5EL8o7Fm61NwQ6wwMx22IiQhU15BUx+KTNiYP&#10;3Fg2EHhCTp6ARsvkzIZv92vj2RHSypQP88Usd/UmLCFvIHTnuIxwXiaPBytzlU6B/Hy5R9DmfCdW&#10;xl5USsKcJd6jPO38VT0adqZ/Wcy0Tb/bOfv1+6x+AQAA//8DAFBLAwQUAAYACAAAACEAbIMpdt8A&#10;AAALAQAADwAAAGRycy9kb3ducmV2LnhtbEyPzU7DMBCE70i8g7VIXBC1S0uIQpwK8XNAPTUgwdGJ&#10;t3FEvI5stwlvjyshwXFnRzPflJvZDuyIPvSOJCwXAhhS63RPnYT3t5frHFiIirQaHKGEbwywqc7P&#10;SlVoN9EOj3XsWAqhUCgJJsax4Dy0Bq0KCzcipd/eeatiOn3HtVdTCrcDvxEi41b1lBqMGvHRYPtV&#10;H6yE3XS1fq7Nx+t+W4+ru1x8Nk/eSXl5MT/cA4s4xz8znPATOlSJqXEH0oENEvLbNCVKWGdiBexk&#10;WIosSc2vxKuS/99Q/QAAAP//AwBQSwECLQAUAAYACAAAACEAtoM4kv4AAADhAQAAEwAAAAAAAAAA&#10;AAAAAAAAAAAAW0NvbnRlbnRfVHlwZXNdLnhtbFBLAQItABQABgAIAAAAIQA4/SH/1gAAAJQBAAAL&#10;AAAAAAAAAAAAAAAAAC8BAABfcmVscy8ucmVsc1BLAQItABQABgAIAAAAIQDeRKYdzQEAAIYDAAAO&#10;AAAAAAAAAAAAAAAAAC4CAABkcnMvZTJvRG9jLnhtbFBLAQItABQABgAIAAAAIQBsgyl23wAAAAsB&#10;AAAPAAAAAAAAAAAAAAAAACcEAABkcnMvZG93bnJldi54bWxQSwUGAAAAAAQABADzAAAAMwUAAAAA&#10;" strokecolor="#007896" strokeweight=".5pt">
                <w10:wrap anchorx="page" anchory="page"/>
              </v:line>
            </w:pict>
          </mc:Fallback>
        </mc:AlternateContent>
      </w:r>
      <w:r w:rsidR="00083242">
        <w:rPr>
          <w:rFonts w:ascii="Tahoma" w:eastAsia="Tahoma" w:hAnsi="Tahoma"/>
          <w:color w:val="007896"/>
        </w:rPr>
        <w:t>Introduction: The education and employment context of this report</w:t>
      </w:r>
      <w:r w:rsidR="00083242">
        <w:rPr>
          <w:rFonts w:ascii="Tahoma" w:eastAsia="Tahoma" w:hAnsi="Tahoma"/>
          <w:color w:val="007896"/>
        </w:rPr>
        <w:tab/>
      </w:r>
      <w:r w:rsidR="00083242">
        <w:rPr>
          <w:rFonts w:ascii="Arial" w:eastAsia="Arial" w:hAnsi="Arial"/>
          <w:b/>
          <w:color w:val="007896"/>
          <w:sz w:val="23"/>
        </w:rPr>
        <w:t>23</w:t>
      </w:r>
    </w:p>
    <w:p w14:paraId="2BDECA38" w14:textId="77777777" w:rsidR="009757A9" w:rsidRDefault="000D2E34">
      <w:pPr>
        <w:spacing w:before="88" w:line="20" w:lineRule="exact"/>
      </w:pPr>
      <w:r>
        <w:rPr>
          <w:noProof/>
          <w:lang w:val="en-AU" w:eastAsia="en-AU"/>
        </w:rPr>
        <mc:AlternateContent>
          <mc:Choice Requires="wps">
            <w:drawing>
              <wp:anchor distT="0" distB="0" distL="114300" distR="114300" simplePos="0" relativeHeight="251799040" behindDoc="0" locked="0" layoutInCell="1" allowOverlap="1" wp14:anchorId="690EC5D5" wp14:editId="76C86760">
                <wp:simplePos x="0" y="0"/>
                <wp:positionH relativeFrom="page">
                  <wp:posOffset>539750</wp:posOffset>
                </wp:positionH>
                <wp:positionV relativeFrom="page">
                  <wp:posOffset>3315970</wp:posOffset>
                </wp:positionV>
                <wp:extent cx="6483350" cy="0"/>
                <wp:effectExtent l="0" t="0" r="0" b="0"/>
                <wp:wrapNone/>
                <wp:docPr id="987" name="Lin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82538" id="Line 708" o:spid="_x0000_s1026" style="position:absolute;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1.1pt" to="553pt,2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DFzQEAAIYDAAAOAAAAZHJzL2Uyb0RvYy54bWysU8Fu2zAMvQ/YPwi6L3baLUmNOD0k6y7Z&#10;FqDdBzCSbAuTRUFS4uTvR8lJunW3YRdBFMnHx0dq+XjqDTsqHzTamk8nJWfKCpTatjX/8fL0YcFZ&#10;iGAlGLSq5mcV+OPq/bvl4Cp1hx0aqTwjEBuqwdW8i9FVRRFEp3oIE3TKkrNB30Mk07eF9DAQem+K&#10;u7KcFQN66TwKFQK9bkYnX2X8plEifm+aoCIzNSduMZ8+n/t0FqslVK0H12lxoQH/wKIHbanoDWoD&#10;EdjB67+gei08BmziRGBfYNNooXIP1M20fNPNcwdO5V5InOBuMoX/Byu+HXeeaVnzh8WcMws9DWmr&#10;rWLzcpHUGVyoKGhtdz71J0722W1R/AzM4roD26rM8uXsKHGaMoo/UpIRHNXYD19RUgwcImapTo3v&#10;EySJwE55IufbRNQpMkGPs4+L+/tPNDhx9RVQXROdD/GLwp6lS80Nsc7AcNyGmIhAdQ1JdSw+aWPy&#10;wI1lA4En5OQJaLRMzmz4dr82nh0hrUw5XzzMcldvwhLyBkI3xmWEcZk8HqzMVToF8vPlHkGb8U6s&#10;jL2olIQZJd6jPO/8VT0adqZ/Wcy0Tb/bOfv1+6x+AQAA//8DAFBLAwQUAAYACAAAACEADSzYRt8A&#10;AAALAQAADwAAAGRycy9kb3ducmV2LnhtbEyPzU7DMBCE70i8g7VIXBC1G2iJQpwK8XNAPTUgwdGJ&#10;t3FEvI5stwlvjyshwXFnRzPflJvZDuyIPvSOJCwXAhhS63RPnYT3t5frHFiIirQaHKGEbwywqc7P&#10;SlVoN9EOj3XsWAqhUCgJJsax4Dy0Bq0KCzcipd/eeatiOn3HtVdTCrcDz4RYc6t6Sg1GjfhosP2q&#10;D1bCbrq6fa7Nx+t+W483d7n4bJ68k/LyYn64BxZxjn9mOOEndKgSU+MOpAMbJOSrNCVKWGVZBuxk&#10;WIp1kppfiVcl/7+h+gEAAP//AwBQSwECLQAUAAYACAAAACEAtoM4kv4AAADhAQAAEwAAAAAAAAAA&#10;AAAAAAAAAAAAW0NvbnRlbnRfVHlwZXNdLnhtbFBLAQItABQABgAIAAAAIQA4/SH/1gAAAJQBAAAL&#10;AAAAAAAAAAAAAAAAAC8BAABfcmVscy8ucmVsc1BLAQItABQABgAIAAAAIQDDlYDFzQEAAIYDAAAO&#10;AAAAAAAAAAAAAAAAAC4CAABkcnMvZTJvRG9jLnhtbFBLAQItABQABgAIAAAAIQANLNhG3wAAAAsB&#10;AAAPAAAAAAAAAAAAAAAAACcEAABkcnMvZG93bnJldi54bWxQSwUGAAAAAAQABADzAAAAMwUAAAAA&#10;" strokecolor="#007896" strokeweight=".5pt">
                <w10:wrap anchorx="page" anchory="page"/>
              </v:line>
            </w:pict>
          </mc:Fallback>
        </mc:AlternateContent>
      </w:r>
    </w:p>
    <w:tbl>
      <w:tblPr>
        <w:tblW w:w="0" w:type="auto"/>
        <w:tblInd w:w="828" w:type="dxa"/>
        <w:tblLayout w:type="fixed"/>
        <w:tblCellMar>
          <w:left w:w="0" w:type="dxa"/>
          <w:right w:w="0" w:type="dxa"/>
        </w:tblCellMar>
        <w:tblLook w:val="04A0" w:firstRow="1" w:lastRow="0" w:firstColumn="1" w:lastColumn="0" w:noHBand="0" w:noVBand="1"/>
      </w:tblPr>
      <w:tblGrid>
        <w:gridCol w:w="5921"/>
        <w:gridCol w:w="4332"/>
      </w:tblGrid>
      <w:tr w:rsidR="009757A9" w14:paraId="0FB6F10A" w14:textId="77777777">
        <w:trPr>
          <w:trHeight w:hRule="exact" w:val="368"/>
        </w:trPr>
        <w:tc>
          <w:tcPr>
            <w:tcW w:w="5921" w:type="dxa"/>
            <w:tcBorders>
              <w:top w:val="none" w:sz="0" w:space="0" w:color="020000"/>
              <w:left w:val="none" w:sz="0" w:space="0" w:color="020000"/>
              <w:bottom w:val="none" w:sz="0" w:space="0" w:color="020000"/>
              <w:right w:val="none" w:sz="0" w:space="0" w:color="020000"/>
            </w:tcBorders>
            <w:vAlign w:val="center"/>
          </w:tcPr>
          <w:p w14:paraId="1D0093AC" w14:textId="77777777" w:rsidR="009757A9" w:rsidRDefault="00083242">
            <w:pPr>
              <w:spacing w:before="106" w:after="38" w:line="220" w:lineRule="exact"/>
              <w:ind w:left="22"/>
              <w:textAlignment w:val="baseline"/>
              <w:rPr>
                <w:rFonts w:ascii="Tahoma" w:eastAsia="Tahoma" w:hAnsi="Tahoma"/>
                <w:color w:val="404042"/>
                <w:sz w:val="18"/>
              </w:rPr>
            </w:pPr>
            <w:r>
              <w:rPr>
                <w:rFonts w:ascii="Tahoma" w:eastAsia="Tahoma" w:hAnsi="Tahoma"/>
                <w:color w:val="404042"/>
                <w:sz w:val="18"/>
              </w:rPr>
              <w:t>Educational attainment</w:t>
            </w:r>
          </w:p>
        </w:tc>
        <w:tc>
          <w:tcPr>
            <w:tcW w:w="4332" w:type="dxa"/>
            <w:tcBorders>
              <w:top w:val="none" w:sz="0" w:space="0" w:color="020000"/>
              <w:left w:val="none" w:sz="0" w:space="0" w:color="020000"/>
              <w:bottom w:val="none" w:sz="0" w:space="0" w:color="020000"/>
              <w:right w:val="none" w:sz="0" w:space="0" w:color="020000"/>
            </w:tcBorders>
            <w:vAlign w:val="center"/>
          </w:tcPr>
          <w:p w14:paraId="3A2DF258" w14:textId="77777777" w:rsidR="009757A9" w:rsidRDefault="00083242">
            <w:pPr>
              <w:spacing w:before="106" w:after="38" w:line="220" w:lineRule="exact"/>
              <w:ind w:right="2043"/>
              <w:jc w:val="right"/>
              <w:textAlignment w:val="baseline"/>
              <w:rPr>
                <w:rFonts w:ascii="Tahoma" w:eastAsia="Tahoma" w:hAnsi="Tahoma"/>
                <w:color w:val="404042"/>
                <w:sz w:val="18"/>
              </w:rPr>
            </w:pPr>
            <w:r>
              <w:rPr>
                <w:rFonts w:ascii="Tahoma" w:eastAsia="Tahoma" w:hAnsi="Tahoma"/>
                <w:color w:val="404042"/>
                <w:sz w:val="18"/>
              </w:rPr>
              <w:t>24</w:t>
            </w:r>
          </w:p>
        </w:tc>
      </w:tr>
      <w:tr w:rsidR="009757A9" w14:paraId="40CF1F24" w14:textId="77777777">
        <w:trPr>
          <w:trHeight w:hRule="exact" w:val="327"/>
        </w:trPr>
        <w:tc>
          <w:tcPr>
            <w:tcW w:w="5921" w:type="dxa"/>
            <w:tcBorders>
              <w:top w:val="none" w:sz="0" w:space="0" w:color="020000"/>
              <w:left w:val="none" w:sz="0" w:space="0" w:color="020000"/>
              <w:bottom w:val="none" w:sz="0" w:space="0" w:color="020000"/>
              <w:right w:val="none" w:sz="0" w:space="0" w:color="020000"/>
            </w:tcBorders>
            <w:vAlign w:val="center"/>
          </w:tcPr>
          <w:p w14:paraId="7849C2A7" w14:textId="77777777" w:rsidR="009757A9" w:rsidRDefault="00083242">
            <w:pPr>
              <w:spacing w:before="59" w:after="33" w:line="220" w:lineRule="exact"/>
              <w:ind w:left="22"/>
              <w:textAlignment w:val="baseline"/>
              <w:rPr>
                <w:rFonts w:ascii="Tahoma" w:eastAsia="Tahoma" w:hAnsi="Tahoma"/>
                <w:color w:val="404042"/>
                <w:sz w:val="18"/>
              </w:rPr>
            </w:pPr>
            <w:r>
              <w:rPr>
                <w:rFonts w:ascii="Tahoma" w:eastAsia="Tahoma" w:hAnsi="Tahoma"/>
                <w:color w:val="404042"/>
                <w:sz w:val="18"/>
              </w:rPr>
              <w:t>Post-school destinations</w:t>
            </w:r>
          </w:p>
        </w:tc>
        <w:tc>
          <w:tcPr>
            <w:tcW w:w="4332" w:type="dxa"/>
            <w:tcBorders>
              <w:top w:val="none" w:sz="0" w:space="0" w:color="020000"/>
              <w:left w:val="none" w:sz="0" w:space="0" w:color="020000"/>
              <w:bottom w:val="none" w:sz="0" w:space="0" w:color="020000"/>
              <w:right w:val="none" w:sz="0" w:space="0" w:color="020000"/>
            </w:tcBorders>
            <w:vAlign w:val="center"/>
          </w:tcPr>
          <w:p w14:paraId="40BD7F72" w14:textId="77777777" w:rsidR="009757A9" w:rsidRDefault="00083242">
            <w:pPr>
              <w:spacing w:before="59" w:after="33" w:line="220" w:lineRule="exact"/>
              <w:ind w:right="2043"/>
              <w:jc w:val="right"/>
              <w:textAlignment w:val="baseline"/>
              <w:rPr>
                <w:rFonts w:ascii="Tahoma" w:eastAsia="Tahoma" w:hAnsi="Tahoma"/>
                <w:color w:val="404042"/>
                <w:sz w:val="18"/>
              </w:rPr>
            </w:pPr>
            <w:r>
              <w:rPr>
                <w:rFonts w:ascii="Tahoma" w:eastAsia="Tahoma" w:hAnsi="Tahoma"/>
                <w:color w:val="404042"/>
                <w:sz w:val="18"/>
              </w:rPr>
              <w:t>25</w:t>
            </w:r>
          </w:p>
        </w:tc>
      </w:tr>
      <w:tr w:rsidR="009757A9" w14:paraId="2F5441BF" w14:textId="77777777">
        <w:trPr>
          <w:trHeight w:hRule="exact" w:val="369"/>
        </w:trPr>
        <w:tc>
          <w:tcPr>
            <w:tcW w:w="5921" w:type="dxa"/>
            <w:tcBorders>
              <w:top w:val="none" w:sz="0" w:space="0" w:color="020000"/>
              <w:left w:val="none" w:sz="0" w:space="0" w:color="020000"/>
              <w:bottom w:val="none" w:sz="0" w:space="0" w:color="020000"/>
              <w:right w:val="none" w:sz="0" w:space="0" w:color="020000"/>
            </w:tcBorders>
            <w:vAlign w:val="center"/>
          </w:tcPr>
          <w:p w14:paraId="64EA830A" w14:textId="77777777" w:rsidR="009757A9" w:rsidRDefault="00083242">
            <w:pPr>
              <w:spacing w:before="59" w:after="81" w:line="220" w:lineRule="exact"/>
              <w:ind w:left="22"/>
              <w:textAlignment w:val="baseline"/>
              <w:rPr>
                <w:rFonts w:ascii="Tahoma" w:eastAsia="Tahoma" w:hAnsi="Tahoma"/>
                <w:color w:val="404042"/>
                <w:sz w:val="18"/>
              </w:rPr>
            </w:pPr>
            <w:r>
              <w:rPr>
                <w:rFonts w:ascii="Tahoma" w:eastAsia="Tahoma" w:hAnsi="Tahoma"/>
                <w:color w:val="404042"/>
                <w:sz w:val="18"/>
              </w:rPr>
              <w:t>The labour market of the future</w:t>
            </w:r>
          </w:p>
        </w:tc>
        <w:tc>
          <w:tcPr>
            <w:tcW w:w="4332" w:type="dxa"/>
            <w:tcBorders>
              <w:top w:val="none" w:sz="0" w:space="0" w:color="020000"/>
              <w:left w:val="none" w:sz="0" w:space="0" w:color="020000"/>
              <w:bottom w:val="none" w:sz="0" w:space="0" w:color="020000"/>
              <w:right w:val="none" w:sz="0" w:space="0" w:color="020000"/>
            </w:tcBorders>
            <w:vAlign w:val="center"/>
          </w:tcPr>
          <w:p w14:paraId="13B2041B" w14:textId="77777777" w:rsidR="009757A9" w:rsidRDefault="00083242">
            <w:pPr>
              <w:spacing w:before="59" w:after="81" w:line="220" w:lineRule="exact"/>
              <w:ind w:right="2043"/>
              <w:jc w:val="right"/>
              <w:textAlignment w:val="baseline"/>
              <w:rPr>
                <w:rFonts w:ascii="Tahoma" w:eastAsia="Tahoma" w:hAnsi="Tahoma"/>
                <w:color w:val="404042"/>
                <w:sz w:val="18"/>
              </w:rPr>
            </w:pPr>
            <w:r>
              <w:rPr>
                <w:rFonts w:ascii="Tahoma" w:eastAsia="Tahoma" w:hAnsi="Tahoma"/>
                <w:color w:val="404042"/>
                <w:sz w:val="18"/>
              </w:rPr>
              <w:t>27</w:t>
            </w:r>
          </w:p>
        </w:tc>
      </w:tr>
      <w:tr w:rsidR="009757A9" w14:paraId="3896BB29" w14:textId="77777777">
        <w:trPr>
          <w:trHeight w:hRule="exact" w:val="428"/>
        </w:trPr>
        <w:tc>
          <w:tcPr>
            <w:tcW w:w="5921" w:type="dxa"/>
            <w:tcBorders>
              <w:top w:val="none" w:sz="0" w:space="0" w:color="020000"/>
              <w:left w:val="none" w:sz="0" w:space="0" w:color="020000"/>
              <w:bottom w:val="single" w:sz="4" w:space="0" w:color="000000"/>
              <w:right w:val="none" w:sz="0" w:space="0" w:color="020000"/>
            </w:tcBorders>
            <w:vAlign w:val="center"/>
          </w:tcPr>
          <w:p w14:paraId="4E6B103B" w14:textId="77777777" w:rsidR="009757A9" w:rsidRDefault="00083242">
            <w:pPr>
              <w:spacing w:before="103" w:after="53" w:line="267" w:lineRule="exact"/>
              <w:ind w:left="22"/>
              <w:textAlignment w:val="baseline"/>
              <w:rPr>
                <w:rFonts w:ascii="Tahoma" w:eastAsia="Tahoma" w:hAnsi="Tahoma"/>
                <w:color w:val="007896"/>
              </w:rPr>
            </w:pPr>
            <w:r>
              <w:rPr>
                <w:rFonts w:ascii="Tahoma" w:eastAsia="Tahoma" w:hAnsi="Tahoma"/>
                <w:color w:val="007896"/>
              </w:rPr>
              <w:t>Chapter 1: Essential skills</w:t>
            </w:r>
          </w:p>
        </w:tc>
        <w:tc>
          <w:tcPr>
            <w:tcW w:w="4332" w:type="dxa"/>
            <w:tcBorders>
              <w:top w:val="none" w:sz="0" w:space="0" w:color="020000"/>
              <w:left w:val="none" w:sz="0" w:space="0" w:color="020000"/>
              <w:bottom w:val="single" w:sz="4" w:space="0" w:color="000000"/>
              <w:right w:val="none" w:sz="0" w:space="0" w:color="020000"/>
            </w:tcBorders>
            <w:vAlign w:val="center"/>
          </w:tcPr>
          <w:p w14:paraId="7C5A8B16" w14:textId="77777777" w:rsidR="009757A9" w:rsidRDefault="00083242">
            <w:pPr>
              <w:spacing w:before="114" w:after="53" w:line="256" w:lineRule="exact"/>
              <w:ind w:right="2043"/>
              <w:jc w:val="right"/>
              <w:textAlignment w:val="baseline"/>
              <w:rPr>
                <w:rFonts w:ascii="Arial" w:eastAsia="Arial" w:hAnsi="Arial"/>
                <w:b/>
                <w:color w:val="007896"/>
                <w:sz w:val="23"/>
              </w:rPr>
            </w:pPr>
            <w:r>
              <w:rPr>
                <w:rFonts w:ascii="Arial" w:eastAsia="Arial" w:hAnsi="Arial"/>
                <w:b/>
                <w:color w:val="007896"/>
                <w:sz w:val="23"/>
              </w:rPr>
              <w:t>29</w:t>
            </w:r>
          </w:p>
        </w:tc>
      </w:tr>
      <w:tr w:rsidR="009757A9" w14:paraId="3E8FA213" w14:textId="77777777">
        <w:trPr>
          <w:trHeight w:hRule="exact" w:val="475"/>
        </w:trPr>
        <w:tc>
          <w:tcPr>
            <w:tcW w:w="5921" w:type="dxa"/>
            <w:tcBorders>
              <w:top w:val="single" w:sz="4" w:space="0" w:color="000000"/>
              <w:left w:val="none" w:sz="0" w:space="0" w:color="020000"/>
              <w:bottom w:val="none" w:sz="0" w:space="0" w:color="020000"/>
              <w:right w:val="none" w:sz="0" w:space="0" w:color="020000"/>
            </w:tcBorders>
            <w:vAlign w:val="center"/>
          </w:tcPr>
          <w:p w14:paraId="0996EA97" w14:textId="77777777" w:rsidR="009757A9" w:rsidRDefault="00083242">
            <w:pPr>
              <w:spacing w:before="207" w:after="43" w:line="220" w:lineRule="exact"/>
              <w:ind w:left="22"/>
              <w:textAlignment w:val="baseline"/>
              <w:rPr>
                <w:rFonts w:ascii="Tahoma" w:eastAsia="Tahoma" w:hAnsi="Tahoma"/>
                <w:color w:val="404042"/>
                <w:sz w:val="18"/>
              </w:rPr>
            </w:pPr>
            <w:r>
              <w:rPr>
                <w:rFonts w:ascii="Tahoma" w:eastAsia="Tahoma" w:hAnsi="Tahoma"/>
                <w:color w:val="404042"/>
                <w:sz w:val="18"/>
              </w:rPr>
              <w:t>C</w:t>
            </w:r>
            <w:r>
              <w:rPr>
                <w:rFonts w:ascii="Verdana" w:eastAsia="Verdana" w:hAnsi="Verdana"/>
                <w:color w:val="404042"/>
                <w:sz w:val="17"/>
              </w:rPr>
              <w:t>hapter findings</w:t>
            </w:r>
          </w:p>
        </w:tc>
        <w:tc>
          <w:tcPr>
            <w:tcW w:w="4332" w:type="dxa"/>
            <w:tcBorders>
              <w:top w:val="single" w:sz="4" w:space="0" w:color="000000"/>
              <w:left w:val="none" w:sz="0" w:space="0" w:color="020000"/>
              <w:bottom w:val="none" w:sz="0" w:space="0" w:color="020000"/>
              <w:right w:val="none" w:sz="0" w:space="0" w:color="020000"/>
            </w:tcBorders>
            <w:vAlign w:val="center"/>
          </w:tcPr>
          <w:p w14:paraId="7DB25C66" w14:textId="77777777" w:rsidR="009757A9" w:rsidRDefault="00083242">
            <w:pPr>
              <w:spacing w:before="208" w:after="43" w:line="219" w:lineRule="exact"/>
              <w:ind w:right="2043"/>
              <w:jc w:val="right"/>
              <w:textAlignment w:val="baseline"/>
              <w:rPr>
                <w:rFonts w:ascii="Verdana" w:eastAsia="Verdana" w:hAnsi="Verdana"/>
                <w:color w:val="404042"/>
                <w:sz w:val="17"/>
              </w:rPr>
            </w:pPr>
            <w:r>
              <w:rPr>
                <w:rFonts w:ascii="Verdana" w:eastAsia="Verdana" w:hAnsi="Verdana"/>
                <w:color w:val="404042"/>
                <w:sz w:val="17"/>
              </w:rPr>
              <w:t>30</w:t>
            </w:r>
          </w:p>
        </w:tc>
      </w:tr>
      <w:tr w:rsidR="009757A9" w14:paraId="73F38BDE" w14:textId="77777777">
        <w:trPr>
          <w:trHeight w:hRule="exact" w:val="321"/>
        </w:trPr>
        <w:tc>
          <w:tcPr>
            <w:tcW w:w="5921" w:type="dxa"/>
            <w:tcBorders>
              <w:top w:val="none" w:sz="0" w:space="0" w:color="020000"/>
              <w:left w:val="none" w:sz="0" w:space="0" w:color="020000"/>
              <w:bottom w:val="none" w:sz="0" w:space="0" w:color="020000"/>
              <w:right w:val="none" w:sz="0" w:space="0" w:color="020000"/>
            </w:tcBorders>
            <w:vAlign w:val="center"/>
          </w:tcPr>
          <w:p w14:paraId="274997D5" w14:textId="77777777" w:rsidR="009757A9" w:rsidRDefault="00083242">
            <w:pPr>
              <w:spacing w:before="59" w:after="33" w:line="220" w:lineRule="exact"/>
              <w:ind w:left="22"/>
              <w:textAlignment w:val="baseline"/>
              <w:rPr>
                <w:rFonts w:ascii="Tahoma" w:eastAsia="Tahoma" w:hAnsi="Tahoma"/>
                <w:color w:val="404042"/>
                <w:sz w:val="18"/>
              </w:rPr>
            </w:pPr>
            <w:r>
              <w:rPr>
                <w:rFonts w:ascii="Tahoma" w:eastAsia="Tahoma" w:hAnsi="Tahoma"/>
                <w:color w:val="404042"/>
                <w:sz w:val="18"/>
              </w:rPr>
              <w:t>Literacy, numeracy and digital literacy</w:t>
            </w:r>
          </w:p>
        </w:tc>
        <w:tc>
          <w:tcPr>
            <w:tcW w:w="4332" w:type="dxa"/>
            <w:tcBorders>
              <w:top w:val="none" w:sz="0" w:space="0" w:color="020000"/>
              <w:left w:val="none" w:sz="0" w:space="0" w:color="020000"/>
              <w:bottom w:val="none" w:sz="0" w:space="0" w:color="020000"/>
              <w:right w:val="none" w:sz="0" w:space="0" w:color="020000"/>
            </w:tcBorders>
            <w:vAlign w:val="center"/>
          </w:tcPr>
          <w:p w14:paraId="4D52938E" w14:textId="77777777" w:rsidR="009757A9" w:rsidRDefault="00083242">
            <w:pPr>
              <w:spacing w:before="59" w:after="33" w:line="220" w:lineRule="exact"/>
              <w:ind w:right="2043"/>
              <w:jc w:val="right"/>
              <w:textAlignment w:val="baseline"/>
              <w:rPr>
                <w:rFonts w:ascii="Tahoma" w:eastAsia="Tahoma" w:hAnsi="Tahoma"/>
                <w:color w:val="404042"/>
                <w:sz w:val="18"/>
              </w:rPr>
            </w:pPr>
            <w:r>
              <w:rPr>
                <w:rFonts w:ascii="Tahoma" w:eastAsia="Tahoma" w:hAnsi="Tahoma"/>
                <w:color w:val="404042"/>
                <w:sz w:val="18"/>
              </w:rPr>
              <w:t>31</w:t>
            </w:r>
          </w:p>
        </w:tc>
      </w:tr>
      <w:tr w:rsidR="009757A9" w14:paraId="0211770F" w14:textId="77777777">
        <w:trPr>
          <w:trHeight w:hRule="exact" w:val="327"/>
        </w:trPr>
        <w:tc>
          <w:tcPr>
            <w:tcW w:w="5921" w:type="dxa"/>
            <w:tcBorders>
              <w:top w:val="none" w:sz="0" w:space="0" w:color="020000"/>
              <w:left w:val="none" w:sz="0" w:space="0" w:color="020000"/>
              <w:bottom w:val="none" w:sz="0" w:space="0" w:color="020000"/>
              <w:right w:val="none" w:sz="0" w:space="0" w:color="020000"/>
            </w:tcBorders>
            <w:vAlign w:val="center"/>
          </w:tcPr>
          <w:p w14:paraId="6149C952" w14:textId="77777777" w:rsidR="009757A9" w:rsidRDefault="00083242">
            <w:pPr>
              <w:spacing w:before="59" w:after="43" w:line="220" w:lineRule="exact"/>
              <w:ind w:left="22"/>
              <w:textAlignment w:val="baseline"/>
              <w:rPr>
                <w:rFonts w:ascii="Tahoma" w:eastAsia="Tahoma" w:hAnsi="Tahoma"/>
                <w:color w:val="404042"/>
                <w:sz w:val="18"/>
              </w:rPr>
            </w:pPr>
            <w:r>
              <w:rPr>
                <w:rFonts w:ascii="Tahoma" w:eastAsia="Tahoma" w:hAnsi="Tahoma"/>
                <w:color w:val="404042"/>
                <w:sz w:val="18"/>
              </w:rPr>
              <w:t>Essential skills</w:t>
            </w:r>
          </w:p>
        </w:tc>
        <w:tc>
          <w:tcPr>
            <w:tcW w:w="4332" w:type="dxa"/>
            <w:tcBorders>
              <w:top w:val="none" w:sz="0" w:space="0" w:color="020000"/>
              <w:left w:val="none" w:sz="0" w:space="0" w:color="020000"/>
              <w:bottom w:val="none" w:sz="0" w:space="0" w:color="020000"/>
              <w:right w:val="none" w:sz="0" w:space="0" w:color="020000"/>
            </w:tcBorders>
            <w:vAlign w:val="center"/>
          </w:tcPr>
          <w:p w14:paraId="66BD2A6D" w14:textId="77777777" w:rsidR="009757A9" w:rsidRDefault="00083242">
            <w:pPr>
              <w:spacing w:before="59" w:after="43" w:line="220" w:lineRule="exact"/>
              <w:ind w:right="2043"/>
              <w:jc w:val="right"/>
              <w:textAlignment w:val="baseline"/>
              <w:rPr>
                <w:rFonts w:ascii="Tahoma" w:eastAsia="Tahoma" w:hAnsi="Tahoma"/>
                <w:color w:val="404042"/>
                <w:sz w:val="18"/>
              </w:rPr>
            </w:pPr>
            <w:r>
              <w:rPr>
                <w:rFonts w:ascii="Tahoma" w:eastAsia="Tahoma" w:hAnsi="Tahoma"/>
                <w:color w:val="404042"/>
                <w:sz w:val="18"/>
              </w:rPr>
              <w:t>35</w:t>
            </w:r>
          </w:p>
        </w:tc>
      </w:tr>
      <w:tr w:rsidR="009757A9" w14:paraId="37CF8913" w14:textId="77777777">
        <w:trPr>
          <w:trHeight w:hRule="exact" w:val="326"/>
        </w:trPr>
        <w:tc>
          <w:tcPr>
            <w:tcW w:w="5921" w:type="dxa"/>
            <w:tcBorders>
              <w:top w:val="none" w:sz="0" w:space="0" w:color="020000"/>
              <w:left w:val="none" w:sz="0" w:space="0" w:color="020000"/>
              <w:bottom w:val="none" w:sz="0" w:space="0" w:color="020000"/>
              <w:right w:val="none" w:sz="0" w:space="0" w:color="020000"/>
            </w:tcBorders>
            <w:vAlign w:val="center"/>
          </w:tcPr>
          <w:p w14:paraId="73113DA8" w14:textId="77777777" w:rsidR="009757A9" w:rsidRDefault="00083242">
            <w:pPr>
              <w:spacing w:before="59" w:after="33" w:line="220" w:lineRule="exact"/>
              <w:ind w:left="22"/>
              <w:textAlignment w:val="baseline"/>
              <w:rPr>
                <w:rFonts w:ascii="Tahoma" w:eastAsia="Tahoma" w:hAnsi="Tahoma"/>
                <w:color w:val="404042"/>
                <w:sz w:val="18"/>
              </w:rPr>
            </w:pPr>
            <w:r>
              <w:rPr>
                <w:rFonts w:ascii="Tahoma" w:eastAsia="Tahoma" w:hAnsi="Tahoma"/>
                <w:color w:val="404042"/>
                <w:sz w:val="18"/>
              </w:rPr>
              <w:t>Australian Tertiary Admission Rank</w:t>
            </w:r>
          </w:p>
        </w:tc>
        <w:tc>
          <w:tcPr>
            <w:tcW w:w="4332" w:type="dxa"/>
            <w:tcBorders>
              <w:top w:val="none" w:sz="0" w:space="0" w:color="020000"/>
              <w:left w:val="none" w:sz="0" w:space="0" w:color="020000"/>
              <w:bottom w:val="none" w:sz="0" w:space="0" w:color="020000"/>
              <w:right w:val="none" w:sz="0" w:space="0" w:color="020000"/>
            </w:tcBorders>
            <w:vAlign w:val="center"/>
          </w:tcPr>
          <w:p w14:paraId="7777539C" w14:textId="77777777" w:rsidR="009757A9" w:rsidRDefault="00083242">
            <w:pPr>
              <w:spacing w:before="59" w:after="33" w:line="220" w:lineRule="exact"/>
              <w:ind w:right="2043"/>
              <w:jc w:val="right"/>
              <w:textAlignment w:val="baseline"/>
              <w:rPr>
                <w:rFonts w:ascii="Tahoma" w:eastAsia="Tahoma" w:hAnsi="Tahoma"/>
                <w:color w:val="404042"/>
                <w:sz w:val="18"/>
              </w:rPr>
            </w:pPr>
            <w:r>
              <w:rPr>
                <w:rFonts w:ascii="Tahoma" w:eastAsia="Tahoma" w:hAnsi="Tahoma"/>
                <w:color w:val="404042"/>
                <w:sz w:val="18"/>
              </w:rPr>
              <w:t>42</w:t>
            </w:r>
          </w:p>
        </w:tc>
      </w:tr>
      <w:tr w:rsidR="009757A9" w14:paraId="300D501D" w14:textId="77777777">
        <w:trPr>
          <w:trHeight w:hRule="exact" w:val="322"/>
        </w:trPr>
        <w:tc>
          <w:tcPr>
            <w:tcW w:w="5921" w:type="dxa"/>
            <w:tcBorders>
              <w:top w:val="none" w:sz="0" w:space="0" w:color="020000"/>
              <w:left w:val="none" w:sz="0" w:space="0" w:color="020000"/>
              <w:bottom w:val="none" w:sz="0" w:space="0" w:color="020000"/>
              <w:right w:val="none" w:sz="0" w:space="0" w:color="020000"/>
            </w:tcBorders>
            <w:vAlign w:val="center"/>
          </w:tcPr>
          <w:p w14:paraId="2FCA6C0E" w14:textId="77777777" w:rsidR="009757A9" w:rsidRDefault="00083242">
            <w:pPr>
              <w:spacing w:before="59" w:after="38" w:line="220" w:lineRule="exact"/>
              <w:ind w:left="22"/>
              <w:textAlignment w:val="baseline"/>
              <w:rPr>
                <w:rFonts w:ascii="Tahoma" w:eastAsia="Tahoma" w:hAnsi="Tahoma"/>
                <w:color w:val="404042"/>
                <w:sz w:val="18"/>
              </w:rPr>
            </w:pPr>
            <w:r>
              <w:rPr>
                <w:rFonts w:ascii="Tahoma" w:eastAsia="Tahoma" w:hAnsi="Tahoma"/>
                <w:color w:val="404042"/>
                <w:sz w:val="18"/>
              </w:rPr>
              <w:t>Alternative entry to universities</w:t>
            </w:r>
          </w:p>
        </w:tc>
        <w:tc>
          <w:tcPr>
            <w:tcW w:w="4332" w:type="dxa"/>
            <w:tcBorders>
              <w:top w:val="none" w:sz="0" w:space="0" w:color="020000"/>
              <w:left w:val="none" w:sz="0" w:space="0" w:color="020000"/>
              <w:bottom w:val="none" w:sz="0" w:space="0" w:color="020000"/>
              <w:right w:val="none" w:sz="0" w:space="0" w:color="020000"/>
            </w:tcBorders>
            <w:vAlign w:val="center"/>
          </w:tcPr>
          <w:p w14:paraId="03A019E0" w14:textId="77777777" w:rsidR="009757A9" w:rsidRDefault="00083242">
            <w:pPr>
              <w:spacing w:before="59" w:after="38" w:line="220" w:lineRule="exact"/>
              <w:ind w:right="2043"/>
              <w:jc w:val="right"/>
              <w:textAlignment w:val="baseline"/>
              <w:rPr>
                <w:rFonts w:ascii="Tahoma" w:eastAsia="Tahoma" w:hAnsi="Tahoma"/>
                <w:color w:val="404042"/>
                <w:sz w:val="18"/>
              </w:rPr>
            </w:pPr>
            <w:r>
              <w:rPr>
                <w:rFonts w:ascii="Tahoma" w:eastAsia="Tahoma" w:hAnsi="Tahoma"/>
                <w:color w:val="404042"/>
                <w:sz w:val="18"/>
              </w:rPr>
              <w:t>45</w:t>
            </w:r>
          </w:p>
        </w:tc>
      </w:tr>
      <w:tr w:rsidR="009757A9" w14:paraId="4E8F927F" w14:textId="77777777">
        <w:trPr>
          <w:trHeight w:hRule="exact" w:val="379"/>
        </w:trPr>
        <w:tc>
          <w:tcPr>
            <w:tcW w:w="5921" w:type="dxa"/>
            <w:tcBorders>
              <w:top w:val="none" w:sz="0" w:space="0" w:color="020000"/>
              <w:left w:val="none" w:sz="0" w:space="0" w:color="020000"/>
              <w:bottom w:val="none" w:sz="0" w:space="0" w:color="020000"/>
              <w:right w:val="none" w:sz="0" w:space="0" w:color="020000"/>
            </w:tcBorders>
            <w:vAlign w:val="center"/>
          </w:tcPr>
          <w:p w14:paraId="09C722AF" w14:textId="77777777" w:rsidR="009757A9" w:rsidRDefault="00083242">
            <w:pPr>
              <w:spacing w:before="64" w:after="86" w:line="219" w:lineRule="exact"/>
              <w:ind w:left="22"/>
              <w:textAlignment w:val="baseline"/>
              <w:rPr>
                <w:rFonts w:ascii="Verdana" w:eastAsia="Verdana" w:hAnsi="Verdana"/>
                <w:color w:val="404042"/>
                <w:sz w:val="17"/>
              </w:rPr>
            </w:pPr>
            <w:r>
              <w:rPr>
                <w:rFonts w:ascii="Verdana" w:eastAsia="Verdana" w:hAnsi="Verdana"/>
                <w:color w:val="404042"/>
                <w:sz w:val="17"/>
              </w:rPr>
              <w:t>Learner Profiles</w:t>
            </w:r>
          </w:p>
        </w:tc>
        <w:tc>
          <w:tcPr>
            <w:tcW w:w="4332" w:type="dxa"/>
            <w:tcBorders>
              <w:top w:val="none" w:sz="0" w:space="0" w:color="020000"/>
              <w:left w:val="none" w:sz="0" w:space="0" w:color="020000"/>
              <w:bottom w:val="none" w:sz="0" w:space="0" w:color="020000"/>
              <w:right w:val="none" w:sz="0" w:space="0" w:color="020000"/>
            </w:tcBorders>
            <w:vAlign w:val="center"/>
          </w:tcPr>
          <w:p w14:paraId="378A4541" w14:textId="77777777" w:rsidR="009757A9" w:rsidRDefault="00083242">
            <w:pPr>
              <w:spacing w:before="64" w:after="86" w:line="219" w:lineRule="exact"/>
              <w:ind w:right="2043"/>
              <w:jc w:val="right"/>
              <w:textAlignment w:val="baseline"/>
              <w:rPr>
                <w:rFonts w:ascii="Verdana" w:eastAsia="Verdana" w:hAnsi="Verdana"/>
                <w:color w:val="404042"/>
                <w:sz w:val="17"/>
              </w:rPr>
            </w:pPr>
            <w:r>
              <w:rPr>
                <w:rFonts w:ascii="Verdana" w:eastAsia="Verdana" w:hAnsi="Verdana"/>
                <w:color w:val="404042"/>
                <w:sz w:val="17"/>
              </w:rPr>
              <w:t>47</w:t>
            </w:r>
          </w:p>
        </w:tc>
      </w:tr>
      <w:tr w:rsidR="009757A9" w14:paraId="1BDA5A75" w14:textId="77777777">
        <w:trPr>
          <w:trHeight w:hRule="exact" w:val="422"/>
        </w:trPr>
        <w:tc>
          <w:tcPr>
            <w:tcW w:w="5921" w:type="dxa"/>
            <w:tcBorders>
              <w:top w:val="none" w:sz="0" w:space="0" w:color="020000"/>
              <w:left w:val="none" w:sz="0" w:space="0" w:color="020000"/>
              <w:bottom w:val="single" w:sz="4" w:space="0" w:color="000000"/>
              <w:right w:val="none" w:sz="0" w:space="0" w:color="020000"/>
            </w:tcBorders>
            <w:vAlign w:val="center"/>
          </w:tcPr>
          <w:p w14:paraId="74F401B4" w14:textId="77777777" w:rsidR="009757A9" w:rsidRDefault="00083242">
            <w:pPr>
              <w:spacing w:before="93" w:after="48" w:line="267" w:lineRule="exact"/>
              <w:ind w:left="22"/>
              <w:textAlignment w:val="baseline"/>
              <w:rPr>
                <w:rFonts w:ascii="Tahoma" w:eastAsia="Tahoma" w:hAnsi="Tahoma"/>
                <w:color w:val="007896"/>
              </w:rPr>
            </w:pPr>
            <w:r>
              <w:rPr>
                <w:rFonts w:ascii="Tahoma" w:eastAsia="Tahoma" w:hAnsi="Tahoma"/>
                <w:color w:val="007896"/>
              </w:rPr>
              <w:t>Chapter 2: Exercising informed choice</w:t>
            </w:r>
          </w:p>
        </w:tc>
        <w:tc>
          <w:tcPr>
            <w:tcW w:w="4332" w:type="dxa"/>
            <w:tcBorders>
              <w:top w:val="none" w:sz="0" w:space="0" w:color="020000"/>
              <w:left w:val="none" w:sz="0" w:space="0" w:color="020000"/>
              <w:bottom w:val="single" w:sz="4" w:space="0" w:color="000000"/>
              <w:right w:val="none" w:sz="0" w:space="0" w:color="020000"/>
            </w:tcBorders>
            <w:vAlign w:val="center"/>
          </w:tcPr>
          <w:p w14:paraId="4FF241FD" w14:textId="77777777" w:rsidR="009757A9" w:rsidRDefault="00083242">
            <w:pPr>
              <w:spacing w:before="104" w:after="48" w:line="256" w:lineRule="exact"/>
              <w:ind w:right="2043"/>
              <w:jc w:val="right"/>
              <w:textAlignment w:val="baseline"/>
              <w:rPr>
                <w:rFonts w:ascii="Arial" w:eastAsia="Arial" w:hAnsi="Arial"/>
                <w:b/>
                <w:color w:val="007896"/>
                <w:sz w:val="23"/>
              </w:rPr>
            </w:pPr>
            <w:r>
              <w:rPr>
                <w:rFonts w:ascii="Arial" w:eastAsia="Arial" w:hAnsi="Arial"/>
                <w:b/>
                <w:color w:val="007896"/>
                <w:sz w:val="23"/>
              </w:rPr>
              <w:t>55</w:t>
            </w:r>
          </w:p>
        </w:tc>
      </w:tr>
      <w:tr w:rsidR="009757A9" w14:paraId="263CCE52" w14:textId="77777777">
        <w:trPr>
          <w:trHeight w:hRule="exact" w:val="471"/>
        </w:trPr>
        <w:tc>
          <w:tcPr>
            <w:tcW w:w="5921" w:type="dxa"/>
            <w:tcBorders>
              <w:top w:val="single" w:sz="4" w:space="0" w:color="000000"/>
              <w:left w:val="none" w:sz="0" w:space="0" w:color="020000"/>
              <w:bottom w:val="none" w:sz="0" w:space="0" w:color="020000"/>
              <w:right w:val="none" w:sz="0" w:space="0" w:color="020000"/>
            </w:tcBorders>
            <w:vAlign w:val="center"/>
          </w:tcPr>
          <w:p w14:paraId="22CD024A" w14:textId="77777777" w:rsidR="009757A9" w:rsidRDefault="00083242">
            <w:pPr>
              <w:spacing w:before="204" w:after="38" w:line="219" w:lineRule="exact"/>
              <w:ind w:left="22"/>
              <w:textAlignment w:val="baseline"/>
              <w:rPr>
                <w:rFonts w:ascii="Verdana" w:eastAsia="Verdana" w:hAnsi="Verdana"/>
                <w:color w:val="404042"/>
                <w:sz w:val="17"/>
              </w:rPr>
            </w:pPr>
            <w:r>
              <w:rPr>
                <w:rFonts w:ascii="Verdana" w:eastAsia="Verdana" w:hAnsi="Verdana"/>
                <w:color w:val="404042"/>
                <w:sz w:val="17"/>
              </w:rPr>
              <w:t>Chapter findings</w:t>
            </w:r>
          </w:p>
        </w:tc>
        <w:tc>
          <w:tcPr>
            <w:tcW w:w="4332" w:type="dxa"/>
            <w:tcBorders>
              <w:top w:val="single" w:sz="4" w:space="0" w:color="000000"/>
              <w:left w:val="none" w:sz="0" w:space="0" w:color="020000"/>
              <w:bottom w:val="none" w:sz="0" w:space="0" w:color="020000"/>
              <w:right w:val="none" w:sz="0" w:space="0" w:color="020000"/>
            </w:tcBorders>
            <w:vAlign w:val="center"/>
          </w:tcPr>
          <w:p w14:paraId="2DDD84CF" w14:textId="77777777" w:rsidR="009757A9" w:rsidRDefault="00083242">
            <w:pPr>
              <w:spacing w:before="204" w:after="38" w:line="219" w:lineRule="exact"/>
              <w:ind w:right="2043"/>
              <w:jc w:val="right"/>
              <w:textAlignment w:val="baseline"/>
              <w:rPr>
                <w:rFonts w:ascii="Verdana" w:eastAsia="Verdana" w:hAnsi="Verdana"/>
                <w:color w:val="404042"/>
                <w:sz w:val="17"/>
              </w:rPr>
            </w:pPr>
            <w:r>
              <w:rPr>
                <w:rFonts w:ascii="Verdana" w:eastAsia="Verdana" w:hAnsi="Verdana"/>
                <w:color w:val="404042"/>
                <w:sz w:val="17"/>
              </w:rPr>
              <w:t>56</w:t>
            </w:r>
          </w:p>
        </w:tc>
      </w:tr>
      <w:tr w:rsidR="009757A9" w14:paraId="33B36E06" w14:textId="77777777">
        <w:trPr>
          <w:trHeight w:hRule="exact" w:val="326"/>
        </w:trPr>
        <w:tc>
          <w:tcPr>
            <w:tcW w:w="5921" w:type="dxa"/>
            <w:tcBorders>
              <w:top w:val="none" w:sz="0" w:space="0" w:color="020000"/>
              <w:left w:val="none" w:sz="0" w:space="0" w:color="020000"/>
              <w:bottom w:val="none" w:sz="0" w:space="0" w:color="020000"/>
              <w:right w:val="none" w:sz="0" w:space="0" w:color="020000"/>
            </w:tcBorders>
            <w:vAlign w:val="center"/>
          </w:tcPr>
          <w:p w14:paraId="05C3E075" w14:textId="77777777" w:rsidR="009757A9" w:rsidRDefault="00083242">
            <w:pPr>
              <w:spacing w:before="60" w:after="42" w:line="219" w:lineRule="exact"/>
              <w:ind w:left="22"/>
              <w:textAlignment w:val="baseline"/>
              <w:rPr>
                <w:rFonts w:ascii="Verdana" w:eastAsia="Verdana" w:hAnsi="Verdana"/>
                <w:color w:val="404042"/>
                <w:sz w:val="17"/>
              </w:rPr>
            </w:pPr>
            <w:r>
              <w:rPr>
                <w:rFonts w:ascii="Verdana" w:eastAsia="Verdana" w:hAnsi="Verdana"/>
                <w:color w:val="404042"/>
                <w:sz w:val="17"/>
              </w:rPr>
              <w:t>Pathway influencers</w:t>
            </w:r>
          </w:p>
        </w:tc>
        <w:tc>
          <w:tcPr>
            <w:tcW w:w="4332" w:type="dxa"/>
            <w:tcBorders>
              <w:top w:val="none" w:sz="0" w:space="0" w:color="020000"/>
              <w:left w:val="none" w:sz="0" w:space="0" w:color="020000"/>
              <w:bottom w:val="none" w:sz="0" w:space="0" w:color="020000"/>
              <w:right w:val="none" w:sz="0" w:space="0" w:color="020000"/>
            </w:tcBorders>
            <w:vAlign w:val="center"/>
          </w:tcPr>
          <w:p w14:paraId="4686929D" w14:textId="77777777" w:rsidR="009757A9" w:rsidRDefault="00083242">
            <w:pPr>
              <w:spacing w:before="60" w:after="42" w:line="219" w:lineRule="exact"/>
              <w:ind w:right="2043"/>
              <w:jc w:val="right"/>
              <w:textAlignment w:val="baseline"/>
              <w:rPr>
                <w:rFonts w:ascii="Verdana" w:eastAsia="Verdana" w:hAnsi="Verdana"/>
                <w:color w:val="404042"/>
                <w:sz w:val="17"/>
              </w:rPr>
            </w:pPr>
            <w:r>
              <w:rPr>
                <w:rFonts w:ascii="Verdana" w:eastAsia="Verdana" w:hAnsi="Verdana"/>
                <w:color w:val="404042"/>
                <w:sz w:val="17"/>
              </w:rPr>
              <w:t>57</w:t>
            </w:r>
          </w:p>
        </w:tc>
      </w:tr>
      <w:tr w:rsidR="009757A9" w14:paraId="25527A7E" w14:textId="77777777">
        <w:trPr>
          <w:trHeight w:hRule="exact" w:val="327"/>
        </w:trPr>
        <w:tc>
          <w:tcPr>
            <w:tcW w:w="5921" w:type="dxa"/>
            <w:tcBorders>
              <w:top w:val="none" w:sz="0" w:space="0" w:color="020000"/>
              <w:left w:val="none" w:sz="0" w:space="0" w:color="020000"/>
              <w:bottom w:val="none" w:sz="0" w:space="0" w:color="020000"/>
              <w:right w:val="none" w:sz="0" w:space="0" w:color="020000"/>
            </w:tcBorders>
            <w:vAlign w:val="center"/>
          </w:tcPr>
          <w:p w14:paraId="05909F9E" w14:textId="77777777" w:rsidR="009757A9" w:rsidRDefault="00083242">
            <w:pPr>
              <w:spacing w:before="59" w:after="48" w:line="220" w:lineRule="exact"/>
              <w:ind w:left="22"/>
              <w:textAlignment w:val="baseline"/>
              <w:rPr>
                <w:rFonts w:ascii="Tahoma" w:eastAsia="Tahoma" w:hAnsi="Tahoma"/>
                <w:color w:val="404042"/>
                <w:sz w:val="18"/>
              </w:rPr>
            </w:pPr>
            <w:r>
              <w:rPr>
                <w:rFonts w:ascii="Tahoma" w:eastAsia="Tahoma" w:hAnsi="Tahoma"/>
                <w:color w:val="404042"/>
                <w:sz w:val="18"/>
              </w:rPr>
              <w:t>Senior secondary subject choices</w:t>
            </w:r>
          </w:p>
        </w:tc>
        <w:tc>
          <w:tcPr>
            <w:tcW w:w="4332" w:type="dxa"/>
            <w:tcBorders>
              <w:top w:val="none" w:sz="0" w:space="0" w:color="020000"/>
              <w:left w:val="none" w:sz="0" w:space="0" w:color="020000"/>
              <w:bottom w:val="none" w:sz="0" w:space="0" w:color="020000"/>
              <w:right w:val="none" w:sz="0" w:space="0" w:color="020000"/>
            </w:tcBorders>
            <w:vAlign w:val="center"/>
          </w:tcPr>
          <w:p w14:paraId="18483629" w14:textId="77777777" w:rsidR="009757A9" w:rsidRDefault="00083242">
            <w:pPr>
              <w:spacing w:before="59" w:after="48" w:line="220" w:lineRule="exact"/>
              <w:ind w:right="2043"/>
              <w:jc w:val="right"/>
              <w:textAlignment w:val="baseline"/>
              <w:rPr>
                <w:rFonts w:ascii="Tahoma" w:eastAsia="Tahoma" w:hAnsi="Tahoma"/>
                <w:color w:val="404042"/>
                <w:sz w:val="18"/>
              </w:rPr>
            </w:pPr>
            <w:r>
              <w:rPr>
                <w:rFonts w:ascii="Tahoma" w:eastAsia="Tahoma" w:hAnsi="Tahoma"/>
                <w:color w:val="404042"/>
                <w:sz w:val="18"/>
              </w:rPr>
              <w:t>60</w:t>
            </w:r>
          </w:p>
        </w:tc>
      </w:tr>
      <w:tr w:rsidR="009757A9" w14:paraId="36F5FE9C" w14:textId="77777777">
        <w:trPr>
          <w:trHeight w:hRule="exact" w:val="321"/>
        </w:trPr>
        <w:tc>
          <w:tcPr>
            <w:tcW w:w="5921" w:type="dxa"/>
            <w:tcBorders>
              <w:top w:val="none" w:sz="0" w:space="0" w:color="020000"/>
              <w:left w:val="none" w:sz="0" w:space="0" w:color="020000"/>
              <w:bottom w:val="none" w:sz="0" w:space="0" w:color="020000"/>
              <w:right w:val="none" w:sz="0" w:space="0" w:color="020000"/>
            </w:tcBorders>
            <w:vAlign w:val="center"/>
          </w:tcPr>
          <w:p w14:paraId="68320512" w14:textId="77777777" w:rsidR="009757A9" w:rsidRDefault="00083242">
            <w:pPr>
              <w:spacing w:before="58" w:after="38" w:line="220" w:lineRule="exact"/>
              <w:ind w:left="22"/>
              <w:textAlignment w:val="baseline"/>
              <w:rPr>
                <w:rFonts w:ascii="Tahoma" w:eastAsia="Tahoma" w:hAnsi="Tahoma"/>
                <w:color w:val="404042"/>
                <w:sz w:val="18"/>
              </w:rPr>
            </w:pPr>
            <w:r>
              <w:rPr>
                <w:rFonts w:ascii="Tahoma" w:eastAsia="Tahoma" w:hAnsi="Tahoma"/>
                <w:color w:val="404042"/>
                <w:sz w:val="18"/>
              </w:rPr>
              <w:t>Pathways decisions</w:t>
            </w:r>
          </w:p>
        </w:tc>
        <w:tc>
          <w:tcPr>
            <w:tcW w:w="4332" w:type="dxa"/>
            <w:tcBorders>
              <w:top w:val="none" w:sz="0" w:space="0" w:color="020000"/>
              <w:left w:val="none" w:sz="0" w:space="0" w:color="020000"/>
              <w:bottom w:val="none" w:sz="0" w:space="0" w:color="020000"/>
              <w:right w:val="none" w:sz="0" w:space="0" w:color="020000"/>
            </w:tcBorders>
            <w:vAlign w:val="center"/>
          </w:tcPr>
          <w:p w14:paraId="61F96073" w14:textId="77777777" w:rsidR="009757A9" w:rsidRDefault="00083242">
            <w:pPr>
              <w:spacing w:before="58" w:after="38" w:line="220" w:lineRule="exact"/>
              <w:ind w:right="2043"/>
              <w:jc w:val="right"/>
              <w:textAlignment w:val="baseline"/>
              <w:rPr>
                <w:rFonts w:ascii="Tahoma" w:eastAsia="Tahoma" w:hAnsi="Tahoma"/>
                <w:color w:val="404042"/>
                <w:sz w:val="18"/>
              </w:rPr>
            </w:pPr>
            <w:r>
              <w:rPr>
                <w:rFonts w:ascii="Tahoma" w:eastAsia="Tahoma" w:hAnsi="Tahoma"/>
                <w:color w:val="404042"/>
                <w:sz w:val="18"/>
              </w:rPr>
              <w:t>63</w:t>
            </w:r>
          </w:p>
        </w:tc>
      </w:tr>
      <w:tr w:rsidR="009757A9" w14:paraId="75DE1004" w14:textId="77777777">
        <w:trPr>
          <w:trHeight w:hRule="exact" w:val="327"/>
        </w:trPr>
        <w:tc>
          <w:tcPr>
            <w:tcW w:w="5921" w:type="dxa"/>
            <w:tcBorders>
              <w:top w:val="none" w:sz="0" w:space="0" w:color="020000"/>
              <w:left w:val="none" w:sz="0" w:space="0" w:color="020000"/>
              <w:bottom w:val="none" w:sz="0" w:space="0" w:color="020000"/>
              <w:right w:val="none" w:sz="0" w:space="0" w:color="020000"/>
            </w:tcBorders>
            <w:vAlign w:val="center"/>
          </w:tcPr>
          <w:p w14:paraId="1635708E" w14:textId="77777777" w:rsidR="009757A9" w:rsidRDefault="00083242">
            <w:pPr>
              <w:spacing w:before="59" w:after="48" w:line="220" w:lineRule="exact"/>
              <w:ind w:left="22"/>
              <w:textAlignment w:val="baseline"/>
              <w:rPr>
                <w:rFonts w:ascii="Tahoma" w:eastAsia="Tahoma" w:hAnsi="Tahoma"/>
                <w:color w:val="404042"/>
                <w:sz w:val="18"/>
              </w:rPr>
            </w:pPr>
            <w:r>
              <w:rPr>
                <w:rFonts w:ascii="Tahoma" w:eastAsia="Tahoma" w:hAnsi="Tahoma"/>
                <w:color w:val="404042"/>
                <w:sz w:val="18"/>
              </w:rPr>
              <w:t>High-quality career information</w:t>
            </w:r>
          </w:p>
        </w:tc>
        <w:tc>
          <w:tcPr>
            <w:tcW w:w="4332" w:type="dxa"/>
            <w:tcBorders>
              <w:top w:val="none" w:sz="0" w:space="0" w:color="020000"/>
              <w:left w:val="none" w:sz="0" w:space="0" w:color="020000"/>
              <w:bottom w:val="none" w:sz="0" w:space="0" w:color="020000"/>
              <w:right w:val="none" w:sz="0" w:space="0" w:color="020000"/>
            </w:tcBorders>
            <w:vAlign w:val="center"/>
          </w:tcPr>
          <w:p w14:paraId="1B2BAED0" w14:textId="77777777" w:rsidR="009757A9" w:rsidRDefault="00083242">
            <w:pPr>
              <w:spacing w:before="59" w:after="48" w:line="220" w:lineRule="exact"/>
              <w:ind w:right="2043"/>
              <w:jc w:val="right"/>
              <w:textAlignment w:val="baseline"/>
              <w:rPr>
                <w:rFonts w:ascii="Tahoma" w:eastAsia="Tahoma" w:hAnsi="Tahoma"/>
                <w:color w:val="404042"/>
                <w:sz w:val="18"/>
              </w:rPr>
            </w:pPr>
            <w:r>
              <w:rPr>
                <w:rFonts w:ascii="Tahoma" w:eastAsia="Tahoma" w:hAnsi="Tahoma"/>
                <w:color w:val="404042"/>
                <w:sz w:val="18"/>
              </w:rPr>
              <w:t>67</w:t>
            </w:r>
          </w:p>
        </w:tc>
      </w:tr>
      <w:tr w:rsidR="009757A9" w14:paraId="163B5715" w14:textId="77777777">
        <w:trPr>
          <w:trHeight w:hRule="exact" w:val="326"/>
        </w:trPr>
        <w:tc>
          <w:tcPr>
            <w:tcW w:w="5921" w:type="dxa"/>
            <w:tcBorders>
              <w:top w:val="none" w:sz="0" w:space="0" w:color="020000"/>
              <w:left w:val="none" w:sz="0" w:space="0" w:color="020000"/>
              <w:bottom w:val="none" w:sz="0" w:space="0" w:color="020000"/>
              <w:right w:val="none" w:sz="0" w:space="0" w:color="020000"/>
            </w:tcBorders>
            <w:vAlign w:val="center"/>
          </w:tcPr>
          <w:p w14:paraId="63195AF8" w14:textId="77777777" w:rsidR="009757A9" w:rsidRDefault="00083242">
            <w:pPr>
              <w:spacing w:before="58" w:after="38" w:line="220" w:lineRule="exact"/>
              <w:ind w:left="22"/>
              <w:textAlignment w:val="baseline"/>
              <w:rPr>
                <w:rFonts w:ascii="Tahoma" w:eastAsia="Tahoma" w:hAnsi="Tahoma"/>
                <w:color w:val="404042"/>
                <w:sz w:val="18"/>
              </w:rPr>
            </w:pPr>
            <w:r>
              <w:rPr>
                <w:rFonts w:ascii="Tahoma" w:eastAsia="Tahoma" w:hAnsi="Tahoma"/>
                <w:color w:val="404042"/>
                <w:sz w:val="18"/>
              </w:rPr>
              <w:t>Career advice in schools</w:t>
            </w:r>
          </w:p>
        </w:tc>
        <w:tc>
          <w:tcPr>
            <w:tcW w:w="4332" w:type="dxa"/>
            <w:tcBorders>
              <w:top w:val="none" w:sz="0" w:space="0" w:color="020000"/>
              <w:left w:val="none" w:sz="0" w:space="0" w:color="020000"/>
              <w:bottom w:val="none" w:sz="0" w:space="0" w:color="020000"/>
              <w:right w:val="none" w:sz="0" w:space="0" w:color="020000"/>
            </w:tcBorders>
            <w:vAlign w:val="center"/>
          </w:tcPr>
          <w:p w14:paraId="5EC3BD20" w14:textId="77777777" w:rsidR="009757A9" w:rsidRDefault="00083242">
            <w:pPr>
              <w:spacing w:before="58" w:after="38" w:line="220" w:lineRule="exact"/>
              <w:ind w:right="2043"/>
              <w:jc w:val="right"/>
              <w:textAlignment w:val="baseline"/>
              <w:rPr>
                <w:rFonts w:ascii="Tahoma" w:eastAsia="Tahoma" w:hAnsi="Tahoma"/>
                <w:color w:val="404042"/>
                <w:sz w:val="18"/>
              </w:rPr>
            </w:pPr>
            <w:r>
              <w:rPr>
                <w:rFonts w:ascii="Tahoma" w:eastAsia="Tahoma" w:hAnsi="Tahoma"/>
                <w:color w:val="404042"/>
                <w:sz w:val="18"/>
              </w:rPr>
              <w:t>69</w:t>
            </w:r>
          </w:p>
        </w:tc>
      </w:tr>
      <w:tr w:rsidR="009757A9" w14:paraId="55FFC33E" w14:textId="77777777">
        <w:trPr>
          <w:trHeight w:hRule="exact" w:val="317"/>
        </w:trPr>
        <w:tc>
          <w:tcPr>
            <w:tcW w:w="5921" w:type="dxa"/>
            <w:tcBorders>
              <w:top w:val="none" w:sz="0" w:space="0" w:color="020000"/>
              <w:left w:val="none" w:sz="0" w:space="0" w:color="020000"/>
              <w:bottom w:val="none" w:sz="0" w:space="0" w:color="020000"/>
              <w:right w:val="none" w:sz="0" w:space="0" w:color="020000"/>
            </w:tcBorders>
            <w:vAlign w:val="center"/>
          </w:tcPr>
          <w:p w14:paraId="7D888E07" w14:textId="77777777" w:rsidR="009757A9" w:rsidRDefault="00083242">
            <w:pPr>
              <w:spacing w:before="59" w:after="28" w:line="220" w:lineRule="exact"/>
              <w:ind w:left="22"/>
              <w:textAlignment w:val="baseline"/>
              <w:rPr>
                <w:rFonts w:ascii="Tahoma" w:eastAsia="Tahoma" w:hAnsi="Tahoma"/>
                <w:color w:val="404042"/>
                <w:sz w:val="18"/>
              </w:rPr>
            </w:pPr>
            <w:r>
              <w:rPr>
                <w:rFonts w:ascii="Tahoma" w:eastAsia="Tahoma" w:hAnsi="Tahoma"/>
                <w:color w:val="404042"/>
                <w:sz w:val="18"/>
              </w:rPr>
              <w:t>Career hubs</w:t>
            </w:r>
          </w:p>
        </w:tc>
        <w:tc>
          <w:tcPr>
            <w:tcW w:w="4332" w:type="dxa"/>
            <w:tcBorders>
              <w:top w:val="none" w:sz="0" w:space="0" w:color="020000"/>
              <w:left w:val="none" w:sz="0" w:space="0" w:color="020000"/>
              <w:bottom w:val="none" w:sz="0" w:space="0" w:color="020000"/>
              <w:right w:val="none" w:sz="0" w:space="0" w:color="020000"/>
            </w:tcBorders>
            <w:vAlign w:val="center"/>
          </w:tcPr>
          <w:p w14:paraId="7ABD94BB" w14:textId="77777777" w:rsidR="009757A9" w:rsidRDefault="00083242">
            <w:pPr>
              <w:spacing w:before="59" w:after="28" w:line="220" w:lineRule="exact"/>
              <w:ind w:right="2043"/>
              <w:jc w:val="right"/>
              <w:textAlignment w:val="baseline"/>
              <w:rPr>
                <w:rFonts w:ascii="Tahoma" w:eastAsia="Tahoma" w:hAnsi="Tahoma"/>
                <w:color w:val="404042"/>
                <w:sz w:val="18"/>
              </w:rPr>
            </w:pPr>
            <w:r>
              <w:rPr>
                <w:rFonts w:ascii="Tahoma" w:eastAsia="Tahoma" w:hAnsi="Tahoma"/>
                <w:color w:val="404042"/>
                <w:sz w:val="18"/>
              </w:rPr>
              <w:t>71</w:t>
            </w:r>
          </w:p>
        </w:tc>
      </w:tr>
    </w:tbl>
    <w:p w14:paraId="4FF1FE5C" w14:textId="77777777" w:rsidR="009757A9" w:rsidRDefault="009757A9">
      <w:pPr>
        <w:spacing w:after="52" w:line="20" w:lineRule="exact"/>
      </w:pPr>
    </w:p>
    <w:tbl>
      <w:tblPr>
        <w:tblW w:w="0" w:type="auto"/>
        <w:tblInd w:w="828" w:type="dxa"/>
        <w:tblLayout w:type="fixed"/>
        <w:tblCellMar>
          <w:left w:w="0" w:type="dxa"/>
          <w:right w:w="0" w:type="dxa"/>
        </w:tblCellMar>
        <w:tblLook w:val="04A0" w:firstRow="1" w:lastRow="0" w:firstColumn="1" w:lastColumn="0" w:noHBand="0" w:noVBand="1"/>
      </w:tblPr>
      <w:tblGrid>
        <w:gridCol w:w="5907"/>
        <w:gridCol w:w="4346"/>
      </w:tblGrid>
      <w:tr w:rsidR="009757A9" w14:paraId="7FDB5486" w14:textId="77777777">
        <w:trPr>
          <w:trHeight w:hRule="exact" w:val="408"/>
        </w:trPr>
        <w:tc>
          <w:tcPr>
            <w:tcW w:w="5907" w:type="dxa"/>
            <w:tcBorders>
              <w:top w:val="none" w:sz="0" w:space="0" w:color="020000"/>
              <w:left w:val="none" w:sz="0" w:space="0" w:color="020000"/>
              <w:bottom w:val="single" w:sz="4" w:space="0" w:color="000000"/>
              <w:right w:val="none" w:sz="0" w:space="0" w:color="020000"/>
            </w:tcBorders>
            <w:vAlign w:val="center"/>
          </w:tcPr>
          <w:p w14:paraId="11B7EB4A" w14:textId="77777777" w:rsidR="009757A9" w:rsidRDefault="00083242">
            <w:pPr>
              <w:spacing w:before="83" w:after="42" w:line="268" w:lineRule="exact"/>
              <w:ind w:left="22"/>
              <w:textAlignment w:val="baseline"/>
              <w:rPr>
                <w:rFonts w:ascii="Tahoma" w:eastAsia="Tahoma" w:hAnsi="Tahoma"/>
                <w:color w:val="007896"/>
              </w:rPr>
            </w:pPr>
            <w:r>
              <w:rPr>
                <w:rFonts w:ascii="Tahoma" w:eastAsia="Tahoma" w:hAnsi="Tahoma"/>
                <w:color w:val="007896"/>
              </w:rPr>
              <w:t>Chapter 3: VET and the world of work</w:t>
            </w:r>
          </w:p>
        </w:tc>
        <w:tc>
          <w:tcPr>
            <w:tcW w:w="4346" w:type="dxa"/>
            <w:tcBorders>
              <w:top w:val="none" w:sz="0" w:space="0" w:color="020000"/>
              <w:left w:val="none" w:sz="0" w:space="0" w:color="020000"/>
              <w:bottom w:val="single" w:sz="4" w:space="0" w:color="000000"/>
              <w:right w:val="none" w:sz="0" w:space="0" w:color="020000"/>
            </w:tcBorders>
            <w:vAlign w:val="center"/>
          </w:tcPr>
          <w:p w14:paraId="57CA1D85" w14:textId="77777777" w:rsidR="009757A9" w:rsidRDefault="00083242">
            <w:pPr>
              <w:spacing w:before="94" w:after="43" w:line="256" w:lineRule="exact"/>
              <w:ind w:right="2047"/>
              <w:jc w:val="right"/>
              <w:textAlignment w:val="baseline"/>
              <w:rPr>
                <w:rFonts w:ascii="Arial" w:eastAsia="Arial" w:hAnsi="Arial"/>
                <w:b/>
                <w:color w:val="007896"/>
                <w:sz w:val="23"/>
              </w:rPr>
            </w:pPr>
            <w:r>
              <w:rPr>
                <w:rFonts w:ascii="Arial" w:eastAsia="Arial" w:hAnsi="Arial"/>
                <w:b/>
                <w:color w:val="007896"/>
                <w:sz w:val="23"/>
              </w:rPr>
              <w:t>75</w:t>
            </w:r>
          </w:p>
        </w:tc>
      </w:tr>
      <w:tr w:rsidR="009757A9" w14:paraId="05420A61" w14:textId="77777777">
        <w:trPr>
          <w:trHeight w:hRule="exact" w:val="471"/>
        </w:trPr>
        <w:tc>
          <w:tcPr>
            <w:tcW w:w="5907" w:type="dxa"/>
            <w:tcBorders>
              <w:top w:val="single" w:sz="4" w:space="0" w:color="000000"/>
              <w:left w:val="none" w:sz="0" w:space="0" w:color="020000"/>
              <w:bottom w:val="none" w:sz="0" w:space="0" w:color="020000"/>
              <w:right w:val="none" w:sz="0" w:space="0" w:color="020000"/>
            </w:tcBorders>
            <w:vAlign w:val="center"/>
          </w:tcPr>
          <w:p w14:paraId="1C469763" w14:textId="77777777" w:rsidR="009757A9" w:rsidRDefault="00083242">
            <w:pPr>
              <w:spacing w:before="207" w:after="34" w:line="220" w:lineRule="exact"/>
              <w:ind w:left="22"/>
              <w:textAlignment w:val="baseline"/>
              <w:rPr>
                <w:rFonts w:ascii="Tahoma" w:eastAsia="Tahoma" w:hAnsi="Tahoma"/>
                <w:color w:val="404042"/>
                <w:sz w:val="18"/>
              </w:rPr>
            </w:pPr>
            <w:r>
              <w:rPr>
                <w:rFonts w:ascii="Tahoma" w:eastAsia="Tahoma" w:hAnsi="Tahoma"/>
                <w:color w:val="404042"/>
                <w:sz w:val="18"/>
              </w:rPr>
              <w:t>C</w:t>
            </w:r>
            <w:r>
              <w:rPr>
                <w:rFonts w:ascii="Verdana" w:eastAsia="Verdana" w:hAnsi="Verdana"/>
                <w:color w:val="404042"/>
                <w:sz w:val="17"/>
              </w:rPr>
              <w:t>hapter findings</w:t>
            </w:r>
          </w:p>
        </w:tc>
        <w:tc>
          <w:tcPr>
            <w:tcW w:w="4346" w:type="dxa"/>
            <w:tcBorders>
              <w:top w:val="single" w:sz="4" w:space="0" w:color="000000"/>
              <w:left w:val="none" w:sz="0" w:space="0" w:color="020000"/>
              <w:bottom w:val="none" w:sz="0" w:space="0" w:color="020000"/>
              <w:right w:val="none" w:sz="0" w:space="0" w:color="020000"/>
            </w:tcBorders>
            <w:vAlign w:val="center"/>
          </w:tcPr>
          <w:p w14:paraId="5B2A6A6F" w14:textId="77777777" w:rsidR="009757A9" w:rsidRDefault="00083242">
            <w:pPr>
              <w:spacing w:before="208" w:after="34" w:line="219" w:lineRule="exact"/>
              <w:ind w:right="2047"/>
              <w:jc w:val="right"/>
              <w:textAlignment w:val="baseline"/>
              <w:rPr>
                <w:rFonts w:ascii="Verdana" w:eastAsia="Verdana" w:hAnsi="Verdana"/>
                <w:color w:val="404042"/>
                <w:sz w:val="17"/>
              </w:rPr>
            </w:pPr>
            <w:r>
              <w:rPr>
                <w:rFonts w:ascii="Verdana" w:eastAsia="Verdana" w:hAnsi="Verdana"/>
                <w:color w:val="404042"/>
                <w:sz w:val="17"/>
              </w:rPr>
              <w:t>76</w:t>
            </w:r>
          </w:p>
        </w:tc>
      </w:tr>
      <w:tr w:rsidR="009757A9" w14:paraId="0D3D137A" w14:textId="77777777">
        <w:trPr>
          <w:trHeight w:hRule="exact" w:val="321"/>
        </w:trPr>
        <w:tc>
          <w:tcPr>
            <w:tcW w:w="5907" w:type="dxa"/>
            <w:tcBorders>
              <w:top w:val="none" w:sz="0" w:space="0" w:color="020000"/>
              <w:left w:val="none" w:sz="0" w:space="0" w:color="020000"/>
              <w:bottom w:val="none" w:sz="0" w:space="0" w:color="020000"/>
              <w:right w:val="none" w:sz="0" w:space="0" w:color="020000"/>
            </w:tcBorders>
            <w:vAlign w:val="center"/>
          </w:tcPr>
          <w:p w14:paraId="5194EDD9" w14:textId="77777777" w:rsidR="009757A9" w:rsidRDefault="00083242">
            <w:pPr>
              <w:spacing w:before="58" w:after="28" w:line="220" w:lineRule="exact"/>
              <w:ind w:left="22"/>
              <w:textAlignment w:val="baseline"/>
              <w:rPr>
                <w:rFonts w:ascii="Tahoma" w:eastAsia="Tahoma" w:hAnsi="Tahoma"/>
                <w:color w:val="404042"/>
                <w:sz w:val="18"/>
              </w:rPr>
            </w:pPr>
            <w:r>
              <w:rPr>
                <w:rFonts w:ascii="Tahoma" w:eastAsia="Tahoma" w:hAnsi="Tahoma"/>
                <w:color w:val="404042"/>
                <w:sz w:val="18"/>
              </w:rPr>
              <w:t>The importance of language</w:t>
            </w:r>
          </w:p>
        </w:tc>
        <w:tc>
          <w:tcPr>
            <w:tcW w:w="4346" w:type="dxa"/>
            <w:tcBorders>
              <w:top w:val="none" w:sz="0" w:space="0" w:color="020000"/>
              <w:left w:val="none" w:sz="0" w:space="0" w:color="020000"/>
              <w:bottom w:val="none" w:sz="0" w:space="0" w:color="020000"/>
              <w:right w:val="none" w:sz="0" w:space="0" w:color="020000"/>
            </w:tcBorders>
            <w:vAlign w:val="center"/>
          </w:tcPr>
          <w:p w14:paraId="59758A07" w14:textId="77777777" w:rsidR="009757A9" w:rsidRDefault="00083242">
            <w:pPr>
              <w:spacing w:before="58" w:after="28" w:line="220" w:lineRule="exact"/>
              <w:ind w:right="2047"/>
              <w:jc w:val="right"/>
              <w:textAlignment w:val="baseline"/>
              <w:rPr>
                <w:rFonts w:ascii="Tahoma" w:eastAsia="Tahoma" w:hAnsi="Tahoma"/>
                <w:color w:val="404042"/>
                <w:sz w:val="18"/>
              </w:rPr>
            </w:pPr>
            <w:r>
              <w:rPr>
                <w:rFonts w:ascii="Tahoma" w:eastAsia="Tahoma" w:hAnsi="Tahoma"/>
                <w:color w:val="404042"/>
                <w:sz w:val="18"/>
              </w:rPr>
              <w:t>77</w:t>
            </w:r>
          </w:p>
        </w:tc>
      </w:tr>
      <w:tr w:rsidR="009757A9" w14:paraId="2FCF539A" w14:textId="77777777">
        <w:trPr>
          <w:trHeight w:hRule="exact" w:val="332"/>
        </w:trPr>
        <w:tc>
          <w:tcPr>
            <w:tcW w:w="5907" w:type="dxa"/>
            <w:tcBorders>
              <w:top w:val="none" w:sz="0" w:space="0" w:color="020000"/>
              <w:left w:val="none" w:sz="0" w:space="0" w:color="020000"/>
              <w:bottom w:val="none" w:sz="0" w:space="0" w:color="020000"/>
              <w:right w:val="none" w:sz="0" w:space="0" w:color="020000"/>
            </w:tcBorders>
            <w:vAlign w:val="center"/>
          </w:tcPr>
          <w:p w14:paraId="7B20D621" w14:textId="77777777" w:rsidR="009757A9" w:rsidRDefault="00083242">
            <w:pPr>
              <w:spacing w:before="63" w:after="48" w:line="220" w:lineRule="exact"/>
              <w:ind w:left="22"/>
              <w:textAlignment w:val="baseline"/>
              <w:rPr>
                <w:rFonts w:ascii="Tahoma" w:eastAsia="Tahoma" w:hAnsi="Tahoma"/>
                <w:color w:val="404042"/>
                <w:sz w:val="18"/>
              </w:rPr>
            </w:pPr>
            <w:r>
              <w:rPr>
                <w:rFonts w:ascii="Tahoma" w:eastAsia="Tahoma" w:hAnsi="Tahoma"/>
                <w:color w:val="404042"/>
                <w:sz w:val="18"/>
              </w:rPr>
              <w:t>Career education and work exploration</w:t>
            </w:r>
          </w:p>
        </w:tc>
        <w:tc>
          <w:tcPr>
            <w:tcW w:w="4346" w:type="dxa"/>
            <w:tcBorders>
              <w:top w:val="none" w:sz="0" w:space="0" w:color="020000"/>
              <w:left w:val="none" w:sz="0" w:space="0" w:color="020000"/>
              <w:bottom w:val="none" w:sz="0" w:space="0" w:color="020000"/>
              <w:right w:val="none" w:sz="0" w:space="0" w:color="020000"/>
            </w:tcBorders>
            <w:vAlign w:val="center"/>
          </w:tcPr>
          <w:p w14:paraId="35C3B3A3" w14:textId="77777777" w:rsidR="009757A9" w:rsidRDefault="00083242">
            <w:pPr>
              <w:spacing w:before="63" w:after="48" w:line="220" w:lineRule="exact"/>
              <w:ind w:right="2047"/>
              <w:jc w:val="right"/>
              <w:textAlignment w:val="baseline"/>
              <w:rPr>
                <w:rFonts w:ascii="Tahoma" w:eastAsia="Tahoma" w:hAnsi="Tahoma"/>
                <w:color w:val="404042"/>
                <w:sz w:val="18"/>
              </w:rPr>
            </w:pPr>
            <w:r>
              <w:rPr>
                <w:rFonts w:ascii="Tahoma" w:eastAsia="Tahoma" w:hAnsi="Tahoma"/>
                <w:color w:val="404042"/>
                <w:sz w:val="18"/>
              </w:rPr>
              <w:t>78</w:t>
            </w:r>
          </w:p>
        </w:tc>
      </w:tr>
      <w:tr w:rsidR="009757A9" w14:paraId="2BCDE0E1" w14:textId="77777777">
        <w:trPr>
          <w:trHeight w:hRule="exact" w:val="326"/>
        </w:trPr>
        <w:tc>
          <w:tcPr>
            <w:tcW w:w="5907" w:type="dxa"/>
            <w:tcBorders>
              <w:top w:val="none" w:sz="0" w:space="0" w:color="020000"/>
              <w:left w:val="none" w:sz="0" w:space="0" w:color="020000"/>
              <w:bottom w:val="none" w:sz="0" w:space="0" w:color="020000"/>
              <w:right w:val="none" w:sz="0" w:space="0" w:color="020000"/>
            </w:tcBorders>
            <w:vAlign w:val="center"/>
          </w:tcPr>
          <w:p w14:paraId="3FC6F730" w14:textId="77777777" w:rsidR="009757A9" w:rsidRDefault="00083242">
            <w:pPr>
              <w:spacing w:before="58" w:after="38" w:line="220" w:lineRule="exact"/>
              <w:ind w:left="22"/>
              <w:textAlignment w:val="baseline"/>
              <w:rPr>
                <w:rFonts w:ascii="Tahoma" w:eastAsia="Tahoma" w:hAnsi="Tahoma"/>
                <w:color w:val="404042"/>
                <w:sz w:val="18"/>
              </w:rPr>
            </w:pPr>
            <w:r>
              <w:rPr>
                <w:rFonts w:ascii="Tahoma" w:eastAsia="Tahoma" w:hAnsi="Tahoma"/>
                <w:color w:val="404042"/>
                <w:sz w:val="18"/>
              </w:rPr>
              <w:t>Vocational education and training</w:t>
            </w:r>
          </w:p>
        </w:tc>
        <w:tc>
          <w:tcPr>
            <w:tcW w:w="4346" w:type="dxa"/>
            <w:tcBorders>
              <w:top w:val="none" w:sz="0" w:space="0" w:color="020000"/>
              <w:left w:val="none" w:sz="0" w:space="0" w:color="020000"/>
              <w:bottom w:val="none" w:sz="0" w:space="0" w:color="020000"/>
              <w:right w:val="none" w:sz="0" w:space="0" w:color="020000"/>
            </w:tcBorders>
            <w:vAlign w:val="center"/>
          </w:tcPr>
          <w:p w14:paraId="4F05C7C6" w14:textId="77777777" w:rsidR="009757A9" w:rsidRDefault="00083242">
            <w:pPr>
              <w:spacing w:before="58" w:after="38" w:line="220" w:lineRule="exact"/>
              <w:ind w:right="2047"/>
              <w:jc w:val="right"/>
              <w:textAlignment w:val="baseline"/>
              <w:rPr>
                <w:rFonts w:ascii="Tahoma" w:eastAsia="Tahoma" w:hAnsi="Tahoma"/>
                <w:color w:val="404042"/>
                <w:sz w:val="18"/>
              </w:rPr>
            </w:pPr>
            <w:r>
              <w:rPr>
                <w:rFonts w:ascii="Tahoma" w:eastAsia="Tahoma" w:hAnsi="Tahoma"/>
                <w:color w:val="404042"/>
                <w:sz w:val="18"/>
              </w:rPr>
              <w:t>82</w:t>
            </w:r>
          </w:p>
        </w:tc>
      </w:tr>
    </w:tbl>
    <w:p w14:paraId="1438EB70" w14:textId="77777777" w:rsidR="009757A9" w:rsidRDefault="009757A9">
      <w:pPr>
        <w:spacing w:after="2356" w:line="20" w:lineRule="exact"/>
      </w:pPr>
    </w:p>
    <w:p w14:paraId="66ACD70A" w14:textId="77777777" w:rsidR="009757A9" w:rsidRDefault="00083242">
      <w:pPr>
        <w:textAlignment w:val="baseline"/>
      </w:pPr>
      <w:r>
        <w:rPr>
          <w:noProof/>
          <w:lang w:val="en-AU" w:eastAsia="en-AU"/>
        </w:rPr>
        <w:drawing>
          <wp:inline distT="0" distB="0" distL="0" distR="0" wp14:anchorId="0132CD68" wp14:editId="14FEC841">
            <wp:extent cx="7562215" cy="46291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22"/>
                    <a:stretch>
                      <a:fillRect/>
                    </a:stretch>
                  </pic:blipFill>
                  <pic:spPr>
                    <a:xfrm>
                      <a:off x="0" y="0"/>
                      <a:ext cx="7562215" cy="462915"/>
                    </a:xfrm>
                    <a:prstGeom prst="rect">
                      <a:avLst/>
                    </a:prstGeom>
                  </pic:spPr>
                </pic:pic>
              </a:graphicData>
            </a:graphic>
          </wp:inline>
        </w:drawing>
      </w:r>
    </w:p>
    <w:p w14:paraId="0FC2930C" w14:textId="77777777" w:rsidR="009757A9" w:rsidRDefault="009757A9">
      <w:pPr>
        <w:sectPr w:rsidR="009757A9">
          <w:pgSz w:w="11909" w:h="16838"/>
          <w:pgMar w:top="1080" w:right="0" w:bottom="0" w:left="0" w:header="720" w:footer="720" w:gutter="0"/>
          <w:cols w:space="720"/>
        </w:sectPr>
      </w:pPr>
    </w:p>
    <w:tbl>
      <w:tblPr>
        <w:tblW w:w="0" w:type="auto"/>
        <w:tblInd w:w="828" w:type="dxa"/>
        <w:tblLayout w:type="fixed"/>
        <w:tblCellMar>
          <w:left w:w="0" w:type="dxa"/>
          <w:right w:w="0" w:type="dxa"/>
        </w:tblCellMar>
        <w:tblLook w:val="04A0" w:firstRow="1" w:lastRow="0" w:firstColumn="1" w:lastColumn="0" w:noHBand="0" w:noVBand="1"/>
      </w:tblPr>
      <w:tblGrid>
        <w:gridCol w:w="6492"/>
        <w:gridCol w:w="341"/>
        <w:gridCol w:w="480"/>
        <w:gridCol w:w="2940"/>
      </w:tblGrid>
      <w:tr w:rsidR="009757A9" w14:paraId="7D52DCB0" w14:textId="77777777">
        <w:trPr>
          <w:trHeight w:hRule="exact" w:val="541"/>
        </w:trPr>
        <w:tc>
          <w:tcPr>
            <w:tcW w:w="6492" w:type="dxa"/>
            <w:tcBorders>
              <w:top w:val="none" w:sz="0" w:space="0" w:color="020000"/>
              <w:left w:val="none" w:sz="0" w:space="0" w:color="020000"/>
              <w:bottom w:val="single" w:sz="4" w:space="0" w:color="000000"/>
              <w:right w:val="none" w:sz="0" w:space="0" w:color="020000"/>
            </w:tcBorders>
            <w:vAlign w:val="center"/>
          </w:tcPr>
          <w:p w14:paraId="368FE2DD" w14:textId="77777777" w:rsidR="009757A9" w:rsidRDefault="00083242">
            <w:pPr>
              <w:spacing w:before="211" w:after="53" w:line="267" w:lineRule="exact"/>
              <w:ind w:left="22"/>
              <w:textAlignment w:val="baseline"/>
              <w:rPr>
                <w:rFonts w:ascii="Tahoma" w:eastAsia="Tahoma" w:hAnsi="Tahoma"/>
                <w:color w:val="007896"/>
              </w:rPr>
            </w:pPr>
            <w:r>
              <w:rPr>
                <w:rFonts w:ascii="Tahoma" w:eastAsia="Tahoma" w:hAnsi="Tahoma"/>
                <w:color w:val="007896"/>
              </w:rPr>
              <w:lastRenderedPageBreak/>
              <w:t>Chapter 4: Building school-industry partnerships</w:t>
            </w:r>
          </w:p>
        </w:tc>
        <w:tc>
          <w:tcPr>
            <w:tcW w:w="3761" w:type="dxa"/>
            <w:gridSpan w:val="3"/>
            <w:tcBorders>
              <w:top w:val="none" w:sz="0" w:space="0" w:color="020000"/>
              <w:left w:val="none" w:sz="0" w:space="0" w:color="020000"/>
              <w:bottom w:val="single" w:sz="4" w:space="0" w:color="000000"/>
              <w:right w:val="none" w:sz="0" w:space="0" w:color="020000"/>
            </w:tcBorders>
            <w:vAlign w:val="center"/>
          </w:tcPr>
          <w:p w14:paraId="48FF1845" w14:textId="77777777" w:rsidR="009757A9" w:rsidRDefault="00083242">
            <w:pPr>
              <w:spacing w:before="222" w:after="53" w:line="256" w:lineRule="exact"/>
              <w:ind w:right="2047"/>
              <w:jc w:val="right"/>
              <w:textAlignment w:val="baseline"/>
              <w:rPr>
                <w:rFonts w:ascii="Arial" w:eastAsia="Arial" w:hAnsi="Arial"/>
                <w:b/>
                <w:color w:val="007896"/>
                <w:sz w:val="23"/>
              </w:rPr>
            </w:pPr>
            <w:r>
              <w:rPr>
                <w:rFonts w:ascii="Arial" w:eastAsia="Arial" w:hAnsi="Arial"/>
                <w:b/>
                <w:color w:val="007896"/>
                <w:sz w:val="23"/>
              </w:rPr>
              <w:t>93</w:t>
            </w:r>
          </w:p>
        </w:tc>
      </w:tr>
      <w:tr w:rsidR="009757A9" w14:paraId="4C64D707" w14:textId="77777777">
        <w:trPr>
          <w:trHeight w:hRule="exact" w:val="470"/>
        </w:trPr>
        <w:tc>
          <w:tcPr>
            <w:tcW w:w="6492" w:type="dxa"/>
            <w:tcBorders>
              <w:top w:val="single" w:sz="4" w:space="0" w:color="000000"/>
              <w:left w:val="none" w:sz="0" w:space="0" w:color="020000"/>
              <w:bottom w:val="none" w:sz="0" w:space="0" w:color="020000"/>
              <w:right w:val="none" w:sz="0" w:space="0" w:color="020000"/>
            </w:tcBorders>
            <w:vAlign w:val="center"/>
          </w:tcPr>
          <w:p w14:paraId="6EE95308" w14:textId="77777777" w:rsidR="009757A9" w:rsidRDefault="00083242">
            <w:pPr>
              <w:spacing w:before="207" w:after="38" w:line="220" w:lineRule="exact"/>
              <w:ind w:left="22"/>
              <w:textAlignment w:val="baseline"/>
              <w:rPr>
                <w:rFonts w:ascii="Tahoma" w:eastAsia="Tahoma" w:hAnsi="Tahoma"/>
                <w:color w:val="404042"/>
                <w:sz w:val="18"/>
              </w:rPr>
            </w:pPr>
            <w:r>
              <w:rPr>
                <w:rFonts w:ascii="Tahoma" w:eastAsia="Tahoma" w:hAnsi="Tahoma"/>
                <w:color w:val="404042"/>
                <w:sz w:val="18"/>
              </w:rPr>
              <w:t>C</w:t>
            </w:r>
            <w:r>
              <w:rPr>
                <w:rFonts w:ascii="Verdana" w:eastAsia="Verdana" w:hAnsi="Verdana"/>
                <w:color w:val="404042"/>
                <w:sz w:val="17"/>
              </w:rPr>
              <w:t>hapter findings</w:t>
            </w:r>
          </w:p>
        </w:tc>
        <w:tc>
          <w:tcPr>
            <w:tcW w:w="3761" w:type="dxa"/>
            <w:gridSpan w:val="3"/>
            <w:tcBorders>
              <w:top w:val="single" w:sz="4" w:space="0" w:color="000000"/>
              <w:left w:val="none" w:sz="0" w:space="0" w:color="020000"/>
              <w:bottom w:val="none" w:sz="0" w:space="0" w:color="020000"/>
              <w:right w:val="none" w:sz="0" w:space="0" w:color="020000"/>
            </w:tcBorders>
            <w:vAlign w:val="center"/>
          </w:tcPr>
          <w:p w14:paraId="082346EE" w14:textId="77777777" w:rsidR="009757A9" w:rsidRDefault="00083242">
            <w:pPr>
              <w:spacing w:before="208" w:after="38" w:line="219" w:lineRule="exact"/>
              <w:ind w:right="2047"/>
              <w:jc w:val="right"/>
              <w:textAlignment w:val="baseline"/>
              <w:rPr>
                <w:rFonts w:ascii="Verdana" w:eastAsia="Verdana" w:hAnsi="Verdana"/>
                <w:color w:val="404042"/>
                <w:sz w:val="17"/>
              </w:rPr>
            </w:pPr>
            <w:r>
              <w:rPr>
                <w:rFonts w:ascii="Verdana" w:eastAsia="Verdana" w:hAnsi="Verdana"/>
                <w:color w:val="404042"/>
                <w:sz w:val="17"/>
              </w:rPr>
              <w:t>94</w:t>
            </w:r>
          </w:p>
        </w:tc>
      </w:tr>
      <w:tr w:rsidR="009757A9" w14:paraId="5267154C" w14:textId="77777777">
        <w:trPr>
          <w:trHeight w:hRule="exact" w:val="327"/>
        </w:trPr>
        <w:tc>
          <w:tcPr>
            <w:tcW w:w="6492" w:type="dxa"/>
            <w:tcBorders>
              <w:top w:val="none" w:sz="0" w:space="0" w:color="020000"/>
              <w:left w:val="none" w:sz="0" w:space="0" w:color="020000"/>
              <w:bottom w:val="none" w:sz="0" w:space="0" w:color="020000"/>
              <w:right w:val="none" w:sz="0" w:space="0" w:color="020000"/>
            </w:tcBorders>
            <w:vAlign w:val="center"/>
          </w:tcPr>
          <w:p w14:paraId="5399F4B8" w14:textId="77777777" w:rsidR="009757A9" w:rsidRDefault="00083242">
            <w:pPr>
              <w:spacing w:before="60" w:after="47" w:line="219" w:lineRule="exact"/>
              <w:ind w:left="22"/>
              <w:textAlignment w:val="baseline"/>
              <w:rPr>
                <w:rFonts w:ascii="Verdana" w:eastAsia="Verdana" w:hAnsi="Verdana"/>
                <w:color w:val="404042"/>
                <w:sz w:val="17"/>
              </w:rPr>
            </w:pPr>
            <w:r>
              <w:rPr>
                <w:rFonts w:ascii="Verdana" w:eastAsia="Verdana" w:hAnsi="Verdana"/>
                <w:color w:val="404042"/>
                <w:sz w:val="17"/>
              </w:rPr>
              <w:t>The benefits of school–industry partnerships</w:t>
            </w:r>
          </w:p>
        </w:tc>
        <w:tc>
          <w:tcPr>
            <w:tcW w:w="3761" w:type="dxa"/>
            <w:gridSpan w:val="3"/>
            <w:tcBorders>
              <w:top w:val="none" w:sz="0" w:space="0" w:color="020000"/>
              <w:left w:val="none" w:sz="0" w:space="0" w:color="020000"/>
              <w:bottom w:val="none" w:sz="0" w:space="0" w:color="020000"/>
              <w:right w:val="none" w:sz="0" w:space="0" w:color="020000"/>
            </w:tcBorders>
            <w:vAlign w:val="center"/>
          </w:tcPr>
          <w:p w14:paraId="544E1421" w14:textId="77777777" w:rsidR="009757A9" w:rsidRDefault="00083242">
            <w:pPr>
              <w:spacing w:before="60" w:after="47" w:line="219" w:lineRule="exact"/>
              <w:ind w:right="2047"/>
              <w:jc w:val="right"/>
              <w:textAlignment w:val="baseline"/>
              <w:rPr>
                <w:rFonts w:ascii="Verdana" w:eastAsia="Verdana" w:hAnsi="Verdana"/>
                <w:color w:val="404042"/>
                <w:sz w:val="17"/>
              </w:rPr>
            </w:pPr>
            <w:r>
              <w:rPr>
                <w:rFonts w:ascii="Verdana" w:eastAsia="Verdana" w:hAnsi="Verdana"/>
                <w:color w:val="404042"/>
                <w:sz w:val="17"/>
              </w:rPr>
              <w:t>95</w:t>
            </w:r>
          </w:p>
        </w:tc>
      </w:tr>
      <w:tr w:rsidR="009757A9" w14:paraId="630D098A" w14:textId="77777777">
        <w:trPr>
          <w:trHeight w:hRule="exact" w:val="326"/>
        </w:trPr>
        <w:tc>
          <w:tcPr>
            <w:tcW w:w="6492" w:type="dxa"/>
            <w:tcBorders>
              <w:top w:val="none" w:sz="0" w:space="0" w:color="020000"/>
              <w:left w:val="none" w:sz="0" w:space="0" w:color="020000"/>
              <w:bottom w:val="none" w:sz="0" w:space="0" w:color="020000"/>
              <w:right w:val="none" w:sz="0" w:space="0" w:color="020000"/>
            </w:tcBorders>
            <w:vAlign w:val="center"/>
          </w:tcPr>
          <w:p w14:paraId="57A8E03F" w14:textId="77777777" w:rsidR="009757A9" w:rsidRDefault="00083242">
            <w:pPr>
              <w:spacing w:before="58" w:after="38" w:line="220" w:lineRule="exact"/>
              <w:ind w:left="22"/>
              <w:textAlignment w:val="baseline"/>
              <w:rPr>
                <w:rFonts w:ascii="Tahoma" w:eastAsia="Tahoma" w:hAnsi="Tahoma"/>
                <w:color w:val="404042"/>
                <w:sz w:val="18"/>
              </w:rPr>
            </w:pPr>
            <w:r>
              <w:rPr>
                <w:rFonts w:ascii="Tahoma" w:eastAsia="Tahoma" w:hAnsi="Tahoma"/>
                <w:color w:val="404042"/>
                <w:sz w:val="18"/>
              </w:rPr>
              <w:t>What should industry do?</w:t>
            </w:r>
          </w:p>
        </w:tc>
        <w:tc>
          <w:tcPr>
            <w:tcW w:w="3761" w:type="dxa"/>
            <w:gridSpan w:val="3"/>
            <w:tcBorders>
              <w:top w:val="none" w:sz="0" w:space="0" w:color="020000"/>
              <w:left w:val="none" w:sz="0" w:space="0" w:color="020000"/>
              <w:bottom w:val="none" w:sz="0" w:space="0" w:color="020000"/>
              <w:right w:val="none" w:sz="0" w:space="0" w:color="020000"/>
            </w:tcBorders>
            <w:vAlign w:val="center"/>
          </w:tcPr>
          <w:p w14:paraId="04AFB059" w14:textId="77777777" w:rsidR="009757A9" w:rsidRDefault="00083242">
            <w:pPr>
              <w:spacing w:before="58" w:after="38" w:line="220" w:lineRule="exact"/>
              <w:ind w:right="2047"/>
              <w:jc w:val="right"/>
              <w:textAlignment w:val="baseline"/>
              <w:rPr>
                <w:rFonts w:ascii="Tahoma" w:eastAsia="Tahoma" w:hAnsi="Tahoma"/>
                <w:color w:val="404042"/>
                <w:sz w:val="18"/>
              </w:rPr>
            </w:pPr>
            <w:r>
              <w:rPr>
                <w:rFonts w:ascii="Tahoma" w:eastAsia="Tahoma" w:hAnsi="Tahoma"/>
                <w:color w:val="404042"/>
                <w:sz w:val="18"/>
              </w:rPr>
              <w:t>97</w:t>
            </w:r>
          </w:p>
        </w:tc>
      </w:tr>
      <w:tr w:rsidR="009757A9" w14:paraId="36CE9F3A" w14:textId="77777777">
        <w:trPr>
          <w:trHeight w:hRule="exact" w:val="379"/>
        </w:trPr>
        <w:tc>
          <w:tcPr>
            <w:tcW w:w="6492" w:type="dxa"/>
            <w:tcBorders>
              <w:top w:val="none" w:sz="0" w:space="0" w:color="020000"/>
              <w:left w:val="none" w:sz="0" w:space="0" w:color="020000"/>
              <w:bottom w:val="none" w:sz="0" w:space="0" w:color="020000"/>
              <w:right w:val="none" w:sz="0" w:space="0" w:color="020000"/>
            </w:tcBorders>
            <w:vAlign w:val="center"/>
          </w:tcPr>
          <w:p w14:paraId="0633F0B7" w14:textId="77777777" w:rsidR="009757A9" w:rsidRDefault="00083242">
            <w:pPr>
              <w:spacing w:before="58" w:after="86" w:line="220" w:lineRule="exact"/>
              <w:ind w:left="22"/>
              <w:textAlignment w:val="baseline"/>
              <w:rPr>
                <w:rFonts w:ascii="Tahoma" w:eastAsia="Tahoma" w:hAnsi="Tahoma"/>
                <w:color w:val="404042"/>
                <w:sz w:val="18"/>
              </w:rPr>
            </w:pPr>
            <w:r>
              <w:rPr>
                <w:rFonts w:ascii="Tahoma" w:eastAsia="Tahoma" w:hAnsi="Tahoma"/>
                <w:color w:val="404042"/>
                <w:sz w:val="18"/>
              </w:rPr>
              <w:t>Systematising industry involvement</w:t>
            </w:r>
          </w:p>
        </w:tc>
        <w:tc>
          <w:tcPr>
            <w:tcW w:w="3761" w:type="dxa"/>
            <w:gridSpan w:val="3"/>
            <w:tcBorders>
              <w:top w:val="none" w:sz="0" w:space="0" w:color="020000"/>
              <w:left w:val="none" w:sz="0" w:space="0" w:color="020000"/>
              <w:bottom w:val="none" w:sz="0" w:space="0" w:color="020000"/>
              <w:right w:val="none" w:sz="0" w:space="0" w:color="020000"/>
            </w:tcBorders>
            <w:vAlign w:val="center"/>
          </w:tcPr>
          <w:p w14:paraId="11A66072" w14:textId="77777777" w:rsidR="009757A9" w:rsidRDefault="00083242">
            <w:pPr>
              <w:spacing w:before="58" w:after="86" w:line="220" w:lineRule="exact"/>
              <w:ind w:right="2047"/>
              <w:jc w:val="right"/>
              <w:textAlignment w:val="baseline"/>
              <w:rPr>
                <w:rFonts w:ascii="Tahoma" w:eastAsia="Tahoma" w:hAnsi="Tahoma"/>
                <w:color w:val="404042"/>
                <w:sz w:val="18"/>
              </w:rPr>
            </w:pPr>
            <w:r>
              <w:rPr>
                <w:rFonts w:ascii="Tahoma" w:eastAsia="Tahoma" w:hAnsi="Tahoma"/>
                <w:color w:val="404042"/>
                <w:sz w:val="18"/>
              </w:rPr>
              <w:t>99</w:t>
            </w:r>
          </w:p>
        </w:tc>
      </w:tr>
      <w:tr w:rsidR="009757A9" w14:paraId="16A03DE6" w14:textId="77777777">
        <w:trPr>
          <w:trHeight w:hRule="exact" w:val="418"/>
        </w:trPr>
        <w:tc>
          <w:tcPr>
            <w:tcW w:w="6833" w:type="dxa"/>
            <w:gridSpan w:val="2"/>
            <w:tcBorders>
              <w:top w:val="none" w:sz="0" w:space="0" w:color="020000"/>
              <w:left w:val="none" w:sz="0" w:space="0" w:color="020000"/>
              <w:bottom w:val="single" w:sz="4" w:space="0" w:color="000000"/>
              <w:right w:val="none" w:sz="0" w:space="0" w:color="020000"/>
            </w:tcBorders>
            <w:vAlign w:val="center"/>
          </w:tcPr>
          <w:p w14:paraId="2FBF352F" w14:textId="77777777" w:rsidR="009757A9" w:rsidRDefault="00083242">
            <w:pPr>
              <w:spacing w:before="88" w:after="62" w:line="267" w:lineRule="exact"/>
              <w:ind w:left="22"/>
              <w:textAlignment w:val="baseline"/>
              <w:rPr>
                <w:rFonts w:ascii="Tahoma" w:eastAsia="Tahoma" w:hAnsi="Tahoma"/>
                <w:color w:val="007896"/>
              </w:rPr>
            </w:pPr>
            <w:r>
              <w:rPr>
                <w:rFonts w:ascii="Tahoma" w:eastAsia="Tahoma" w:hAnsi="Tahoma"/>
                <w:color w:val="007896"/>
              </w:rPr>
              <w:t xml:space="preserve">Chapter 5: </w:t>
            </w:r>
            <w:r>
              <w:rPr>
                <w:rFonts w:ascii="Verdana" w:eastAsia="Verdana" w:hAnsi="Verdana"/>
                <w:color w:val="007896"/>
                <w:sz w:val="21"/>
              </w:rPr>
              <w:t>Building more flexible pathways from school</w:t>
            </w:r>
          </w:p>
        </w:tc>
        <w:tc>
          <w:tcPr>
            <w:tcW w:w="3420" w:type="dxa"/>
            <w:gridSpan w:val="2"/>
            <w:tcBorders>
              <w:top w:val="none" w:sz="0" w:space="0" w:color="020000"/>
              <w:left w:val="none" w:sz="0" w:space="0" w:color="020000"/>
              <w:bottom w:val="single" w:sz="4" w:space="0" w:color="000000"/>
              <w:right w:val="none" w:sz="0" w:space="0" w:color="020000"/>
            </w:tcBorders>
            <w:vAlign w:val="center"/>
          </w:tcPr>
          <w:p w14:paraId="55681FFE" w14:textId="77777777" w:rsidR="009757A9" w:rsidRDefault="00083242">
            <w:pPr>
              <w:spacing w:before="99" w:after="62" w:line="256" w:lineRule="exact"/>
              <w:ind w:right="1923"/>
              <w:jc w:val="right"/>
              <w:textAlignment w:val="baseline"/>
              <w:rPr>
                <w:rFonts w:ascii="Arial" w:eastAsia="Arial" w:hAnsi="Arial"/>
                <w:b/>
                <w:color w:val="007896"/>
                <w:sz w:val="23"/>
              </w:rPr>
            </w:pPr>
            <w:r>
              <w:rPr>
                <w:rFonts w:ascii="Arial" w:eastAsia="Arial" w:hAnsi="Arial"/>
                <w:b/>
                <w:color w:val="007896"/>
                <w:sz w:val="23"/>
              </w:rPr>
              <w:t>103</w:t>
            </w:r>
          </w:p>
        </w:tc>
      </w:tr>
      <w:tr w:rsidR="009757A9" w14:paraId="5839F296" w14:textId="77777777">
        <w:trPr>
          <w:trHeight w:hRule="exact" w:val="470"/>
        </w:trPr>
        <w:tc>
          <w:tcPr>
            <w:tcW w:w="6833" w:type="dxa"/>
            <w:gridSpan w:val="2"/>
            <w:tcBorders>
              <w:top w:val="single" w:sz="4" w:space="0" w:color="000000"/>
              <w:left w:val="none" w:sz="0" w:space="0" w:color="020000"/>
              <w:bottom w:val="none" w:sz="0" w:space="0" w:color="020000"/>
              <w:right w:val="none" w:sz="0" w:space="0" w:color="020000"/>
            </w:tcBorders>
            <w:vAlign w:val="center"/>
          </w:tcPr>
          <w:p w14:paraId="1C73663E" w14:textId="77777777" w:rsidR="009757A9" w:rsidRDefault="00083242">
            <w:pPr>
              <w:spacing w:before="207" w:after="33" w:line="220" w:lineRule="exact"/>
              <w:ind w:left="22"/>
              <w:textAlignment w:val="baseline"/>
              <w:rPr>
                <w:rFonts w:ascii="Tahoma" w:eastAsia="Tahoma" w:hAnsi="Tahoma"/>
                <w:color w:val="404042"/>
                <w:sz w:val="18"/>
              </w:rPr>
            </w:pPr>
            <w:r>
              <w:rPr>
                <w:rFonts w:ascii="Tahoma" w:eastAsia="Tahoma" w:hAnsi="Tahoma"/>
                <w:color w:val="404042"/>
                <w:sz w:val="18"/>
              </w:rPr>
              <w:t>C</w:t>
            </w:r>
            <w:r>
              <w:rPr>
                <w:rFonts w:ascii="Verdana" w:eastAsia="Verdana" w:hAnsi="Verdana"/>
                <w:color w:val="404042"/>
                <w:sz w:val="17"/>
              </w:rPr>
              <w:t>hapter findings</w:t>
            </w:r>
          </w:p>
        </w:tc>
        <w:tc>
          <w:tcPr>
            <w:tcW w:w="3420" w:type="dxa"/>
            <w:gridSpan w:val="2"/>
            <w:tcBorders>
              <w:top w:val="single" w:sz="4" w:space="0" w:color="000000"/>
              <w:left w:val="none" w:sz="0" w:space="0" w:color="020000"/>
              <w:bottom w:val="none" w:sz="0" w:space="0" w:color="020000"/>
              <w:right w:val="none" w:sz="0" w:space="0" w:color="020000"/>
            </w:tcBorders>
            <w:vAlign w:val="center"/>
          </w:tcPr>
          <w:p w14:paraId="12260928" w14:textId="77777777" w:rsidR="009757A9" w:rsidRDefault="00083242">
            <w:pPr>
              <w:spacing w:before="208" w:after="33" w:line="219" w:lineRule="exact"/>
              <w:ind w:right="1923"/>
              <w:jc w:val="right"/>
              <w:textAlignment w:val="baseline"/>
              <w:rPr>
                <w:rFonts w:ascii="Verdana" w:eastAsia="Verdana" w:hAnsi="Verdana"/>
                <w:color w:val="404042"/>
                <w:sz w:val="17"/>
              </w:rPr>
            </w:pPr>
            <w:r>
              <w:rPr>
                <w:rFonts w:ascii="Verdana" w:eastAsia="Verdana" w:hAnsi="Verdana"/>
                <w:color w:val="404042"/>
                <w:sz w:val="17"/>
              </w:rPr>
              <w:t>104</w:t>
            </w:r>
          </w:p>
        </w:tc>
      </w:tr>
      <w:tr w:rsidR="009757A9" w14:paraId="445822AD" w14:textId="77777777">
        <w:trPr>
          <w:trHeight w:hRule="exact" w:val="327"/>
        </w:trPr>
        <w:tc>
          <w:tcPr>
            <w:tcW w:w="6833" w:type="dxa"/>
            <w:gridSpan w:val="2"/>
            <w:tcBorders>
              <w:top w:val="none" w:sz="0" w:space="0" w:color="020000"/>
              <w:left w:val="none" w:sz="0" w:space="0" w:color="020000"/>
              <w:bottom w:val="none" w:sz="0" w:space="0" w:color="020000"/>
              <w:right w:val="none" w:sz="0" w:space="0" w:color="020000"/>
            </w:tcBorders>
            <w:vAlign w:val="center"/>
          </w:tcPr>
          <w:p w14:paraId="421C4107" w14:textId="77777777" w:rsidR="009757A9" w:rsidRDefault="00083242">
            <w:pPr>
              <w:spacing w:before="59" w:after="42" w:line="220" w:lineRule="exact"/>
              <w:ind w:left="22"/>
              <w:textAlignment w:val="baseline"/>
              <w:rPr>
                <w:rFonts w:ascii="Tahoma" w:eastAsia="Tahoma" w:hAnsi="Tahoma"/>
                <w:color w:val="404042"/>
                <w:sz w:val="18"/>
              </w:rPr>
            </w:pPr>
            <w:r>
              <w:rPr>
                <w:rFonts w:ascii="Tahoma" w:eastAsia="Tahoma" w:hAnsi="Tahoma"/>
                <w:color w:val="404042"/>
                <w:sz w:val="18"/>
              </w:rPr>
              <w:t>Early school leavers</w:t>
            </w:r>
          </w:p>
        </w:tc>
        <w:tc>
          <w:tcPr>
            <w:tcW w:w="3420" w:type="dxa"/>
            <w:gridSpan w:val="2"/>
            <w:tcBorders>
              <w:top w:val="none" w:sz="0" w:space="0" w:color="020000"/>
              <w:left w:val="none" w:sz="0" w:space="0" w:color="020000"/>
              <w:bottom w:val="none" w:sz="0" w:space="0" w:color="020000"/>
              <w:right w:val="none" w:sz="0" w:space="0" w:color="020000"/>
            </w:tcBorders>
            <w:vAlign w:val="center"/>
          </w:tcPr>
          <w:p w14:paraId="50F78FE5" w14:textId="77777777" w:rsidR="009757A9" w:rsidRDefault="00083242">
            <w:pPr>
              <w:spacing w:before="59" w:after="42" w:line="220" w:lineRule="exact"/>
              <w:ind w:right="1923"/>
              <w:jc w:val="right"/>
              <w:textAlignment w:val="baseline"/>
              <w:rPr>
                <w:rFonts w:ascii="Tahoma" w:eastAsia="Tahoma" w:hAnsi="Tahoma"/>
                <w:color w:val="404042"/>
                <w:sz w:val="18"/>
              </w:rPr>
            </w:pPr>
            <w:r>
              <w:rPr>
                <w:rFonts w:ascii="Tahoma" w:eastAsia="Tahoma" w:hAnsi="Tahoma"/>
                <w:color w:val="404042"/>
                <w:sz w:val="18"/>
              </w:rPr>
              <w:t>105</w:t>
            </w:r>
          </w:p>
        </w:tc>
      </w:tr>
      <w:tr w:rsidR="009757A9" w14:paraId="706F7E53" w14:textId="77777777">
        <w:trPr>
          <w:trHeight w:hRule="exact" w:val="326"/>
        </w:trPr>
        <w:tc>
          <w:tcPr>
            <w:tcW w:w="6833" w:type="dxa"/>
            <w:gridSpan w:val="2"/>
            <w:tcBorders>
              <w:top w:val="none" w:sz="0" w:space="0" w:color="020000"/>
              <w:left w:val="none" w:sz="0" w:space="0" w:color="020000"/>
              <w:bottom w:val="none" w:sz="0" w:space="0" w:color="020000"/>
              <w:right w:val="none" w:sz="0" w:space="0" w:color="020000"/>
            </w:tcBorders>
            <w:vAlign w:val="center"/>
          </w:tcPr>
          <w:p w14:paraId="04372290" w14:textId="77777777" w:rsidR="009757A9" w:rsidRDefault="00083242">
            <w:pPr>
              <w:spacing w:before="58" w:after="48" w:line="220" w:lineRule="exact"/>
              <w:ind w:left="22"/>
              <w:textAlignment w:val="baseline"/>
              <w:rPr>
                <w:rFonts w:ascii="Tahoma" w:eastAsia="Tahoma" w:hAnsi="Tahoma"/>
                <w:color w:val="404042"/>
                <w:sz w:val="18"/>
              </w:rPr>
            </w:pPr>
            <w:r>
              <w:rPr>
                <w:rFonts w:ascii="Tahoma" w:eastAsia="Tahoma" w:hAnsi="Tahoma"/>
                <w:color w:val="404042"/>
                <w:sz w:val="18"/>
              </w:rPr>
              <w:t>Youth guarantee</w:t>
            </w:r>
          </w:p>
        </w:tc>
        <w:tc>
          <w:tcPr>
            <w:tcW w:w="3420" w:type="dxa"/>
            <w:gridSpan w:val="2"/>
            <w:tcBorders>
              <w:top w:val="none" w:sz="0" w:space="0" w:color="020000"/>
              <w:left w:val="none" w:sz="0" w:space="0" w:color="020000"/>
              <w:bottom w:val="none" w:sz="0" w:space="0" w:color="020000"/>
              <w:right w:val="none" w:sz="0" w:space="0" w:color="020000"/>
            </w:tcBorders>
            <w:vAlign w:val="center"/>
          </w:tcPr>
          <w:p w14:paraId="5235AE60" w14:textId="77777777" w:rsidR="009757A9" w:rsidRDefault="00083242">
            <w:pPr>
              <w:spacing w:before="58" w:after="48" w:line="220" w:lineRule="exact"/>
              <w:ind w:right="1923"/>
              <w:jc w:val="right"/>
              <w:textAlignment w:val="baseline"/>
              <w:rPr>
                <w:rFonts w:ascii="Tahoma" w:eastAsia="Tahoma" w:hAnsi="Tahoma"/>
                <w:color w:val="404042"/>
                <w:sz w:val="18"/>
              </w:rPr>
            </w:pPr>
            <w:r>
              <w:rPr>
                <w:rFonts w:ascii="Tahoma" w:eastAsia="Tahoma" w:hAnsi="Tahoma"/>
                <w:color w:val="404042"/>
                <w:sz w:val="18"/>
              </w:rPr>
              <w:t>107</w:t>
            </w:r>
          </w:p>
        </w:tc>
      </w:tr>
      <w:tr w:rsidR="009757A9" w14:paraId="3A05E07A" w14:textId="77777777">
        <w:trPr>
          <w:trHeight w:hRule="exact" w:val="322"/>
        </w:trPr>
        <w:tc>
          <w:tcPr>
            <w:tcW w:w="6833" w:type="dxa"/>
            <w:gridSpan w:val="2"/>
            <w:tcBorders>
              <w:top w:val="none" w:sz="0" w:space="0" w:color="020000"/>
              <w:left w:val="none" w:sz="0" w:space="0" w:color="020000"/>
              <w:bottom w:val="none" w:sz="0" w:space="0" w:color="020000"/>
              <w:right w:val="none" w:sz="0" w:space="0" w:color="020000"/>
            </w:tcBorders>
            <w:vAlign w:val="center"/>
          </w:tcPr>
          <w:p w14:paraId="004E341C" w14:textId="77777777" w:rsidR="009757A9" w:rsidRDefault="00083242">
            <w:pPr>
              <w:spacing w:before="58" w:after="38" w:line="220" w:lineRule="exact"/>
              <w:ind w:left="22"/>
              <w:textAlignment w:val="baseline"/>
              <w:rPr>
                <w:rFonts w:ascii="Tahoma" w:eastAsia="Tahoma" w:hAnsi="Tahoma"/>
                <w:color w:val="404042"/>
                <w:sz w:val="18"/>
              </w:rPr>
            </w:pPr>
            <w:r>
              <w:rPr>
                <w:rFonts w:ascii="Tahoma" w:eastAsia="Tahoma" w:hAnsi="Tahoma"/>
                <w:color w:val="404042"/>
                <w:sz w:val="18"/>
              </w:rPr>
              <w:t>Micro-credentialing</w:t>
            </w:r>
          </w:p>
        </w:tc>
        <w:tc>
          <w:tcPr>
            <w:tcW w:w="3420" w:type="dxa"/>
            <w:gridSpan w:val="2"/>
            <w:tcBorders>
              <w:top w:val="none" w:sz="0" w:space="0" w:color="020000"/>
              <w:left w:val="none" w:sz="0" w:space="0" w:color="020000"/>
              <w:bottom w:val="none" w:sz="0" w:space="0" w:color="020000"/>
              <w:right w:val="none" w:sz="0" w:space="0" w:color="020000"/>
            </w:tcBorders>
            <w:vAlign w:val="center"/>
          </w:tcPr>
          <w:p w14:paraId="5331D6AF" w14:textId="77777777" w:rsidR="009757A9" w:rsidRDefault="00083242">
            <w:pPr>
              <w:spacing w:before="58" w:after="38" w:line="220" w:lineRule="exact"/>
              <w:ind w:right="1923"/>
              <w:jc w:val="right"/>
              <w:textAlignment w:val="baseline"/>
              <w:rPr>
                <w:rFonts w:ascii="Tahoma" w:eastAsia="Tahoma" w:hAnsi="Tahoma"/>
                <w:color w:val="404042"/>
                <w:sz w:val="18"/>
              </w:rPr>
            </w:pPr>
            <w:r>
              <w:rPr>
                <w:rFonts w:ascii="Tahoma" w:eastAsia="Tahoma" w:hAnsi="Tahoma"/>
                <w:color w:val="404042"/>
                <w:sz w:val="18"/>
              </w:rPr>
              <w:t>109</w:t>
            </w:r>
          </w:p>
        </w:tc>
      </w:tr>
      <w:tr w:rsidR="009757A9" w14:paraId="61FD866F" w14:textId="77777777">
        <w:trPr>
          <w:trHeight w:hRule="exact" w:val="383"/>
        </w:trPr>
        <w:tc>
          <w:tcPr>
            <w:tcW w:w="6833" w:type="dxa"/>
            <w:gridSpan w:val="2"/>
            <w:tcBorders>
              <w:top w:val="none" w:sz="0" w:space="0" w:color="020000"/>
              <w:left w:val="none" w:sz="0" w:space="0" w:color="020000"/>
              <w:bottom w:val="none" w:sz="0" w:space="0" w:color="020000"/>
              <w:right w:val="none" w:sz="0" w:space="0" w:color="020000"/>
            </w:tcBorders>
            <w:vAlign w:val="center"/>
          </w:tcPr>
          <w:p w14:paraId="0E817593" w14:textId="77777777" w:rsidR="009757A9" w:rsidRDefault="00083242">
            <w:pPr>
              <w:spacing w:before="58" w:after="91" w:line="220" w:lineRule="exact"/>
              <w:ind w:left="22"/>
              <w:textAlignment w:val="baseline"/>
              <w:rPr>
                <w:rFonts w:ascii="Tahoma" w:eastAsia="Tahoma" w:hAnsi="Tahoma"/>
                <w:color w:val="404042"/>
                <w:sz w:val="18"/>
              </w:rPr>
            </w:pPr>
            <w:r>
              <w:rPr>
                <w:rFonts w:ascii="Tahoma" w:eastAsia="Tahoma" w:hAnsi="Tahoma"/>
                <w:color w:val="404042"/>
                <w:sz w:val="18"/>
              </w:rPr>
              <w:t>Education Passport</w:t>
            </w:r>
          </w:p>
        </w:tc>
        <w:tc>
          <w:tcPr>
            <w:tcW w:w="3420" w:type="dxa"/>
            <w:gridSpan w:val="2"/>
            <w:tcBorders>
              <w:top w:val="none" w:sz="0" w:space="0" w:color="020000"/>
              <w:left w:val="none" w:sz="0" w:space="0" w:color="020000"/>
              <w:bottom w:val="none" w:sz="0" w:space="0" w:color="020000"/>
              <w:right w:val="none" w:sz="0" w:space="0" w:color="020000"/>
            </w:tcBorders>
            <w:vAlign w:val="center"/>
          </w:tcPr>
          <w:p w14:paraId="1788464C" w14:textId="77777777" w:rsidR="009757A9" w:rsidRDefault="00083242">
            <w:pPr>
              <w:spacing w:before="58" w:after="91" w:line="220" w:lineRule="exact"/>
              <w:ind w:right="1923"/>
              <w:jc w:val="right"/>
              <w:textAlignment w:val="baseline"/>
              <w:rPr>
                <w:rFonts w:ascii="Tahoma" w:eastAsia="Tahoma" w:hAnsi="Tahoma"/>
                <w:color w:val="404042"/>
                <w:sz w:val="18"/>
              </w:rPr>
            </w:pPr>
            <w:r>
              <w:rPr>
                <w:rFonts w:ascii="Tahoma" w:eastAsia="Tahoma" w:hAnsi="Tahoma"/>
                <w:color w:val="404042"/>
                <w:sz w:val="18"/>
              </w:rPr>
              <w:t>114</w:t>
            </w:r>
          </w:p>
        </w:tc>
      </w:tr>
      <w:tr w:rsidR="009757A9" w14:paraId="4499A8AE" w14:textId="77777777">
        <w:trPr>
          <w:trHeight w:hRule="exact" w:val="418"/>
        </w:trPr>
        <w:tc>
          <w:tcPr>
            <w:tcW w:w="7313" w:type="dxa"/>
            <w:gridSpan w:val="3"/>
            <w:tcBorders>
              <w:top w:val="none" w:sz="0" w:space="0" w:color="020000"/>
              <w:left w:val="none" w:sz="0" w:space="0" w:color="020000"/>
              <w:bottom w:val="single" w:sz="4" w:space="0" w:color="000000"/>
              <w:right w:val="none" w:sz="0" w:space="0" w:color="020000"/>
            </w:tcBorders>
            <w:vAlign w:val="center"/>
          </w:tcPr>
          <w:p w14:paraId="561B2C56" w14:textId="77777777" w:rsidR="009757A9" w:rsidRDefault="00083242">
            <w:pPr>
              <w:spacing w:before="88" w:after="47" w:line="268" w:lineRule="exact"/>
              <w:ind w:left="22"/>
              <w:textAlignment w:val="baseline"/>
              <w:rPr>
                <w:rFonts w:ascii="Tahoma" w:eastAsia="Tahoma" w:hAnsi="Tahoma"/>
                <w:color w:val="007896"/>
              </w:rPr>
            </w:pPr>
            <w:r>
              <w:rPr>
                <w:rFonts w:ascii="Tahoma" w:eastAsia="Tahoma" w:hAnsi="Tahoma"/>
                <w:color w:val="007896"/>
              </w:rPr>
              <w:t>Chapter 6: Ensuring all students have an equal chance of success</w:t>
            </w:r>
          </w:p>
        </w:tc>
        <w:tc>
          <w:tcPr>
            <w:tcW w:w="2940" w:type="dxa"/>
            <w:tcBorders>
              <w:top w:val="none" w:sz="0" w:space="0" w:color="020000"/>
              <w:left w:val="none" w:sz="0" w:space="0" w:color="020000"/>
              <w:bottom w:val="single" w:sz="4" w:space="0" w:color="000000"/>
              <w:right w:val="none" w:sz="0" w:space="0" w:color="020000"/>
            </w:tcBorders>
            <w:vAlign w:val="center"/>
          </w:tcPr>
          <w:p w14:paraId="6B80BB2D" w14:textId="77777777" w:rsidR="009757A9" w:rsidRDefault="00083242">
            <w:pPr>
              <w:spacing w:before="99" w:after="48" w:line="256" w:lineRule="exact"/>
              <w:ind w:left="657"/>
              <w:textAlignment w:val="baseline"/>
              <w:rPr>
                <w:rFonts w:ascii="Arial" w:eastAsia="Arial" w:hAnsi="Arial"/>
                <w:b/>
                <w:color w:val="007896"/>
                <w:sz w:val="23"/>
              </w:rPr>
            </w:pPr>
            <w:r>
              <w:rPr>
                <w:rFonts w:ascii="Arial" w:eastAsia="Arial" w:hAnsi="Arial"/>
                <w:b/>
                <w:color w:val="007896"/>
                <w:sz w:val="23"/>
              </w:rPr>
              <w:t>119</w:t>
            </w:r>
          </w:p>
        </w:tc>
      </w:tr>
      <w:tr w:rsidR="009757A9" w14:paraId="6A273DF4" w14:textId="77777777">
        <w:trPr>
          <w:trHeight w:hRule="exact" w:val="470"/>
        </w:trPr>
        <w:tc>
          <w:tcPr>
            <w:tcW w:w="7313" w:type="dxa"/>
            <w:gridSpan w:val="3"/>
            <w:tcBorders>
              <w:top w:val="single" w:sz="4" w:space="0" w:color="000000"/>
              <w:left w:val="none" w:sz="0" w:space="0" w:color="020000"/>
              <w:bottom w:val="none" w:sz="0" w:space="0" w:color="020000"/>
              <w:right w:val="none" w:sz="0" w:space="0" w:color="020000"/>
            </w:tcBorders>
            <w:vAlign w:val="center"/>
          </w:tcPr>
          <w:p w14:paraId="55E8F473" w14:textId="77777777" w:rsidR="009757A9" w:rsidRDefault="00083242">
            <w:pPr>
              <w:spacing w:before="203" w:after="38" w:line="220" w:lineRule="exact"/>
              <w:ind w:left="22"/>
              <w:textAlignment w:val="baseline"/>
              <w:rPr>
                <w:rFonts w:ascii="Tahoma" w:eastAsia="Tahoma" w:hAnsi="Tahoma"/>
                <w:color w:val="404042"/>
                <w:sz w:val="18"/>
              </w:rPr>
            </w:pPr>
            <w:r>
              <w:rPr>
                <w:rFonts w:ascii="Tahoma" w:eastAsia="Tahoma" w:hAnsi="Tahoma"/>
                <w:color w:val="404042"/>
                <w:sz w:val="18"/>
              </w:rPr>
              <w:t>C</w:t>
            </w:r>
            <w:r>
              <w:rPr>
                <w:rFonts w:ascii="Verdana" w:eastAsia="Verdana" w:hAnsi="Verdana"/>
                <w:color w:val="404042"/>
                <w:sz w:val="17"/>
              </w:rPr>
              <w:t>hapter findings</w:t>
            </w:r>
          </w:p>
        </w:tc>
        <w:tc>
          <w:tcPr>
            <w:tcW w:w="2940" w:type="dxa"/>
            <w:tcBorders>
              <w:top w:val="single" w:sz="4" w:space="0" w:color="000000"/>
              <w:left w:val="none" w:sz="0" w:space="0" w:color="020000"/>
              <w:bottom w:val="none" w:sz="0" w:space="0" w:color="020000"/>
              <w:right w:val="none" w:sz="0" w:space="0" w:color="020000"/>
            </w:tcBorders>
            <w:vAlign w:val="center"/>
          </w:tcPr>
          <w:p w14:paraId="64F6C66D" w14:textId="77777777" w:rsidR="009757A9" w:rsidRDefault="00083242">
            <w:pPr>
              <w:spacing w:before="204" w:after="38" w:line="219" w:lineRule="exact"/>
              <w:ind w:left="657"/>
              <w:textAlignment w:val="baseline"/>
              <w:rPr>
                <w:rFonts w:ascii="Verdana" w:eastAsia="Verdana" w:hAnsi="Verdana"/>
                <w:color w:val="404042"/>
                <w:sz w:val="17"/>
              </w:rPr>
            </w:pPr>
            <w:r>
              <w:rPr>
                <w:rFonts w:ascii="Verdana" w:eastAsia="Verdana" w:hAnsi="Verdana"/>
                <w:color w:val="404042"/>
                <w:sz w:val="17"/>
              </w:rPr>
              <w:t>120</w:t>
            </w:r>
          </w:p>
        </w:tc>
      </w:tr>
      <w:tr w:rsidR="009757A9" w14:paraId="12A046DE" w14:textId="77777777">
        <w:trPr>
          <w:trHeight w:hRule="exact" w:val="322"/>
        </w:trPr>
        <w:tc>
          <w:tcPr>
            <w:tcW w:w="7313" w:type="dxa"/>
            <w:gridSpan w:val="3"/>
            <w:tcBorders>
              <w:top w:val="none" w:sz="0" w:space="0" w:color="020000"/>
              <w:left w:val="none" w:sz="0" w:space="0" w:color="020000"/>
              <w:bottom w:val="none" w:sz="0" w:space="0" w:color="020000"/>
              <w:right w:val="none" w:sz="0" w:space="0" w:color="020000"/>
            </w:tcBorders>
            <w:vAlign w:val="center"/>
          </w:tcPr>
          <w:p w14:paraId="7E80AB3A" w14:textId="77777777" w:rsidR="009757A9" w:rsidRDefault="00083242">
            <w:pPr>
              <w:spacing w:before="59" w:after="28" w:line="220" w:lineRule="exact"/>
              <w:ind w:left="22"/>
              <w:textAlignment w:val="baseline"/>
              <w:rPr>
                <w:rFonts w:ascii="Tahoma" w:eastAsia="Tahoma" w:hAnsi="Tahoma"/>
                <w:color w:val="404042"/>
                <w:sz w:val="18"/>
              </w:rPr>
            </w:pPr>
            <w:r>
              <w:rPr>
                <w:rFonts w:ascii="Tahoma" w:eastAsia="Tahoma" w:hAnsi="Tahoma"/>
                <w:color w:val="404042"/>
                <w:sz w:val="18"/>
              </w:rPr>
              <w:t>Engagement and wellbeing</w:t>
            </w:r>
          </w:p>
        </w:tc>
        <w:tc>
          <w:tcPr>
            <w:tcW w:w="2940" w:type="dxa"/>
            <w:tcBorders>
              <w:top w:val="none" w:sz="0" w:space="0" w:color="020000"/>
              <w:left w:val="none" w:sz="0" w:space="0" w:color="020000"/>
              <w:bottom w:val="none" w:sz="0" w:space="0" w:color="020000"/>
              <w:right w:val="none" w:sz="0" w:space="0" w:color="020000"/>
            </w:tcBorders>
            <w:vAlign w:val="center"/>
          </w:tcPr>
          <w:p w14:paraId="2935DE5C" w14:textId="77777777" w:rsidR="009757A9" w:rsidRDefault="00083242">
            <w:pPr>
              <w:spacing w:before="59" w:after="28" w:line="220" w:lineRule="exact"/>
              <w:ind w:left="657"/>
              <w:textAlignment w:val="baseline"/>
              <w:rPr>
                <w:rFonts w:ascii="Tahoma" w:eastAsia="Tahoma" w:hAnsi="Tahoma"/>
                <w:color w:val="404042"/>
                <w:sz w:val="18"/>
              </w:rPr>
            </w:pPr>
            <w:r>
              <w:rPr>
                <w:rFonts w:ascii="Tahoma" w:eastAsia="Tahoma" w:hAnsi="Tahoma"/>
                <w:color w:val="404042"/>
                <w:sz w:val="18"/>
              </w:rPr>
              <w:t>121</w:t>
            </w:r>
          </w:p>
        </w:tc>
      </w:tr>
      <w:tr w:rsidR="009757A9" w14:paraId="0939FB6D" w14:textId="77777777">
        <w:trPr>
          <w:trHeight w:hRule="exact" w:val="326"/>
        </w:trPr>
        <w:tc>
          <w:tcPr>
            <w:tcW w:w="7313" w:type="dxa"/>
            <w:gridSpan w:val="3"/>
            <w:tcBorders>
              <w:top w:val="none" w:sz="0" w:space="0" w:color="020000"/>
              <w:left w:val="none" w:sz="0" w:space="0" w:color="020000"/>
              <w:bottom w:val="none" w:sz="0" w:space="0" w:color="020000"/>
              <w:right w:val="none" w:sz="0" w:space="0" w:color="020000"/>
            </w:tcBorders>
            <w:vAlign w:val="center"/>
          </w:tcPr>
          <w:p w14:paraId="29CB6527" w14:textId="77777777" w:rsidR="009757A9" w:rsidRDefault="00083242">
            <w:pPr>
              <w:spacing w:before="63" w:after="34" w:line="220" w:lineRule="exact"/>
              <w:ind w:left="22"/>
              <w:textAlignment w:val="baseline"/>
              <w:rPr>
                <w:rFonts w:ascii="Tahoma" w:eastAsia="Tahoma" w:hAnsi="Tahoma"/>
                <w:color w:val="404042"/>
                <w:sz w:val="18"/>
              </w:rPr>
            </w:pPr>
            <w:r>
              <w:rPr>
                <w:rFonts w:ascii="Tahoma" w:eastAsia="Tahoma" w:hAnsi="Tahoma"/>
                <w:color w:val="404042"/>
                <w:sz w:val="18"/>
              </w:rPr>
              <w:t>Flexible learning approaches</w:t>
            </w:r>
          </w:p>
        </w:tc>
        <w:tc>
          <w:tcPr>
            <w:tcW w:w="2940" w:type="dxa"/>
            <w:tcBorders>
              <w:top w:val="none" w:sz="0" w:space="0" w:color="020000"/>
              <w:left w:val="none" w:sz="0" w:space="0" w:color="020000"/>
              <w:bottom w:val="none" w:sz="0" w:space="0" w:color="020000"/>
              <w:right w:val="none" w:sz="0" w:space="0" w:color="020000"/>
            </w:tcBorders>
            <w:vAlign w:val="center"/>
          </w:tcPr>
          <w:p w14:paraId="7AF44CFA" w14:textId="77777777" w:rsidR="009757A9" w:rsidRDefault="00083242">
            <w:pPr>
              <w:spacing w:before="63" w:after="34" w:line="220" w:lineRule="exact"/>
              <w:ind w:left="657"/>
              <w:textAlignment w:val="baseline"/>
              <w:rPr>
                <w:rFonts w:ascii="Tahoma" w:eastAsia="Tahoma" w:hAnsi="Tahoma"/>
                <w:color w:val="404042"/>
                <w:sz w:val="18"/>
              </w:rPr>
            </w:pPr>
            <w:r>
              <w:rPr>
                <w:rFonts w:ascii="Tahoma" w:eastAsia="Tahoma" w:hAnsi="Tahoma"/>
                <w:color w:val="404042"/>
                <w:sz w:val="18"/>
              </w:rPr>
              <w:t>121</w:t>
            </w:r>
          </w:p>
        </w:tc>
      </w:tr>
      <w:tr w:rsidR="009757A9" w14:paraId="4A379AD8" w14:textId="77777777">
        <w:trPr>
          <w:trHeight w:hRule="exact" w:val="332"/>
        </w:trPr>
        <w:tc>
          <w:tcPr>
            <w:tcW w:w="7313" w:type="dxa"/>
            <w:gridSpan w:val="3"/>
            <w:tcBorders>
              <w:top w:val="none" w:sz="0" w:space="0" w:color="020000"/>
              <w:left w:val="none" w:sz="0" w:space="0" w:color="020000"/>
              <w:bottom w:val="none" w:sz="0" w:space="0" w:color="020000"/>
              <w:right w:val="none" w:sz="0" w:space="0" w:color="020000"/>
            </w:tcBorders>
            <w:vAlign w:val="center"/>
          </w:tcPr>
          <w:p w14:paraId="106F2798" w14:textId="77777777" w:rsidR="009757A9" w:rsidRDefault="00083242">
            <w:pPr>
              <w:spacing w:before="64" w:after="38" w:line="220" w:lineRule="exact"/>
              <w:ind w:left="22"/>
              <w:textAlignment w:val="baseline"/>
              <w:rPr>
                <w:rFonts w:ascii="Tahoma" w:eastAsia="Tahoma" w:hAnsi="Tahoma"/>
                <w:color w:val="404042"/>
                <w:sz w:val="18"/>
              </w:rPr>
            </w:pPr>
            <w:r>
              <w:rPr>
                <w:rFonts w:ascii="Tahoma" w:eastAsia="Tahoma" w:hAnsi="Tahoma"/>
                <w:color w:val="404042"/>
                <w:sz w:val="18"/>
              </w:rPr>
              <w:t>Supporting all students</w:t>
            </w:r>
          </w:p>
        </w:tc>
        <w:tc>
          <w:tcPr>
            <w:tcW w:w="2940" w:type="dxa"/>
            <w:tcBorders>
              <w:top w:val="none" w:sz="0" w:space="0" w:color="020000"/>
              <w:left w:val="none" w:sz="0" w:space="0" w:color="020000"/>
              <w:bottom w:val="none" w:sz="0" w:space="0" w:color="020000"/>
              <w:right w:val="none" w:sz="0" w:space="0" w:color="020000"/>
            </w:tcBorders>
            <w:vAlign w:val="center"/>
          </w:tcPr>
          <w:p w14:paraId="134E9F07" w14:textId="77777777" w:rsidR="009757A9" w:rsidRDefault="00083242">
            <w:pPr>
              <w:spacing w:before="64" w:after="38" w:line="220" w:lineRule="exact"/>
              <w:ind w:left="657"/>
              <w:textAlignment w:val="baseline"/>
              <w:rPr>
                <w:rFonts w:ascii="Tahoma" w:eastAsia="Tahoma" w:hAnsi="Tahoma"/>
                <w:color w:val="404042"/>
                <w:sz w:val="18"/>
              </w:rPr>
            </w:pPr>
            <w:r>
              <w:rPr>
                <w:rFonts w:ascii="Tahoma" w:eastAsia="Tahoma" w:hAnsi="Tahoma"/>
                <w:color w:val="404042"/>
                <w:sz w:val="18"/>
              </w:rPr>
              <w:t>125</w:t>
            </w:r>
          </w:p>
        </w:tc>
      </w:tr>
      <w:tr w:rsidR="009757A9" w14:paraId="7989532D" w14:textId="77777777">
        <w:trPr>
          <w:trHeight w:hRule="exact" w:val="321"/>
        </w:trPr>
        <w:tc>
          <w:tcPr>
            <w:tcW w:w="7313" w:type="dxa"/>
            <w:gridSpan w:val="3"/>
            <w:tcBorders>
              <w:top w:val="none" w:sz="0" w:space="0" w:color="020000"/>
              <w:left w:val="none" w:sz="0" w:space="0" w:color="020000"/>
              <w:bottom w:val="none" w:sz="0" w:space="0" w:color="020000"/>
              <w:right w:val="none" w:sz="0" w:space="0" w:color="020000"/>
            </w:tcBorders>
            <w:vAlign w:val="center"/>
          </w:tcPr>
          <w:p w14:paraId="523C3F5D" w14:textId="77777777" w:rsidR="009757A9" w:rsidRDefault="00083242">
            <w:pPr>
              <w:spacing w:before="53" w:after="34" w:line="220" w:lineRule="exact"/>
              <w:ind w:left="22"/>
              <w:textAlignment w:val="baseline"/>
              <w:rPr>
                <w:rFonts w:ascii="Tahoma" w:eastAsia="Tahoma" w:hAnsi="Tahoma"/>
                <w:color w:val="404042"/>
                <w:sz w:val="18"/>
              </w:rPr>
            </w:pPr>
            <w:r>
              <w:rPr>
                <w:rFonts w:ascii="Tahoma" w:eastAsia="Tahoma" w:hAnsi="Tahoma"/>
                <w:color w:val="404042"/>
                <w:sz w:val="18"/>
              </w:rPr>
              <w:t>Support beyond Year 12</w:t>
            </w:r>
          </w:p>
        </w:tc>
        <w:tc>
          <w:tcPr>
            <w:tcW w:w="2940" w:type="dxa"/>
            <w:tcBorders>
              <w:top w:val="none" w:sz="0" w:space="0" w:color="020000"/>
              <w:left w:val="none" w:sz="0" w:space="0" w:color="020000"/>
              <w:bottom w:val="none" w:sz="0" w:space="0" w:color="020000"/>
              <w:right w:val="none" w:sz="0" w:space="0" w:color="020000"/>
            </w:tcBorders>
            <w:vAlign w:val="center"/>
          </w:tcPr>
          <w:p w14:paraId="6C57A607" w14:textId="77777777" w:rsidR="009757A9" w:rsidRDefault="00083242">
            <w:pPr>
              <w:spacing w:before="53" w:after="34" w:line="220" w:lineRule="exact"/>
              <w:ind w:left="657"/>
              <w:textAlignment w:val="baseline"/>
              <w:rPr>
                <w:rFonts w:ascii="Tahoma" w:eastAsia="Tahoma" w:hAnsi="Tahoma"/>
                <w:color w:val="404042"/>
                <w:sz w:val="18"/>
              </w:rPr>
            </w:pPr>
            <w:r>
              <w:rPr>
                <w:rFonts w:ascii="Tahoma" w:eastAsia="Tahoma" w:hAnsi="Tahoma"/>
                <w:color w:val="404042"/>
                <w:sz w:val="18"/>
              </w:rPr>
              <w:t>133</w:t>
            </w:r>
          </w:p>
        </w:tc>
      </w:tr>
      <w:tr w:rsidR="009757A9" w14:paraId="53A24881" w14:textId="77777777">
        <w:trPr>
          <w:trHeight w:hRule="exact" w:val="354"/>
        </w:trPr>
        <w:tc>
          <w:tcPr>
            <w:tcW w:w="7313" w:type="dxa"/>
            <w:gridSpan w:val="3"/>
            <w:tcBorders>
              <w:top w:val="none" w:sz="0" w:space="0" w:color="020000"/>
              <w:left w:val="none" w:sz="0" w:space="0" w:color="020000"/>
              <w:bottom w:val="none" w:sz="0" w:space="0" w:color="020000"/>
              <w:right w:val="none" w:sz="0" w:space="0" w:color="020000"/>
            </w:tcBorders>
            <w:vAlign w:val="center"/>
          </w:tcPr>
          <w:p w14:paraId="2448D046" w14:textId="77777777" w:rsidR="009757A9" w:rsidRDefault="00083242">
            <w:pPr>
              <w:spacing w:before="59" w:after="67" w:line="220" w:lineRule="exact"/>
              <w:ind w:left="22"/>
              <w:textAlignment w:val="baseline"/>
              <w:rPr>
                <w:rFonts w:ascii="Tahoma" w:eastAsia="Tahoma" w:hAnsi="Tahoma"/>
                <w:color w:val="404042"/>
                <w:sz w:val="18"/>
              </w:rPr>
            </w:pPr>
            <w:r>
              <w:rPr>
                <w:rFonts w:ascii="Tahoma" w:eastAsia="Tahoma" w:hAnsi="Tahoma"/>
                <w:color w:val="404042"/>
                <w:sz w:val="18"/>
              </w:rPr>
              <w:t>A systemic approach to overcoming disadvantage</w:t>
            </w:r>
          </w:p>
        </w:tc>
        <w:tc>
          <w:tcPr>
            <w:tcW w:w="2940" w:type="dxa"/>
            <w:tcBorders>
              <w:top w:val="none" w:sz="0" w:space="0" w:color="020000"/>
              <w:left w:val="none" w:sz="0" w:space="0" w:color="020000"/>
              <w:bottom w:val="none" w:sz="0" w:space="0" w:color="020000"/>
              <w:right w:val="none" w:sz="0" w:space="0" w:color="020000"/>
            </w:tcBorders>
            <w:vAlign w:val="center"/>
          </w:tcPr>
          <w:p w14:paraId="186AC8B3" w14:textId="77777777" w:rsidR="009757A9" w:rsidRDefault="00083242">
            <w:pPr>
              <w:spacing w:before="59" w:after="67" w:line="220" w:lineRule="exact"/>
              <w:ind w:left="657"/>
              <w:textAlignment w:val="baseline"/>
              <w:rPr>
                <w:rFonts w:ascii="Tahoma" w:eastAsia="Tahoma" w:hAnsi="Tahoma"/>
                <w:color w:val="404042"/>
                <w:sz w:val="18"/>
              </w:rPr>
            </w:pPr>
            <w:r>
              <w:rPr>
                <w:rFonts w:ascii="Tahoma" w:eastAsia="Tahoma" w:hAnsi="Tahoma"/>
                <w:color w:val="404042"/>
                <w:sz w:val="18"/>
              </w:rPr>
              <w:t>135</w:t>
            </w:r>
          </w:p>
        </w:tc>
      </w:tr>
    </w:tbl>
    <w:p w14:paraId="13C44FA9" w14:textId="77777777" w:rsidR="009757A9" w:rsidRDefault="009757A9">
      <w:pPr>
        <w:spacing w:after="88" w:line="20" w:lineRule="exact"/>
      </w:pPr>
    </w:p>
    <w:p w14:paraId="6D30D537" w14:textId="77777777" w:rsidR="009757A9" w:rsidRDefault="00083242">
      <w:pPr>
        <w:tabs>
          <w:tab w:val="left" w:pos="8784"/>
        </w:tabs>
        <w:spacing w:before="10" w:after="31" w:line="275" w:lineRule="exact"/>
        <w:ind w:left="864"/>
        <w:textAlignment w:val="baseline"/>
        <w:rPr>
          <w:rFonts w:ascii="Tahoma" w:eastAsia="Tahoma" w:hAnsi="Tahoma"/>
          <w:color w:val="007896"/>
        </w:rPr>
      </w:pPr>
      <w:r>
        <w:rPr>
          <w:rFonts w:ascii="Tahoma" w:eastAsia="Tahoma" w:hAnsi="Tahoma"/>
          <w:color w:val="007896"/>
        </w:rPr>
        <w:t>Chapter 7: Creating evidence-based policy</w:t>
      </w:r>
      <w:r>
        <w:rPr>
          <w:rFonts w:ascii="Tahoma" w:eastAsia="Tahoma" w:hAnsi="Tahoma"/>
          <w:color w:val="007896"/>
        </w:rPr>
        <w:tab/>
      </w:r>
      <w:r>
        <w:rPr>
          <w:rFonts w:ascii="Arial" w:eastAsia="Arial" w:hAnsi="Arial"/>
          <w:b/>
          <w:color w:val="007896"/>
          <w:sz w:val="23"/>
        </w:rPr>
        <w:t>139</w:t>
      </w:r>
    </w:p>
    <w:p w14:paraId="0570A27C" w14:textId="77777777" w:rsidR="009757A9" w:rsidRDefault="000D2E34">
      <w:pPr>
        <w:spacing w:before="88" w:line="20" w:lineRule="exact"/>
      </w:pPr>
      <w:r>
        <w:rPr>
          <w:noProof/>
          <w:lang w:val="en-AU" w:eastAsia="en-AU"/>
        </w:rPr>
        <mc:AlternateContent>
          <mc:Choice Requires="wps">
            <w:drawing>
              <wp:anchor distT="0" distB="0" distL="114300" distR="114300" simplePos="0" relativeHeight="251800064" behindDoc="0" locked="0" layoutInCell="1" allowOverlap="1" wp14:anchorId="0D55254F" wp14:editId="1684EF74">
                <wp:simplePos x="0" y="0"/>
                <wp:positionH relativeFrom="page">
                  <wp:posOffset>539750</wp:posOffset>
                </wp:positionH>
                <wp:positionV relativeFrom="page">
                  <wp:posOffset>5178425</wp:posOffset>
                </wp:positionV>
                <wp:extent cx="6483350" cy="0"/>
                <wp:effectExtent l="0" t="0" r="0" b="0"/>
                <wp:wrapNone/>
                <wp:docPr id="986" name="Lin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0" cy="0"/>
                        </a:xfrm>
                        <a:prstGeom prst="line">
                          <a:avLst/>
                        </a:prstGeom>
                        <a:noFill/>
                        <a:ln w="6350">
                          <a:solidFill>
                            <a:srgbClr val="0078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2042B" id="Line 707" o:spid="_x0000_s1026" style="position:absolute;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07.75pt" to="553pt,4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rrzQEAAIYDAAAOAAAAZHJzL2Uyb0RvYy54bWysU01v2zAMvQ/YfxB0X+y0W5IacXpI1l2y&#10;LUC7H8BIsi1MFgVJiZ1/P0r56Nbdhl0EUSQfHx+p5ePYG3ZUPmi0NZ9OSs6UFSi1bWv+4+Xpw4Kz&#10;EMFKMGhVzU8q8MfV+3fLwVXqDjs0UnlGIDZUg6t5F6OriiKITvUQJuiUJWeDvodIpm8L6WEg9N4U&#10;d2U5Kwb00nkUKgR63ZydfJXxm0aJ+L1pgorM1Jy4xXz6fO7TWayWULUeXKfFhQb8A4setKWiN6gN&#10;RGAHr/+C6rXwGLCJE4F9gU2jhco9UDfT8k03zx04lXshcYK7yRT+H6z4dtx5pmXNHxYzziz0NKSt&#10;torNy3lSZ3ChoqC13fnUnxjts9ui+BmYxXUHtlWZ5cvJUeI0ZRR/pCQjOKqxH76ipBg4RMxSjY3v&#10;EySJwMY8kdNtImqMTNDj7OPi/v4TDU5cfQVU10TnQ/yisGfpUnNDrDMwHLchJiJQXUNSHYtP2pg8&#10;cGPZQOAJOXkCGi2TMxu+3a+NZ0dIK1POFw+z3NWbsIS8gdCd4zLCeZk8HqzMVToF8vPlHkGb851Y&#10;GXtRKQlzlniP8rTzV/Vo2Jn+ZTHTNv1u5+zX77P6BQAA//8DAFBLAwQUAAYACAAAACEA52mPud8A&#10;AAALAQAADwAAAGRycy9kb3ducmV2LnhtbEyPT0vEMBDF74LfIYzgRdykatdSmy7in4N42iroMW2y&#10;TbGZlCS7rd/eWRD0NMybx5vfqzaLG9nBhDh4lJCtBDCDndcD9hLe354vC2AxKdRq9GgkfJsIm/r0&#10;pFKl9jNuzaFJPaMQjKWSYFOaSs5jZ41TceUng3Tb+eBUojX0XAc1U7gb+ZUQa+7UgPTBqsk8WNN9&#10;NXsnYTtf3Dw19uNl99pM17eF+Gwfg5fy/Gy5vwOWzJL+zHDEJ3Soian1e9SRjRKKnKokmlmeAzsa&#10;MrEmqf2VeF3x/x3qHwAAAP//AwBQSwECLQAUAAYACAAAACEAtoM4kv4AAADhAQAAEwAAAAAAAAAA&#10;AAAAAAAAAAAAW0NvbnRlbnRfVHlwZXNdLnhtbFBLAQItABQABgAIAAAAIQA4/SH/1gAAAJQBAAAL&#10;AAAAAAAAAAAAAAAAAC8BAABfcmVscy8ucmVsc1BLAQItABQABgAIAAAAIQCjatrrzQEAAIYDAAAO&#10;AAAAAAAAAAAAAAAAAC4CAABkcnMvZTJvRG9jLnhtbFBLAQItABQABgAIAAAAIQDnaY+53wAAAAsB&#10;AAAPAAAAAAAAAAAAAAAAACcEAABkcnMvZG93bnJldi54bWxQSwUGAAAAAAQABADzAAAAMwUAAAAA&#10;" strokecolor="#007896" strokeweight=".5pt">
                <w10:wrap anchorx="page" anchory="page"/>
              </v:line>
            </w:pict>
          </mc:Fallback>
        </mc:AlternateContent>
      </w:r>
    </w:p>
    <w:tbl>
      <w:tblPr>
        <w:tblW w:w="0" w:type="auto"/>
        <w:tblInd w:w="828" w:type="dxa"/>
        <w:tblLayout w:type="fixed"/>
        <w:tblCellMar>
          <w:left w:w="0" w:type="dxa"/>
          <w:right w:w="0" w:type="dxa"/>
        </w:tblCellMar>
        <w:tblLook w:val="04A0" w:firstRow="1" w:lastRow="0" w:firstColumn="1" w:lastColumn="0" w:noHBand="0" w:noVBand="1"/>
      </w:tblPr>
      <w:tblGrid>
        <w:gridCol w:w="6161"/>
        <w:gridCol w:w="4092"/>
      </w:tblGrid>
      <w:tr w:rsidR="009757A9" w14:paraId="0326223C" w14:textId="77777777">
        <w:trPr>
          <w:trHeight w:hRule="exact" w:val="1818"/>
        </w:trPr>
        <w:tc>
          <w:tcPr>
            <w:tcW w:w="6161" w:type="dxa"/>
            <w:tcBorders>
              <w:top w:val="none" w:sz="0" w:space="0" w:color="020000"/>
              <w:left w:val="none" w:sz="0" w:space="0" w:color="020000"/>
              <w:bottom w:val="single" w:sz="4" w:space="0" w:color="000000"/>
              <w:right w:val="none" w:sz="0" w:space="0" w:color="020000"/>
            </w:tcBorders>
          </w:tcPr>
          <w:p w14:paraId="4D161A21" w14:textId="77777777" w:rsidR="009757A9" w:rsidRDefault="00083242">
            <w:pPr>
              <w:spacing w:before="105" w:line="220" w:lineRule="exact"/>
              <w:textAlignment w:val="baseline"/>
              <w:rPr>
                <w:rFonts w:ascii="Tahoma" w:eastAsia="Tahoma" w:hAnsi="Tahoma"/>
                <w:color w:val="404042"/>
                <w:sz w:val="18"/>
              </w:rPr>
            </w:pPr>
            <w:r>
              <w:rPr>
                <w:rFonts w:ascii="Tahoma" w:eastAsia="Tahoma" w:hAnsi="Tahoma"/>
                <w:color w:val="404042"/>
                <w:sz w:val="18"/>
              </w:rPr>
              <w:t>C</w:t>
            </w:r>
            <w:r>
              <w:rPr>
                <w:rFonts w:ascii="Verdana" w:eastAsia="Verdana" w:hAnsi="Verdana"/>
                <w:color w:val="404042"/>
                <w:sz w:val="17"/>
              </w:rPr>
              <w:t>hapter findings</w:t>
            </w:r>
          </w:p>
          <w:p w14:paraId="63F54ED6" w14:textId="77777777" w:rsidR="009757A9" w:rsidRDefault="00083242">
            <w:pPr>
              <w:spacing w:before="107" w:line="220" w:lineRule="exact"/>
              <w:textAlignment w:val="baseline"/>
              <w:rPr>
                <w:rFonts w:ascii="Tahoma" w:eastAsia="Tahoma" w:hAnsi="Tahoma"/>
                <w:color w:val="404042"/>
                <w:sz w:val="18"/>
              </w:rPr>
            </w:pPr>
            <w:r>
              <w:rPr>
                <w:rFonts w:ascii="Tahoma" w:eastAsia="Tahoma" w:hAnsi="Tahoma"/>
                <w:color w:val="404042"/>
                <w:sz w:val="18"/>
              </w:rPr>
              <w:t>Longitudinal studies</w:t>
            </w:r>
          </w:p>
          <w:p w14:paraId="54DE4254" w14:textId="77777777" w:rsidR="009757A9" w:rsidRDefault="00083242">
            <w:pPr>
              <w:spacing w:line="324" w:lineRule="exact"/>
              <w:textAlignment w:val="baseline"/>
              <w:rPr>
                <w:rFonts w:ascii="Verdana" w:eastAsia="Verdana" w:hAnsi="Verdana"/>
                <w:color w:val="404042"/>
                <w:sz w:val="17"/>
              </w:rPr>
            </w:pPr>
            <w:r>
              <w:rPr>
                <w:rFonts w:ascii="Verdana" w:eastAsia="Verdana" w:hAnsi="Verdana"/>
                <w:color w:val="404042"/>
                <w:sz w:val="17"/>
              </w:rPr>
              <w:t xml:space="preserve">Unique Student Identifier </w:t>
            </w:r>
            <w:r>
              <w:rPr>
                <w:rFonts w:ascii="Verdana" w:eastAsia="Verdana" w:hAnsi="Verdana"/>
                <w:color w:val="404042"/>
                <w:sz w:val="17"/>
              </w:rPr>
              <w:br/>
            </w:r>
            <w:r>
              <w:rPr>
                <w:rFonts w:ascii="Tahoma" w:eastAsia="Tahoma" w:hAnsi="Tahoma"/>
                <w:color w:val="404042"/>
                <w:sz w:val="18"/>
              </w:rPr>
              <w:t>Data integration projects</w:t>
            </w:r>
          </w:p>
          <w:p w14:paraId="6DA38181" w14:textId="77777777" w:rsidR="009757A9" w:rsidRDefault="00083242">
            <w:pPr>
              <w:spacing w:before="193" w:after="47" w:line="268" w:lineRule="exact"/>
              <w:textAlignment w:val="baseline"/>
              <w:rPr>
                <w:rFonts w:ascii="Tahoma" w:eastAsia="Tahoma" w:hAnsi="Tahoma"/>
                <w:color w:val="007896"/>
              </w:rPr>
            </w:pPr>
            <w:r>
              <w:rPr>
                <w:rFonts w:ascii="Tahoma" w:eastAsia="Tahoma" w:hAnsi="Tahoma"/>
                <w:color w:val="007896"/>
              </w:rPr>
              <w:t>Afterword – Reform in a time of pandemic</w:t>
            </w:r>
          </w:p>
        </w:tc>
        <w:tc>
          <w:tcPr>
            <w:tcW w:w="4092" w:type="dxa"/>
            <w:tcBorders>
              <w:top w:val="none" w:sz="0" w:space="0" w:color="020000"/>
              <w:left w:val="none" w:sz="0" w:space="0" w:color="020000"/>
              <w:bottom w:val="single" w:sz="4" w:space="0" w:color="000000"/>
              <w:right w:val="none" w:sz="0" w:space="0" w:color="020000"/>
            </w:tcBorders>
          </w:tcPr>
          <w:p w14:paraId="34AC2EC5" w14:textId="77777777" w:rsidR="009757A9" w:rsidRDefault="00083242">
            <w:pPr>
              <w:spacing w:before="106" w:line="219" w:lineRule="exact"/>
              <w:ind w:left="1800"/>
              <w:textAlignment w:val="baseline"/>
              <w:rPr>
                <w:rFonts w:ascii="Verdana" w:eastAsia="Verdana" w:hAnsi="Verdana"/>
                <w:color w:val="404042"/>
                <w:sz w:val="17"/>
              </w:rPr>
            </w:pPr>
            <w:r>
              <w:rPr>
                <w:rFonts w:ascii="Verdana" w:eastAsia="Verdana" w:hAnsi="Verdana"/>
                <w:color w:val="404042"/>
                <w:sz w:val="17"/>
              </w:rPr>
              <w:t>140</w:t>
            </w:r>
          </w:p>
          <w:p w14:paraId="4C8B0D9D" w14:textId="77777777" w:rsidR="009757A9" w:rsidRDefault="00083242">
            <w:pPr>
              <w:spacing w:before="107" w:line="220" w:lineRule="exact"/>
              <w:ind w:left="1800"/>
              <w:textAlignment w:val="baseline"/>
              <w:rPr>
                <w:rFonts w:ascii="Tahoma" w:eastAsia="Tahoma" w:hAnsi="Tahoma"/>
                <w:color w:val="404042"/>
                <w:sz w:val="18"/>
              </w:rPr>
            </w:pPr>
            <w:r>
              <w:rPr>
                <w:rFonts w:ascii="Tahoma" w:eastAsia="Tahoma" w:hAnsi="Tahoma"/>
                <w:color w:val="404042"/>
                <w:sz w:val="18"/>
              </w:rPr>
              <w:t>141</w:t>
            </w:r>
          </w:p>
          <w:p w14:paraId="0D9615E8" w14:textId="77777777" w:rsidR="009757A9" w:rsidRDefault="00083242">
            <w:pPr>
              <w:spacing w:before="102" w:line="219" w:lineRule="exact"/>
              <w:ind w:left="1800"/>
              <w:textAlignment w:val="baseline"/>
              <w:rPr>
                <w:rFonts w:ascii="Verdana" w:eastAsia="Verdana" w:hAnsi="Verdana"/>
                <w:color w:val="404042"/>
                <w:sz w:val="17"/>
              </w:rPr>
            </w:pPr>
            <w:r>
              <w:rPr>
                <w:rFonts w:ascii="Verdana" w:eastAsia="Verdana" w:hAnsi="Verdana"/>
                <w:color w:val="404042"/>
                <w:sz w:val="17"/>
              </w:rPr>
              <w:t>144</w:t>
            </w:r>
          </w:p>
          <w:p w14:paraId="51D31EE6" w14:textId="77777777" w:rsidR="009757A9" w:rsidRDefault="00083242">
            <w:pPr>
              <w:spacing w:before="107" w:line="220" w:lineRule="exact"/>
              <w:ind w:left="1800"/>
              <w:textAlignment w:val="baseline"/>
              <w:rPr>
                <w:rFonts w:ascii="Tahoma" w:eastAsia="Tahoma" w:hAnsi="Tahoma"/>
                <w:color w:val="404042"/>
                <w:sz w:val="18"/>
              </w:rPr>
            </w:pPr>
            <w:r>
              <w:rPr>
                <w:rFonts w:ascii="Tahoma" w:eastAsia="Tahoma" w:hAnsi="Tahoma"/>
                <w:color w:val="404042"/>
                <w:sz w:val="18"/>
              </w:rPr>
              <w:t>145</w:t>
            </w:r>
          </w:p>
          <w:p w14:paraId="2B55518C" w14:textId="77777777" w:rsidR="009757A9" w:rsidRDefault="00083242">
            <w:pPr>
              <w:spacing w:before="204" w:after="48" w:line="256" w:lineRule="exact"/>
              <w:ind w:left="1800"/>
              <w:textAlignment w:val="baseline"/>
              <w:rPr>
                <w:rFonts w:ascii="Arial" w:eastAsia="Arial" w:hAnsi="Arial"/>
                <w:b/>
                <w:color w:val="007896"/>
                <w:sz w:val="23"/>
              </w:rPr>
            </w:pPr>
            <w:r>
              <w:rPr>
                <w:rFonts w:ascii="Arial" w:eastAsia="Arial" w:hAnsi="Arial"/>
                <w:b/>
                <w:color w:val="007896"/>
                <w:sz w:val="23"/>
              </w:rPr>
              <w:t>149</w:t>
            </w:r>
          </w:p>
        </w:tc>
      </w:tr>
      <w:tr w:rsidR="009757A9" w14:paraId="6A95DDEF" w14:textId="77777777">
        <w:trPr>
          <w:trHeight w:hRule="exact" w:val="624"/>
        </w:trPr>
        <w:tc>
          <w:tcPr>
            <w:tcW w:w="6161" w:type="dxa"/>
            <w:tcBorders>
              <w:top w:val="single" w:sz="4" w:space="0" w:color="000000"/>
              <w:left w:val="none" w:sz="0" w:space="0" w:color="020000"/>
              <w:bottom w:val="single" w:sz="4" w:space="0" w:color="000000"/>
              <w:right w:val="none" w:sz="0" w:space="0" w:color="020000"/>
            </w:tcBorders>
            <w:vAlign w:val="bottom"/>
          </w:tcPr>
          <w:p w14:paraId="68FBF804" w14:textId="77777777" w:rsidR="009757A9" w:rsidRDefault="00083242">
            <w:pPr>
              <w:spacing w:before="294" w:after="47" w:line="268" w:lineRule="exact"/>
              <w:ind w:left="22"/>
              <w:textAlignment w:val="baseline"/>
              <w:rPr>
                <w:rFonts w:ascii="Tahoma" w:eastAsia="Tahoma" w:hAnsi="Tahoma"/>
                <w:color w:val="007896"/>
              </w:rPr>
            </w:pPr>
            <w:r>
              <w:rPr>
                <w:rFonts w:ascii="Tahoma" w:eastAsia="Tahoma" w:hAnsi="Tahoma"/>
                <w:color w:val="007896"/>
              </w:rPr>
              <w:t>Abbreviations and acronyms</w:t>
            </w:r>
          </w:p>
        </w:tc>
        <w:tc>
          <w:tcPr>
            <w:tcW w:w="4092" w:type="dxa"/>
            <w:tcBorders>
              <w:top w:val="single" w:sz="4" w:space="0" w:color="000000"/>
              <w:left w:val="none" w:sz="0" w:space="0" w:color="020000"/>
              <w:bottom w:val="single" w:sz="4" w:space="0" w:color="000000"/>
              <w:right w:val="none" w:sz="0" w:space="0" w:color="020000"/>
            </w:tcBorders>
            <w:vAlign w:val="bottom"/>
          </w:tcPr>
          <w:p w14:paraId="25668F58" w14:textId="77777777" w:rsidR="009757A9" w:rsidRDefault="00083242">
            <w:pPr>
              <w:spacing w:before="305" w:after="48" w:line="256" w:lineRule="exact"/>
              <w:ind w:left="1809"/>
              <w:textAlignment w:val="baseline"/>
              <w:rPr>
                <w:rFonts w:ascii="Arial" w:eastAsia="Arial" w:hAnsi="Arial"/>
                <w:b/>
                <w:color w:val="007896"/>
                <w:sz w:val="23"/>
              </w:rPr>
            </w:pPr>
            <w:r>
              <w:rPr>
                <w:rFonts w:ascii="Arial" w:eastAsia="Arial" w:hAnsi="Arial"/>
                <w:b/>
                <w:color w:val="007896"/>
                <w:sz w:val="23"/>
              </w:rPr>
              <w:t>152</w:t>
            </w:r>
          </w:p>
        </w:tc>
      </w:tr>
      <w:tr w:rsidR="009757A9" w14:paraId="5C68D01A" w14:textId="77777777">
        <w:trPr>
          <w:trHeight w:hRule="exact" w:val="619"/>
        </w:trPr>
        <w:tc>
          <w:tcPr>
            <w:tcW w:w="6161" w:type="dxa"/>
            <w:tcBorders>
              <w:top w:val="single" w:sz="4" w:space="0" w:color="000000"/>
              <w:left w:val="none" w:sz="0" w:space="0" w:color="020000"/>
              <w:bottom w:val="single" w:sz="4" w:space="0" w:color="000000"/>
              <w:right w:val="none" w:sz="0" w:space="0" w:color="020000"/>
            </w:tcBorders>
            <w:vAlign w:val="center"/>
          </w:tcPr>
          <w:p w14:paraId="12701828" w14:textId="77777777" w:rsidR="009757A9" w:rsidRDefault="00083242">
            <w:pPr>
              <w:spacing w:before="289" w:after="48" w:line="268" w:lineRule="exact"/>
              <w:ind w:left="22"/>
              <w:textAlignment w:val="baseline"/>
              <w:rPr>
                <w:rFonts w:ascii="Tahoma" w:eastAsia="Tahoma" w:hAnsi="Tahoma"/>
                <w:color w:val="007896"/>
              </w:rPr>
            </w:pPr>
            <w:r>
              <w:rPr>
                <w:rFonts w:ascii="Tahoma" w:eastAsia="Tahoma" w:hAnsi="Tahoma"/>
                <w:color w:val="007896"/>
              </w:rPr>
              <w:t>Glossary</w:t>
            </w:r>
          </w:p>
        </w:tc>
        <w:tc>
          <w:tcPr>
            <w:tcW w:w="4092" w:type="dxa"/>
            <w:tcBorders>
              <w:top w:val="single" w:sz="4" w:space="0" w:color="000000"/>
              <w:left w:val="none" w:sz="0" w:space="0" w:color="020000"/>
              <w:bottom w:val="single" w:sz="4" w:space="0" w:color="000000"/>
              <w:right w:val="none" w:sz="0" w:space="0" w:color="020000"/>
            </w:tcBorders>
            <w:vAlign w:val="bottom"/>
          </w:tcPr>
          <w:p w14:paraId="715B7372" w14:textId="77777777" w:rsidR="009757A9" w:rsidRDefault="00083242">
            <w:pPr>
              <w:spacing w:before="300" w:after="49" w:line="256" w:lineRule="exact"/>
              <w:ind w:left="1809"/>
              <w:textAlignment w:val="baseline"/>
              <w:rPr>
                <w:rFonts w:ascii="Arial" w:eastAsia="Arial" w:hAnsi="Arial"/>
                <w:b/>
                <w:color w:val="007896"/>
                <w:sz w:val="23"/>
              </w:rPr>
            </w:pPr>
            <w:r>
              <w:rPr>
                <w:rFonts w:ascii="Arial" w:eastAsia="Arial" w:hAnsi="Arial"/>
                <w:b/>
                <w:color w:val="007896"/>
                <w:sz w:val="23"/>
              </w:rPr>
              <w:t>153</w:t>
            </w:r>
          </w:p>
        </w:tc>
      </w:tr>
      <w:tr w:rsidR="009757A9" w14:paraId="2806A8D3" w14:textId="77777777">
        <w:trPr>
          <w:trHeight w:hRule="exact" w:val="619"/>
        </w:trPr>
        <w:tc>
          <w:tcPr>
            <w:tcW w:w="6161" w:type="dxa"/>
            <w:tcBorders>
              <w:top w:val="single" w:sz="4" w:space="0" w:color="000000"/>
              <w:left w:val="none" w:sz="0" w:space="0" w:color="020000"/>
              <w:bottom w:val="single" w:sz="4" w:space="0" w:color="000000"/>
              <w:right w:val="none" w:sz="0" w:space="0" w:color="020000"/>
            </w:tcBorders>
            <w:vAlign w:val="bottom"/>
          </w:tcPr>
          <w:p w14:paraId="3C0460AB" w14:textId="77777777" w:rsidR="009757A9" w:rsidRDefault="00083242">
            <w:pPr>
              <w:spacing w:before="290" w:after="48" w:line="267" w:lineRule="exact"/>
              <w:ind w:left="22"/>
              <w:textAlignment w:val="baseline"/>
              <w:rPr>
                <w:rFonts w:ascii="Tahoma" w:eastAsia="Tahoma" w:hAnsi="Tahoma"/>
                <w:color w:val="007896"/>
              </w:rPr>
            </w:pPr>
            <w:r>
              <w:rPr>
                <w:rFonts w:ascii="Tahoma" w:eastAsia="Tahoma" w:hAnsi="Tahoma"/>
                <w:color w:val="007896"/>
              </w:rPr>
              <w:t>Review process</w:t>
            </w:r>
          </w:p>
        </w:tc>
        <w:tc>
          <w:tcPr>
            <w:tcW w:w="4092" w:type="dxa"/>
            <w:tcBorders>
              <w:top w:val="single" w:sz="4" w:space="0" w:color="000000"/>
              <w:left w:val="none" w:sz="0" w:space="0" w:color="020000"/>
              <w:bottom w:val="single" w:sz="4" w:space="0" w:color="000000"/>
              <w:right w:val="none" w:sz="0" w:space="0" w:color="020000"/>
            </w:tcBorders>
            <w:vAlign w:val="bottom"/>
          </w:tcPr>
          <w:p w14:paraId="0EFD5731" w14:textId="77777777" w:rsidR="009757A9" w:rsidRDefault="00083242">
            <w:pPr>
              <w:spacing w:before="301" w:after="48" w:line="256" w:lineRule="exact"/>
              <w:ind w:left="1809"/>
              <w:textAlignment w:val="baseline"/>
              <w:rPr>
                <w:rFonts w:ascii="Arial" w:eastAsia="Arial" w:hAnsi="Arial"/>
                <w:b/>
                <w:color w:val="007896"/>
                <w:sz w:val="23"/>
              </w:rPr>
            </w:pPr>
            <w:r>
              <w:rPr>
                <w:rFonts w:ascii="Arial" w:eastAsia="Arial" w:hAnsi="Arial"/>
                <w:b/>
                <w:color w:val="007896"/>
                <w:sz w:val="23"/>
              </w:rPr>
              <w:t>156</w:t>
            </w:r>
          </w:p>
        </w:tc>
      </w:tr>
      <w:tr w:rsidR="009757A9" w14:paraId="20DD99E2" w14:textId="77777777">
        <w:trPr>
          <w:trHeight w:hRule="exact" w:val="620"/>
        </w:trPr>
        <w:tc>
          <w:tcPr>
            <w:tcW w:w="6161" w:type="dxa"/>
            <w:tcBorders>
              <w:top w:val="single" w:sz="4" w:space="0" w:color="000000"/>
              <w:left w:val="none" w:sz="0" w:space="0" w:color="020000"/>
              <w:bottom w:val="single" w:sz="4" w:space="0" w:color="000000"/>
              <w:right w:val="none" w:sz="0" w:space="0" w:color="020000"/>
            </w:tcBorders>
            <w:vAlign w:val="bottom"/>
          </w:tcPr>
          <w:p w14:paraId="22877F12" w14:textId="77777777" w:rsidR="009757A9" w:rsidRDefault="00083242">
            <w:pPr>
              <w:spacing w:before="295" w:after="57" w:line="267" w:lineRule="exact"/>
              <w:ind w:left="22"/>
              <w:textAlignment w:val="baseline"/>
              <w:rPr>
                <w:rFonts w:ascii="Tahoma" w:eastAsia="Tahoma" w:hAnsi="Tahoma"/>
                <w:color w:val="007896"/>
              </w:rPr>
            </w:pPr>
            <w:r>
              <w:rPr>
                <w:rFonts w:ascii="Tahoma" w:eastAsia="Tahoma" w:hAnsi="Tahoma"/>
                <w:color w:val="007896"/>
              </w:rPr>
              <w:t>Consultations</w:t>
            </w:r>
          </w:p>
        </w:tc>
        <w:tc>
          <w:tcPr>
            <w:tcW w:w="4092" w:type="dxa"/>
            <w:tcBorders>
              <w:top w:val="single" w:sz="4" w:space="0" w:color="000000"/>
              <w:left w:val="none" w:sz="0" w:space="0" w:color="020000"/>
              <w:bottom w:val="single" w:sz="4" w:space="0" w:color="000000"/>
              <w:right w:val="none" w:sz="0" w:space="0" w:color="020000"/>
            </w:tcBorders>
            <w:vAlign w:val="bottom"/>
          </w:tcPr>
          <w:p w14:paraId="432295E7" w14:textId="77777777" w:rsidR="009757A9" w:rsidRDefault="00083242">
            <w:pPr>
              <w:spacing w:before="306" w:after="57" w:line="256" w:lineRule="exact"/>
              <w:ind w:left="1809"/>
              <w:textAlignment w:val="baseline"/>
              <w:rPr>
                <w:rFonts w:ascii="Arial" w:eastAsia="Arial" w:hAnsi="Arial"/>
                <w:b/>
                <w:color w:val="007896"/>
                <w:sz w:val="23"/>
              </w:rPr>
            </w:pPr>
            <w:r>
              <w:rPr>
                <w:rFonts w:ascii="Arial" w:eastAsia="Arial" w:hAnsi="Arial"/>
                <w:b/>
                <w:color w:val="007896"/>
                <w:sz w:val="23"/>
              </w:rPr>
              <w:t>157</w:t>
            </w:r>
          </w:p>
        </w:tc>
      </w:tr>
      <w:tr w:rsidR="009757A9" w14:paraId="4B377A6E" w14:textId="77777777">
        <w:trPr>
          <w:trHeight w:hRule="exact" w:val="619"/>
        </w:trPr>
        <w:tc>
          <w:tcPr>
            <w:tcW w:w="6161" w:type="dxa"/>
            <w:tcBorders>
              <w:top w:val="single" w:sz="4" w:space="0" w:color="000000"/>
              <w:left w:val="none" w:sz="0" w:space="0" w:color="020000"/>
              <w:bottom w:val="single" w:sz="4" w:space="0" w:color="000000"/>
              <w:right w:val="none" w:sz="0" w:space="0" w:color="020000"/>
            </w:tcBorders>
            <w:vAlign w:val="bottom"/>
          </w:tcPr>
          <w:p w14:paraId="70653A35" w14:textId="77777777" w:rsidR="009757A9" w:rsidRDefault="00083242">
            <w:pPr>
              <w:spacing w:before="294" w:after="58" w:line="267" w:lineRule="exact"/>
              <w:ind w:left="22"/>
              <w:textAlignment w:val="baseline"/>
              <w:rPr>
                <w:rFonts w:ascii="Tahoma" w:eastAsia="Tahoma" w:hAnsi="Tahoma"/>
                <w:color w:val="007896"/>
              </w:rPr>
            </w:pPr>
            <w:r>
              <w:rPr>
                <w:rFonts w:ascii="Tahoma" w:eastAsia="Tahoma" w:hAnsi="Tahoma"/>
                <w:color w:val="007896"/>
              </w:rPr>
              <w:t>Public submissions</w:t>
            </w:r>
          </w:p>
        </w:tc>
        <w:tc>
          <w:tcPr>
            <w:tcW w:w="4092" w:type="dxa"/>
            <w:tcBorders>
              <w:top w:val="single" w:sz="4" w:space="0" w:color="000000"/>
              <w:left w:val="none" w:sz="0" w:space="0" w:color="020000"/>
              <w:bottom w:val="single" w:sz="4" w:space="0" w:color="000000"/>
              <w:right w:val="none" w:sz="0" w:space="0" w:color="020000"/>
            </w:tcBorders>
            <w:vAlign w:val="bottom"/>
          </w:tcPr>
          <w:p w14:paraId="7676EB8D" w14:textId="77777777" w:rsidR="009757A9" w:rsidRDefault="00083242">
            <w:pPr>
              <w:spacing w:before="305" w:after="58" w:line="256" w:lineRule="exact"/>
              <w:ind w:left="1809"/>
              <w:textAlignment w:val="baseline"/>
              <w:rPr>
                <w:rFonts w:ascii="Arial" w:eastAsia="Arial" w:hAnsi="Arial"/>
                <w:b/>
                <w:color w:val="007896"/>
                <w:sz w:val="23"/>
              </w:rPr>
            </w:pPr>
            <w:r>
              <w:rPr>
                <w:rFonts w:ascii="Arial" w:eastAsia="Arial" w:hAnsi="Arial"/>
                <w:b/>
                <w:color w:val="007896"/>
                <w:sz w:val="23"/>
              </w:rPr>
              <w:t>164</w:t>
            </w:r>
          </w:p>
        </w:tc>
      </w:tr>
      <w:tr w:rsidR="009757A9" w14:paraId="06DC3F67" w14:textId="77777777">
        <w:trPr>
          <w:trHeight w:hRule="exact" w:val="624"/>
        </w:trPr>
        <w:tc>
          <w:tcPr>
            <w:tcW w:w="6161" w:type="dxa"/>
            <w:tcBorders>
              <w:top w:val="single" w:sz="4" w:space="0" w:color="000000"/>
              <w:left w:val="none" w:sz="0" w:space="0" w:color="020000"/>
              <w:bottom w:val="single" w:sz="4" w:space="0" w:color="000000"/>
              <w:right w:val="none" w:sz="0" w:space="0" w:color="020000"/>
            </w:tcBorders>
            <w:vAlign w:val="bottom"/>
          </w:tcPr>
          <w:p w14:paraId="2A60B1B1" w14:textId="77777777" w:rsidR="009757A9" w:rsidRDefault="00083242">
            <w:pPr>
              <w:spacing w:before="294" w:after="58" w:line="267" w:lineRule="exact"/>
              <w:ind w:left="22"/>
              <w:textAlignment w:val="baseline"/>
              <w:rPr>
                <w:rFonts w:ascii="Tahoma" w:eastAsia="Tahoma" w:hAnsi="Tahoma"/>
                <w:color w:val="007896"/>
              </w:rPr>
            </w:pPr>
            <w:r>
              <w:rPr>
                <w:rFonts w:ascii="Tahoma" w:eastAsia="Tahoma" w:hAnsi="Tahoma"/>
                <w:color w:val="007896"/>
              </w:rPr>
              <w:t>References</w:t>
            </w:r>
          </w:p>
        </w:tc>
        <w:tc>
          <w:tcPr>
            <w:tcW w:w="4092" w:type="dxa"/>
            <w:tcBorders>
              <w:top w:val="single" w:sz="4" w:space="0" w:color="000000"/>
              <w:left w:val="none" w:sz="0" w:space="0" w:color="020000"/>
              <w:bottom w:val="single" w:sz="4" w:space="0" w:color="000000"/>
              <w:right w:val="none" w:sz="0" w:space="0" w:color="020000"/>
            </w:tcBorders>
            <w:vAlign w:val="bottom"/>
          </w:tcPr>
          <w:p w14:paraId="5A8DA412" w14:textId="77777777" w:rsidR="009757A9" w:rsidRDefault="00083242">
            <w:pPr>
              <w:spacing w:before="305" w:after="58" w:line="256" w:lineRule="exact"/>
              <w:ind w:left="1809"/>
              <w:textAlignment w:val="baseline"/>
              <w:rPr>
                <w:rFonts w:ascii="Arial" w:eastAsia="Arial" w:hAnsi="Arial"/>
                <w:b/>
                <w:color w:val="007896"/>
                <w:sz w:val="23"/>
              </w:rPr>
            </w:pPr>
            <w:r>
              <w:rPr>
                <w:rFonts w:ascii="Arial" w:eastAsia="Arial" w:hAnsi="Arial"/>
                <w:b/>
                <w:color w:val="007896"/>
                <w:sz w:val="23"/>
              </w:rPr>
              <w:t>168</w:t>
            </w:r>
          </w:p>
        </w:tc>
      </w:tr>
    </w:tbl>
    <w:p w14:paraId="4A79055E" w14:textId="77777777" w:rsidR="009757A9" w:rsidRDefault="009757A9">
      <w:pPr>
        <w:spacing w:after="2289" w:line="20" w:lineRule="exact"/>
      </w:pPr>
    </w:p>
    <w:p w14:paraId="1FCFD4C5" w14:textId="77777777" w:rsidR="009757A9" w:rsidRDefault="00083242">
      <w:pPr>
        <w:textAlignment w:val="baseline"/>
      </w:pPr>
      <w:r>
        <w:rPr>
          <w:noProof/>
          <w:lang w:val="en-AU" w:eastAsia="en-AU"/>
        </w:rPr>
        <w:drawing>
          <wp:inline distT="0" distB="0" distL="0" distR="0" wp14:anchorId="04E2E343" wp14:editId="0F354052">
            <wp:extent cx="7562215" cy="46291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23"/>
                    <a:stretch>
                      <a:fillRect/>
                    </a:stretch>
                  </pic:blipFill>
                  <pic:spPr>
                    <a:xfrm>
                      <a:off x="0" y="0"/>
                      <a:ext cx="7562215" cy="462915"/>
                    </a:xfrm>
                    <a:prstGeom prst="rect">
                      <a:avLst/>
                    </a:prstGeom>
                  </pic:spPr>
                </pic:pic>
              </a:graphicData>
            </a:graphic>
          </wp:inline>
        </w:drawing>
      </w:r>
    </w:p>
    <w:p w14:paraId="03225972" w14:textId="77777777" w:rsidR="009757A9" w:rsidRDefault="009757A9">
      <w:pPr>
        <w:sectPr w:rsidR="009757A9">
          <w:pgSz w:w="11909" w:h="16838"/>
          <w:pgMar w:top="880" w:right="0" w:bottom="0" w:left="0" w:header="720" w:footer="720" w:gutter="0"/>
          <w:cols w:space="720"/>
        </w:sectPr>
      </w:pPr>
    </w:p>
    <w:p w14:paraId="57CE0FA7" w14:textId="77777777" w:rsidR="009757A9" w:rsidRDefault="00083242">
      <w:pPr>
        <w:spacing w:before="2" w:after="62" w:line="454" w:lineRule="exact"/>
        <w:ind w:left="864"/>
        <w:textAlignment w:val="baseline"/>
        <w:rPr>
          <w:rFonts w:ascii="Arial" w:eastAsia="Arial" w:hAnsi="Arial"/>
          <w:b/>
          <w:color w:val="00708E"/>
          <w:spacing w:val="5"/>
          <w:w w:val="90"/>
          <w:sz w:val="39"/>
        </w:rPr>
      </w:pPr>
      <w:r>
        <w:rPr>
          <w:rFonts w:ascii="Arial" w:eastAsia="Arial" w:hAnsi="Arial"/>
          <w:b/>
          <w:color w:val="00708E"/>
          <w:spacing w:val="5"/>
          <w:w w:val="90"/>
          <w:sz w:val="39"/>
        </w:rPr>
        <w:lastRenderedPageBreak/>
        <w:t>FIGURES</w:t>
      </w:r>
    </w:p>
    <w:p w14:paraId="173B5E14" w14:textId="77777777" w:rsidR="009757A9" w:rsidRDefault="00083242">
      <w:pPr>
        <w:tabs>
          <w:tab w:val="left" w:pos="8784"/>
        </w:tabs>
        <w:spacing w:before="114"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1: </w:t>
      </w:r>
      <w:r>
        <w:rPr>
          <w:rFonts w:ascii="Tahoma" w:eastAsia="Tahoma" w:hAnsi="Tahoma"/>
          <w:color w:val="404042"/>
          <w:sz w:val="17"/>
        </w:rPr>
        <w:t>What the future student pathways journey would look like across a life cycle</w:t>
      </w:r>
      <w:r>
        <w:rPr>
          <w:rFonts w:ascii="Tahoma" w:eastAsia="Tahoma" w:hAnsi="Tahoma"/>
          <w:color w:val="404042"/>
          <w:sz w:val="17"/>
        </w:rPr>
        <w:tab/>
        <w:t>16</w:t>
      </w:r>
    </w:p>
    <w:p w14:paraId="5B94D8AA" w14:textId="77777777" w:rsidR="009757A9" w:rsidRDefault="00083242">
      <w:pPr>
        <w:tabs>
          <w:tab w:val="left" w:pos="8784"/>
        </w:tabs>
        <w:spacing w:before="109"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2: </w:t>
      </w:r>
      <w:r>
        <w:rPr>
          <w:rFonts w:ascii="Tahoma" w:eastAsia="Tahoma" w:hAnsi="Tahoma"/>
          <w:color w:val="404042"/>
          <w:sz w:val="17"/>
        </w:rPr>
        <w:t>Post-school destinations, May 2019</w:t>
      </w:r>
      <w:r>
        <w:rPr>
          <w:rFonts w:ascii="Tahoma" w:eastAsia="Tahoma" w:hAnsi="Tahoma"/>
          <w:color w:val="404042"/>
          <w:sz w:val="17"/>
        </w:rPr>
        <w:tab/>
        <w:t>25</w:t>
      </w:r>
    </w:p>
    <w:p w14:paraId="7848E2D2" w14:textId="77777777" w:rsidR="009757A9" w:rsidRDefault="00083242">
      <w:pPr>
        <w:tabs>
          <w:tab w:val="left" w:pos="8784"/>
        </w:tabs>
        <w:spacing w:before="110"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3: </w:t>
      </w:r>
      <w:r>
        <w:rPr>
          <w:rFonts w:ascii="Verdana" w:eastAsia="Verdana" w:hAnsi="Verdana"/>
          <w:color w:val="404042"/>
          <w:sz w:val="17"/>
        </w:rPr>
        <w:t>Labour force participation rates by highest qualification level, May 2019</w:t>
      </w:r>
      <w:r>
        <w:rPr>
          <w:rFonts w:ascii="Verdana" w:eastAsia="Verdana" w:hAnsi="Verdana"/>
          <w:color w:val="404042"/>
          <w:sz w:val="17"/>
        </w:rPr>
        <w:tab/>
        <w:t>26</w:t>
      </w:r>
    </w:p>
    <w:p w14:paraId="1F32962A" w14:textId="77777777" w:rsidR="009757A9" w:rsidRDefault="00083242">
      <w:pPr>
        <w:tabs>
          <w:tab w:val="left" w:pos="8784"/>
        </w:tabs>
        <w:spacing w:before="109"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4: </w:t>
      </w:r>
      <w:r>
        <w:rPr>
          <w:rFonts w:ascii="Tahoma" w:eastAsia="Tahoma" w:hAnsi="Tahoma"/>
          <w:color w:val="404042"/>
          <w:sz w:val="17"/>
        </w:rPr>
        <w:t>Projected employment growth to May 2024, by skill level and occupation</w:t>
      </w:r>
      <w:r>
        <w:rPr>
          <w:rFonts w:ascii="Tahoma" w:eastAsia="Tahoma" w:hAnsi="Tahoma"/>
          <w:color w:val="404042"/>
          <w:sz w:val="17"/>
        </w:rPr>
        <w:tab/>
        <w:t>28</w:t>
      </w:r>
    </w:p>
    <w:p w14:paraId="72B7971B" w14:textId="77777777" w:rsidR="009757A9" w:rsidRDefault="00083242">
      <w:pPr>
        <w:tabs>
          <w:tab w:val="left" w:pos="8784"/>
        </w:tabs>
        <w:spacing w:before="105"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5: </w:t>
      </w:r>
      <w:r>
        <w:rPr>
          <w:rFonts w:ascii="Tahoma" w:eastAsia="Tahoma" w:hAnsi="Tahoma"/>
          <w:color w:val="404042"/>
          <w:sz w:val="17"/>
        </w:rPr>
        <w:t>Capability descriptions across education and employment sectors</w:t>
      </w:r>
      <w:r>
        <w:rPr>
          <w:rFonts w:ascii="Tahoma" w:eastAsia="Tahoma" w:hAnsi="Tahoma"/>
          <w:color w:val="404042"/>
          <w:sz w:val="17"/>
        </w:rPr>
        <w:tab/>
        <w:t>36</w:t>
      </w:r>
    </w:p>
    <w:p w14:paraId="082CDC73" w14:textId="77777777" w:rsidR="009757A9" w:rsidRDefault="00083242">
      <w:pPr>
        <w:tabs>
          <w:tab w:val="left" w:pos="8784"/>
        </w:tabs>
        <w:spacing w:before="109"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6: </w:t>
      </w:r>
      <w:r>
        <w:rPr>
          <w:rFonts w:ascii="Verdana" w:eastAsia="Verdana" w:hAnsi="Verdana"/>
          <w:color w:val="404042"/>
          <w:sz w:val="17"/>
        </w:rPr>
        <w:t>Example of a Learner Profile</w:t>
      </w:r>
      <w:r>
        <w:rPr>
          <w:rFonts w:ascii="Verdana" w:eastAsia="Verdana" w:hAnsi="Verdana"/>
          <w:color w:val="404042"/>
          <w:sz w:val="17"/>
        </w:rPr>
        <w:tab/>
        <w:t>52</w:t>
      </w:r>
    </w:p>
    <w:p w14:paraId="3C11E226" w14:textId="77777777" w:rsidR="009757A9" w:rsidRDefault="00083242">
      <w:pPr>
        <w:tabs>
          <w:tab w:val="left" w:pos="8784"/>
        </w:tabs>
        <w:spacing w:before="109"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7: </w:t>
      </w:r>
      <w:r>
        <w:rPr>
          <w:rFonts w:ascii="Tahoma" w:eastAsia="Tahoma" w:hAnsi="Tahoma"/>
          <w:color w:val="404042"/>
          <w:sz w:val="17"/>
        </w:rPr>
        <w:t>Where do youth get their most trustworthy career advice from?</w:t>
      </w:r>
      <w:r>
        <w:rPr>
          <w:rFonts w:ascii="Tahoma" w:eastAsia="Tahoma" w:hAnsi="Tahoma"/>
          <w:color w:val="404042"/>
          <w:sz w:val="17"/>
        </w:rPr>
        <w:tab/>
        <w:t>58</w:t>
      </w:r>
    </w:p>
    <w:p w14:paraId="151D9264" w14:textId="77777777" w:rsidR="009757A9" w:rsidRDefault="00083242">
      <w:pPr>
        <w:tabs>
          <w:tab w:val="left" w:pos="8784"/>
        </w:tabs>
        <w:spacing w:before="105"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8: </w:t>
      </w:r>
      <w:r>
        <w:rPr>
          <w:rFonts w:ascii="Tahoma" w:eastAsia="Tahoma" w:hAnsi="Tahoma"/>
          <w:color w:val="404042"/>
          <w:sz w:val="17"/>
        </w:rPr>
        <w:t>Proposed career ecosystem</w:t>
      </w:r>
      <w:r>
        <w:rPr>
          <w:rFonts w:ascii="Tahoma" w:eastAsia="Tahoma" w:hAnsi="Tahoma"/>
          <w:color w:val="404042"/>
          <w:sz w:val="17"/>
        </w:rPr>
        <w:tab/>
        <w:t>73</w:t>
      </w:r>
    </w:p>
    <w:p w14:paraId="2A85BDDA" w14:textId="77777777" w:rsidR="009757A9" w:rsidRDefault="00083242">
      <w:pPr>
        <w:tabs>
          <w:tab w:val="left" w:pos="8784"/>
        </w:tabs>
        <w:spacing w:before="109"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9: </w:t>
      </w:r>
      <w:r>
        <w:rPr>
          <w:rFonts w:ascii="Verdana" w:eastAsia="Verdana" w:hAnsi="Verdana"/>
          <w:color w:val="404042"/>
          <w:sz w:val="17"/>
        </w:rPr>
        <w:t>Benefits of school–industry partnerships</w:t>
      </w:r>
      <w:r>
        <w:rPr>
          <w:rFonts w:ascii="Verdana" w:eastAsia="Verdana" w:hAnsi="Verdana"/>
          <w:color w:val="404042"/>
          <w:sz w:val="17"/>
        </w:rPr>
        <w:tab/>
        <w:t>95</w:t>
      </w:r>
    </w:p>
    <w:p w14:paraId="67D11E86" w14:textId="77777777" w:rsidR="009757A9" w:rsidRDefault="00083242">
      <w:pPr>
        <w:tabs>
          <w:tab w:val="left" w:pos="8784"/>
        </w:tabs>
        <w:spacing w:before="110" w:after="397" w:line="217" w:lineRule="exact"/>
        <w:ind w:left="864"/>
        <w:jc w:val="both"/>
        <w:textAlignment w:val="baseline"/>
        <w:rPr>
          <w:rFonts w:ascii="Arial" w:eastAsia="Arial" w:hAnsi="Arial"/>
          <w:b/>
          <w:color w:val="404042"/>
          <w:sz w:val="19"/>
        </w:rPr>
      </w:pPr>
      <w:r>
        <w:rPr>
          <w:rFonts w:ascii="Arial" w:eastAsia="Arial" w:hAnsi="Arial"/>
          <w:b/>
          <w:color w:val="404042"/>
          <w:sz w:val="19"/>
        </w:rPr>
        <w:t xml:space="preserve">Figure 10: </w:t>
      </w:r>
      <w:r>
        <w:rPr>
          <w:rFonts w:ascii="Tahoma" w:eastAsia="Tahoma" w:hAnsi="Tahoma"/>
          <w:color w:val="404042"/>
          <w:sz w:val="17"/>
        </w:rPr>
        <w:t>Example of an Education Passport</w:t>
      </w:r>
      <w:r>
        <w:rPr>
          <w:rFonts w:ascii="Tahoma" w:eastAsia="Tahoma" w:hAnsi="Tahoma"/>
          <w:color w:val="404042"/>
          <w:sz w:val="17"/>
        </w:rPr>
        <w:tab/>
        <w:t>116</w:t>
      </w:r>
    </w:p>
    <w:p w14:paraId="5C8CDBB6" w14:textId="77777777" w:rsidR="009757A9" w:rsidRDefault="00083242">
      <w:pPr>
        <w:spacing w:after="57" w:line="449" w:lineRule="exact"/>
        <w:ind w:left="864"/>
        <w:textAlignment w:val="baseline"/>
        <w:rPr>
          <w:rFonts w:ascii="Arial" w:eastAsia="Arial" w:hAnsi="Arial"/>
          <w:b/>
          <w:color w:val="00708E"/>
          <w:spacing w:val="8"/>
          <w:w w:val="90"/>
          <w:sz w:val="39"/>
        </w:rPr>
      </w:pPr>
      <w:r>
        <w:rPr>
          <w:rFonts w:ascii="Arial" w:eastAsia="Arial" w:hAnsi="Arial"/>
          <w:b/>
          <w:color w:val="00708E"/>
          <w:spacing w:val="8"/>
          <w:w w:val="90"/>
          <w:sz w:val="39"/>
        </w:rPr>
        <w:t>CASE STUDIES</w:t>
      </w:r>
    </w:p>
    <w:p w14:paraId="22D5B793" w14:textId="77777777" w:rsidR="009757A9" w:rsidRDefault="00083242">
      <w:pPr>
        <w:tabs>
          <w:tab w:val="left" w:pos="8784"/>
        </w:tabs>
        <w:spacing w:before="107" w:line="218" w:lineRule="exact"/>
        <w:ind w:left="864"/>
        <w:textAlignment w:val="baseline"/>
        <w:rPr>
          <w:rFonts w:ascii="Tahoma" w:eastAsia="Tahoma" w:hAnsi="Tahoma"/>
          <w:color w:val="404042"/>
          <w:sz w:val="17"/>
        </w:rPr>
      </w:pPr>
      <w:r>
        <w:rPr>
          <w:rFonts w:ascii="Tahoma" w:eastAsia="Tahoma" w:hAnsi="Tahoma"/>
          <w:color w:val="404042"/>
          <w:sz w:val="17"/>
        </w:rPr>
        <w:t>Online Literacy and Numeracy Assessment, Western Australia</w:t>
      </w:r>
      <w:r>
        <w:rPr>
          <w:rFonts w:ascii="Tahoma" w:eastAsia="Tahoma" w:hAnsi="Tahoma"/>
          <w:color w:val="404042"/>
          <w:sz w:val="17"/>
        </w:rPr>
        <w:tab/>
        <w:t>34</w:t>
      </w:r>
    </w:p>
    <w:p w14:paraId="7BF04FCD"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Universities Admissions Centre and DeakinCo framework for measuring skills</w:t>
      </w:r>
      <w:r>
        <w:rPr>
          <w:rFonts w:ascii="Tahoma" w:eastAsia="Tahoma" w:hAnsi="Tahoma"/>
          <w:color w:val="404042"/>
          <w:sz w:val="17"/>
        </w:rPr>
        <w:tab/>
        <w:t>41</w:t>
      </w:r>
    </w:p>
    <w:p w14:paraId="4D325DAA"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Australian National University entry criteria</w:t>
      </w:r>
      <w:r>
        <w:rPr>
          <w:rFonts w:ascii="Tahoma" w:eastAsia="Tahoma" w:hAnsi="Tahoma"/>
          <w:color w:val="404042"/>
          <w:sz w:val="17"/>
        </w:rPr>
        <w:tab/>
        <w:t>46</w:t>
      </w:r>
    </w:p>
    <w:p w14:paraId="204015B5" w14:textId="359210D5" w:rsidR="009757A9" w:rsidRDefault="00083242">
      <w:pPr>
        <w:tabs>
          <w:tab w:val="left" w:pos="8784"/>
        </w:tabs>
        <w:spacing w:before="109" w:line="218" w:lineRule="exact"/>
        <w:ind w:left="864"/>
        <w:textAlignment w:val="baseline"/>
        <w:rPr>
          <w:rFonts w:ascii="Tahoma" w:eastAsia="Tahoma" w:hAnsi="Tahoma"/>
          <w:color w:val="404042"/>
          <w:sz w:val="17"/>
        </w:rPr>
      </w:pPr>
      <w:r>
        <w:rPr>
          <w:rFonts w:ascii="Tahoma" w:eastAsia="Tahoma" w:hAnsi="Tahoma"/>
          <w:color w:val="404042"/>
          <w:sz w:val="17"/>
        </w:rPr>
        <w:t>The Rooty Hill High School Learning Portfolio, New South Wales</w:t>
      </w:r>
      <w:r>
        <w:rPr>
          <w:rFonts w:ascii="Tahoma" w:eastAsia="Tahoma" w:hAnsi="Tahoma"/>
          <w:color w:val="404042"/>
          <w:sz w:val="17"/>
        </w:rPr>
        <w:tab/>
        <w:t>51</w:t>
      </w:r>
    </w:p>
    <w:p w14:paraId="558D7727" w14:textId="77777777" w:rsidR="009757A9" w:rsidRDefault="00083242">
      <w:pPr>
        <w:tabs>
          <w:tab w:val="left" w:pos="8784"/>
        </w:tabs>
        <w:spacing w:before="102" w:line="219" w:lineRule="exact"/>
        <w:ind w:left="864"/>
        <w:textAlignment w:val="baseline"/>
        <w:rPr>
          <w:rFonts w:ascii="Verdana" w:eastAsia="Verdana" w:hAnsi="Verdana"/>
          <w:color w:val="404042"/>
          <w:sz w:val="17"/>
        </w:rPr>
      </w:pPr>
      <w:r>
        <w:rPr>
          <w:rFonts w:ascii="Verdana" w:eastAsia="Verdana" w:hAnsi="Verdana"/>
          <w:color w:val="404042"/>
          <w:sz w:val="17"/>
        </w:rPr>
        <w:t>A South Australian learner profile</w:t>
      </w:r>
      <w:r>
        <w:rPr>
          <w:rFonts w:ascii="Verdana" w:eastAsia="Verdana" w:hAnsi="Verdana"/>
          <w:color w:val="404042"/>
          <w:sz w:val="17"/>
        </w:rPr>
        <w:tab/>
        <w:t>54</w:t>
      </w:r>
    </w:p>
    <w:p w14:paraId="2F20E810" w14:textId="77777777" w:rsidR="009757A9" w:rsidRDefault="00083242">
      <w:pPr>
        <w:tabs>
          <w:tab w:val="left" w:pos="8784"/>
        </w:tabs>
        <w:spacing w:before="109" w:line="218" w:lineRule="exact"/>
        <w:ind w:left="864"/>
        <w:textAlignment w:val="baseline"/>
        <w:rPr>
          <w:rFonts w:ascii="Tahoma" w:eastAsia="Tahoma" w:hAnsi="Tahoma"/>
          <w:color w:val="404042"/>
          <w:sz w:val="17"/>
        </w:rPr>
      </w:pPr>
      <w:r>
        <w:rPr>
          <w:rFonts w:ascii="Tahoma" w:eastAsia="Tahoma" w:hAnsi="Tahoma"/>
          <w:color w:val="404042"/>
          <w:sz w:val="17"/>
        </w:rPr>
        <w:t>HSC SmartTrack at St Philip’s Christian College, Newcastle, New South Wales</w:t>
      </w:r>
      <w:r>
        <w:rPr>
          <w:rFonts w:ascii="Tahoma" w:eastAsia="Tahoma" w:hAnsi="Tahoma"/>
          <w:color w:val="404042"/>
          <w:sz w:val="17"/>
        </w:rPr>
        <w:tab/>
        <w:t>62</w:t>
      </w:r>
    </w:p>
    <w:p w14:paraId="1C737FF0"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An alternative schooling model at RMIT Urban School, Melbourne, Victoria</w:t>
      </w:r>
      <w:r>
        <w:rPr>
          <w:rFonts w:ascii="Tahoma" w:eastAsia="Tahoma" w:hAnsi="Tahoma"/>
          <w:color w:val="404042"/>
          <w:sz w:val="17"/>
        </w:rPr>
        <w:tab/>
        <w:t>66</w:t>
      </w:r>
    </w:p>
    <w:p w14:paraId="15FFD0AA" w14:textId="77777777" w:rsidR="009757A9" w:rsidRDefault="00083242">
      <w:pPr>
        <w:tabs>
          <w:tab w:val="left" w:pos="8784"/>
        </w:tabs>
        <w:spacing w:before="104" w:line="218" w:lineRule="exact"/>
        <w:ind w:left="864"/>
        <w:textAlignment w:val="baseline"/>
        <w:rPr>
          <w:rFonts w:ascii="Tahoma" w:eastAsia="Tahoma" w:hAnsi="Tahoma"/>
          <w:color w:val="404042"/>
          <w:sz w:val="17"/>
        </w:rPr>
      </w:pPr>
      <w:r>
        <w:rPr>
          <w:rFonts w:ascii="Tahoma" w:eastAsia="Tahoma" w:hAnsi="Tahoma"/>
          <w:color w:val="404042"/>
          <w:sz w:val="17"/>
        </w:rPr>
        <w:t>Comprehensive and Universal Career Services in Scotland</w:t>
      </w:r>
      <w:r>
        <w:rPr>
          <w:rFonts w:ascii="Tahoma" w:eastAsia="Tahoma" w:hAnsi="Tahoma"/>
          <w:color w:val="404042"/>
          <w:sz w:val="17"/>
        </w:rPr>
        <w:tab/>
        <w:t>68</w:t>
      </w:r>
    </w:p>
    <w:p w14:paraId="11F4BF42"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Transforming Career Education in Victoria</w:t>
      </w:r>
      <w:r>
        <w:rPr>
          <w:rFonts w:ascii="Tahoma" w:eastAsia="Tahoma" w:hAnsi="Tahoma"/>
          <w:color w:val="404042"/>
          <w:sz w:val="17"/>
        </w:rPr>
        <w:tab/>
        <w:t>70</w:t>
      </w:r>
    </w:p>
    <w:p w14:paraId="755A14F9" w14:textId="77777777" w:rsidR="009757A9" w:rsidRDefault="00083242">
      <w:pPr>
        <w:tabs>
          <w:tab w:val="left" w:pos="8784"/>
        </w:tabs>
        <w:spacing w:before="109" w:line="218" w:lineRule="exact"/>
        <w:ind w:left="864"/>
        <w:textAlignment w:val="baseline"/>
        <w:rPr>
          <w:rFonts w:ascii="Tahoma" w:eastAsia="Tahoma" w:hAnsi="Tahoma"/>
          <w:color w:val="404042"/>
          <w:sz w:val="17"/>
        </w:rPr>
      </w:pPr>
      <w:r>
        <w:rPr>
          <w:rFonts w:ascii="Tahoma" w:eastAsia="Tahoma" w:hAnsi="Tahoma"/>
          <w:color w:val="404042"/>
          <w:sz w:val="17"/>
        </w:rPr>
        <w:t>CSIRO Virtual Work Experience Program</w:t>
      </w:r>
      <w:r>
        <w:rPr>
          <w:rFonts w:ascii="Tahoma" w:eastAsia="Tahoma" w:hAnsi="Tahoma"/>
          <w:color w:val="404042"/>
          <w:sz w:val="17"/>
        </w:rPr>
        <w:tab/>
        <w:t>81</w:t>
      </w:r>
    </w:p>
    <w:p w14:paraId="1BE39809"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St Patrick’s Technical College in South Australia</w:t>
      </w:r>
      <w:r>
        <w:rPr>
          <w:rFonts w:ascii="Tahoma" w:eastAsia="Tahoma" w:hAnsi="Tahoma"/>
          <w:color w:val="404042"/>
          <w:sz w:val="17"/>
        </w:rPr>
        <w:tab/>
        <w:t>87</w:t>
      </w:r>
    </w:p>
    <w:p w14:paraId="054C4340" w14:textId="77777777" w:rsidR="009757A9" w:rsidRDefault="00083242">
      <w:pPr>
        <w:tabs>
          <w:tab w:val="left" w:pos="8784"/>
        </w:tabs>
        <w:spacing w:before="104" w:line="218" w:lineRule="exact"/>
        <w:ind w:left="864"/>
        <w:textAlignment w:val="baseline"/>
        <w:rPr>
          <w:rFonts w:ascii="Tahoma" w:eastAsia="Tahoma" w:hAnsi="Tahoma"/>
          <w:color w:val="404042"/>
          <w:sz w:val="17"/>
        </w:rPr>
      </w:pPr>
      <w:r>
        <w:rPr>
          <w:rFonts w:ascii="Tahoma" w:eastAsia="Tahoma" w:hAnsi="Tahoma"/>
          <w:color w:val="404042"/>
          <w:sz w:val="17"/>
        </w:rPr>
        <w:t>Australian Government’s Pathways in Technology (P-TECH) program</w:t>
      </w:r>
      <w:r>
        <w:rPr>
          <w:rFonts w:ascii="Tahoma" w:eastAsia="Tahoma" w:hAnsi="Tahoma"/>
          <w:color w:val="404042"/>
          <w:sz w:val="17"/>
        </w:rPr>
        <w:tab/>
        <w:t>91</w:t>
      </w:r>
    </w:p>
    <w:p w14:paraId="59BCA7A5"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Try-a-Trade program in Western Australia</w:t>
      </w:r>
      <w:r>
        <w:rPr>
          <w:rFonts w:ascii="Tahoma" w:eastAsia="Tahoma" w:hAnsi="Tahoma"/>
          <w:color w:val="404042"/>
          <w:sz w:val="17"/>
        </w:rPr>
        <w:tab/>
        <w:t>96</w:t>
      </w:r>
    </w:p>
    <w:p w14:paraId="35784407"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Master Builders Tasmania educational program</w:t>
      </w:r>
      <w:r>
        <w:rPr>
          <w:rFonts w:ascii="Tahoma" w:eastAsia="Tahoma" w:hAnsi="Tahoma"/>
          <w:color w:val="404042"/>
          <w:sz w:val="17"/>
        </w:rPr>
        <w:tab/>
        <w:t>98</w:t>
      </w:r>
    </w:p>
    <w:p w14:paraId="61D68746" w14:textId="77777777" w:rsidR="009757A9" w:rsidRDefault="00083242">
      <w:pPr>
        <w:tabs>
          <w:tab w:val="left" w:pos="8784"/>
        </w:tabs>
        <w:spacing w:before="104" w:line="218" w:lineRule="exact"/>
        <w:ind w:left="864"/>
        <w:textAlignment w:val="baseline"/>
        <w:rPr>
          <w:rFonts w:ascii="Tahoma" w:eastAsia="Tahoma" w:hAnsi="Tahoma"/>
          <w:color w:val="404042"/>
          <w:sz w:val="17"/>
        </w:rPr>
      </w:pPr>
      <w:r>
        <w:rPr>
          <w:rFonts w:ascii="Tahoma" w:eastAsia="Tahoma" w:hAnsi="Tahoma"/>
          <w:color w:val="404042"/>
          <w:sz w:val="17"/>
        </w:rPr>
        <w:t>The Australian Government’s Industry Training Hubs</w:t>
      </w:r>
      <w:r>
        <w:rPr>
          <w:rFonts w:ascii="Tahoma" w:eastAsia="Tahoma" w:hAnsi="Tahoma"/>
          <w:color w:val="404042"/>
          <w:sz w:val="17"/>
        </w:rPr>
        <w:tab/>
        <w:t>98</w:t>
      </w:r>
    </w:p>
    <w:p w14:paraId="7E10743F" w14:textId="77777777" w:rsidR="009757A9" w:rsidRDefault="00083242">
      <w:pPr>
        <w:tabs>
          <w:tab w:val="left" w:pos="8784"/>
        </w:tabs>
        <w:spacing w:before="108" w:line="218" w:lineRule="exact"/>
        <w:ind w:left="864"/>
        <w:textAlignment w:val="baseline"/>
        <w:rPr>
          <w:rFonts w:ascii="Tahoma" w:eastAsia="Tahoma" w:hAnsi="Tahoma"/>
          <w:color w:val="404042"/>
          <w:sz w:val="17"/>
        </w:rPr>
      </w:pPr>
      <w:r>
        <w:rPr>
          <w:rFonts w:ascii="Tahoma" w:eastAsia="Tahoma" w:hAnsi="Tahoma"/>
          <w:color w:val="404042"/>
          <w:sz w:val="17"/>
        </w:rPr>
        <w:t>Gateway to Industry Schools program in Queensland</w:t>
      </w:r>
      <w:r>
        <w:rPr>
          <w:rFonts w:ascii="Tahoma" w:eastAsia="Tahoma" w:hAnsi="Tahoma"/>
          <w:color w:val="404042"/>
          <w:sz w:val="17"/>
        </w:rPr>
        <w:tab/>
        <w:t>101</w:t>
      </w:r>
    </w:p>
    <w:p w14:paraId="5848A3B3" w14:textId="77777777" w:rsidR="009757A9" w:rsidRDefault="00083242">
      <w:pPr>
        <w:tabs>
          <w:tab w:val="left" w:pos="8784"/>
        </w:tabs>
        <w:spacing w:before="109" w:line="215" w:lineRule="exact"/>
        <w:ind w:left="864"/>
        <w:textAlignment w:val="baseline"/>
        <w:rPr>
          <w:rFonts w:ascii="Tahoma" w:eastAsia="Tahoma" w:hAnsi="Tahoma"/>
          <w:color w:val="404042"/>
          <w:sz w:val="17"/>
        </w:rPr>
      </w:pPr>
      <w:r>
        <w:rPr>
          <w:rFonts w:ascii="Tahoma" w:eastAsia="Tahoma" w:hAnsi="Tahoma"/>
          <w:color w:val="404042"/>
          <w:sz w:val="17"/>
        </w:rPr>
        <w:t>New Zealand Youth Guarantee</w:t>
      </w:r>
      <w:r>
        <w:rPr>
          <w:rFonts w:ascii="Tahoma" w:eastAsia="Tahoma" w:hAnsi="Tahoma"/>
          <w:color w:val="404042"/>
          <w:sz w:val="17"/>
        </w:rPr>
        <w:tab/>
        <w:t>109</w:t>
      </w:r>
    </w:p>
    <w:p w14:paraId="75BCEBF5" w14:textId="77777777" w:rsidR="009757A9" w:rsidRDefault="00083242">
      <w:pPr>
        <w:tabs>
          <w:tab w:val="left" w:pos="8784"/>
        </w:tabs>
        <w:spacing w:before="111" w:line="215" w:lineRule="exact"/>
        <w:ind w:left="864"/>
        <w:textAlignment w:val="baseline"/>
        <w:rPr>
          <w:rFonts w:ascii="Tahoma" w:eastAsia="Tahoma" w:hAnsi="Tahoma"/>
          <w:color w:val="404042"/>
          <w:sz w:val="17"/>
        </w:rPr>
      </w:pPr>
      <w:r>
        <w:rPr>
          <w:rFonts w:ascii="Tahoma" w:eastAsia="Tahoma" w:hAnsi="Tahoma"/>
          <w:color w:val="404042"/>
          <w:sz w:val="17"/>
        </w:rPr>
        <w:t>Micro-credentials in New Zealand</w:t>
      </w:r>
      <w:r>
        <w:rPr>
          <w:rFonts w:ascii="Tahoma" w:eastAsia="Tahoma" w:hAnsi="Tahoma"/>
          <w:color w:val="404042"/>
          <w:sz w:val="17"/>
        </w:rPr>
        <w:tab/>
        <w:t>113</w:t>
      </w:r>
    </w:p>
    <w:p w14:paraId="6BB4FF5A" w14:textId="77777777" w:rsidR="009757A9" w:rsidRDefault="00083242">
      <w:pPr>
        <w:tabs>
          <w:tab w:val="left" w:pos="8784"/>
        </w:tabs>
        <w:spacing w:before="107" w:line="218" w:lineRule="exact"/>
        <w:ind w:left="864"/>
        <w:textAlignment w:val="baseline"/>
        <w:rPr>
          <w:rFonts w:ascii="Tahoma" w:eastAsia="Tahoma" w:hAnsi="Tahoma"/>
          <w:color w:val="404042"/>
          <w:sz w:val="17"/>
        </w:rPr>
      </w:pPr>
      <w:r>
        <w:rPr>
          <w:rFonts w:ascii="Tahoma" w:eastAsia="Tahoma" w:hAnsi="Tahoma"/>
          <w:color w:val="404042"/>
          <w:sz w:val="17"/>
        </w:rPr>
        <w:t>The Australian Government’s Tertiary Learning Repository</w:t>
      </w:r>
      <w:r>
        <w:rPr>
          <w:rFonts w:ascii="Tahoma" w:eastAsia="Tahoma" w:hAnsi="Tahoma"/>
          <w:color w:val="404042"/>
          <w:sz w:val="17"/>
        </w:rPr>
        <w:tab/>
        <w:t>115</w:t>
      </w:r>
    </w:p>
    <w:p w14:paraId="19B50886" w14:textId="77777777" w:rsidR="009757A9" w:rsidRDefault="00083242">
      <w:pPr>
        <w:tabs>
          <w:tab w:val="left" w:pos="8784"/>
        </w:tabs>
        <w:spacing w:before="108" w:line="215" w:lineRule="exact"/>
        <w:ind w:left="864"/>
        <w:textAlignment w:val="baseline"/>
        <w:rPr>
          <w:rFonts w:ascii="Tahoma" w:eastAsia="Tahoma" w:hAnsi="Tahoma"/>
          <w:color w:val="404042"/>
          <w:sz w:val="17"/>
        </w:rPr>
      </w:pPr>
      <w:r>
        <w:rPr>
          <w:rFonts w:ascii="Tahoma" w:eastAsia="Tahoma" w:hAnsi="Tahoma"/>
          <w:color w:val="404042"/>
          <w:sz w:val="17"/>
        </w:rPr>
        <w:t>Toowoomba Flexi School in Queensland</w:t>
      </w:r>
      <w:r>
        <w:rPr>
          <w:rFonts w:ascii="Tahoma" w:eastAsia="Tahoma" w:hAnsi="Tahoma"/>
          <w:color w:val="404042"/>
          <w:sz w:val="17"/>
        </w:rPr>
        <w:tab/>
        <w:t>124</w:t>
      </w:r>
    </w:p>
    <w:p w14:paraId="5114B4A7" w14:textId="77777777" w:rsidR="009757A9" w:rsidRDefault="00083242">
      <w:pPr>
        <w:tabs>
          <w:tab w:val="left" w:pos="8784"/>
        </w:tabs>
        <w:spacing w:before="112" w:line="218" w:lineRule="exact"/>
        <w:ind w:left="864"/>
        <w:textAlignment w:val="baseline"/>
        <w:rPr>
          <w:rFonts w:ascii="Tahoma" w:eastAsia="Tahoma" w:hAnsi="Tahoma"/>
          <w:color w:val="404042"/>
          <w:sz w:val="17"/>
        </w:rPr>
      </w:pPr>
      <w:r>
        <w:rPr>
          <w:rFonts w:ascii="Tahoma" w:eastAsia="Tahoma" w:hAnsi="Tahoma"/>
          <w:color w:val="404042"/>
          <w:sz w:val="17"/>
        </w:rPr>
        <w:t>Wuyagiba Regional Study Hub, Northern Territory</w:t>
      </w:r>
      <w:r>
        <w:rPr>
          <w:rFonts w:ascii="Tahoma" w:eastAsia="Tahoma" w:hAnsi="Tahoma"/>
          <w:color w:val="404042"/>
          <w:sz w:val="17"/>
        </w:rPr>
        <w:tab/>
        <w:t>126</w:t>
      </w:r>
    </w:p>
    <w:p w14:paraId="22633872" w14:textId="77777777" w:rsidR="009757A9" w:rsidRDefault="00083242">
      <w:pPr>
        <w:tabs>
          <w:tab w:val="left" w:pos="8784"/>
        </w:tabs>
        <w:spacing w:before="103" w:line="218" w:lineRule="exact"/>
        <w:ind w:left="864"/>
        <w:textAlignment w:val="baseline"/>
        <w:rPr>
          <w:rFonts w:ascii="Tahoma" w:eastAsia="Tahoma" w:hAnsi="Tahoma"/>
          <w:color w:val="404042"/>
          <w:sz w:val="17"/>
        </w:rPr>
      </w:pPr>
      <w:r>
        <w:rPr>
          <w:rFonts w:ascii="Tahoma" w:eastAsia="Tahoma" w:hAnsi="Tahoma"/>
          <w:color w:val="404042"/>
          <w:sz w:val="17"/>
        </w:rPr>
        <w:t>CCCares at Canberra College, Australian Capital Territory</w:t>
      </w:r>
      <w:r>
        <w:rPr>
          <w:rFonts w:ascii="Tahoma" w:eastAsia="Tahoma" w:hAnsi="Tahoma"/>
          <w:color w:val="404042"/>
          <w:sz w:val="17"/>
        </w:rPr>
        <w:tab/>
        <w:t>132</w:t>
      </w:r>
    </w:p>
    <w:p w14:paraId="537935B8" w14:textId="77777777" w:rsidR="009757A9" w:rsidRDefault="00083242">
      <w:pPr>
        <w:tabs>
          <w:tab w:val="left" w:pos="8784"/>
        </w:tabs>
        <w:spacing w:before="109" w:line="218" w:lineRule="exact"/>
        <w:ind w:left="864"/>
        <w:textAlignment w:val="baseline"/>
        <w:rPr>
          <w:rFonts w:ascii="Tahoma" w:eastAsia="Tahoma" w:hAnsi="Tahoma"/>
          <w:color w:val="404042"/>
          <w:sz w:val="17"/>
        </w:rPr>
      </w:pPr>
      <w:r>
        <w:rPr>
          <w:rFonts w:ascii="Tahoma" w:eastAsia="Tahoma" w:hAnsi="Tahoma"/>
          <w:color w:val="404042"/>
          <w:sz w:val="17"/>
        </w:rPr>
        <w:t>SunnyFutures program, Sunnybank State High School, Queensland</w:t>
      </w:r>
      <w:r>
        <w:rPr>
          <w:rFonts w:ascii="Tahoma" w:eastAsia="Tahoma" w:hAnsi="Tahoma"/>
          <w:color w:val="404042"/>
          <w:sz w:val="17"/>
        </w:rPr>
        <w:tab/>
        <w:t>134</w:t>
      </w:r>
    </w:p>
    <w:p w14:paraId="6C0EB88C" w14:textId="77777777" w:rsidR="009757A9" w:rsidRDefault="00083242">
      <w:pPr>
        <w:tabs>
          <w:tab w:val="left" w:pos="8784"/>
        </w:tabs>
        <w:spacing w:before="108" w:line="215" w:lineRule="exact"/>
        <w:ind w:left="864"/>
        <w:textAlignment w:val="baseline"/>
        <w:rPr>
          <w:rFonts w:ascii="Tahoma" w:eastAsia="Tahoma" w:hAnsi="Tahoma"/>
          <w:color w:val="404042"/>
          <w:sz w:val="17"/>
        </w:rPr>
      </w:pPr>
      <w:r>
        <w:rPr>
          <w:rFonts w:ascii="Tahoma" w:eastAsia="Tahoma" w:hAnsi="Tahoma"/>
          <w:color w:val="404042"/>
          <w:sz w:val="17"/>
        </w:rPr>
        <w:t>National Technical Assistance Center on Transition, United States of America</w:t>
      </w:r>
      <w:r>
        <w:rPr>
          <w:rFonts w:ascii="Tahoma" w:eastAsia="Tahoma" w:hAnsi="Tahoma"/>
          <w:color w:val="404042"/>
          <w:sz w:val="17"/>
        </w:rPr>
        <w:tab/>
        <w:t>136</w:t>
      </w:r>
    </w:p>
    <w:p w14:paraId="0BCAB17F" w14:textId="77777777" w:rsidR="009757A9" w:rsidRDefault="00083242">
      <w:pPr>
        <w:tabs>
          <w:tab w:val="left" w:pos="8784"/>
        </w:tabs>
        <w:spacing w:before="111" w:line="218" w:lineRule="exact"/>
        <w:ind w:left="864"/>
        <w:textAlignment w:val="baseline"/>
        <w:rPr>
          <w:rFonts w:ascii="Tahoma" w:eastAsia="Tahoma" w:hAnsi="Tahoma"/>
          <w:color w:val="404042"/>
          <w:sz w:val="17"/>
        </w:rPr>
      </w:pPr>
      <w:r>
        <w:rPr>
          <w:rFonts w:ascii="Tahoma" w:eastAsia="Tahoma" w:hAnsi="Tahoma"/>
          <w:color w:val="404042"/>
          <w:sz w:val="17"/>
        </w:rPr>
        <w:t>Longitudinal Surveys of Australian Youth</w:t>
      </w:r>
      <w:r>
        <w:rPr>
          <w:rFonts w:ascii="Tahoma" w:eastAsia="Tahoma" w:hAnsi="Tahoma"/>
          <w:color w:val="404042"/>
          <w:sz w:val="17"/>
        </w:rPr>
        <w:tab/>
        <w:t>143</w:t>
      </w:r>
    </w:p>
    <w:p w14:paraId="7A08187E" w14:textId="77777777" w:rsidR="009757A9" w:rsidRDefault="00083242">
      <w:pPr>
        <w:tabs>
          <w:tab w:val="left" w:pos="8784"/>
        </w:tabs>
        <w:spacing w:before="104" w:line="218" w:lineRule="exact"/>
        <w:ind w:left="864"/>
        <w:textAlignment w:val="baseline"/>
        <w:rPr>
          <w:rFonts w:ascii="Tahoma" w:eastAsia="Tahoma" w:hAnsi="Tahoma"/>
          <w:color w:val="404042"/>
          <w:sz w:val="17"/>
        </w:rPr>
      </w:pPr>
      <w:r>
        <w:rPr>
          <w:rFonts w:ascii="Tahoma" w:eastAsia="Tahoma" w:hAnsi="Tahoma"/>
          <w:color w:val="404042"/>
          <w:sz w:val="17"/>
        </w:rPr>
        <w:t>The Australian Government’s Jobs and Education Data Infrastructure (JEDI) project</w:t>
      </w:r>
      <w:r>
        <w:rPr>
          <w:rFonts w:ascii="Tahoma" w:eastAsia="Tahoma" w:hAnsi="Tahoma"/>
          <w:color w:val="404042"/>
          <w:sz w:val="17"/>
        </w:rPr>
        <w:tab/>
        <w:t>146</w:t>
      </w:r>
    </w:p>
    <w:p w14:paraId="23A0A54B" w14:textId="77777777" w:rsidR="009757A9" w:rsidRDefault="00083242">
      <w:pPr>
        <w:tabs>
          <w:tab w:val="left" w:pos="8784"/>
        </w:tabs>
        <w:spacing w:before="108" w:after="1541" w:line="218" w:lineRule="exact"/>
        <w:ind w:left="864"/>
        <w:textAlignment w:val="baseline"/>
        <w:rPr>
          <w:rFonts w:ascii="Tahoma" w:eastAsia="Tahoma" w:hAnsi="Tahoma"/>
          <w:color w:val="404042"/>
          <w:sz w:val="17"/>
        </w:rPr>
      </w:pPr>
      <w:r>
        <w:rPr>
          <w:rFonts w:ascii="Tahoma" w:eastAsia="Tahoma" w:hAnsi="Tahoma"/>
          <w:color w:val="404042"/>
          <w:sz w:val="17"/>
        </w:rPr>
        <w:t>Pathways for the Future research project, New South Wales</w:t>
      </w:r>
      <w:r>
        <w:rPr>
          <w:rFonts w:ascii="Tahoma" w:eastAsia="Tahoma" w:hAnsi="Tahoma"/>
          <w:color w:val="404042"/>
          <w:sz w:val="17"/>
        </w:rPr>
        <w:tab/>
        <w:t>147</w:t>
      </w:r>
    </w:p>
    <w:p w14:paraId="64F1EA1D" w14:textId="77777777" w:rsidR="009757A9" w:rsidRDefault="00083242">
      <w:pPr>
        <w:textAlignment w:val="baseline"/>
      </w:pPr>
      <w:r>
        <w:rPr>
          <w:noProof/>
          <w:lang w:val="en-AU" w:eastAsia="en-AU"/>
        </w:rPr>
        <w:drawing>
          <wp:inline distT="0" distB="0" distL="0" distR="0" wp14:anchorId="08F143C0" wp14:editId="2AC0D031">
            <wp:extent cx="7562215" cy="46291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24"/>
                    <a:stretch>
                      <a:fillRect/>
                    </a:stretch>
                  </pic:blipFill>
                  <pic:spPr>
                    <a:xfrm>
                      <a:off x="0" y="0"/>
                      <a:ext cx="7562215" cy="462915"/>
                    </a:xfrm>
                    <a:prstGeom prst="rect">
                      <a:avLst/>
                    </a:prstGeom>
                  </pic:spPr>
                </pic:pic>
              </a:graphicData>
            </a:graphic>
          </wp:inline>
        </w:drawing>
      </w:r>
    </w:p>
    <w:p w14:paraId="2FAF3965" w14:textId="77777777" w:rsidR="009757A9" w:rsidRDefault="009757A9">
      <w:pPr>
        <w:sectPr w:rsidR="009757A9">
          <w:pgSz w:w="11909" w:h="16838"/>
          <w:pgMar w:top="1080" w:right="0" w:bottom="0" w:left="0" w:header="720" w:footer="720" w:gutter="0"/>
          <w:cols w:space="720"/>
        </w:sectPr>
      </w:pPr>
    </w:p>
    <w:p w14:paraId="7039AFE1" w14:textId="77777777" w:rsidR="009757A9" w:rsidRPr="009E47D4" w:rsidRDefault="00083242" w:rsidP="009E47D4">
      <w:pPr>
        <w:pStyle w:val="Heading1"/>
      </w:pPr>
      <w:r w:rsidRPr="009E47D4">
        <w:lastRenderedPageBreak/>
        <w:t>LETTER FROM THE CHAIR</w:t>
      </w:r>
    </w:p>
    <w:p w14:paraId="701D42EC" w14:textId="77777777" w:rsidR="0070332D" w:rsidRDefault="0070332D">
      <w:pPr>
        <w:spacing w:before="8" w:line="218" w:lineRule="exact"/>
        <w:ind w:left="864"/>
        <w:textAlignment w:val="baseline"/>
        <w:rPr>
          <w:rFonts w:ascii="Tahoma" w:eastAsia="Tahoma" w:hAnsi="Tahoma"/>
          <w:color w:val="404042"/>
          <w:spacing w:val="6"/>
          <w:sz w:val="18"/>
        </w:rPr>
      </w:pPr>
    </w:p>
    <w:p w14:paraId="2D9D3F10" w14:textId="77777777" w:rsidR="009757A9" w:rsidRDefault="00083242">
      <w:pPr>
        <w:spacing w:before="8" w:line="218" w:lineRule="exact"/>
        <w:ind w:left="864"/>
        <w:textAlignment w:val="baseline"/>
        <w:rPr>
          <w:rFonts w:ascii="Tahoma" w:eastAsia="Tahoma" w:hAnsi="Tahoma"/>
          <w:color w:val="404042"/>
          <w:spacing w:val="6"/>
          <w:sz w:val="18"/>
        </w:rPr>
      </w:pPr>
      <w:r>
        <w:rPr>
          <w:rFonts w:ascii="Tahoma" w:eastAsia="Tahoma" w:hAnsi="Tahoma"/>
          <w:color w:val="404042"/>
          <w:spacing w:val="6"/>
          <w:sz w:val="18"/>
        </w:rPr>
        <w:t>Dear Ministers</w:t>
      </w:r>
    </w:p>
    <w:p w14:paraId="04890EE0" w14:textId="77777777" w:rsidR="009757A9" w:rsidRDefault="00083242">
      <w:pPr>
        <w:spacing w:before="176"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On behalf of my fellow panel members, I am pleased to submit the </w:t>
      </w:r>
      <w:r>
        <w:rPr>
          <w:rFonts w:ascii="Arial" w:eastAsia="Arial" w:hAnsi="Arial"/>
          <w:i/>
          <w:color w:val="404042"/>
          <w:sz w:val="19"/>
        </w:rPr>
        <w:t>Report of the Review of Senior Secondary Pathways into Work, Further Education and Training</w:t>
      </w:r>
      <w:r>
        <w:rPr>
          <w:rFonts w:ascii="Tahoma" w:eastAsia="Tahoma" w:hAnsi="Tahoma"/>
          <w:color w:val="404042"/>
          <w:sz w:val="18"/>
        </w:rPr>
        <w:t xml:space="preserve">. This review, as you are aware, is one of eight national policy initiatives under the National School Reform Agreement. It is informed by an explicit recommendation from the 2018 report, </w:t>
      </w:r>
      <w:r>
        <w:rPr>
          <w:rFonts w:ascii="Arial" w:eastAsia="Arial" w:hAnsi="Arial"/>
          <w:i/>
          <w:color w:val="404042"/>
          <w:sz w:val="19"/>
        </w:rPr>
        <w:t>Through Growth to Achievement: Report of the Review to Achieve Educational Excellence in Australian Schools</w:t>
      </w:r>
      <w:r>
        <w:rPr>
          <w:rFonts w:ascii="Tahoma" w:eastAsia="Tahoma" w:hAnsi="Tahoma"/>
          <w:color w:val="404042"/>
          <w:sz w:val="18"/>
        </w:rPr>
        <w:t>.</w:t>
      </w:r>
    </w:p>
    <w:p w14:paraId="190C547C" w14:textId="77777777" w:rsidR="009757A9" w:rsidRDefault="00083242">
      <w:pPr>
        <w:spacing w:before="162" w:line="240" w:lineRule="exact"/>
        <w:ind w:left="864" w:right="1224"/>
        <w:textAlignment w:val="baseline"/>
        <w:rPr>
          <w:rFonts w:ascii="Tahoma" w:eastAsia="Tahoma" w:hAnsi="Tahoma"/>
          <w:color w:val="404042"/>
          <w:spacing w:val="3"/>
          <w:sz w:val="18"/>
        </w:rPr>
      </w:pPr>
      <w:r>
        <w:rPr>
          <w:rFonts w:ascii="Tahoma" w:eastAsia="Tahoma" w:hAnsi="Tahoma"/>
          <w:color w:val="404042"/>
          <w:spacing w:val="3"/>
          <w:sz w:val="18"/>
        </w:rPr>
        <w:t xml:space="preserve">Borrowing a quote from the eminent American philosopher and educator, John Dewey, we have entitled our report </w:t>
      </w:r>
      <w:r>
        <w:rPr>
          <w:rFonts w:ascii="Arial" w:eastAsia="Arial" w:hAnsi="Arial"/>
          <w:i/>
          <w:color w:val="404042"/>
          <w:spacing w:val="3"/>
          <w:sz w:val="19"/>
        </w:rPr>
        <w:t>Looking to the Future</w:t>
      </w:r>
      <w:r>
        <w:rPr>
          <w:rFonts w:ascii="Tahoma" w:eastAsia="Tahoma" w:hAnsi="Tahoma"/>
          <w:color w:val="404042"/>
          <w:spacing w:val="3"/>
          <w:sz w:val="18"/>
        </w:rPr>
        <w:t>. The Panel’s view is that we have to design our education system to prepare young people for their future rather than for our past. The interests of our students must be front and centre. We need to reconceive how they can best be prepared for employability in a fast-changing labour market and for active citizenship in a democratic society.</w:t>
      </w:r>
    </w:p>
    <w:p w14:paraId="0911D9DD" w14:textId="77777777" w:rsidR="009757A9" w:rsidRDefault="00083242">
      <w:pPr>
        <w:spacing w:before="173" w:line="240" w:lineRule="exact"/>
        <w:ind w:left="864" w:right="864"/>
        <w:textAlignment w:val="baseline"/>
        <w:rPr>
          <w:rFonts w:ascii="Tahoma" w:eastAsia="Tahoma" w:hAnsi="Tahoma"/>
          <w:color w:val="404042"/>
          <w:spacing w:val="7"/>
          <w:sz w:val="18"/>
        </w:rPr>
      </w:pPr>
      <w:r>
        <w:rPr>
          <w:rFonts w:ascii="Tahoma" w:eastAsia="Tahoma" w:hAnsi="Tahoma"/>
          <w:color w:val="404042"/>
          <w:spacing w:val="7"/>
          <w:sz w:val="18"/>
        </w:rPr>
        <w:t>Our deliberations have been informed by reading over 200 submissions and meeting over 700 people at consultations. We have listened carefully to experts but learned even more from talking directly to students and their teachers. We discern a mood for transformation that presents COAG Education Council with an impetus for national reform. There is a need for the council’s collaborative leadership to drive change, while ensuring that educational jurisdictions and school authorities each have the level of autonomy necessary to respond in particular ways that can take account of place, circumstance and context.</w:t>
      </w:r>
    </w:p>
    <w:p w14:paraId="0CDFAB56" w14:textId="77777777" w:rsidR="009757A9" w:rsidRDefault="00083242">
      <w:pPr>
        <w:spacing w:before="168"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The present transition pathways presented to young adults at school are too often framed in a manner that they perceive to narrow choice</w:t>
      </w:r>
      <w:r>
        <w:rPr>
          <w:rFonts w:ascii="Arial" w:eastAsia="Arial" w:hAnsi="Arial"/>
          <w:i/>
          <w:color w:val="404042"/>
          <w:spacing w:val="4"/>
          <w:sz w:val="19"/>
        </w:rPr>
        <w:t xml:space="preserve">. </w:t>
      </w:r>
      <w:r>
        <w:rPr>
          <w:rFonts w:ascii="Tahoma" w:eastAsia="Tahoma" w:hAnsi="Tahoma"/>
          <w:color w:val="404042"/>
          <w:spacing w:val="4"/>
          <w:sz w:val="18"/>
        </w:rPr>
        <w:t>The dominance of a ranking score, the Australian Tertiary Admission Rank (ATAR), privileges academic capability over the value of vocational education and training. Many students believe that those headed for university are accorded higher status at school than those who prefer to pursue a trade apprenticeship or traineeship.</w:t>
      </w:r>
    </w:p>
    <w:p w14:paraId="7BBCB09F" w14:textId="77777777" w:rsidR="009757A9" w:rsidRDefault="00083242">
      <w:pPr>
        <w:spacing w:before="173"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More profoundly, the heavy focus on scholastic performance is seen by students to pay too little regard to the other skills and attributes that they require for successful adulthood. The general characteristics of students need to be given greater weight in the final years at school. The ATAR should be regarded as just one important measure of success. We need to educate for and assess the diverse learnings that make the whole person. We need to open doors, not narrow pathways.</w:t>
      </w:r>
    </w:p>
    <w:p w14:paraId="10D0AE50"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This imperative is increasingly recognised by governments, schools and industry bodies. The panel has been inspired by many great demonstrations of how senior secondary education can be delivered differently. We have captured some of those innovative approaches in our case studies. Education Council can now give greater impetus to such creativity by authorising and encouraging new approaches to vocational learning, career guidance, broader assessment of educational achievement and stronger partnerships with employers.</w:t>
      </w:r>
    </w:p>
    <w:p w14:paraId="30BBF1EE" w14:textId="77777777" w:rsidR="009757A9" w:rsidRDefault="00083242">
      <w:pPr>
        <w:spacing w:before="172" w:after="3490"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As our afterword emphasises, it is the Panel’s strong view that the disruptive impact of COVID-19 on education in recent months makes our recommendations even more relevant. We do not believe that consideration of our proposals should be deferred ‘until the crisis is over’. Rather, we argue that both the need and the opportunity for significant change is now even greater. Reform can become part of the ‘new normal’. Schools, principals and teachers have exhibited their extraordinary capacity for flexibility and resilience. They are up for the challenge.</w:t>
      </w:r>
    </w:p>
    <w:p w14:paraId="353CFA26" w14:textId="77777777" w:rsidR="009757A9" w:rsidRDefault="009757A9">
      <w:pPr>
        <w:spacing w:before="172" w:after="3490" w:line="240" w:lineRule="exact"/>
        <w:sectPr w:rsidR="009757A9">
          <w:pgSz w:w="11909" w:h="16838"/>
          <w:pgMar w:top="1080" w:right="0" w:bottom="0" w:left="0" w:header="720" w:footer="720" w:gutter="0"/>
          <w:cols w:space="720"/>
        </w:sectPr>
      </w:pPr>
    </w:p>
    <w:p w14:paraId="7F55509A" w14:textId="77777777" w:rsidR="009757A9" w:rsidRDefault="00083242">
      <w:pPr>
        <w:tabs>
          <w:tab w:val="left" w:pos="1368"/>
        </w:tabs>
        <w:spacing w:after="637" w:line="198" w:lineRule="exact"/>
        <w:ind w:left="864"/>
        <w:textAlignment w:val="baseline"/>
        <w:rPr>
          <w:rFonts w:ascii="Arial" w:eastAsia="Arial" w:hAnsi="Arial"/>
          <w:b/>
          <w:color w:val="5556A1"/>
          <w:spacing w:val="4"/>
          <w:sz w:val="19"/>
        </w:rPr>
      </w:pPr>
      <w:r>
        <w:rPr>
          <w:rFonts w:ascii="Arial" w:eastAsia="Arial" w:hAnsi="Arial"/>
          <w:b/>
          <w:color w:val="5556A1"/>
          <w:spacing w:val="4"/>
          <w:sz w:val="19"/>
        </w:rPr>
        <w:t>6</w:t>
      </w:r>
      <w:r>
        <w:rPr>
          <w:rFonts w:ascii="Tahoma" w:eastAsia="Tahoma" w:hAnsi="Tahoma"/>
          <w:color w:val="404042"/>
          <w:spacing w:val="4"/>
          <w:sz w:val="14"/>
        </w:rPr>
        <w:tab/>
        <w:t>Looking to the future</w:t>
      </w:r>
    </w:p>
    <w:p w14:paraId="07022B1F" w14:textId="77777777" w:rsidR="009757A9" w:rsidRDefault="00083242">
      <w:pPr>
        <w:textAlignment w:val="baseline"/>
      </w:pPr>
      <w:r>
        <w:rPr>
          <w:noProof/>
          <w:lang w:val="en-AU" w:eastAsia="en-AU"/>
        </w:rPr>
        <w:drawing>
          <wp:inline distT="0" distB="0" distL="0" distR="0" wp14:anchorId="41FFA2CF" wp14:editId="0715A779">
            <wp:extent cx="7562215" cy="46291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25"/>
                    <a:stretch>
                      <a:fillRect/>
                    </a:stretch>
                  </pic:blipFill>
                  <pic:spPr>
                    <a:xfrm>
                      <a:off x="0" y="0"/>
                      <a:ext cx="7562215" cy="462915"/>
                    </a:xfrm>
                    <a:prstGeom prst="rect">
                      <a:avLst/>
                    </a:prstGeom>
                  </pic:spPr>
                </pic:pic>
              </a:graphicData>
            </a:graphic>
          </wp:inline>
        </w:drawing>
      </w:r>
    </w:p>
    <w:p w14:paraId="793CEB72" w14:textId="77777777" w:rsidR="009757A9" w:rsidRDefault="009757A9">
      <w:pPr>
        <w:sectPr w:rsidR="009757A9">
          <w:type w:val="continuous"/>
          <w:pgSz w:w="11909" w:h="16838"/>
          <w:pgMar w:top="1080" w:right="0" w:bottom="0" w:left="0" w:header="720" w:footer="720" w:gutter="0"/>
          <w:cols w:space="720"/>
        </w:sectPr>
      </w:pPr>
    </w:p>
    <w:p w14:paraId="3121748B" w14:textId="77777777" w:rsidR="009757A9" w:rsidRDefault="00083242">
      <w:pPr>
        <w:spacing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lastRenderedPageBreak/>
        <w:t>The Panel believes that Education Council might usefully oversee a separate study on the impact of coronavirus on education. If so, we hope that our recommendations will help to inform that exercise. At a time when the employment opportunities for senior secondary students are likely to be limited by the consequences of severe economic downturn, and their career prospects challenged by the relentless impact of automation and digitisation, there is increasing acknowledgement that we need to look afresh at the transition years from school. We have a responsibility to ensure that students have learned how to keep on learning through life.</w:t>
      </w:r>
    </w:p>
    <w:p w14:paraId="6B80C359"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Let me conclude by paying respect to the contribution made by my fellow panel members, Tom Calma, Patrick O’Reilly, Sarina Russo, Patrea Walton, Jennifer Westacott and Don Zoellner. We have been ably supported by an enthusiastic secretariat team, led by Margaret Leggett and Natalie Barr. Our review is very much a collective effort.</w:t>
      </w:r>
    </w:p>
    <w:p w14:paraId="45D318C7" w14:textId="77777777" w:rsidR="009757A9" w:rsidRDefault="00083242">
      <w:pPr>
        <w:spacing w:before="601" w:after="338" w:line="217" w:lineRule="exact"/>
        <w:ind w:left="864"/>
        <w:textAlignment w:val="baseline"/>
        <w:rPr>
          <w:rFonts w:ascii="Tahoma" w:eastAsia="Tahoma" w:hAnsi="Tahoma"/>
          <w:color w:val="404042"/>
          <w:spacing w:val="13"/>
          <w:sz w:val="18"/>
        </w:rPr>
      </w:pPr>
      <w:r>
        <w:rPr>
          <w:rFonts w:ascii="Tahoma" w:eastAsia="Tahoma" w:hAnsi="Tahoma"/>
          <w:color w:val="404042"/>
          <w:spacing w:val="13"/>
          <w:sz w:val="18"/>
        </w:rPr>
        <w:t>Yours</w:t>
      </w:r>
    </w:p>
    <w:p w14:paraId="4E6A766A" w14:textId="77777777" w:rsidR="009757A9" w:rsidRDefault="00083242">
      <w:pPr>
        <w:spacing w:after="309"/>
        <w:ind w:left="960" w:right="9015"/>
        <w:textAlignment w:val="baseline"/>
      </w:pPr>
      <w:r>
        <w:rPr>
          <w:noProof/>
          <w:lang w:val="en-AU" w:eastAsia="en-AU"/>
        </w:rPr>
        <w:drawing>
          <wp:inline distT="0" distB="0" distL="0" distR="0" wp14:anchorId="64C674AB" wp14:editId="303EE123">
            <wp:extent cx="1228090" cy="484505"/>
            <wp:effectExtent l="0" t="0" r="0" b="0"/>
            <wp:docPr id="12" name="Picture" descr="Peter Shergold's signature"/>
            <wp:cNvGraphicFramePr/>
            <a:graphic xmlns:a="http://schemas.openxmlformats.org/drawingml/2006/main">
              <a:graphicData uri="http://schemas.openxmlformats.org/drawingml/2006/picture">
                <pic:pic xmlns:pic="http://schemas.openxmlformats.org/drawingml/2006/picture">
                  <pic:nvPicPr>
                    <pic:cNvPr id="12" name="Picture" descr="Peter Shergold's signature"/>
                    <pic:cNvPicPr preferRelativeResize="0"/>
                  </pic:nvPicPr>
                  <pic:blipFill>
                    <a:blip r:embed="rId26"/>
                    <a:stretch>
                      <a:fillRect/>
                    </a:stretch>
                  </pic:blipFill>
                  <pic:spPr>
                    <a:xfrm>
                      <a:off x="0" y="0"/>
                      <a:ext cx="1228090" cy="484505"/>
                    </a:xfrm>
                    <a:prstGeom prst="rect">
                      <a:avLst/>
                    </a:prstGeom>
                  </pic:spPr>
                </pic:pic>
              </a:graphicData>
            </a:graphic>
          </wp:inline>
        </w:drawing>
      </w:r>
    </w:p>
    <w:p w14:paraId="654D9E77" w14:textId="77777777" w:rsidR="009757A9" w:rsidRDefault="00083242">
      <w:pPr>
        <w:spacing w:after="8984" w:line="319" w:lineRule="exact"/>
        <w:ind w:left="864"/>
        <w:textAlignment w:val="baseline"/>
        <w:rPr>
          <w:rFonts w:ascii="Tahoma" w:eastAsia="Tahoma" w:hAnsi="Tahoma"/>
          <w:color w:val="404042"/>
          <w:sz w:val="18"/>
        </w:rPr>
      </w:pPr>
      <w:r>
        <w:rPr>
          <w:rFonts w:ascii="Tahoma" w:eastAsia="Tahoma" w:hAnsi="Tahoma"/>
          <w:color w:val="404042"/>
          <w:sz w:val="18"/>
        </w:rPr>
        <w:t xml:space="preserve">Professor Peter Shergold AC </w:t>
      </w:r>
      <w:r>
        <w:rPr>
          <w:rFonts w:ascii="Tahoma" w:eastAsia="Tahoma" w:hAnsi="Tahoma"/>
          <w:color w:val="404042"/>
          <w:sz w:val="18"/>
        </w:rPr>
        <w:br/>
        <w:t>Panel Chair</w:t>
      </w:r>
    </w:p>
    <w:p w14:paraId="6DC532E3" w14:textId="77777777" w:rsidR="009757A9" w:rsidRDefault="009757A9">
      <w:pPr>
        <w:spacing w:after="8984" w:line="319" w:lineRule="exact"/>
        <w:sectPr w:rsidR="009757A9">
          <w:pgSz w:w="11909" w:h="16838"/>
          <w:pgMar w:top="1080" w:right="0" w:bottom="0" w:left="0" w:header="720" w:footer="720" w:gutter="0"/>
          <w:cols w:space="720"/>
        </w:sectPr>
      </w:pPr>
    </w:p>
    <w:p w14:paraId="413E31BD" w14:textId="77777777" w:rsidR="009757A9" w:rsidRDefault="00083242">
      <w:pPr>
        <w:spacing w:before="9" w:after="607" w:line="209" w:lineRule="exact"/>
        <w:ind w:left="10872"/>
        <w:textAlignment w:val="baseline"/>
        <w:rPr>
          <w:rFonts w:ascii="Arial" w:eastAsia="Arial" w:hAnsi="Arial"/>
          <w:b/>
          <w:color w:val="5556A1"/>
          <w:sz w:val="19"/>
        </w:rPr>
      </w:pPr>
      <w:r>
        <w:rPr>
          <w:rFonts w:ascii="Arial" w:eastAsia="Arial" w:hAnsi="Arial"/>
          <w:b/>
          <w:color w:val="5556A1"/>
          <w:sz w:val="19"/>
        </w:rPr>
        <w:t>7</w:t>
      </w:r>
    </w:p>
    <w:p w14:paraId="0A07027F" w14:textId="77777777" w:rsidR="009757A9" w:rsidRDefault="00083242">
      <w:pPr>
        <w:textAlignment w:val="baseline"/>
      </w:pPr>
      <w:r>
        <w:rPr>
          <w:noProof/>
          <w:lang w:val="en-AU" w:eastAsia="en-AU"/>
        </w:rPr>
        <w:drawing>
          <wp:inline distT="0" distB="0" distL="0" distR="0" wp14:anchorId="5F236631" wp14:editId="6C1445EE">
            <wp:extent cx="7562215" cy="46291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7"/>
                    <a:stretch>
                      <a:fillRect/>
                    </a:stretch>
                  </pic:blipFill>
                  <pic:spPr>
                    <a:xfrm>
                      <a:off x="0" y="0"/>
                      <a:ext cx="7562215" cy="462915"/>
                    </a:xfrm>
                    <a:prstGeom prst="rect">
                      <a:avLst/>
                    </a:prstGeom>
                  </pic:spPr>
                </pic:pic>
              </a:graphicData>
            </a:graphic>
          </wp:inline>
        </w:drawing>
      </w:r>
    </w:p>
    <w:p w14:paraId="49F765A7" w14:textId="77777777" w:rsidR="009757A9" w:rsidRDefault="009757A9">
      <w:pPr>
        <w:sectPr w:rsidR="009757A9">
          <w:type w:val="continuous"/>
          <w:pgSz w:w="11909" w:h="16838"/>
          <w:pgMar w:top="1080" w:right="0" w:bottom="0" w:left="0" w:header="720" w:footer="720" w:gutter="0"/>
          <w:cols w:space="720"/>
        </w:sectPr>
      </w:pPr>
    </w:p>
    <w:p w14:paraId="33039541" w14:textId="77777777" w:rsidR="009757A9" w:rsidRDefault="00083242" w:rsidP="009E47D4">
      <w:pPr>
        <w:pStyle w:val="Heading1"/>
        <w:rPr>
          <w:rFonts w:eastAsia="Arial"/>
        </w:rPr>
      </w:pPr>
      <w:r>
        <w:rPr>
          <w:rFonts w:eastAsia="Arial"/>
        </w:rPr>
        <w:lastRenderedPageBreak/>
        <w:t>TERMS OF REFERENCE</w:t>
      </w:r>
    </w:p>
    <w:p w14:paraId="2B81B36F" w14:textId="77777777" w:rsidR="009757A9" w:rsidRDefault="00083242">
      <w:pPr>
        <w:spacing w:before="473" w:line="286" w:lineRule="exact"/>
        <w:ind w:left="864"/>
        <w:textAlignment w:val="baseline"/>
        <w:rPr>
          <w:rFonts w:ascii="Arial" w:eastAsia="Arial" w:hAnsi="Arial"/>
          <w:b/>
          <w:color w:val="00708E"/>
          <w:sz w:val="25"/>
        </w:rPr>
      </w:pPr>
      <w:r>
        <w:rPr>
          <w:rFonts w:ascii="Arial" w:eastAsia="Arial" w:hAnsi="Arial"/>
          <w:b/>
          <w:color w:val="00708E"/>
          <w:sz w:val="25"/>
        </w:rPr>
        <w:t>Context</w:t>
      </w:r>
    </w:p>
    <w:p w14:paraId="29CD747B" w14:textId="77777777" w:rsidR="009757A9" w:rsidRDefault="00083242">
      <w:pPr>
        <w:spacing w:before="146"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Research shows that students who complete senior secondary education have a greater likelihood of continuing with further study, entering into the workforce, and improved living conditions. Today’s students, however, face a range of challenges due to technological change, globalisation and automation. Senior secondary graduates will need a broader and different mix of skills compared to previous generations, including stronger problem solving, communication and digital skills, as well as critical and creative thinking. They will also need the skills to navigate an increasingly complex range of options and pathways into further education and training.</w:t>
      </w:r>
    </w:p>
    <w:p w14:paraId="49FA4D47" w14:textId="77777777" w:rsidR="009757A9" w:rsidRDefault="00083242">
      <w:pPr>
        <w:spacing w:before="177"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In recognition of the important role senior secondary education plays in preparing students for the rapidly changing world beyond school, </w:t>
      </w:r>
      <w:r>
        <w:rPr>
          <w:rFonts w:ascii="Arial" w:eastAsia="Arial" w:hAnsi="Arial"/>
          <w:i/>
          <w:color w:val="404042"/>
          <w:sz w:val="18"/>
        </w:rPr>
        <w:t xml:space="preserve">Through Growth to Achievement: Report of the Review to Achieve Educational Excellence in Australian Schools </w:t>
      </w:r>
      <w:r>
        <w:rPr>
          <w:rFonts w:ascii="Tahoma" w:eastAsia="Tahoma" w:hAnsi="Tahoma"/>
          <w:color w:val="404042"/>
          <w:sz w:val="18"/>
        </w:rPr>
        <w:t xml:space="preserve">recommended establishing an independent inquiry into senior secondary schooling. The recommendation has been formalised in the national school reform agreement as a national policy initiative </w:t>
      </w:r>
      <w:r>
        <w:rPr>
          <w:rFonts w:ascii="Arial" w:eastAsia="Arial" w:hAnsi="Arial"/>
          <w:i/>
          <w:color w:val="404042"/>
          <w:sz w:val="18"/>
        </w:rPr>
        <w:t xml:space="preserve">to review senior secondary pathways into work, further education and training </w:t>
      </w:r>
      <w:r>
        <w:rPr>
          <w:rFonts w:ascii="Tahoma" w:eastAsia="Tahoma" w:hAnsi="Tahoma"/>
          <w:color w:val="404042"/>
          <w:sz w:val="18"/>
        </w:rPr>
        <w:t>(the Review).</w:t>
      </w:r>
    </w:p>
    <w:p w14:paraId="22737848" w14:textId="77777777" w:rsidR="009757A9" w:rsidRDefault="00083242">
      <w:pPr>
        <w:spacing w:before="184"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The Review will report to Education Council as outlined in the National School Reform Agreement 2019-2023.</w:t>
      </w:r>
    </w:p>
    <w:p w14:paraId="42DA33AE"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Responsibility for senior secondary pathways into work, further education and training fall across levels of government, from the schooling system to vocational and higher education sectors as well as employers and industry. While the review will report to the COAG Education Council, which has responsibility for schooling, the recommendations may have broader systemic implications and will need to be considered in this policy context.</w:t>
      </w:r>
    </w:p>
    <w:p w14:paraId="47FD65AA" w14:textId="77777777" w:rsidR="009757A9" w:rsidRDefault="00083242">
      <w:pPr>
        <w:spacing w:before="384" w:line="286" w:lineRule="exact"/>
        <w:ind w:left="864"/>
        <w:textAlignment w:val="baseline"/>
        <w:rPr>
          <w:rFonts w:ascii="Arial" w:eastAsia="Arial" w:hAnsi="Arial"/>
          <w:b/>
          <w:color w:val="00708E"/>
          <w:spacing w:val="-6"/>
          <w:sz w:val="25"/>
        </w:rPr>
      </w:pPr>
      <w:r>
        <w:rPr>
          <w:rFonts w:ascii="Arial" w:eastAsia="Arial" w:hAnsi="Arial"/>
          <w:b/>
          <w:color w:val="00708E"/>
          <w:spacing w:val="-6"/>
          <w:sz w:val="25"/>
        </w:rPr>
        <w:t>Purpose</w:t>
      </w:r>
    </w:p>
    <w:p w14:paraId="5F320139" w14:textId="77777777" w:rsidR="009757A9" w:rsidRDefault="00083242">
      <w:pPr>
        <w:spacing w:before="150"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The Review will provide Education Council with advice and recommendations on how senior secondary students can better understand and be enabled to choose the most appropriate pathway to support their transition into work, further education and/or training. In undertaking the review the expert panel will give consideration to the different contexts faced by disadvantaged students, including students with disability, those in regional, rural and remote areas, and Aboriginal and Torres Strait Islander students.</w:t>
      </w:r>
    </w:p>
    <w:p w14:paraId="1C65D913" w14:textId="77777777" w:rsidR="009757A9" w:rsidRDefault="00083242">
      <w:pPr>
        <w:spacing w:before="188" w:line="220" w:lineRule="exact"/>
        <w:ind w:left="864"/>
        <w:textAlignment w:val="baseline"/>
        <w:rPr>
          <w:rFonts w:ascii="Tahoma" w:eastAsia="Tahoma" w:hAnsi="Tahoma"/>
          <w:color w:val="404042"/>
          <w:spacing w:val="3"/>
          <w:sz w:val="18"/>
        </w:rPr>
      </w:pPr>
      <w:r>
        <w:rPr>
          <w:rFonts w:ascii="Tahoma" w:eastAsia="Tahoma" w:hAnsi="Tahoma"/>
          <w:color w:val="404042"/>
          <w:spacing w:val="3"/>
          <w:sz w:val="18"/>
        </w:rPr>
        <w:t>The expert panel will:</w:t>
      </w:r>
    </w:p>
    <w:p w14:paraId="0A4580ED" w14:textId="77777777" w:rsidR="009757A9" w:rsidRDefault="00083242">
      <w:pPr>
        <w:spacing w:before="87" w:line="240" w:lineRule="exact"/>
        <w:ind w:left="1080" w:right="1512" w:hanging="216"/>
        <w:textAlignment w:val="baseline"/>
        <w:rPr>
          <w:rFonts w:ascii="Tahoma" w:eastAsia="Tahoma" w:hAnsi="Tahoma"/>
          <w:color w:val="404042"/>
          <w:sz w:val="18"/>
        </w:rPr>
      </w:pPr>
      <w:r>
        <w:rPr>
          <w:rFonts w:ascii="Tahoma" w:eastAsia="Tahoma" w:hAnsi="Tahoma"/>
          <w:color w:val="404042"/>
          <w:sz w:val="18"/>
        </w:rPr>
        <w:t>1. Explore the efficacy of senior secondary education in preparing young people for diverse pathways to further learning and work, including:</w:t>
      </w:r>
    </w:p>
    <w:p w14:paraId="276FC177" w14:textId="77777777" w:rsidR="009757A9" w:rsidRDefault="00083242">
      <w:pPr>
        <w:numPr>
          <w:ilvl w:val="0"/>
          <w:numId w:val="1"/>
        </w:numPr>
        <w:tabs>
          <w:tab w:val="clear" w:pos="288"/>
          <w:tab w:val="left" w:pos="1368"/>
        </w:tabs>
        <w:spacing w:before="57" w:line="240" w:lineRule="exact"/>
        <w:ind w:left="1368" w:right="936" w:hanging="288"/>
        <w:textAlignment w:val="baseline"/>
        <w:rPr>
          <w:rFonts w:ascii="Tahoma" w:eastAsia="Tahoma" w:hAnsi="Tahoma"/>
          <w:color w:val="404042"/>
          <w:sz w:val="18"/>
        </w:rPr>
      </w:pPr>
      <w:r>
        <w:rPr>
          <w:rFonts w:ascii="Tahoma" w:eastAsia="Tahoma" w:hAnsi="Tahoma"/>
          <w:color w:val="404042"/>
          <w:sz w:val="18"/>
        </w:rPr>
        <w:t>identifying from existing curriculum frameworks and relevant research, the essential knowledge, skills and values needed for diverse pathways to life long learning, work and effective participation in civic life.</w:t>
      </w:r>
    </w:p>
    <w:p w14:paraId="055DC302" w14:textId="77777777" w:rsidR="009757A9" w:rsidRDefault="00083242">
      <w:pPr>
        <w:numPr>
          <w:ilvl w:val="0"/>
          <w:numId w:val="1"/>
        </w:numPr>
        <w:tabs>
          <w:tab w:val="clear" w:pos="288"/>
          <w:tab w:val="left" w:pos="1368"/>
        </w:tabs>
        <w:spacing w:before="53" w:line="240" w:lineRule="exact"/>
        <w:ind w:left="1368" w:right="1008" w:hanging="288"/>
        <w:textAlignment w:val="baseline"/>
        <w:rPr>
          <w:rFonts w:ascii="Tahoma" w:eastAsia="Tahoma" w:hAnsi="Tahoma"/>
          <w:color w:val="404042"/>
          <w:sz w:val="18"/>
        </w:rPr>
      </w:pPr>
      <w:r>
        <w:rPr>
          <w:rFonts w:ascii="Tahoma" w:eastAsia="Tahoma" w:hAnsi="Tahoma"/>
          <w:color w:val="404042"/>
          <w:sz w:val="18"/>
        </w:rPr>
        <w:t>identifying the skills and knowledge students, employers, vocational education and training (VET) providers, and higher education institutions perceive are essential for successful post school transitions.</w:t>
      </w:r>
    </w:p>
    <w:p w14:paraId="790ECFDB" w14:textId="77777777" w:rsidR="009757A9" w:rsidRDefault="00083242">
      <w:pPr>
        <w:numPr>
          <w:ilvl w:val="0"/>
          <w:numId w:val="1"/>
        </w:numPr>
        <w:tabs>
          <w:tab w:val="clear" w:pos="288"/>
          <w:tab w:val="left" w:pos="1368"/>
        </w:tabs>
        <w:spacing w:before="58" w:line="240" w:lineRule="exact"/>
        <w:ind w:left="1368" w:right="936" w:hanging="288"/>
        <w:textAlignment w:val="baseline"/>
        <w:rPr>
          <w:rFonts w:ascii="Tahoma" w:eastAsia="Tahoma" w:hAnsi="Tahoma"/>
          <w:color w:val="404042"/>
          <w:sz w:val="18"/>
        </w:rPr>
      </w:pPr>
      <w:r>
        <w:rPr>
          <w:rFonts w:ascii="Tahoma" w:eastAsia="Tahoma" w:hAnsi="Tahoma"/>
          <w:color w:val="404042"/>
          <w:sz w:val="18"/>
        </w:rPr>
        <w:t>clarifying the roles and responsibilities of key stakeholders, such as schools, students, parents, VET providers, higher education institutions, and employers, in supporting inclusion and preparing school leavers for life beyond school, whatever pathway they choose.</w:t>
      </w:r>
    </w:p>
    <w:p w14:paraId="4849043C" w14:textId="77777777" w:rsidR="009757A9" w:rsidRDefault="00083242">
      <w:pPr>
        <w:spacing w:before="86" w:line="240" w:lineRule="exact"/>
        <w:ind w:left="1080" w:right="936" w:hanging="216"/>
        <w:textAlignment w:val="baseline"/>
        <w:rPr>
          <w:rFonts w:ascii="Tahoma" w:eastAsia="Tahoma" w:hAnsi="Tahoma"/>
          <w:color w:val="404042"/>
          <w:spacing w:val="6"/>
          <w:sz w:val="18"/>
        </w:rPr>
      </w:pPr>
      <w:r>
        <w:rPr>
          <w:rFonts w:ascii="Tahoma" w:eastAsia="Tahoma" w:hAnsi="Tahoma"/>
          <w:color w:val="404042"/>
          <w:spacing w:val="6"/>
          <w:sz w:val="18"/>
        </w:rPr>
        <w:t>2. Investigate whether current certification and university entry requirements, including other credentials such as the International Baccalaureate, assist in allowing students to make the study choices that are right for them to develop the skills and knowledge they need to access the most appropriate pathway into work, further education and/ or training.</w:t>
      </w:r>
    </w:p>
    <w:p w14:paraId="34345F6B" w14:textId="77777777" w:rsidR="009757A9" w:rsidRDefault="00083242">
      <w:pPr>
        <w:spacing w:before="87" w:line="240" w:lineRule="exact"/>
        <w:ind w:left="1080" w:right="1512" w:hanging="216"/>
        <w:textAlignment w:val="baseline"/>
        <w:rPr>
          <w:rFonts w:ascii="Tahoma" w:eastAsia="Tahoma" w:hAnsi="Tahoma"/>
          <w:color w:val="404042"/>
          <w:sz w:val="18"/>
        </w:rPr>
      </w:pPr>
      <w:r>
        <w:rPr>
          <w:rFonts w:ascii="Tahoma" w:eastAsia="Tahoma" w:hAnsi="Tahoma"/>
          <w:color w:val="404042"/>
          <w:sz w:val="18"/>
        </w:rPr>
        <w:t>3. Investigate barriers to students being able to equitably access all pathways, particularly for students in rural, regional and remote areas, Aboriginal and Torres Strait Islander students, students with disability, those who struggle to make transitions to work, further education and training, and potential early school leavers.</w:t>
      </w:r>
    </w:p>
    <w:p w14:paraId="583D5BBE" w14:textId="09FD4CCE" w:rsidR="009757A9" w:rsidRDefault="00232B76">
      <w:pPr>
        <w:tabs>
          <w:tab w:val="left" w:pos="1368"/>
        </w:tabs>
        <w:spacing w:before="1851" w:after="637" w:line="209"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035584" behindDoc="0" locked="0" layoutInCell="1" allowOverlap="1" wp14:anchorId="0CA78EDF" wp14:editId="4AEB24D9">
            <wp:simplePos x="0" y="0"/>
            <wp:positionH relativeFrom="column">
              <wp:posOffset>0</wp:posOffset>
            </wp:positionH>
            <wp:positionV relativeFrom="paragraph">
              <wp:posOffset>1502410</wp:posOffset>
            </wp:positionV>
            <wp:extent cx="7562215" cy="462915"/>
            <wp:effectExtent l="0" t="0" r="635" b="0"/>
            <wp:wrapThrough wrapText="bothSides">
              <wp:wrapPolygon edited="0">
                <wp:start x="0" y="0"/>
                <wp:lineTo x="0" y="20444"/>
                <wp:lineTo x="21547" y="20444"/>
                <wp:lineTo x="21547" y="0"/>
                <wp:lineTo x="0" y="0"/>
              </wp:wrapPolygon>
            </wp:wrapThrough>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8</w:t>
      </w:r>
      <w:r w:rsidR="00083242">
        <w:rPr>
          <w:rFonts w:ascii="Tahoma" w:eastAsia="Tahoma" w:hAnsi="Tahoma"/>
          <w:color w:val="404042"/>
          <w:spacing w:val="4"/>
          <w:sz w:val="14"/>
        </w:rPr>
        <w:tab/>
        <w:t>Looking to the future</w:t>
      </w:r>
    </w:p>
    <w:p w14:paraId="44F579FD" w14:textId="6F18157D" w:rsidR="009757A9" w:rsidRDefault="009757A9">
      <w:pPr>
        <w:textAlignment w:val="baseline"/>
      </w:pPr>
    </w:p>
    <w:p w14:paraId="2D32BD30" w14:textId="77777777" w:rsidR="009757A9" w:rsidRDefault="00083242">
      <w:pPr>
        <w:spacing w:line="240" w:lineRule="exact"/>
        <w:ind w:left="1152" w:right="1224" w:hanging="288"/>
        <w:textAlignment w:val="baseline"/>
        <w:rPr>
          <w:rFonts w:ascii="Tahoma" w:eastAsia="Tahoma" w:hAnsi="Tahoma"/>
          <w:color w:val="404042"/>
          <w:sz w:val="18"/>
        </w:rPr>
      </w:pPr>
      <w:r>
        <w:rPr>
          <w:rFonts w:ascii="Tahoma" w:eastAsia="Tahoma" w:hAnsi="Tahoma"/>
          <w:color w:val="404042"/>
          <w:sz w:val="18"/>
        </w:rPr>
        <w:t>4. Identify best practice in flexible delivery options, transition and engagement support arrangements for students transitioning from Year 10 to Year 11, as well as from Year 12 to post-school destinations including:</w:t>
      </w:r>
    </w:p>
    <w:p w14:paraId="0E90AE36" w14:textId="77777777" w:rsidR="009757A9" w:rsidRDefault="00083242">
      <w:pPr>
        <w:numPr>
          <w:ilvl w:val="0"/>
          <w:numId w:val="2"/>
        </w:numPr>
        <w:tabs>
          <w:tab w:val="clear" w:pos="216"/>
          <w:tab w:val="left" w:pos="1368"/>
        </w:tabs>
        <w:spacing w:before="58" w:line="240" w:lineRule="exact"/>
        <w:ind w:left="1368" w:right="864" w:hanging="216"/>
        <w:textAlignment w:val="baseline"/>
        <w:rPr>
          <w:rFonts w:ascii="Tahoma" w:eastAsia="Tahoma" w:hAnsi="Tahoma"/>
          <w:color w:val="404042"/>
          <w:sz w:val="18"/>
        </w:rPr>
      </w:pPr>
      <w:r>
        <w:rPr>
          <w:rFonts w:ascii="Tahoma" w:eastAsia="Tahoma" w:hAnsi="Tahoma"/>
          <w:color w:val="404042"/>
          <w:sz w:val="18"/>
        </w:rPr>
        <w:t>career education and awareness that supports inclusion and includes information linked to labour market outcomes for all pathways, to support students to make informed decisions about their study, training and career options, as well as develop career management skills</w:t>
      </w:r>
    </w:p>
    <w:p w14:paraId="5F7803F0" w14:textId="77777777" w:rsidR="009757A9" w:rsidRDefault="00083242">
      <w:pPr>
        <w:numPr>
          <w:ilvl w:val="0"/>
          <w:numId w:val="2"/>
        </w:numPr>
        <w:tabs>
          <w:tab w:val="clear" w:pos="216"/>
          <w:tab w:val="left" w:pos="1368"/>
        </w:tabs>
        <w:spacing w:before="57" w:line="240" w:lineRule="exact"/>
        <w:ind w:left="1368" w:right="1152" w:hanging="216"/>
        <w:jc w:val="both"/>
        <w:textAlignment w:val="baseline"/>
        <w:rPr>
          <w:rFonts w:ascii="Tahoma" w:eastAsia="Tahoma" w:hAnsi="Tahoma"/>
          <w:color w:val="404042"/>
          <w:sz w:val="18"/>
        </w:rPr>
      </w:pPr>
      <w:r>
        <w:rPr>
          <w:rFonts w:ascii="Tahoma" w:eastAsia="Tahoma" w:hAnsi="Tahoma"/>
          <w:color w:val="404042"/>
          <w:sz w:val="18"/>
        </w:rPr>
        <w:t>the role and impact of teachers, school leaders, and different models of schooling, such as alternate education settings for disengaged students, distance education and/or home education, in successful transitions</w:t>
      </w:r>
    </w:p>
    <w:p w14:paraId="1A3C027B" w14:textId="77777777" w:rsidR="009757A9" w:rsidRDefault="00083242">
      <w:pPr>
        <w:numPr>
          <w:ilvl w:val="0"/>
          <w:numId w:val="2"/>
        </w:numPr>
        <w:tabs>
          <w:tab w:val="clear" w:pos="216"/>
          <w:tab w:val="left" w:pos="1368"/>
        </w:tabs>
        <w:spacing w:before="73" w:line="220" w:lineRule="exact"/>
        <w:ind w:left="1368" w:hanging="216"/>
        <w:jc w:val="both"/>
        <w:textAlignment w:val="baseline"/>
        <w:rPr>
          <w:rFonts w:ascii="Tahoma" w:eastAsia="Tahoma" w:hAnsi="Tahoma"/>
          <w:color w:val="404042"/>
          <w:spacing w:val="5"/>
          <w:sz w:val="18"/>
        </w:rPr>
      </w:pPr>
      <w:r>
        <w:rPr>
          <w:rFonts w:ascii="Tahoma" w:eastAsia="Tahoma" w:hAnsi="Tahoma"/>
          <w:color w:val="404042"/>
          <w:spacing w:val="5"/>
          <w:sz w:val="18"/>
        </w:rPr>
        <w:t>vocational education and training delivered to secondary students that leads to strong transitions</w:t>
      </w:r>
    </w:p>
    <w:p w14:paraId="0B37D891" w14:textId="77777777" w:rsidR="009757A9" w:rsidRDefault="00083242">
      <w:pPr>
        <w:numPr>
          <w:ilvl w:val="0"/>
          <w:numId w:val="2"/>
        </w:numPr>
        <w:tabs>
          <w:tab w:val="clear" w:pos="216"/>
          <w:tab w:val="left" w:pos="1368"/>
        </w:tabs>
        <w:spacing w:before="1" w:line="297" w:lineRule="exact"/>
        <w:ind w:left="1368" w:right="6552" w:hanging="216"/>
        <w:jc w:val="both"/>
        <w:textAlignment w:val="baseline"/>
        <w:rPr>
          <w:rFonts w:ascii="Tahoma" w:eastAsia="Tahoma" w:hAnsi="Tahoma"/>
          <w:color w:val="404042"/>
          <w:sz w:val="18"/>
        </w:rPr>
      </w:pPr>
      <w:r>
        <w:rPr>
          <w:rFonts w:ascii="Tahoma" w:eastAsia="Tahoma" w:hAnsi="Tahoma"/>
          <w:color w:val="404042"/>
          <w:sz w:val="18"/>
        </w:rPr>
        <w:t>work-based learning and industry partnerships e.. higher education</w:t>
      </w:r>
    </w:p>
    <w:p w14:paraId="787BE8C5" w14:textId="77777777" w:rsidR="009757A9" w:rsidRDefault="00083242">
      <w:pPr>
        <w:spacing w:before="58" w:line="240" w:lineRule="exact"/>
        <w:ind w:left="1368" w:right="1008" w:hanging="288"/>
        <w:textAlignment w:val="baseline"/>
        <w:rPr>
          <w:rFonts w:ascii="Tahoma" w:eastAsia="Tahoma" w:hAnsi="Tahoma"/>
          <w:color w:val="404042"/>
          <w:sz w:val="18"/>
        </w:rPr>
      </w:pPr>
      <w:r>
        <w:rPr>
          <w:rFonts w:ascii="Tahoma" w:eastAsia="Tahoma" w:hAnsi="Tahoma"/>
          <w:color w:val="404042"/>
          <w:sz w:val="18"/>
        </w:rPr>
        <w:t>f. the role of student wellbeing on their ability to engage in different types of learning, including VET, academic and work-based learning, to facilitate completion of year 12 and transition to successful pathways.</w:t>
      </w:r>
    </w:p>
    <w:p w14:paraId="449DD350" w14:textId="77777777" w:rsidR="009757A9" w:rsidRDefault="00083242">
      <w:pPr>
        <w:spacing w:before="106"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5. Investigate what, when and how data should be collected to capture experiences, identify pathways and measure</w:t>
      </w:r>
    </w:p>
    <w:p w14:paraId="75C086BD" w14:textId="77777777" w:rsidR="009757A9" w:rsidRDefault="00083242">
      <w:pPr>
        <w:spacing w:line="240" w:lineRule="exact"/>
        <w:ind w:left="1152" w:right="1008"/>
        <w:textAlignment w:val="baseline"/>
        <w:rPr>
          <w:rFonts w:ascii="Tahoma" w:eastAsia="Tahoma" w:hAnsi="Tahoma"/>
          <w:color w:val="404042"/>
          <w:sz w:val="18"/>
        </w:rPr>
      </w:pPr>
      <w:r>
        <w:rPr>
          <w:rFonts w:ascii="Tahoma" w:eastAsia="Tahoma" w:hAnsi="Tahoma"/>
          <w:color w:val="404042"/>
          <w:sz w:val="18"/>
        </w:rPr>
        <w:t>the impact of delivery options, subject choice (including academic and VET) on student outcomes and destinations, to ensure continuous improvement.</w:t>
      </w:r>
    </w:p>
    <w:p w14:paraId="75FE0954" w14:textId="77777777" w:rsidR="009757A9" w:rsidRDefault="00083242">
      <w:pPr>
        <w:spacing w:before="379" w:line="277" w:lineRule="exact"/>
        <w:ind w:left="864"/>
        <w:textAlignment w:val="baseline"/>
        <w:rPr>
          <w:rFonts w:ascii="Arial" w:eastAsia="Arial" w:hAnsi="Arial"/>
          <w:b/>
          <w:color w:val="00708E"/>
          <w:spacing w:val="-3"/>
          <w:sz w:val="25"/>
        </w:rPr>
      </w:pPr>
      <w:r>
        <w:rPr>
          <w:rFonts w:ascii="Arial" w:eastAsia="Arial" w:hAnsi="Arial"/>
          <w:b/>
          <w:color w:val="00708E"/>
          <w:spacing w:val="-3"/>
          <w:sz w:val="25"/>
        </w:rPr>
        <w:t>Related Reviews</w:t>
      </w:r>
    </w:p>
    <w:p w14:paraId="2DB8C158" w14:textId="77777777" w:rsidR="009757A9" w:rsidRDefault="00083242">
      <w:pPr>
        <w:spacing w:before="180"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The Review will have regard to relevant findings and recommendations of:</w:t>
      </w:r>
    </w:p>
    <w:p w14:paraId="23DE211E" w14:textId="77777777" w:rsidR="009757A9" w:rsidRDefault="00083242">
      <w:pPr>
        <w:numPr>
          <w:ilvl w:val="0"/>
          <w:numId w:val="3"/>
        </w:numPr>
        <w:tabs>
          <w:tab w:val="clear" w:pos="288"/>
          <w:tab w:val="left" w:pos="1152"/>
        </w:tabs>
        <w:spacing w:before="87" w:line="240" w:lineRule="exact"/>
        <w:ind w:left="1152" w:right="1440" w:hanging="288"/>
        <w:textAlignment w:val="baseline"/>
        <w:rPr>
          <w:rFonts w:ascii="Arial" w:eastAsia="Arial" w:hAnsi="Arial"/>
          <w:i/>
          <w:color w:val="404042"/>
          <w:sz w:val="18"/>
        </w:rPr>
      </w:pPr>
      <w:r>
        <w:rPr>
          <w:rFonts w:ascii="Arial" w:eastAsia="Arial" w:hAnsi="Arial"/>
          <w:i/>
          <w:color w:val="404042"/>
          <w:sz w:val="18"/>
        </w:rPr>
        <w:t>Through Growth to Achievement: Report of the Review to Achieve Educational Excellence in Australian Schools</w:t>
      </w:r>
      <w:r>
        <w:rPr>
          <w:rFonts w:ascii="Tahoma" w:eastAsia="Tahoma" w:hAnsi="Tahoma"/>
          <w:color w:val="404042"/>
          <w:sz w:val="18"/>
        </w:rPr>
        <w:t>, 2018, chaired by Mr David Gonski</w:t>
      </w:r>
    </w:p>
    <w:p w14:paraId="1BA92EB4" w14:textId="77777777" w:rsidR="009757A9" w:rsidRDefault="00083242">
      <w:pPr>
        <w:numPr>
          <w:ilvl w:val="0"/>
          <w:numId w:val="3"/>
        </w:numPr>
        <w:tabs>
          <w:tab w:val="clear" w:pos="288"/>
          <w:tab w:val="left" w:pos="1152"/>
        </w:tabs>
        <w:spacing w:before="101" w:line="223" w:lineRule="exact"/>
        <w:ind w:left="1152" w:hanging="288"/>
        <w:textAlignment w:val="baseline"/>
        <w:rPr>
          <w:rFonts w:ascii="Arial" w:eastAsia="Arial" w:hAnsi="Arial"/>
          <w:i/>
          <w:color w:val="404042"/>
          <w:spacing w:val="2"/>
          <w:sz w:val="18"/>
        </w:rPr>
      </w:pPr>
      <w:r>
        <w:rPr>
          <w:rFonts w:ascii="Arial" w:eastAsia="Arial" w:hAnsi="Arial"/>
          <w:i/>
          <w:color w:val="404042"/>
          <w:spacing w:val="2"/>
          <w:sz w:val="18"/>
        </w:rPr>
        <w:t>National Career Education Strategy</w:t>
      </w:r>
      <w:r>
        <w:rPr>
          <w:rFonts w:ascii="Tahoma" w:eastAsia="Tahoma" w:hAnsi="Tahoma"/>
          <w:color w:val="404042"/>
          <w:spacing w:val="2"/>
          <w:sz w:val="18"/>
        </w:rPr>
        <w:t>, 2019, Department of Education and Training</w:t>
      </w:r>
    </w:p>
    <w:p w14:paraId="447168B6" w14:textId="77777777" w:rsidR="009757A9" w:rsidRDefault="00083242">
      <w:pPr>
        <w:numPr>
          <w:ilvl w:val="0"/>
          <w:numId w:val="3"/>
        </w:numPr>
        <w:tabs>
          <w:tab w:val="clear" w:pos="288"/>
          <w:tab w:val="left" w:pos="1152"/>
        </w:tabs>
        <w:spacing w:before="104" w:line="223" w:lineRule="exact"/>
        <w:ind w:left="1152" w:hanging="288"/>
        <w:textAlignment w:val="baseline"/>
        <w:rPr>
          <w:rFonts w:ascii="Arial" w:eastAsia="Arial" w:hAnsi="Arial"/>
          <w:i/>
          <w:color w:val="404042"/>
          <w:sz w:val="18"/>
        </w:rPr>
      </w:pPr>
      <w:r>
        <w:rPr>
          <w:rFonts w:ascii="Arial" w:eastAsia="Arial" w:hAnsi="Arial"/>
          <w:i/>
          <w:color w:val="404042"/>
          <w:sz w:val="18"/>
        </w:rPr>
        <w:t>Optimising STEM Industry-School Partnerships</w:t>
      </w:r>
      <w:r>
        <w:rPr>
          <w:rFonts w:ascii="Tahoma" w:eastAsia="Tahoma" w:hAnsi="Tahoma"/>
          <w:color w:val="404042"/>
          <w:sz w:val="18"/>
        </w:rPr>
        <w:t>, 2018, chaired by Dr Alan Finkel, AO</w:t>
      </w:r>
    </w:p>
    <w:p w14:paraId="4DCAE63B" w14:textId="77777777" w:rsidR="009757A9" w:rsidRDefault="00083242">
      <w:pPr>
        <w:numPr>
          <w:ilvl w:val="0"/>
          <w:numId w:val="3"/>
        </w:numPr>
        <w:tabs>
          <w:tab w:val="clear" w:pos="288"/>
          <w:tab w:val="left" w:pos="1152"/>
        </w:tabs>
        <w:spacing w:before="103" w:line="223" w:lineRule="exact"/>
        <w:ind w:left="1152" w:hanging="288"/>
        <w:textAlignment w:val="baseline"/>
        <w:rPr>
          <w:rFonts w:ascii="Arial" w:eastAsia="Arial" w:hAnsi="Arial"/>
          <w:i/>
          <w:color w:val="404042"/>
          <w:sz w:val="18"/>
        </w:rPr>
      </w:pPr>
      <w:r>
        <w:rPr>
          <w:rFonts w:ascii="Arial" w:eastAsia="Arial" w:hAnsi="Arial"/>
          <w:i/>
          <w:color w:val="404042"/>
          <w:sz w:val="18"/>
        </w:rPr>
        <w:t>The Independent Review into Rural, Regional and Remote Education</w:t>
      </w:r>
      <w:r>
        <w:rPr>
          <w:rFonts w:ascii="Tahoma" w:eastAsia="Tahoma" w:hAnsi="Tahoma"/>
          <w:color w:val="404042"/>
          <w:sz w:val="18"/>
        </w:rPr>
        <w:t>, 2017, chaired by Emeritus Professor John Halsey</w:t>
      </w:r>
    </w:p>
    <w:p w14:paraId="7BEF56A6" w14:textId="77777777" w:rsidR="009757A9" w:rsidRDefault="00083242">
      <w:pPr>
        <w:numPr>
          <w:ilvl w:val="0"/>
          <w:numId w:val="3"/>
        </w:numPr>
        <w:tabs>
          <w:tab w:val="clear" w:pos="288"/>
          <w:tab w:val="left" w:pos="1152"/>
        </w:tabs>
        <w:spacing w:before="99" w:line="223" w:lineRule="exact"/>
        <w:ind w:left="1152" w:hanging="288"/>
        <w:textAlignment w:val="baseline"/>
        <w:rPr>
          <w:rFonts w:ascii="Arial" w:eastAsia="Arial" w:hAnsi="Arial"/>
          <w:i/>
          <w:color w:val="404042"/>
          <w:spacing w:val="1"/>
          <w:sz w:val="18"/>
        </w:rPr>
      </w:pPr>
      <w:r>
        <w:rPr>
          <w:rFonts w:ascii="Arial" w:eastAsia="Arial" w:hAnsi="Arial"/>
          <w:i/>
          <w:color w:val="404042"/>
          <w:spacing w:val="1"/>
          <w:sz w:val="18"/>
        </w:rPr>
        <w:t>National Aboriginal and Torres Strait Islander Education Strategy</w:t>
      </w:r>
      <w:r>
        <w:rPr>
          <w:rFonts w:ascii="Tahoma" w:eastAsia="Tahoma" w:hAnsi="Tahoma"/>
          <w:color w:val="404042"/>
          <w:spacing w:val="1"/>
          <w:sz w:val="18"/>
        </w:rPr>
        <w:t>, 2015, Education Council</w:t>
      </w:r>
    </w:p>
    <w:p w14:paraId="27DC09C1" w14:textId="77777777" w:rsidR="009757A9" w:rsidRDefault="00083242">
      <w:pPr>
        <w:numPr>
          <w:ilvl w:val="0"/>
          <w:numId w:val="3"/>
        </w:numPr>
        <w:tabs>
          <w:tab w:val="clear" w:pos="288"/>
          <w:tab w:val="left" w:pos="1152"/>
        </w:tabs>
        <w:spacing w:before="103" w:line="223" w:lineRule="exact"/>
        <w:ind w:left="1152" w:hanging="288"/>
        <w:textAlignment w:val="baseline"/>
        <w:rPr>
          <w:rFonts w:ascii="Arial" w:eastAsia="Arial" w:hAnsi="Arial"/>
          <w:i/>
          <w:color w:val="404042"/>
          <w:spacing w:val="2"/>
          <w:sz w:val="18"/>
        </w:rPr>
      </w:pPr>
      <w:r>
        <w:rPr>
          <w:rFonts w:ascii="Arial" w:eastAsia="Arial" w:hAnsi="Arial"/>
          <w:i/>
          <w:color w:val="404042"/>
          <w:spacing w:val="2"/>
          <w:sz w:val="18"/>
        </w:rPr>
        <w:t>Australia 2030: Prosperity through Innovation</w:t>
      </w:r>
      <w:r>
        <w:rPr>
          <w:rFonts w:ascii="Tahoma" w:eastAsia="Tahoma" w:hAnsi="Tahoma"/>
          <w:color w:val="404042"/>
          <w:spacing w:val="2"/>
          <w:sz w:val="18"/>
        </w:rPr>
        <w:t>, 2017, Innovation and Science Australia</w:t>
      </w:r>
    </w:p>
    <w:p w14:paraId="3F6EF6DF" w14:textId="77777777" w:rsidR="009757A9" w:rsidRDefault="00083242">
      <w:pPr>
        <w:numPr>
          <w:ilvl w:val="0"/>
          <w:numId w:val="4"/>
        </w:numPr>
        <w:tabs>
          <w:tab w:val="clear" w:pos="288"/>
          <w:tab w:val="left" w:pos="1152"/>
        </w:tabs>
        <w:spacing w:before="103" w:line="220" w:lineRule="exact"/>
        <w:ind w:left="1152" w:hanging="288"/>
        <w:textAlignment w:val="baseline"/>
        <w:rPr>
          <w:rFonts w:ascii="Tahoma" w:eastAsia="Tahoma" w:hAnsi="Tahoma"/>
          <w:i/>
          <w:color w:val="404042"/>
          <w:spacing w:val="3"/>
          <w:sz w:val="18"/>
        </w:rPr>
      </w:pPr>
      <w:r>
        <w:rPr>
          <w:rFonts w:ascii="Tahoma" w:eastAsia="Tahoma" w:hAnsi="Tahoma"/>
          <w:i/>
          <w:color w:val="404042"/>
          <w:spacing w:val="3"/>
          <w:sz w:val="18"/>
        </w:rPr>
        <w:t>Australian Qualifications Framework Review</w:t>
      </w:r>
      <w:r>
        <w:rPr>
          <w:rFonts w:ascii="Tahoma" w:eastAsia="Tahoma" w:hAnsi="Tahoma"/>
          <w:color w:val="404042"/>
          <w:spacing w:val="3"/>
          <w:sz w:val="18"/>
        </w:rPr>
        <w:t>, 2019, Department of Education and Training</w:t>
      </w:r>
    </w:p>
    <w:p w14:paraId="1F01A6F9" w14:textId="77777777" w:rsidR="009757A9" w:rsidRDefault="00083242">
      <w:pPr>
        <w:numPr>
          <w:ilvl w:val="0"/>
          <w:numId w:val="4"/>
        </w:numPr>
        <w:tabs>
          <w:tab w:val="clear" w:pos="288"/>
          <w:tab w:val="left" w:pos="1152"/>
        </w:tabs>
        <w:spacing w:before="87" w:line="240" w:lineRule="exact"/>
        <w:ind w:left="1152" w:right="1728" w:hanging="288"/>
        <w:textAlignment w:val="baseline"/>
        <w:rPr>
          <w:rFonts w:ascii="Tahoma" w:eastAsia="Tahoma" w:hAnsi="Tahoma"/>
          <w:color w:val="404042"/>
          <w:sz w:val="18"/>
        </w:rPr>
      </w:pPr>
      <w:r>
        <w:rPr>
          <w:rFonts w:ascii="Tahoma" w:eastAsia="Tahoma" w:hAnsi="Tahoma"/>
          <w:color w:val="404042"/>
          <w:sz w:val="18"/>
        </w:rPr>
        <w:t xml:space="preserve">Higher Education Standards Panel reports: </w:t>
      </w:r>
      <w:r>
        <w:rPr>
          <w:rFonts w:ascii="Arial" w:eastAsia="Arial" w:hAnsi="Arial"/>
          <w:i/>
          <w:color w:val="404042"/>
          <w:sz w:val="18"/>
        </w:rPr>
        <w:t xml:space="preserve">Improving the Transparency of Higher Education Admissions (2016) and Improving Retention, Completion and Success in Higher Education (2017) </w:t>
      </w:r>
      <w:r>
        <w:rPr>
          <w:rFonts w:ascii="Tahoma" w:eastAsia="Tahoma" w:hAnsi="Tahoma"/>
          <w:color w:val="404042"/>
          <w:sz w:val="18"/>
        </w:rPr>
        <w:t>and the associated Australian Government responses.</w:t>
      </w:r>
    </w:p>
    <w:p w14:paraId="1D6F6FC2" w14:textId="77777777" w:rsidR="009757A9" w:rsidRDefault="00083242">
      <w:pPr>
        <w:numPr>
          <w:ilvl w:val="0"/>
          <w:numId w:val="3"/>
        </w:numPr>
        <w:tabs>
          <w:tab w:val="clear" w:pos="288"/>
          <w:tab w:val="left" w:pos="1152"/>
        </w:tabs>
        <w:spacing w:before="101" w:line="223" w:lineRule="exact"/>
        <w:ind w:left="1152" w:hanging="288"/>
        <w:textAlignment w:val="baseline"/>
        <w:rPr>
          <w:rFonts w:ascii="Arial" w:eastAsia="Arial" w:hAnsi="Arial"/>
          <w:i/>
          <w:color w:val="404042"/>
          <w:spacing w:val="1"/>
          <w:sz w:val="18"/>
        </w:rPr>
      </w:pPr>
      <w:r>
        <w:rPr>
          <w:rFonts w:ascii="Arial" w:eastAsia="Arial" w:hAnsi="Arial"/>
          <w:i/>
          <w:color w:val="404042"/>
          <w:spacing w:val="1"/>
          <w:sz w:val="18"/>
        </w:rPr>
        <w:t>Expert Review of Australia’s Vocational Education and Training System</w:t>
      </w:r>
      <w:r>
        <w:rPr>
          <w:rFonts w:ascii="Tahoma" w:eastAsia="Tahoma" w:hAnsi="Tahoma"/>
          <w:color w:val="404042"/>
          <w:spacing w:val="1"/>
          <w:sz w:val="18"/>
        </w:rPr>
        <w:t>, 2019, Prime Minister and Cabinet</w:t>
      </w:r>
    </w:p>
    <w:p w14:paraId="571F1C06" w14:textId="77777777" w:rsidR="009757A9" w:rsidRDefault="00083242">
      <w:pPr>
        <w:numPr>
          <w:ilvl w:val="0"/>
          <w:numId w:val="3"/>
        </w:numPr>
        <w:tabs>
          <w:tab w:val="clear" w:pos="288"/>
          <w:tab w:val="left" w:pos="1152"/>
        </w:tabs>
        <w:spacing w:before="84" w:line="240" w:lineRule="exact"/>
        <w:ind w:left="1152" w:right="1224" w:hanging="288"/>
        <w:textAlignment w:val="baseline"/>
        <w:rPr>
          <w:rFonts w:ascii="Arial" w:eastAsia="Arial" w:hAnsi="Arial"/>
          <w:i/>
          <w:color w:val="404042"/>
          <w:sz w:val="18"/>
        </w:rPr>
      </w:pPr>
      <w:r>
        <w:rPr>
          <w:rFonts w:ascii="Arial" w:eastAsia="Arial" w:hAnsi="Arial"/>
          <w:i/>
          <w:color w:val="404042"/>
          <w:sz w:val="18"/>
        </w:rPr>
        <w:t>One Teaching Profession: Teacher Registration in Australia, September 2018</w:t>
      </w:r>
      <w:r>
        <w:rPr>
          <w:rFonts w:ascii="Tahoma" w:eastAsia="Tahoma" w:hAnsi="Tahoma"/>
          <w:color w:val="404042"/>
          <w:sz w:val="18"/>
        </w:rPr>
        <w:t>, the Australian Institute of Teaching and School Leadership</w:t>
      </w:r>
    </w:p>
    <w:p w14:paraId="5F82F502" w14:textId="77777777" w:rsidR="009757A9" w:rsidRDefault="00083242">
      <w:pPr>
        <w:numPr>
          <w:ilvl w:val="0"/>
          <w:numId w:val="3"/>
        </w:numPr>
        <w:tabs>
          <w:tab w:val="clear" w:pos="288"/>
          <w:tab w:val="left" w:pos="1152"/>
        </w:tabs>
        <w:spacing w:before="86" w:line="240" w:lineRule="exact"/>
        <w:ind w:left="1152" w:right="1584" w:hanging="288"/>
        <w:textAlignment w:val="baseline"/>
        <w:rPr>
          <w:rFonts w:ascii="Arial" w:eastAsia="Arial" w:hAnsi="Arial"/>
          <w:i/>
          <w:color w:val="404042"/>
          <w:sz w:val="18"/>
        </w:rPr>
      </w:pPr>
      <w:r>
        <w:rPr>
          <w:rFonts w:ascii="Arial" w:eastAsia="Arial" w:hAnsi="Arial"/>
          <w:i/>
          <w:color w:val="404042"/>
          <w:sz w:val="18"/>
        </w:rPr>
        <w:t>Unique Individuals, Broad Skills, Inquiry into school to work transition</w:t>
      </w:r>
      <w:r>
        <w:rPr>
          <w:rFonts w:ascii="Tahoma" w:eastAsia="Tahoma" w:hAnsi="Tahoma"/>
          <w:color w:val="404042"/>
          <w:sz w:val="18"/>
        </w:rPr>
        <w:t>, 2018, House of Representatives Standing Committee on Employment, Education and Training</w:t>
      </w:r>
    </w:p>
    <w:p w14:paraId="3DFE3DF8" w14:textId="77777777" w:rsidR="009757A9" w:rsidRDefault="00083242">
      <w:pPr>
        <w:numPr>
          <w:ilvl w:val="0"/>
          <w:numId w:val="4"/>
        </w:numPr>
        <w:tabs>
          <w:tab w:val="clear" w:pos="288"/>
          <w:tab w:val="left" w:pos="1152"/>
        </w:tabs>
        <w:spacing w:before="71" w:line="240" w:lineRule="exact"/>
        <w:ind w:left="1152" w:right="864" w:hanging="288"/>
        <w:textAlignment w:val="baseline"/>
        <w:rPr>
          <w:rFonts w:ascii="Tahoma" w:eastAsia="Tahoma" w:hAnsi="Tahoma"/>
          <w:color w:val="404042"/>
          <w:sz w:val="18"/>
        </w:rPr>
      </w:pPr>
      <w:r>
        <w:rPr>
          <w:rFonts w:ascii="Tahoma" w:eastAsia="Tahoma" w:hAnsi="Tahoma"/>
          <w:color w:val="404042"/>
          <w:sz w:val="18"/>
        </w:rPr>
        <w:t>Curriculum reviews undertaken by states and territories, including the NSW Curriculum Review, TAS Year 9-12 Curriculum Review, SA Review of SACE Stage 2, VIC Review of Years 11-12 literacy and numeracy standards, and QLD Review of Queensland Certificate of Education.</w:t>
      </w:r>
    </w:p>
    <w:p w14:paraId="5D9C30AD" w14:textId="4E3D288D" w:rsidR="009757A9" w:rsidRDefault="00232B76">
      <w:pPr>
        <w:numPr>
          <w:ilvl w:val="0"/>
          <w:numId w:val="4"/>
        </w:numPr>
        <w:tabs>
          <w:tab w:val="clear" w:pos="288"/>
          <w:tab w:val="left" w:pos="1152"/>
        </w:tabs>
        <w:spacing w:before="117" w:after="3197" w:line="220" w:lineRule="exact"/>
        <w:ind w:left="1152" w:hanging="288"/>
        <w:textAlignment w:val="baseline"/>
        <w:rPr>
          <w:rFonts w:ascii="Tahoma" w:eastAsia="Tahoma" w:hAnsi="Tahoma"/>
          <w:color w:val="404042"/>
          <w:spacing w:val="6"/>
          <w:sz w:val="18"/>
        </w:rPr>
      </w:pPr>
      <w:r>
        <w:rPr>
          <w:noProof/>
          <w:lang w:val="en-AU" w:eastAsia="en-AU"/>
        </w:rPr>
        <w:drawing>
          <wp:anchor distT="0" distB="0" distL="114300" distR="114300" simplePos="0" relativeHeight="252036608" behindDoc="0" locked="0" layoutInCell="1" allowOverlap="1" wp14:anchorId="013BE638" wp14:editId="547FD9AA">
            <wp:simplePos x="0" y="0"/>
            <wp:positionH relativeFrom="column">
              <wp:posOffset>0</wp:posOffset>
            </wp:positionH>
            <wp:positionV relativeFrom="paragraph">
              <wp:posOffset>2616835</wp:posOffset>
            </wp:positionV>
            <wp:extent cx="7562215" cy="462915"/>
            <wp:effectExtent l="0" t="0" r="635" b="0"/>
            <wp:wrapThrough wrapText="bothSides">
              <wp:wrapPolygon edited="0">
                <wp:start x="0" y="0"/>
                <wp:lineTo x="0" y="20444"/>
                <wp:lineTo x="21547" y="20444"/>
                <wp:lineTo x="21547" y="0"/>
                <wp:lineTo x="0" y="0"/>
              </wp:wrapPolygon>
            </wp:wrapThrough>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6"/>
          <w:sz w:val="18"/>
        </w:rPr>
        <w:t>Submissions by state and territory Departments of Education to the above reviews.</w:t>
      </w:r>
    </w:p>
    <w:p w14:paraId="5DB1F60F" w14:textId="7FC89D08" w:rsidR="009757A9" w:rsidRDefault="00083242">
      <w:pPr>
        <w:spacing w:before="9" w:after="607" w:line="209" w:lineRule="exact"/>
        <w:ind w:left="10872"/>
        <w:textAlignment w:val="baseline"/>
        <w:rPr>
          <w:rFonts w:ascii="Arial" w:eastAsia="Arial" w:hAnsi="Arial"/>
          <w:b/>
          <w:color w:val="5556A1"/>
          <w:sz w:val="19"/>
        </w:rPr>
      </w:pPr>
      <w:r>
        <w:rPr>
          <w:rFonts w:ascii="Arial" w:eastAsia="Arial" w:hAnsi="Arial"/>
          <w:b/>
          <w:color w:val="5556A1"/>
          <w:sz w:val="19"/>
        </w:rPr>
        <w:t>9</w:t>
      </w:r>
    </w:p>
    <w:p w14:paraId="0F397E69" w14:textId="78550B95" w:rsidR="009757A9" w:rsidRDefault="009757A9">
      <w:pPr>
        <w:textAlignment w:val="baseline"/>
      </w:pPr>
    </w:p>
    <w:p w14:paraId="155C2397" w14:textId="77777777" w:rsidR="009757A9" w:rsidRDefault="00083242">
      <w:pPr>
        <w:spacing w:before="24" w:line="286" w:lineRule="exact"/>
        <w:ind w:left="864"/>
        <w:textAlignment w:val="baseline"/>
        <w:rPr>
          <w:rFonts w:ascii="Arial" w:eastAsia="Arial" w:hAnsi="Arial"/>
          <w:b/>
          <w:color w:val="00708E"/>
          <w:spacing w:val="-2"/>
          <w:sz w:val="25"/>
        </w:rPr>
      </w:pPr>
      <w:r>
        <w:rPr>
          <w:rFonts w:ascii="Arial" w:eastAsia="Arial" w:hAnsi="Arial"/>
          <w:b/>
          <w:color w:val="00708E"/>
          <w:spacing w:val="-2"/>
          <w:sz w:val="25"/>
        </w:rPr>
        <w:t>Roles and responsibilities</w:t>
      </w:r>
    </w:p>
    <w:p w14:paraId="0ACE2350" w14:textId="77777777" w:rsidR="009757A9" w:rsidRDefault="00083242">
      <w:pPr>
        <w:spacing w:before="166" w:line="220" w:lineRule="exact"/>
        <w:ind w:left="864"/>
        <w:textAlignment w:val="baseline"/>
        <w:rPr>
          <w:rFonts w:ascii="Tahoma" w:eastAsia="Tahoma" w:hAnsi="Tahoma"/>
          <w:color w:val="404042"/>
          <w:spacing w:val="4"/>
          <w:sz w:val="18"/>
        </w:rPr>
      </w:pPr>
      <w:r>
        <w:rPr>
          <w:rFonts w:ascii="Tahoma" w:eastAsia="Tahoma" w:hAnsi="Tahoma"/>
          <w:color w:val="404042"/>
          <w:spacing w:val="4"/>
          <w:sz w:val="18"/>
        </w:rPr>
        <w:t>In order to address the terms of reference the panel will:</w:t>
      </w:r>
    </w:p>
    <w:p w14:paraId="212D642B" w14:textId="77777777" w:rsidR="009757A9" w:rsidRDefault="00083242">
      <w:pPr>
        <w:numPr>
          <w:ilvl w:val="0"/>
          <w:numId w:val="5"/>
        </w:numPr>
        <w:tabs>
          <w:tab w:val="clear" w:pos="216"/>
          <w:tab w:val="left" w:pos="1080"/>
        </w:tabs>
        <w:spacing w:before="86" w:line="240" w:lineRule="exact"/>
        <w:ind w:left="1080" w:right="864" w:hanging="216"/>
        <w:textAlignment w:val="baseline"/>
        <w:rPr>
          <w:rFonts w:ascii="Tahoma" w:eastAsia="Tahoma" w:hAnsi="Tahoma"/>
          <w:color w:val="404042"/>
          <w:sz w:val="18"/>
        </w:rPr>
      </w:pPr>
      <w:r>
        <w:rPr>
          <w:rFonts w:ascii="Tahoma" w:eastAsia="Tahoma" w:hAnsi="Tahoma"/>
          <w:color w:val="404042"/>
          <w:sz w:val="18"/>
        </w:rPr>
        <w:t>call for written submissions and undertake face to face consultations with experts and key stakeholders across Australia, including young people, parents, employers, and representatives from the schooling, vocational education and training and higher education sectors</w:t>
      </w:r>
    </w:p>
    <w:p w14:paraId="6568909F" w14:textId="77777777" w:rsidR="009757A9" w:rsidRDefault="00083242">
      <w:pPr>
        <w:numPr>
          <w:ilvl w:val="0"/>
          <w:numId w:val="5"/>
        </w:numPr>
        <w:tabs>
          <w:tab w:val="clear" w:pos="216"/>
          <w:tab w:val="left" w:pos="1080"/>
        </w:tabs>
        <w:spacing w:before="82" w:line="240" w:lineRule="exact"/>
        <w:ind w:left="1080" w:right="1008" w:hanging="216"/>
        <w:textAlignment w:val="baseline"/>
        <w:rPr>
          <w:rFonts w:ascii="Tahoma" w:eastAsia="Tahoma" w:hAnsi="Tahoma"/>
          <w:color w:val="404042"/>
          <w:sz w:val="18"/>
        </w:rPr>
      </w:pPr>
      <w:r>
        <w:rPr>
          <w:rFonts w:ascii="Tahoma" w:eastAsia="Tahoma" w:hAnsi="Tahoma"/>
          <w:color w:val="404042"/>
          <w:sz w:val="18"/>
        </w:rPr>
        <w:t>ensure the review identifies and supports inclusive practices and considers the circumstances and particular needs of students with disability, those from rural, regional and remote areas, students from low socio-economic status backgrounds, Aboriginal and Torres Strait Islander students, and other students at risk of not making successful transitions from school to work or further education or training</w:t>
      </w:r>
    </w:p>
    <w:p w14:paraId="77811D24" w14:textId="77777777" w:rsidR="009757A9" w:rsidRDefault="00083242">
      <w:pPr>
        <w:numPr>
          <w:ilvl w:val="0"/>
          <w:numId w:val="5"/>
        </w:numPr>
        <w:tabs>
          <w:tab w:val="clear" w:pos="216"/>
          <w:tab w:val="left" w:pos="1080"/>
        </w:tabs>
        <w:spacing w:before="86" w:line="240" w:lineRule="exact"/>
        <w:ind w:left="1080" w:right="1872" w:hanging="216"/>
        <w:textAlignment w:val="baseline"/>
        <w:rPr>
          <w:rFonts w:ascii="Tahoma" w:eastAsia="Tahoma" w:hAnsi="Tahoma"/>
          <w:color w:val="404042"/>
          <w:sz w:val="18"/>
        </w:rPr>
      </w:pPr>
      <w:r>
        <w:rPr>
          <w:rFonts w:ascii="Tahoma" w:eastAsia="Tahoma" w:hAnsi="Tahoma"/>
          <w:color w:val="404042"/>
          <w:sz w:val="18"/>
        </w:rPr>
        <w:t>commission independent research relevant to the Terms of Reference, if required, to ensure the review is underpinned by a sound evidence base</w:t>
      </w:r>
    </w:p>
    <w:p w14:paraId="2F47F82C" w14:textId="77777777" w:rsidR="009757A9" w:rsidRDefault="00083242">
      <w:pPr>
        <w:numPr>
          <w:ilvl w:val="0"/>
          <w:numId w:val="5"/>
        </w:numPr>
        <w:tabs>
          <w:tab w:val="clear" w:pos="216"/>
          <w:tab w:val="left" w:pos="1080"/>
        </w:tabs>
        <w:spacing w:before="107" w:line="220"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provide a final report to the Council of Australian Governments (COAG) Education Council in 2020.</w:t>
      </w:r>
    </w:p>
    <w:p w14:paraId="770880D4" w14:textId="77777777" w:rsidR="009757A9" w:rsidRDefault="00083242">
      <w:pPr>
        <w:spacing w:before="384" w:line="286" w:lineRule="exact"/>
        <w:ind w:left="864"/>
        <w:textAlignment w:val="baseline"/>
        <w:rPr>
          <w:rFonts w:ascii="Arial" w:eastAsia="Arial" w:hAnsi="Arial"/>
          <w:b/>
          <w:color w:val="00708E"/>
          <w:sz w:val="25"/>
        </w:rPr>
      </w:pPr>
      <w:r>
        <w:rPr>
          <w:rFonts w:ascii="Arial" w:eastAsia="Arial" w:hAnsi="Arial"/>
          <w:b/>
          <w:color w:val="00708E"/>
          <w:sz w:val="25"/>
        </w:rPr>
        <w:t>Membership</w:t>
      </w:r>
    </w:p>
    <w:p w14:paraId="1C4344D9" w14:textId="77777777" w:rsidR="009757A9" w:rsidRDefault="00083242">
      <w:pPr>
        <w:spacing w:before="146" w:after="532" w:line="240"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t>The Review will be undertaken by a panel including a Chair and six members. The panel brings together expertise in one or more of the following areas: school operations; employers; vocational education and training; university entry requirements; expertise in the delivery of secondary education to disadvantaged students; and student engagement and wellbeing.</w:t>
      </w:r>
    </w:p>
    <w:p w14:paraId="5BB4E7D0" w14:textId="00615B4B" w:rsidR="009757A9" w:rsidRDefault="00083242">
      <w:pPr>
        <w:spacing w:after="1584"/>
        <w:ind w:left="874" w:right="5410"/>
        <w:textAlignment w:val="baseline"/>
      </w:pPr>
      <w:r>
        <w:rPr>
          <w:noProof/>
          <w:lang w:val="en-AU" w:eastAsia="en-AU"/>
        </w:rPr>
        <w:drawing>
          <wp:inline distT="0" distB="0" distL="0" distR="0" wp14:anchorId="7875FB61" wp14:editId="774FB841">
            <wp:extent cx="3571875" cy="4352290"/>
            <wp:effectExtent l="0" t="0" r="0" b="0"/>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29"/>
                    <a:stretch>
                      <a:fillRect/>
                    </a:stretch>
                  </pic:blipFill>
                  <pic:spPr>
                    <a:xfrm>
                      <a:off x="0" y="0"/>
                      <a:ext cx="3571875" cy="4352290"/>
                    </a:xfrm>
                    <a:prstGeom prst="rect">
                      <a:avLst/>
                    </a:prstGeom>
                  </pic:spPr>
                </pic:pic>
              </a:graphicData>
            </a:graphic>
          </wp:inline>
        </w:drawing>
      </w:r>
    </w:p>
    <w:p w14:paraId="462DEC21" w14:textId="3D35C7FD" w:rsidR="009757A9" w:rsidRDefault="00C43F47">
      <w:pPr>
        <w:tabs>
          <w:tab w:val="left" w:pos="1368"/>
        </w:tabs>
        <w:spacing w:after="636" w:line="199"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134912" behindDoc="1" locked="0" layoutInCell="1" allowOverlap="1" wp14:anchorId="10FCF212" wp14:editId="5345F712">
            <wp:simplePos x="0" y="0"/>
            <wp:positionH relativeFrom="margin">
              <wp:align>right</wp:align>
            </wp:positionH>
            <wp:positionV relativeFrom="paragraph">
              <wp:posOffset>358140</wp:posOffset>
            </wp:positionV>
            <wp:extent cx="7562215" cy="462915"/>
            <wp:effectExtent l="0" t="0" r="635" b="0"/>
            <wp:wrapNone/>
            <wp:docPr id="1080"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10</w:t>
      </w:r>
      <w:r w:rsidR="00083242">
        <w:rPr>
          <w:rFonts w:ascii="Tahoma" w:eastAsia="Tahoma" w:hAnsi="Tahoma"/>
          <w:color w:val="404042"/>
          <w:spacing w:val="4"/>
          <w:sz w:val="14"/>
        </w:rPr>
        <w:tab/>
        <w:t>Looking to the future</w:t>
      </w:r>
    </w:p>
    <w:p w14:paraId="53CB6208" w14:textId="393EE722" w:rsidR="009757A9" w:rsidRDefault="009757A9">
      <w:pPr>
        <w:rPr>
          <w:rFonts w:ascii="Arial" w:eastAsia="Arial" w:hAnsi="Arial"/>
          <w:b/>
          <w:color w:val="5556A1"/>
          <w:spacing w:val="4"/>
          <w:sz w:val="19"/>
        </w:rPr>
      </w:pPr>
    </w:p>
    <w:p w14:paraId="1404AB59" w14:textId="77777777" w:rsidR="00C43F47" w:rsidRDefault="00C43F47" w:rsidP="00C43F47">
      <w:pPr>
        <w:rPr>
          <w:rFonts w:ascii="Arial" w:eastAsia="Arial" w:hAnsi="Arial"/>
          <w:b/>
          <w:color w:val="5556A1"/>
          <w:spacing w:val="4"/>
          <w:sz w:val="19"/>
        </w:rPr>
      </w:pPr>
    </w:p>
    <w:p w14:paraId="2C8DC4FB" w14:textId="3C7C9FA1" w:rsidR="00C43F47" w:rsidRPr="00C43F47" w:rsidRDefault="00C43F47" w:rsidP="00C43F47">
      <w:pPr>
        <w:sectPr w:rsidR="00C43F47" w:rsidRPr="00C43F47">
          <w:pgSz w:w="11909" w:h="16838"/>
          <w:pgMar w:top="1080" w:right="0" w:bottom="0" w:left="0" w:header="720" w:footer="720" w:gutter="0"/>
          <w:cols w:space="720"/>
        </w:sectPr>
      </w:pPr>
    </w:p>
    <w:p w14:paraId="55CA8A0E" w14:textId="77777777" w:rsidR="009757A9" w:rsidRDefault="00083242">
      <w:pPr>
        <w:spacing w:after="276" w:line="236" w:lineRule="exact"/>
        <w:ind w:left="792" w:right="2520"/>
        <w:textAlignment w:val="baseline"/>
        <w:rPr>
          <w:rFonts w:ascii="Tahoma" w:eastAsia="Tahoma" w:hAnsi="Tahoma"/>
          <w:color w:val="404042"/>
          <w:sz w:val="18"/>
        </w:rPr>
      </w:pPr>
      <w:r>
        <w:rPr>
          <w:rFonts w:ascii="Tahoma" w:eastAsia="Tahoma" w:hAnsi="Tahoma"/>
          <w:color w:val="404042"/>
          <w:sz w:val="18"/>
        </w:rPr>
        <w:lastRenderedPageBreak/>
        <w:t>Education Council has agreed the following panel members based on their expertise to satisfy these Terms of Reference:</w:t>
      </w:r>
    </w:p>
    <w:tbl>
      <w:tblPr>
        <w:tblW w:w="0" w:type="auto"/>
        <w:tblInd w:w="851" w:type="dxa"/>
        <w:tblLayout w:type="fixed"/>
        <w:tblCellMar>
          <w:left w:w="0" w:type="dxa"/>
          <w:right w:w="0" w:type="dxa"/>
        </w:tblCellMar>
        <w:tblLook w:val="04A0" w:firstRow="1" w:lastRow="0" w:firstColumn="1" w:lastColumn="0" w:noHBand="0" w:noVBand="1"/>
      </w:tblPr>
      <w:tblGrid>
        <w:gridCol w:w="4536"/>
        <w:gridCol w:w="6090"/>
      </w:tblGrid>
      <w:tr w:rsidR="00E31856" w14:paraId="6B87697F" w14:textId="77777777" w:rsidTr="00E31856">
        <w:trPr>
          <w:trHeight w:hRule="exact" w:val="397"/>
        </w:trPr>
        <w:tc>
          <w:tcPr>
            <w:tcW w:w="4536" w:type="dxa"/>
            <w:tcBorders>
              <w:top w:val="none" w:sz="0" w:space="0" w:color="020000"/>
              <w:left w:val="none" w:sz="0" w:space="0" w:color="020000"/>
              <w:bottom w:val="none" w:sz="0" w:space="0" w:color="020000"/>
              <w:right w:val="none" w:sz="0" w:space="0" w:color="020000"/>
            </w:tcBorders>
            <w:shd w:val="clear" w:color="5C7182" w:fill="5C7182"/>
            <w:vAlign w:val="center"/>
          </w:tcPr>
          <w:p w14:paraId="561F0FC1" w14:textId="77777777" w:rsidR="009757A9" w:rsidRDefault="00083242" w:rsidP="00E31856">
            <w:pPr>
              <w:spacing w:before="41" w:after="11" w:line="265" w:lineRule="exact"/>
              <w:ind w:left="143"/>
              <w:textAlignment w:val="baseline"/>
              <w:rPr>
                <w:rFonts w:ascii="Arial" w:eastAsia="Arial" w:hAnsi="Arial"/>
                <w:b/>
                <w:color w:val="FFFFFF"/>
                <w:sz w:val="23"/>
              </w:rPr>
            </w:pPr>
            <w:r>
              <w:rPr>
                <w:rFonts w:ascii="Arial" w:eastAsia="Arial" w:hAnsi="Arial"/>
                <w:b/>
                <w:color w:val="FFFFFF"/>
                <w:sz w:val="23"/>
              </w:rPr>
              <w:t>Member</w:t>
            </w:r>
          </w:p>
        </w:tc>
        <w:tc>
          <w:tcPr>
            <w:tcW w:w="6090" w:type="dxa"/>
            <w:tcBorders>
              <w:top w:val="none" w:sz="0" w:space="0" w:color="020000"/>
              <w:left w:val="none" w:sz="0" w:space="0" w:color="020000"/>
              <w:bottom w:val="none" w:sz="0" w:space="0" w:color="020000"/>
              <w:right w:val="none" w:sz="0" w:space="0" w:color="020000"/>
            </w:tcBorders>
            <w:shd w:val="clear" w:color="5C7182" w:fill="5C7182"/>
            <w:vAlign w:val="center"/>
          </w:tcPr>
          <w:p w14:paraId="00AC42B2" w14:textId="77777777" w:rsidR="009757A9" w:rsidRDefault="00083242">
            <w:pPr>
              <w:spacing w:before="41" w:after="11" w:line="265" w:lineRule="exact"/>
              <w:ind w:left="82"/>
              <w:textAlignment w:val="baseline"/>
              <w:rPr>
                <w:rFonts w:ascii="Arial" w:eastAsia="Arial" w:hAnsi="Arial"/>
                <w:b/>
                <w:color w:val="FFFFFF"/>
                <w:sz w:val="23"/>
              </w:rPr>
            </w:pPr>
            <w:r>
              <w:rPr>
                <w:rFonts w:ascii="Arial" w:eastAsia="Arial" w:hAnsi="Arial"/>
                <w:b/>
                <w:color w:val="FFFFFF"/>
                <w:sz w:val="23"/>
              </w:rPr>
              <w:t>Expertise</w:t>
            </w:r>
          </w:p>
        </w:tc>
      </w:tr>
      <w:tr w:rsidR="00E31856" w14:paraId="4FC3E3D3" w14:textId="77777777" w:rsidTr="00E31856">
        <w:trPr>
          <w:trHeight w:hRule="exact" w:val="693"/>
        </w:trPr>
        <w:tc>
          <w:tcPr>
            <w:tcW w:w="4536" w:type="dxa"/>
            <w:tcBorders>
              <w:top w:val="none" w:sz="0" w:space="0" w:color="020000"/>
              <w:left w:val="none" w:sz="0" w:space="0" w:color="020000"/>
              <w:bottom w:val="none" w:sz="0" w:space="0" w:color="020000"/>
              <w:right w:val="none" w:sz="0" w:space="0" w:color="020000"/>
            </w:tcBorders>
          </w:tcPr>
          <w:p w14:paraId="44E72E3D" w14:textId="77777777" w:rsidR="009757A9" w:rsidRDefault="00083242" w:rsidP="00E31856">
            <w:pPr>
              <w:spacing w:after="211" w:line="280" w:lineRule="exact"/>
              <w:ind w:left="143" w:right="216"/>
              <w:textAlignment w:val="baseline"/>
              <w:rPr>
                <w:rFonts w:ascii="Tahoma" w:eastAsia="Tahoma" w:hAnsi="Tahoma"/>
                <w:color w:val="404042"/>
                <w:sz w:val="18"/>
              </w:rPr>
            </w:pPr>
            <w:r>
              <w:rPr>
                <w:rFonts w:ascii="Tahoma" w:eastAsia="Tahoma" w:hAnsi="Tahoma"/>
                <w:color w:val="404042"/>
                <w:sz w:val="18"/>
              </w:rPr>
              <w:t>Professor Peter Shergold AC (Chair) Chancellor Western Sydney University</w:t>
            </w:r>
          </w:p>
        </w:tc>
        <w:tc>
          <w:tcPr>
            <w:tcW w:w="6090" w:type="dxa"/>
            <w:tcBorders>
              <w:top w:val="none" w:sz="0" w:space="0" w:color="020000"/>
              <w:left w:val="none" w:sz="0" w:space="0" w:color="020000"/>
              <w:bottom w:val="none" w:sz="0" w:space="0" w:color="020000"/>
              <w:right w:val="none" w:sz="0" w:space="0" w:color="020000"/>
            </w:tcBorders>
          </w:tcPr>
          <w:p w14:paraId="73E5BE56" w14:textId="77777777" w:rsidR="009757A9" w:rsidRDefault="00083242" w:rsidP="00E31856">
            <w:pPr>
              <w:spacing w:after="23" w:line="240" w:lineRule="exact"/>
              <w:ind w:left="72" w:right="281"/>
              <w:textAlignment w:val="baseline"/>
              <w:rPr>
                <w:rFonts w:ascii="Tahoma" w:eastAsia="Tahoma" w:hAnsi="Tahoma"/>
                <w:color w:val="404042"/>
                <w:sz w:val="18"/>
              </w:rPr>
            </w:pPr>
            <w:r>
              <w:rPr>
                <w:rFonts w:ascii="Tahoma" w:eastAsia="Tahoma" w:hAnsi="Tahoma"/>
                <w:color w:val="404042"/>
                <w:sz w:val="18"/>
              </w:rPr>
              <w:t xml:space="preserve">Public service governance and </w:t>
            </w:r>
            <w:r w:rsidR="00E31856">
              <w:rPr>
                <w:rFonts w:ascii="Tahoma" w:eastAsia="Tahoma" w:hAnsi="Tahoma"/>
                <w:color w:val="404042"/>
                <w:sz w:val="18"/>
              </w:rPr>
              <w:t>a</w:t>
            </w:r>
            <w:r>
              <w:rPr>
                <w:rFonts w:ascii="Tahoma" w:eastAsia="Tahoma" w:hAnsi="Tahoma"/>
                <w:color w:val="404042"/>
                <w:sz w:val="18"/>
              </w:rPr>
              <w:t>dministration, higher education, vocational education and training, Aboriginal and Torres Strait Islander education, regional, rural and remote education</w:t>
            </w:r>
          </w:p>
        </w:tc>
      </w:tr>
      <w:tr w:rsidR="00E31856" w14:paraId="3853AA18" w14:textId="77777777" w:rsidTr="00E31856">
        <w:trPr>
          <w:trHeight w:hRule="exact" w:val="579"/>
        </w:trPr>
        <w:tc>
          <w:tcPr>
            <w:tcW w:w="4536" w:type="dxa"/>
            <w:tcBorders>
              <w:top w:val="none" w:sz="0" w:space="0" w:color="020000"/>
              <w:left w:val="none" w:sz="0" w:space="0" w:color="020000"/>
              <w:bottom w:val="none" w:sz="0" w:space="0" w:color="020000"/>
              <w:right w:val="none" w:sz="0" w:space="0" w:color="020000"/>
            </w:tcBorders>
            <w:shd w:val="clear" w:color="F5E6DA" w:fill="F5E6DA"/>
          </w:tcPr>
          <w:p w14:paraId="2907F5C9" w14:textId="77777777" w:rsidR="009757A9" w:rsidRDefault="00083242" w:rsidP="00E31856">
            <w:pPr>
              <w:spacing w:before="49" w:line="212" w:lineRule="exact"/>
              <w:ind w:left="143"/>
              <w:textAlignment w:val="baseline"/>
              <w:rPr>
                <w:rFonts w:ascii="Tahoma" w:eastAsia="Tahoma" w:hAnsi="Tahoma"/>
                <w:color w:val="404042"/>
                <w:sz w:val="18"/>
              </w:rPr>
            </w:pPr>
            <w:r>
              <w:rPr>
                <w:rFonts w:ascii="Tahoma" w:eastAsia="Tahoma" w:hAnsi="Tahoma"/>
                <w:color w:val="404042"/>
                <w:sz w:val="18"/>
              </w:rPr>
              <w:t>Ms Sarina Russo</w:t>
            </w:r>
          </w:p>
          <w:p w14:paraId="316CFB95" w14:textId="77777777" w:rsidR="009757A9" w:rsidRDefault="00083242" w:rsidP="00E31856">
            <w:pPr>
              <w:spacing w:before="61" w:after="28" w:line="240" w:lineRule="exact"/>
              <w:ind w:left="143" w:right="108"/>
              <w:textAlignment w:val="baseline"/>
              <w:rPr>
                <w:rFonts w:ascii="Tahoma" w:eastAsia="Tahoma" w:hAnsi="Tahoma"/>
                <w:color w:val="404042"/>
                <w:sz w:val="18"/>
              </w:rPr>
            </w:pPr>
            <w:r>
              <w:rPr>
                <w:rFonts w:ascii="Tahoma" w:eastAsia="Tahoma" w:hAnsi="Tahoma"/>
                <w:color w:val="404042"/>
                <w:sz w:val="18"/>
              </w:rPr>
              <w:t>Founder and Managing Director, Sarina Russo Group</w:t>
            </w:r>
          </w:p>
        </w:tc>
        <w:tc>
          <w:tcPr>
            <w:tcW w:w="6090" w:type="dxa"/>
            <w:tcBorders>
              <w:top w:val="none" w:sz="0" w:space="0" w:color="020000"/>
              <w:left w:val="none" w:sz="0" w:space="0" w:color="020000"/>
              <w:bottom w:val="none" w:sz="0" w:space="0" w:color="020000"/>
              <w:right w:val="none" w:sz="0" w:space="0" w:color="020000"/>
            </w:tcBorders>
            <w:shd w:val="clear" w:color="F5E6DA" w:fill="F5E6DA"/>
          </w:tcPr>
          <w:p w14:paraId="3CFC5B9F" w14:textId="77777777" w:rsidR="009757A9" w:rsidRDefault="00083242" w:rsidP="00E31856">
            <w:pPr>
              <w:spacing w:after="321" w:line="240" w:lineRule="exact"/>
              <w:ind w:left="72" w:right="281"/>
              <w:textAlignment w:val="baseline"/>
              <w:rPr>
                <w:rFonts w:ascii="Tahoma" w:eastAsia="Tahoma" w:hAnsi="Tahoma"/>
                <w:color w:val="404042"/>
                <w:sz w:val="18"/>
              </w:rPr>
            </w:pPr>
            <w:r>
              <w:rPr>
                <w:rFonts w:ascii="Tahoma" w:eastAsia="Tahoma" w:hAnsi="Tahoma"/>
                <w:color w:val="404042"/>
                <w:sz w:val="18"/>
              </w:rPr>
              <w:t>Vocational education and training,</w:t>
            </w:r>
            <w:r w:rsidR="00E31856">
              <w:rPr>
                <w:rFonts w:ascii="Tahoma" w:eastAsia="Tahoma" w:hAnsi="Tahoma"/>
                <w:color w:val="404042"/>
                <w:sz w:val="18"/>
              </w:rPr>
              <w:t xml:space="preserve"> particularly apprenticeships, </w:t>
            </w:r>
            <w:r>
              <w:rPr>
                <w:rFonts w:ascii="Tahoma" w:eastAsia="Tahoma" w:hAnsi="Tahoma"/>
                <w:color w:val="404042"/>
                <w:sz w:val="18"/>
              </w:rPr>
              <w:t>assisting jobseekers, employment</w:t>
            </w:r>
          </w:p>
        </w:tc>
      </w:tr>
      <w:tr w:rsidR="00E31856" w14:paraId="38A93206" w14:textId="77777777" w:rsidTr="00E31856">
        <w:trPr>
          <w:trHeight w:hRule="exact" w:val="555"/>
        </w:trPr>
        <w:tc>
          <w:tcPr>
            <w:tcW w:w="4536" w:type="dxa"/>
            <w:tcBorders>
              <w:top w:val="none" w:sz="0" w:space="0" w:color="020000"/>
              <w:left w:val="none" w:sz="0" w:space="0" w:color="020000"/>
              <w:bottom w:val="none" w:sz="0" w:space="0" w:color="020000"/>
              <w:right w:val="none" w:sz="0" w:space="0" w:color="020000"/>
            </w:tcBorders>
          </w:tcPr>
          <w:p w14:paraId="7CB1318F" w14:textId="77777777" w:rsidR="009757A9" w:rsidRDefault="00083242" w:rsidP="00E31856">
            <w:pPr>
              <w:spacing w:before="45" w:line="212" w:lineRule="exact"/>
              <w:ind w:left="143"/>
              <w:textAlignment w:val="baseline"/>
              <w:rPr>
                <w:rFonts w:ascii="Tahoma" w:eastAsia="Tahoma" w:hAnsi="Tahoma"/>
                <w:color w:val="404042"/>
                <w:sz w:val="18"/>
              </w:rPr>
            </w:pPr>
            <w:r>
              <w:rPr>
                <w:rFonts w:ascii="Tahoma" w:eastAsia="Tahoma" w:hAnsi="Tahoma"/>
                <w:color w:val="404042"/>
                <w:sz w:val="18"/>
              </w:rPr>
              <w:t>Professor Tom Calma AO</w:t>
            </w:r>
          </w:p>
          <w:p w14:paraId="34C728CC" w14:textId="77777777" w:rsidR="009757A9" w:rsidRDefault="00083242" w:rsidP="00E31856">
            <w:pPr>
              <w:spacing w:before="85" w:after="24" w:line="220" w:lineRule="exact"/>
              <w:ind w:left="143"/>
              <w:textAlignment w:val="baseline"/>
              <w:rPr>
                <w:rFonts w:ascii="Tahoma" w:eastAsia="Tahoma" w:hAnsi="Tahoma"/>
                <w:color w:val="404042"/>
                <w:sz w:val="18"/>
              </w:rPr>
            </w:pPr>
            <w:r>
              <w:rPr>
                <w:rFonts w:ascii="Tahoma" w:eastAsia="Tahoma" w:hAnsi="Tahoma"/>
                <w:color w:val="404042"/>
                <w:sz w:val="18"/>
              </w:rPr>
              <w:t>Chancellor, University of Canberra</w:t>
            </w:r>
          </w:p>
        </w:tc>
        <w:tc>
          <w:tcPr>
            <w:tcW w:w="6090" w:type="dxa"/>
            <w:tcBorders>
              <w:top w:val="none" w:sz="0" w:space="0" w:color="020000"/>
              <w:left w:val="none" w:sz="0" w:space="0" w:color="020000"/>
              <w:bottom w:val="none" w:sz="0" w:space="0" w:color="020000"/>
              <w:right w:val="none" w:sz="0" w:space="0" w:color="020000"/>
            </w:tcBorders>
          </w:tcPr>
          <w:p w14:paraId="5774D8AC" w14:textId="77777777" w:rsidR="009757A9" w:rsidRDefault="00083242" w:rsidP="00E31856">
            <w:pPr>
              <w:spacing w:after="81" w:line="240" w:lineRule="exact"/>
              <w:ind w:left="72" w:right="281"/>
              <w:textAlignment w:val="baseline"/>
              <w:rPr>
                <w:rFonts w:ascii="Tahoma" w:eastAsia="Tahoma" w:hAnsi="Tahoma"/>
                <w:color w:val="404042"/>
                <w:sz w:val="18"/>
              </w:rPr>
            </w:pPr>
            <w:r>
              <w:rPr>
                <w:rFonts w:ascii="Tahoma" w:eastAsia="Tahoma" w:hAnsi="Tahoma"/>
                <w:color w:val="404042"/>
                <w:sz w:val="18"/>
              </w:rPr>
              <w:t>Higher education, Aboriginal and Torres Strait Islander education, regional, rural and remote education, equity and social justice</w:t>
            </w:r>
          </w:p>
        </w:tc>
      </w:tr>
      <w:tr w:rsidR="00E31856" w14:paraId="488B1F06" w14:textId="77777777" w:rsidTr="00AC10FF">
        <w:trPr>
          <w:trHeight w:hRule="exact" w:val="861"/>
        </w:trPr>
        <w:tc>
          <w:tcPr>
            <w:tcW w:w="4536" w:type="dxa"/>
            <w:tcBorders>
              <w:top w:val="none" w:sz="0" w:space="0" w:color="020000"/>
              <w:left w:val="none" w:sz="0" w:space="0" w:color="020000"/>
              <w:bottom w:val="none" w:sz="0" w:space="0" w:color="020000"/>
              <w:right w:val="none" w:sz="0" w:space="0" w:color="020000"/>
            </w:tcBorders>
            <w:shd w:val="clear" w:color="F5E6DA" w:fill="F5E6DA"/>
          </w:tcPr>
          <w:p w14:paraId="4DF0ED77" w14:textId="77777777" w:rsidR="009757A9" w:rsidRDefault="00083242" w:rsidP="00E31856">
            <w:pPr>
              <w:spacing w:before="44" w:line="212" w:lineRule="exact"/>
              <w:ind w:left="143"/>
              <w:textAlignment w:val="baseline"/>
              <w:rPr>
                <w:rFonts w:ascii="Tahoma" w:eastAsia="Tahoma" w:hAnsi="Tahoma"/>
                <w:color w:val="404042"/>
                <w:sz w:val="18"/>
              </w:rPr>
            </w:pPr>
            <w:r>
              <w:rPr>
                <w:rFonts w:ascii="Tahoma" w:eastAsia="Tahoma" w:hAnsi="Tahoma"/>
                <w:color w:val="404042"/>
                <w:sz w:val="18"/>
              </w:rPr>
              <w:t>Ms Patrea Walton PSM</w:t>
            </w:r>
          </w:p>
          <w:p w14:paraId="2ED2CD8A" w14:textId="77777777" w:rsidR="009757A9" w:rsidRDefault="00083242" w:rsidP="00E31856">
            <w:pPr>
              <w:spacing w:before="57" w:after="32" w:line="240" w:lineRule="exact"/>
              <w:ind w:left="143"/>
              <w:textAlignment w:val="baseline"/>
              <w:rPr>
                <w:rFonts w:ascii="Tahoma" w:eastAsia="Tahoma" w:hAnsi="Tahoma"/>
                <w:color w:val="404042"/>
                <w:sz w:val="18"/>
              </w:rPr>
            </w:pPr>
            <w:r>
              <w:rPr>
                <w:rFonts w:ascii="Tahoma" w:eastAsia="Tahoma" w:hAnsi="Tahoma"/>
                <w:color w:val="404042"/>
                <w:sz w:val="18"/>
              </w:rPr>
              <w:t>Former Deputy Director-General for State Schools, QLD</w:t>
            </w:r>
          </w:p>
        </w:tc>
        <w:tc>
          <w:tcPr>
            <w:tcW w:w="6090" w:type="dxa"/>
            <w:tcBorders>
              <w:top w:val="none" w:sz="0" w:space="0" w:color="020000"/>
              <w:left w:val="none" w:sz="0" w:space="0" w:color="020000"/>
              <w:bottom w:val="none" w:sz="0" w:space="0" w:color="020000"/>
              <w:right w:val="none" w:sz="0" w:space="0" w:color="020000"/>
            </w:tcBorders>
            <w:shd w:val="clear" w:color="F5E6DA" w:fill="F5E6DA"/>
          </w:tcPr>
          <w:p w14:paraId="682402C5" w14:textId="77777777" w:rsidR="009757A9" w:rsidRDefault="00083242" w:rsidP="00E31856">
            <w:pPr>
              <w:spacing w:after="89" w:line="240" w:lineRule="exact"/>
              <w:ind w:left="72" w:right="281"/>
              <w:textAlignment w:val="baseline"/>
              <w:rPr>
                <w:rFonts w:ascii="Tahoma" w:eastAsia="Tahoma" w:hAnsi="Tahoma"/>
                <w:color w:val="404042"/>
                <w:sz w:val="18"/>
              </w:rPr>
            </w:pPr>
            <w:r>
              <w:rPr>
                <w:rFonts w:ascii="Tahoma" w:eastAsia="Tahoma" w:hAnsi="Tahoma"/>
                <w:color w:val="404042"/>
                <w:sz w:val="18"/>
              </w:rPr>
              <w:t>Public education, senior secondary education, school transitions, closing the gap on Year 12 attainment, equity and social justice, students with disabilities</w:t>
            </w:r>
          </w:p>
        </w:tc>
      </w:tr>
      <w:tr w:rsidR="00E31856" w14:paraId="633BFD47" w14:textId="77777777" w:rsidTr="00E31856">
        <w:trPr>
          <w:trHeight w:hRule="exact" w:val="695"/>
        </w:trPr>
        <w:tc>
          <w:tcPr>
            <w:tcW w:w="4536" w:type="dxa"/>
            <w:tcBorders>
              <w:top w:val="none" w:sz="0" w:space="0" w:color="020000"/>
              <w:left w:val="none" w:sz="0" w:space="0" w:color="020000"/>
              <w:bottom w:val="none" w:sz="0" w:space="0" w:color="020000"/>
              <w:right w:val="none" w:sz="0" w:space="0" w:color="020000"/>
            </w:tcBorders>
          </w:tcPr>
          <w:p w14:paraId="1C3212C2" w14:textId="77777777" w:rsidR="009757A9" w:rsidRDefault="00083242" w:rsidP="00E31856">
            <w:pPr>
              <w:spacing w:before="44" w:line="212" w:lineRule="exact"/>
              <w:ind w:left="143"/>
              <w:textAlignment w:val="baseline"/>
              <w:rPr>
                <w:rFonts w:ascii="Tahoma" w:eastAsia="Tahoma" w:hAnsi="Tahoma"/>
                <w:color w:val="404042"/>
                <w:sz w:val="18"/>
              </w:rPr>
            </w:pPr>
            <w:r>
              <w:rPr>
                <w:rFonts w:ascii="Tahoma" w:eastAsia="Tahoma" w:hAnsi="Tahoma"/>
                <w:color w:val="404042"/>
                <w:sz w:val="18"/>
              </w:rPr>
              <w:t>Ms Jennifer Westacott AO</w:t>
            </w:r>
          </w:p>
          <w:p w14:paraId="48064D54" w14:textId="77777777" w:rsidR="009757A9" w:rsidRDefault="00083242" w:rsidP="00E31856">
            <w:pPr>
              <w:spacing w:before="58" w:after="31" w:line="240" w:lineRule="exact"/>
              <w:ind w:left="143" w:right="396"/>
              <w:textAlignment w:val="baseline"/>
              <w:rPr>
                <w:rFonts w:ascii="Tahoma" w:eastAsia="Tahoma" w:hAnsi="Tahoma"/>
                <w:color w:val="404042"/>
                <w:sz w:val="18"/>
              </w:rPr>
            </w:pPr>
            <w:r w:rsidRPr="00E31856">
              <w:rPr>
                <w:rFonts w:ascii="Tahoma" w:eastAsia="Tahoma" w:hAnsi="Tahoma"/>
                <w:color w:val="404042"/>
                <w:sz w:val="18"/>
              </w:rPr>
              <w:t>Chief Executive, Business Council of</w:t>
            </w:r>
            <w:r>
              <w:rPr>
                <w:rFonts w:ascii="Tahoma" w:eastAsia="Tahoma" w:hAnsi="Tahoma"/>
                <w:color w:val="404042"/>
                <w:sz w:val="18"/>
              </w:rPr>
              <w:t xml:space="preserve"> </w:t>
            </w:r>
            <w:hyperlink r:id="rId30">
              <w:r w:rsidRPr="00E31856">
                <w:rPr>
                  <w:rFonts w:ascii="Tahoma" w:eastAsia="Tahoma" w:hAnsi="Tahoma"/>
                  <w:color w:val="404042"/>
                  <w:sz w:val="18"/>
                </w:rPr>
                <w:t>Australia</w:t>
              </w:r>
            </w:hyperlink>
            <w:r>
              <w:rPr>
                <w:rFonts w:ascii="Tahoma" w:eastAsia="Tahoma" w:hAnsi="Tahoma"/>
                <w:color w:val="404042"/>
                <w:sz w:val="18"/>
              </w:rPr>
              <w:t xml:space="preserve"> </w:t>
            </w:r>
          </w:p>
        </w:tc>
        <w:tc>
          <w:tcPr>
            <w:tcW w:w="6090" w:type="dxa"/>
            <w:tcBorders>
              <w:top w:val="none" w:sz="0" w:space="0" w:color="020000"/>
              <w:left w:val="none" w:sz="0" w:space="0" w:color="020000"/>
              <w:bottom w:val="none" w:sz="0" w:space="0" w:color="020000"/>
              <w:right w:val="none" w:sz="0" w:space="0" w:color="020000"/>
            </w:tcBorders>
          </w:tcPr>
          <w:p w14:paraId="34D179D7" w14:textId="77777777" w:rsidR="009757A9" w:rsidRDefault="00083242" w:rsidP="00E31856">
            <w:pPr>
              <w:spacing w:after="321" w:line="240" w:lineRule="exact"/>
              <w:ind w:left="72" w:right="281"/>
              <w:textAlignment w:val="baseline"/>
              <w:rPr>
                <w:rFonts w:ascii="Tahoma" w:eastAsia="Tahoma" w:hAnsi="Tahoma"/>
                <w:color w:val="404042"/>
                <w:sz w:val="18"/>
              </w:rPr>
            </w:pPr>
            <w:r>
              <w:rPr>
                <w:rFonts w:ascii="Tahoma" w:eastAsia="Tahoma" w:hAnsi="Tahoma"/>
                <w:color w:val="404042"/>
                <w:sz w:val="18"/>
              </w:rPr>
              <w:t>Employment, industry-school engagement, skills and education, labour market policy, Aboriginal and Torres Strait Islander engagement</w:t>
            </w:r>
          </w:p>
        </w:tc>
      </w:tr>
      <w:tr w:rsidR="00E31856" w14:paraId="7B54D1AA" w14:textId="77777777" w:rsidTr="00AC10FF">
        <w:trPr>
          <w:trHeight w:hRule="exact" w:val="855"/>
        </w:trPr>
        <w:tc>
          <w:tcPr>
            <w:tcW w:w="4536" w:type="dxa"/>
            <w:tcBorders>
              <w:top w:val="none" w:sz="0" w:space="0" w:color="020000"/>
              <w:left w:val="none" w:sz="0" w:space="0" w:color="020000"/>
              <w:bottom w:val="none" w:sz="0" w:space="0" w:color="020000"/>
              <w:right w:val="none" w:sz="0" w:space="0" w:color="020000"/>
            </w:tcBorders>
            <w:shd w:val="clear" w:color="F5E6DA" w:fill="F5E6DA"/>
          </w:tcPr>
          <w:p w14:paraId="0F707446" w14:textId="77777777" w:rsidR="009757A9" w:rsidRDefault="00083242" w:rsidP="00E31856">
            <w:pPr>
              <w:spacing w:before="49" w:line="212" w:lineRule="exact"/>
              <w:ind w:left="143"/>
              <w:textAlignment w:val="baseline"/>
              <w:rPr>
                <w:rFonts w:ascii="Tahoma" w:eastAsia="Tahoma" w:hAnsi="Tahoma"/>
                <w:color w:val="404042"/>
                <w:sz w:val="18"/>
              </w:rPr>
            </w:pPr>
            <w:r>
              <w:rPr>
                <w:rFonts w:ascii="Tahoma" w:eastAsia="Tahoma" w:hAnsi="Tahoma"/>
                <w:color w:val="404042"/>
                <w:sz w:val="18"/>
              </w:rPr>
              <w:t>Dr Don Zoellner</w:t>
            </w:r>
          </w:p>
          <w:p w14:paraId="68294EFC" w14:textId="77777777" w:rsidR="009757A9" w:rsidRDefault="00083242" w:rsidP="00E31856">
            <w:pPr>
              <w:spacing w:before="66" w:after="23" w:line="240" w:lineRule="exact"/>
              <w:ind w:left="143"/>
              <w:textAlignment w:val="baseline"/>
              <w:rPr>
                <w:rFonts w:ascii="Tahoma" w:eastAsia="Tahoma" w:hAnsi="Tahoma"/>
                <w:color w:val="404042"/>
                <w:spacing w:val="9"/>
                <w:sz w:val="18"/>
              </w:rPr>
            </w:pPr>
            <w:r>
              <w:rPr>
                <w:rFonts w:ascii="Tahoma" w:eastAsia="Tahoma" w:hAnsi="Tahoma"/>
                <w:color w:val="404042"/>
                <w:spacing w:val="9"/>
                <w:sz w:val="18"/>
              </w:rPr>
              <w:t>University Fellow, Charles Darwin University</w:t>
            </w:r>
          </w:p>
        </w:tc>
        <w:tc>
          <w:tcPr>
            <w:tcW w:w="6090" w:type="dxa"/>
            <w:tcBorders>
              <w:top w:val="none" w:sz="0" w:space="0" w:color="020000"/>
              <w:left w:val="none" w:sz="0" w:space="0" w:color="020000"/>
              <w:bottom w:val="none" w:sz="0" w:space="0" w:color="020000"/>
              <w:right w:val="none" w:sz="0" w:space="0" w:color="020000"/>
            </w:tcBorders>
            <w:shd w:val="clear" w:color="F5E6DA" w:fill="F5E6DA"/>
          </w:tcPr>
          <w:p w14:paraId="13C8042C" w14:textId="77777777" w:rsidR="009757A9" w:rsidRDefault="00083242" w:rsidP="00E31856">
            <w:pPr>
              <w:spacing w:after="81" w:line="240" w:lineRule="exact"/>
              <w:ind w:left="72" w:right="281"/>
              <w:textAlignment w:val="baseline"/>
              <w:rPr>
                <w:rFonts w:ascii="Tahoma" w:eastAsia="Tahoma" w:hAnsi="Tahoma"/>
                <w:color w:val="404042"/>
                <w:sz w:val="18"/>
              </w:rPr>
            </w:pPr>
            <w:r>
              <w:rPr>
                <w:rFonts w:ascii="Tahoma" w:eastAsia="Tahoma" w:hAnsi="Tahoma"/>
                <w:color w:val="404042"/>
                <w:sz w:val="18"/>
              </w:rPr>
              <w:t>Vocational education and training, senior secondary education, higher education, career education, Aboriginal and Torres Strait Islander education, regional, rural and remote education</w:t>
            </w:r>
          </w:p>
        </w:tc>
      </w:tr>
      <w:tr w:rsidR="00E31856" w14:paraId="5C42D076" w14:textId="77777777" w:rsidTr="00E31856">
        <w:trPr>
          <w:trHeight w:hRule="exact" w:val="705"/>
        </w:trPr>
        <w:tc>
          <w:tcPr>
            <w:tcW w:w="4536" w:type="dxa"/>
            <w:tcBorders>
              <w:top w:val="none" w:sz="0" w:space="0" w:color="020000"/>
              <w:left w:val="none" w:sz="0" w:space="0" w:color="020000"/>
              <w:bottom w:val="none" w:sz="0" w:space="0" w:color="020000"/>
              <w:right w:val="none" w:sz="0" w:space="0" w:color="020000"/>
            </w:tcBorders>
          </w:tcPr>
          <w:p w14:paraId="7FFC641C" w14:textId="77777777" w:rsidR="009757A9" w:rsidRDefault="00083242" w:rsidP="00AC10FF">
            <w:pPr>
              <w:spacing w:before="49" w:line="220" w:lineRule="exact"/>
              <w:ind w:left="143"/>
              <w:textAlignment w:val="baseline"/>
              <w:rPr>
                <w:rFonts w:ascii="Tahoma" w:eastAsia="Tahoma" w:hAnsi="Tahoma"/>
                <w:color w:val="404042"/>
                <w:sz w:val="18"/>
              </w:rPr>
            </w:pPr>
            <w:r>
              <w:rPr>
                <w:rFonts w:ascii="Tahoma" w:eastAsia="Tahoma" w:hAnsi="Tahoma"/>
                <w:color w:val="404042"/>
                <w:sz w:val="18"/>
              </w:rPr>
              <w:t>Mr Patrick O’Reilly</w:t>
            </w:r>
          </w:p>
          <w:p w14:paraId="10998208" w14:textId="77777777" w:rsidR="009757A9" w:rsidRDefault="00083242" w:rsidP="00AC10FF">
            <w:pPr>
              <w:spacing w:before="58" w:after="38" w:line="240" w:lineRule="exact"/>
              <w:ind w:left="143"/>
              <w:textAlignment w:val="baseline"/>
              <w:rPr>
                <w:rFonts w:ascii="Tahoma" w:eastAsia="Tahoma" w:hAnsi="Tahoma"/>
                <w:color w:val="404042"/>
                <w:sz w:val="18"/>
              </w:rPr>
            </w:pPr>
            <w:r>
              <w:rPr>
                <w:rFonts w:ascii="Tahoma" w:eastAsia="Tahoma" w:hAnsi="Tahoma"/>
                <w:color w:val="404042"/>
                <w:sz w:val="18"/>
              </w:rPr>
              <w:t>Principal, Southern Cross Catholic Vocational College</w:t>
            </w:r>
          </w:p>
        </w:tc>
        <w:tc>
          <w:tcPr>
            <w:tcW w:w="6090" w:type="dxa"/>
            <w:tcBorders>
              <w:top w:val="none" w:sz="0" w:space="0" w:color="020000"/>
              <w:left w:val="none" w:sz="0" w:space="0" w:color="020000"/>
              <w:bottom w:val="none" w:sz="0" w:space="0" w:color="020000"/>
              <w:right w:val="none" w:sz="0" w:space="0" w:color="020000"/>
            </w:tcBorders>
          </w:tcPr>
          <w:p w14:paraId="6C1E2A1F" w14:textId="77777777" w:rsidR="009757A9" w:rsidRDefault="00083242" w:rsidP="00AC10FF">
            <w:pPr>
              <w:spacing w:after="336" w:line="240" w:lineRule="exact"/>
              <w:ind w:left="139" w:right="281"/>
              <w:textAlignment w:val="baseline"/>
              <w:rPr>
                <w:rFonts w:ascii="Tahoma" w:eastAsia="Tahoma" w:hAnsi="Tahoma"/>
                <w:color w:val="404042"/>
                <w:sz w:val="18"/>
              </w:rPr>
            </w:pPr>
            <w:r>
              <w:rPr>
                <w:rFonts w:ascii="Tahoma" w:eastAsia="Tahoma" w:hAnsi="Tahoma"/>
                <w:color w:val="404042"/>
                <w:sz w:val="18"/>
              </w:rPr>
              <w:t>Senior secondary education, vocational education and training, career education, student engagement</w:t>
            </w:r>
          </w:p>
        </w:tc>
      </w:tr>
    </w:tbl>
    <w:p w14:paraId="0A44199C" w14:textId="77777777" w:rsidR="009757A9" w:rsidRDefault="009757A9">
      <w:pPr>
        <w:spacing w:after="376" w:line="20" w:lineRule="exact"/>
      </w:pPr>
    </w:p>
    <w:p w14:paraId="719727DF" w14:textId="77777777" w:rsidR="009757A9" w:rsidRDefault="00083242">
      <w:pPr>
        <w:spacing w:before="10" w:line="287" w:lineRule="exact"/>
        <w:ind w:left="792"/>
        <w:textAlignment w:val="baseline"/>
        <w:rPr>
          <w:rFonts w:ascii="Arial" w:eastAsia="Arial" w:hAnsi="Arial"/>
          <w:b/>
          <w:color w:val="00708E"/>
          <w:spacing w:val="2"/>
          <w:sz w:val="25"/>
        </w:rPr>
      </w:pPr>
      <w:r>
        <w:rPr>
          <w:rFonts w:ascii="Arial" w:eastAsia="Arial" w:hAnsi="Arial"/>
          <w:b/>
          <w:color w:val="00708E"/>
          <w:spacing w:val="2"/>
          <w:sz w:val="25"/>
        </w:rPr>
        <w:t>Secretariat</w:t>
      </w:r>
    </w:p>
    <w:p w14:paraId="4EE18AAD" w14:textId="77777777" w:rsidR="009757A9" w:rsidRDefault="00083242">
      <w:pPr>
        <w:spacing w:before="145" w:line="240" w:lineRule="exact"/>
        <w:ind w:left="792" w:right="864"/>
        <w:textAlignment w:val="baseline"/>
        <w:rPr>
          <w:rFonts w:ascii="Tahoma" w:eastAsia="Tahoma" w:hAnsi="Tahoma"/>
          <w:color w:val="404042"/>
          <w:sz w:val="18"/>
        </w:rPr>
      </w:pPr>
      <w:r>
        <w:rPr>
          <w:rFonts w:ascii="Tahoma" w:eastAsia="Tahoma" w:hAnsi="Tahoma"/>
          <w:color w:val="404042"/>
          <w:sz w:val="18"/>
        </w:rPr>
        <w:t>Secretariat support for the Board will be provided by the Australian Government. This will include support for the Chair, organisation of meetings and consultations and analysis of written submissions.</w:t>
      </w:r>
    </w:p>
    <w:p w14:paraId="3D91E1A5" w14:textId="77777777" w:rsidR="009757A9" w:rsidRDefault="00083242">
      <w:pPr>
        <w:spacing w:before="384" w:line="287" w:lineRule="exact"/>
        <w:ind w:left="792"/>
        <w:textAlignment w:val="baseline"/>
        <w:rPr>
          <w:rFonts w:ascii="Arial" w:eastAsia="Arial" w:hAnsi="Arial"/>
          <w:b/>
          <w:color w:val="00708E"/>
          <w:spacing w:val="-1"/>
          <w:sz w:val="25"/>
        </w:rPr>
      </w:pPr>
      <w:r>
        <w:rPr>
          <w:rFonts w:ascii="Arial" w:eastAsia="Arial" w:hAnsi="Arial"/>
          <w:b/>
          <w:color w:val="00708E"/>
          <w:spacing w:val="-1"/>
          <w:sz w:val="25"/>
        </w:rPr>
        <w:t>Timing</w:t>
      </w:r>
    </w:p>
    <w:p w14:paraId="208A45C5" w14:textId="77777777" w:rsidR="009757A9" w:rsidRDefault="00083242">
      <w:pPr>
        <w:spacing w:before="165" w:after="5170" w:line="220" w:lineRule="exact"/>
        <w:ind w:left="792"/>
        <w:textAlignment w:val="baseline"/>
        <w:rPr>
          <w:rFonts w:ascii="Tahoma" w:eastAsia="Tahoma" w:hAnsi="Tahoma"/>
          <w:color w:val="404042"/>
          <w:spacing w:val="4"/>
          <w:sz w:val="18"/>
        </w:rPr>
      </w:pPr>
      <w:r>
        <w:rPr>
          <w:rFonts w:ascii="Tahoma" w:eastAsia="Tahoma" w:hAnsi="Tahoma"/>
          <w:color w:val="404042"/>
          <w:spacing w:val="4"/>
          <w:sz w:val="18"/>
        </w:rPr>
        <w:t>The Review will report to Education Council in June 2020.</w:t>
      </w:r>
    </w:p>
    <w:p w14:paraId="73A34D56" w14:textId="77777777" w:rsidR="009757A9" w:rsidRDefault="009757A9">
      <w:pPr>
        <w:spacing w:before="165" w:after="5170" w:line="220" w:lineRule="exact"/>
        <w:sectPr w:rsidR="009757A9">
          <w:pgSz w:w="11909" w:h="16838"/>
          <w:pgMar w:top="1080" w:right="0" w:bottom="0" w:left="0" w:header="720" w:footer="720" w:gutter="0"/>
          <w:cols w:space="720"/>
        </w:sectPr>
      </w:pPr>
    </w:p>
    <w:p w14:paraId="5ADAD3FA" w14:textId="77777777" w:rsidR="009757A9" w:rsidRDefault="00083242">
      <w:pPr>
        <w:spacing w:before="9" w:after="607" w:line="209" w:lineRule="exact"/>
        <w:ind w:left="10800"/>
        <w:textAlignment w:val="baseline"/>
        <w:rPr>
          <w:rFonts w:ascii="Arial" w:eastAsia="Arial" w:hAnsi="Arial"/>
          <w:b/>
          <w:color w:val="5556A1"/>
          <w:spacing w:val="28"/>
          <w:sz w:val="19"/>
        </w:rPr>
      </w:pPr>
      <w:r>
        <w:rPr>
          <w:rFonts w:ascii="Arial" w:eastAsia="Arial" w:hAnsi="Arial"/>
          <w:b/>
          <w:color w:val="5556A1"/>
          <w:spacing w:val="28"/>
          <w:sz w:val="19"/>
        </w:rPr>
        <w:t>11</w:t>
      </w:r>
    </w:p>
    <w:p w14:paraId="180301DA" w14:textId="77777777" w:rsidR="009757A9" w:rsidRDefault="00083242">
      <w:pPr>
        <w:textAlignment w:val="baseline"/>
      </w:pPr>
      <w:r>
        <w:rPr>
          <w:noProof/>
          <w:lang w:val="en-AU" w:eastAsia="en-AU"/>
        </w:rPr>
        <w:drawing>
          <wp:anchor distT="0" distB="0" distL="114300" distR="114300" simplePos="0" relativeHeight="252114432" behindDoc="1" locked="0" layoutInCell="1" allowOverlap="1" wp14:anchorId="1E8453C0" wp14:editId="3B56335C">
            <wp:simplePos x="0" y="0"/>
            <wp:positionH relativeFrom="margin">
              <wp:align>right</wp:align>
            </wp:positionH>
            <wp:positionV relativeFrom="paragraph">
              <wp:posOffset>344805</wp:posOffset>
            </wp:positionV>
            <wp:extent cx="7562215" cy="462915"/>
            <wp:effectExtent l="0" t="0" r="635" b="0"/>
            <wp:wrapNone/>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31">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466ACE7A" w14:textId="77777777" w:rsidR="009757A9" w:rsidRDefault="009757A9">
      <w:pPr>
        <w:sectPr w:rsidR="009757A9">
          <w:type w:val="continuous"/>
          <w:pgSz w:w="11909" w:h="16838"/>
          <w:pgMar w:top="1080" w:right="0" w:bottom="0" w:left="0" w:header="720" w:footer="720" w:gutter="0"/>
          <w:cols w:space="720"/>
        </w:sectPr>
      </w:pPr>
    </w:p>
    <w:p w14:paraId="0A8006B3" w14:textId="77777777" w:rsidR="009757A9" w:rsidRDefault="00083242" w:rsidP="009E47D4">
      <w:pPr>
        <w:pStyle w:val="Heading1"/>
        <w:rPr>
          <w:rFonts w:eastAsia="Arial"/>
          <w:w w:val="95"/>
        </w:rPr>
      </w:pPr>
      <w:r>
        <w:rPr>
          <w:rFonts w:eastAsia="Arial"/>
          <w:w w:val="95"/>
        </w:rPr>
        <w:lastRenderedPageBreak/>
        <w:t>EXECUTIVE SUMMARY</w:t>
      </w:r>
    </w:p>
    <w:p w14:paraId="6C8DB57A" w14:textId="77777777" w:rsidR="009757A9" w:rsidRDefault="00083242">
      <w:pPr>
        <w:spacing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Education must prepare young people both for active citizenship in a democratic society and for purposeful engagement with the labour market. This is vital at a time when trust in democratic governance and institutions is at a low level and cognitive technologies are transforming the future of work.</w:t>
      </w:r>
    </w:p>
    <w:p w14:paraId="1377E8DB" w14:textId="77777777" w:rsidR="009757A9" w:rsidRDefault="00083242">
      <w:pPr>
        <w:spacing w:before="173" w:line="240" w:lineRule="exact"/>
        <w:ind w:left="864" w:right="1224"/>
        <w:textAlignment w:val="baseline"/>
        <w:rPr>
          <w:rFonts w:ascii="Tahoma" w:eastAsia="Tahoma" w:hAnsi="Tahoma"/>
          <w:color w:val="404042"/>
          <w:spacing w:val="5"/>
          <w:sz w:val="18"/>
        </w:rPr>
      </w:pPr>
      <w:r>
        <w:rPr>
          <w:rFonts w:ascii="Tahoma" w:eastAsia="Tahoma" w:hAnsi="Tahoma"/>
          <w:color w:val="404042"/>
          <w:spacing w:val="5"/>
          <w:sz w:val="18"/>
        </w:rPr>
        <w:t>Young people are increasingly anxious about the uncertainty of their futures. The profound disruptions of COVID-19 have heightened that unease. They sense that normal life is unlikely to be fully restored. Economic recovery is likely to be slow and patchy. Working remotely, from homes or hubs, has shown the potential benefits and weaknesses embedded in how administrative and professional staff undertake their work.</w:t>
      </w:r>
    </w:p>
    <w:p w14:paraId="7A2CE3CF" w14:textId="77777777" w:rsidR="009757A9" w:rsidRDefault="00083242">
      <w:pPr>
        <w:spacing w:before="167" w:line="240"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t>School leavers do not just need to be employable. They need to be adaptable, flexible and confident. Education must provide students with the essential attributes they require for lifelong learning in whatever fields of endeavour they may choose. The professional and applied skills they need will change significantly over their lives. The jobs they do will be transformed. Some, driven by entrepreneurial ambition, will want to set up their own businesses. Most will switch careers.</w:t>
      </w:r>
    </w:p>
    <w:p w14:paraId="272C7CA1" w14:textId="77777777" w:rsidR="009757A9" w:rsidRDefault="00083242">
      <w:pPr>
        <w:spacing w:before="189" w:line="220" w:lineRule="exact"/>
        <w:ind w:left="864"/>
        <w:textAlignment w:val="baseline"/>
        <w:rPr>
          <w:rFonts w:ascii="Tahoma" w:eastAsia="Tahoma" w:hAnsi="Tahoma"/>
          <w:color w:val="404042"/>
          <w:spacing w:val="4"/>
          <w:sz w:val="18"/>
        </w:rPr>
      </w:pPr>
      <w:r>
        <w:rPr>
          <w:rFonts w:ascii="Tahoma" w:eastAsia="Tahoma" w:hAnsi="Tahoma"/>
          <w:color w:val="404042"/>
          <w:spacing w:val="4"/>
          <w:sz w:val="18"/>
        </w:rPr>
        <w:t>To achieve this – for all young Australians – profound challenges need to be overcome.</w:t>
      </w:r>
    </w:p>
    <w:p w14:paraId="70B5ECD9" w14:textId="77777777" w:rsidR="009757A9" w:rsidRDefault="00083242">
      <w:pPr>
        <w:spacing w:before="173" w:line="240" w:lineRule="exact"/>
        <w:ind w:left="864"/>
        <w:textAlignment w:val="baseline"/>
        <w:rPr>
          <w:rFonts w:ascii="Tahoma" w:eastAsia="Tahoma" w:hAnsi="Tahoma"/>
          <w:color w:val="404042"/>
          <w:spacing w:val="5"/>
          <w:sz w:val="18"/>
        </w:rPr>
      </w:pPr>
      <w:r>
        <w:rPr>
          <w:rFonts w:ascii="Tahoma" w:eastAsia="Tahoma" w:hAnsi="Tahoma"/>
          <w:color w:val="404042"/>
          <w:spacing w:val="5"/>
          <w:sz w:val="18"/>
        </w:rPr>
        <w:t>Substantive change is needed, but there is no easy solution. There is no national panacea. Different communities,</w:t>
      </w:r>
    </w:p>
    <w:p w14:paraId="0E4C4229" w14:textId="77777777" w:rsidR="009757A9" w:rsidRDefault="00083242">
      <w:pPr>
        <w:spacing w:line="240" w:lineRule="exact"/>
        <w:ind w:left="864"/>
        <w:textAlignment w:val="baseline"/>
        <w:rPr>
          <w:rFonts w:ascii="Tahoma" w:eastAsia="Tahoma" w:hAnsi="Tahoma"/>
          <w:color w:val="404042"/>
          <w:spacing w:val="5"/>
          <w:sz w:val="18"/>
        </w:rPr>
      </w:pPr>
      <w:r>
        <w:rPr>
          <w:rFonts w:ascii="Tahoma" w:eastAsia="Tahoma" w:hAnsi="Tahoma"/>
          <w:color w:val="404042"/>
          <w:spacing w:val="5"/>
          <w:sz w:val="18"/>
        </w:rPr>
        <w:t>places, groups of people and school systems have distinctly different needs. Changes need to be responsive to context.</w:t>
      </w:r>
    </w:p>
    <w:p w14:paraId="1E92E627" w14:textId="77777777" w:rsidR="009757A9" w:rsidRDefault="00083242">
      <w:pPr>
        <w:spacing w:before="18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For that reason, this report is not intended to provide a highly prescriptive dictum.</w:t>
      </w:r>
    </w:p>
    <w:p w14:paraId="0494360C" w14:textId="77777777" w:rsidR="009757A9" w:rsidRDefault="00083242">
      <w:pPr>
        <w:spacing w:before="173" w:line="240" w:lineRule="exact"/>
        <w:ind w:left="864" w:right="1368"/>
        <w:textAlignment w:val="baseline"/>
        <w:rPr>
          <w:rFonts w:ascii="Tahoma" w:eastAsia="Tahoma" w:hAnsi="Tahoma"/>
          <w:color w:val="404042"/>
          <w:sz w:val="18"/>
        </w:rPr>
      </w:pPr>
      <w:r>
        <w:rPr>
          <w:rFonts w:ascii="Tahoma" w:eastAsia="Tahoma" w:hAnsi="Tahoma"/>
          <w:color w:val="404042"/>
          <w:sz w:val="18"/>
        </w:rPr>
        <w:t>Rather, it seeks to signal a bold shift in direction. It proposes a coherent package of initiatives that are intended to inform, influence and accelerate broader reform processes.</w:t>
      </w:r>
    </w:p>
    <w:p w14:paraId="44EA0F99"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The necessary elements of change are clear. But the manner of their implementation must be determined by state and territory governments and education authorities for public, Catholic and independent schools. There needs to be a national response but it must be responsive to place-based expectations and local needs.</w:t>
      </w:r>
    </w:p>
    <w:p w14:paraId="626544FC" w14:textId="77777777" w:rsidR="009757A9" w:rsidRDefault="00083242">
      <w:pPr>
        <w:spacing w:before="172" w:line="240"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t>Australia’s federal system of government has the proven capacity to generate a valuable diversity of ideas and approaches. Each jurisdiction is well placed to work out how best to take these actions forward. The conduct of the recently established National Cabinet has shown the value of Australian governments setting directions in a collaborative manner but with each state and territory implementing decisions in their own ways, responsive to their own particular circumstances.</w:t>
      </w:r>
    </w:p>
    <w:p w14:paraId="621460AB" w14:textId="77777777" w:rsidR="009757A9" w:rsidRDefault="00083242">
      <w:pPr>
        <w:spacing w:before="168"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Reform processes are already underway. In every state and territory, we have come across innovative schools finding new ways to educate and develop their students. Many teachers are frustrated by the focus on a single number, the Australian Tertiary Admission Rank (ATAR). They feel it is narrowing their ability to serve the best interests of all students. They perceive that their role as educators, career guides and pastoral carers is being narrowed and distorted by a ranking score.</w:t>
      </w:r>
    </w:p>
    <w:p w14:paraId="42CD7A41" w14:textId="77777777" w:rsidR="009757A9" w:rsidRDefault="00083242">
      <w:pPr>
        <w:spacing w:before="168" w:line="240" w:lineRule="exact"/>
        <w:ind w:left="864" w:right="1224"/>
        <w:textAlignment w:val="baseline"/>
        <w:rPr>
          <w:rFonts w:ascii="Tahoma" w:eastAsia="Tahoma" w:hAnsi="Tahoma"/>
          <w:color w:val="404042"/>
          <w:sz w:val="18"/>
        </w:rPr>
      </w:pPr>
      <w:r>
        <w:rPr>
          <w:rFonts w:ascii="Tahoma" w:eastAsia="Tahoma" w:hAnsi="Tahoma"/>
          <w:color w:val="404042"/>
          <w:sz w:val="18"/>
        </w:rPr>
        <w:t>Academic achievement is important but not the sole reason for schooling. We need to focus more on preparing the whole person, no matter what career path they choose. The final years of schooling are an important part of the learning entitlement of all young Australians. Many senior secondary students enjoy school. Some, for a variety of reasons, just want to leave as soon as possible. Both groups need to be supported by more flexible learning.</w:t>
      </w:r>
    </w:p>
    <w:p w14:paraId="5FD7EC4C" w14:textId="77777777" w:rsidR="009757A9" w:rsidRDefault="00083242">
      <w:pPr>
        <w:spacing w:before="172"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We have found many instances of innovation. Yet much that is creative still sits at the periphery of education. Innovation needs to be embedded systemically in the senior secondary years. New approaches need to be trialled and, if successful, scaled up. Demonstration projects need to have greater influence on the traditional core of how we measure educational success.</w:t>
      </w:r>
    </w:p>
    <w:p w14:paraId="799113E5" w14:textId="77777777" w:rsidR="009757A9" w:rsidRDefault="00083242">
      <w:pPr>
        <w:spacing w:before="169" w:line="240" w:lineRule="exact"/>
        <w:ind w:left="864" w:right="1008"/>
        <w:textAlignment w:val="baseline"/>
        <w:rPr>
          <w:rFonts w:ascii="Tahoma" w:eastAsia="Tahoma" w:hAnsi="Tahoma"/>
          <w:color w:val="404042"/>
          <w:sz w:val="18"/>
        </w:rPr>
      </w:pPr>
      <w:r>
        <w:rPr>
          <w:rFonts w:ascii="Tahoma" w:eastAsia="Tahoma" w:hAnsi="Tahoma"/>
          <w:color w:val="404042"/>
          <w:sz w:val="18"/>
        </w:rPr>
        <w:t>This review presents an opportunity to exhibit genuine cross-jurisdictional collaborative leadership. The package of recommendations we are proposing offers a chance to take a new national approach to senior secondary education. We need to recognise and spread good practice in order to generate broader change. We sense that what we propose will garner widespread support across the community.</w:t>
      </w:r>
    </w:p>
    <w:p w14:paraId="4DB534CC" w14:textId="77777777" w:rsidR="009757A9" w:rsidRDefault="00083242">
      <w:pPr>
        <w:tabs>
          <w:tab w:val="left" w:pos="1368"/>
        </w:tabs>
        <w:spacing w:before="1123" w:after="636"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12</w:t>
      </w:r>
      <w:r>
        <w:rPr>
          <w:rFonts w:ascii="Tahoma" w:eastAsia="Tahoma" w:hAnsi="Tahoma"/>
          <w:color w:val="404042"/>
          <w:spacing w:val="4"/>
          <w:sz w:val="14"/>
        </w:rPr>
        <w:tab/>
        <w:t>Looking to the future</w:t>
      </w:r>
    </w:p>
    <w:p w14:paraId="3BB752A5" w14:textId="77777777" w:rsidR="009757A9" w:rsidRDefault="00083242">
      <w:pPr>
        <w:textAlignment w:val="baseline"/>
      </w:pPr>
      <w:r>
        <w:rPr>
          <w:noProof/>
          <w:lang w:val="en-AU" w:eastAsia="en-AU"/>
        </w:rPr>
        <w:drawing>
          <wp:anchor distT="0" distB="0" distL="114300" distR="114300" simplePos="0" relativeHeight="252132864" behindDoc="1" locked="0" layoutInCell="1" allowOverlap="1" wp14:anchorId="374B2B98" wp14:editId="69E58E87">
            <wp:simplePos x="0" y="0"/>
            <wp:positionH relativeFrom="column">
              <wp:posOffset>0</wp:posOffset>
            </wp:positionH>
            <wp:positionV relativeFrom="paragraph">
              <wp:posOffset>-635</wp:posOffset>
            </wp:positionV>
            <wp:extent cx="7562215" cy="462915"/>
            <wp:effectExtent l="0" t="0" r="635" b="0"/>
            <wp:wrapNone/>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02EA6A4C" w14:textId="77777777" w:rsidR="009757A9" w:rsidRDefault="009757A9">
      <w:pPr>
        <w:sectPr w:rsidR="009757A9">
          <w:pgSz w:w="11909" w:h="16838"/>
          <w:pgMar w:top="1080" w:right="0" w:bottom="0" w:left="0" w:header="720" w:footer="720" w:gutter="0"/>
          <w:cols w:space="720"/>
        </w:sectPr>
      </w:pPr>
    </w:p>
    <w:p w14:paraId="75FC9DBA" w14:textId="77777777" w:rsidR="009757A9" w:rsidRDefault="00083242">
      <w:pPr>
        <w:spacing w:before="20" w:line="220" w:lineRule="exact"/>
        <w:ind w:left="864"/>
        <w:textAlignment w:val="baseline"/>
        <w:rPr>
          <w:rFonts w:ascii="Tahoma" w:eastAsia="Tahoma" w:hAnsi="Tahoma"/>
          <w:color w:val="404042"/>
          <w:spacing w:val="3"/>
          <w:sz w:val="18"/>
        </w:rPr>
      </w:pPr>
      <w:r>
        <w:rPr>
          <w:rFonts w:ascii="Tahoma" w:eastAsia="Tahoma" w:hAnsi="Tahoma"/>
          <w:color w:val="404042"/>
          <w:spacing w:val="3"/>
          <w:sz w:val="18"/>
        </w:rPr>
        <w:lastRenderedPageBreak/>
        <w:t>So what would success look like? In essence, eight key outcomes will be achieved:</w:t>
      </w:r>
    </w:p>
    <w:p w14:paraId="773BEAA5" w14:textId="77777777" w:rsidR="009757A9" w:rsidRDefault="00083242">
      <w:pPr>
        <w:spacing w:before="199" w:line="205" w:lineRule="exact"/>
        <w:ind w:left="864"/>
        <w:textAlignment w:val="baseline"/>
        <w:rPr>
          <w:rFonts w:ascii="Arial" w:eastAsia="Arial" w:hAnsi="Arial"/>
          <w:i/>
          <w:color w:val="007896"/>
          <w:sz w:val="18"/>
        </w:rPr>
      </w:pPr>
      <w:r>
        <w:rPr>
          <w:rFonts w:ascii="Arial" w:eastAsia="Arial" w:hAnsi="Arial"/>
          <w:i/>
          <w:color w:val="007896"/>
          <w:sz w:val="18"/>
        </w:rPr>
        <w:t>1) All students will leave with essential skills</w:t>
      </w:r>
    </w:p>
    <w:p w14:paraId="50A5B972" w14:textId="77777777" w:rsidR="009757A9" w:rsidRDefault="00083242">
      <w:pPr>
        <w:spacing w:before="177" w:line="240" w:lineRule="exact"/>
        <w:ind w:left="864" w:right="864"/>
        <w:textAlignment w:val="baseline"/>
        <w:rPr>
          <w:rFonts w:ascii="Tahoma" w:eastAsia="Tahoma" w:hAnsi="Tahoma"/>
          <w:color w:val="404042"/>
          <w:sz w:val="18"/>
        </w:rPr>
      </w:pPr>
      <w:r>
        <w:rPr>
          <w:rFonts w:ascii="Tahoma" w:eastAsia="Tahoma" w:hAnsi="Tahoma"/>
          <w:color w:val="404042"/>
          <w:sz w:val="18"/>
        </w:rPr>
        <w:t>Senior secondary schooling will prepare young people for their future roles in the workforce and as active and engaged members of civil society. They will have the capabilities and enthusiasm to keep on learning throughout their lives.</w:t>
      </w:r>
    </w:p>
    <w:p w14:paraId="00C82DD9" w14:textId="77777777" w:rsidR="009757A9" w:rsidRDefault="00083242">
      <w:pPr>
        <w:spacing w:before="18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Senior secondary schooling will include a focus on:</w:t>
      </w:r>
    </w:p>
    <w:p w14:paraId="1A9392BC"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5"/>
          <w:sz w:val="18"/>
        </w:rPr>
      </w:pPr>
      <w:r>
        <w:rPr>
          <w:rFonts w:ascii="Tahoma" w:eastAsia="Tahoma" w:hAnsi="Tahoma"/>
          <w:color w:val="404042"/>
          <w:spacing w:val="5"/>
          <w:sz w:val="18"/>
        </w:rPr>
        <w:t>learning areas (selected by students on the basis of their interests and passions)</w:t>
      </w:r>
    </w:p>
    <w:p w14:paraId="2A70F2EB" w14:textId="77777777" w:rsidR="009757A9" w:rsidRDefault="00083242">
      <w:pPr>
        <w:numPr>
          <w:ilvl w:val="0"/>
          <w:numId w:val="6"/>
        </w:numPr>
        <w:tabs>
          <w:tab w:val="clear" w:pos="216"/>
          <w:tab w:val="left" w:pos="1080"/>
        </w:tabs>
        <w:spacing w:before="106" w:line="221" w:lineRule="exact"/>
        <w:ind w:left="864"/>
        <w:textAlignment w:val="baseline"/>
        <w:rPr>
          <w:rFonts w:ascii="Tahoma" w:eastAsia="Tahoma" w:hAnsi="Tahoma"/>
          <w:color w:val="404042"/>
          <w:spacing w:val="5"/>
          <w:sz w:val="18"/>
        </w:rPr>
      </w:pPr>
      <w:r>
        <w:rPr>
          <w:rFonts w:ascii="Tahoma" w:eastAsia="Tahoma" w:hAnsi="Tahoma"/>
          <w:color w:val="404042"/>
          <w:spacing w:val="5"/>
          <w:sz w:val="18"/>
        </w:rPr>
        <w:t>foundational skills development (literacy, numeracy, digital literacy)</w:t>
      </w:r>
    </w:p>
    <w:p w14:paraId="4A23DE53" w14:textId="77777777" w:rsidR="009757A9" w:rsidRDefault="00083242">
      <w:pPr>
        <w:numPr>
          <w:ilvl w:val="0"/>
          <w:numId w:val="6"/>
        </w:numPr>
        <w:tabs>
          <w:tab w:val="clear" w:pos="216"/>
          <w:tab w:val="left" w:pos="1080"/>
        </w:tabs>
        <w:spacing w:before="100" w:line="221" w:lineRule="exact"/>
        <w:ind w:left="864"/>
        <w:textAlignment w:val="baseline"/>
        <w:rPr>
          <w:rFonts w:ascii="Tahoma" w:eastAsia="Tahoma" w:hAnsi="Tahoma"/>
          <w:color w:val="404042"/>
          <w:spacing w:val="7"/>
          <w:sz w:val="18"/>
        </w:rPr>
      </w:pPr>
      <w:r>
        <w:rPr>
          <w:rFonts w:ascii="Tahoma" w:eastAsia="Tahoma" w:hAnsi="Tahoma"/>
          <w:color w:val="404042"/>
          <w:spacing w:val="7"/>
          <w:sz w:val="18"/>
        </w:rPr>
        <w:t>capability development, personal growth and ethical responsibilities</w:t>
      </w:r>
    </w:p>
    <w:p w14:paraId="5D14FA25" w14:textId="77777777" w:rsidR="009757A9" w:rsidRDefault="00083242">
      <w:pPr>
        <w:numPr>
          <w:ilvl w:val="0"/>
          <w:numId w:val="6"/>
        </w:numPr>
        <w:tabs>
          <w:tab w:val="clear" w:pos="216"/>
          <w:tab w:val="left" w:pos="1080"/>
        </w:tabs>
        <w:spacing w:before="106" w:line="221" w:lineRule="exact"/>
        <w:ind w:left="864"/>
        <w:textAlignment w:val="baseline"/>
        <w:rPr>
          <w:rFonts w:ascii="Tahoma" w:eastAsia="Tahoma" w:hAnsi="Tahoma"/>
          <w:color w:val="404042"/>
          <w:spacing w:val="6"/>
          <w:sz w:val="18"/>
        </w:rPr>
      </w:pPr>
      <w:r>
        <w:rPr>
          <w:rFonts w:ascii="Tahoma" w:eastAsia="Tahoma" w:hAnsi="Tahoma"/>
          <w:color w:val="404042"/>
          <w:spacing w:val="6"/>
          <w:sz w:val="18"/>
        </w:rPr>
        <w:t>career education and work exploration activities.</w:t>
      </w:r>
    </w:p>
    <w:p w14:paraId="08CD3376" w14:textId="77777777" w:rsidR="009757A9" w:rsidRDefault="00083242">
      <w:pPr>
        <w:spacing w:before="172" w:line="240" w:lineRule="exact"/>
        <w:ind w:left="864" w:right="864"/>
        <w:textAlignment w:val="baseline"/>
        <w:rPr>
          <w:rFonts w:ascii="Tahoma" w:eastAsia="Tahoma" w:hAnsi="Tahoma"/>
          <w:color w:val="404042"/>
          <w:sz w:val="18"/>
        </w:rPr>
      </w:pPr>
      <w:r>
        <w:rPr>
          <w:rFonts w:ascii="Tahoma" w:eastAsia="Tahoma" w:hAnsi="Tahoma"/>
          <w:color w:val="404042"/>
          <w:sz w:val="18"/>
        </w:rPr>
        <w:t>Literacy, numeracy and digital literacy will be recognised as essential skills for every student. At a time of technological transformation, when the future of work is uncertain, these attributes are more important than ever. Students must be supported to attain capability in these areas before they finish school. Every young person who leaves without them is having their economic and social future short-changed.</w:t>
      </w:r>
    </w:p>
    <w:p w14:paraId="433BFD6D" w14:textId="77777777" w:rsidR="009757A9" w:rsidRDefault="00083242">
      <w:pPr>
        <w:spacing w:before="168" w:line="240" w:lineRule="exact"/>
        <w:ind w:left="864" w:right="1008"/>
        <w:textAlignment w:val="baseline"/>
        <w:rPr>
          <w:rFonts w:ascii="Tahoma" w:eastAsia="Tahoma" w:hAnsi="Tahoma"/>
          <w:color w:val="404042"/>
          <w:spacing w:val="3"/>
          <w:sz w:val="18"/>
        </w:rPr>
      </w:pPr>
      <w:r>
        <w:rPr>
          <w:rFonts w:ascii="Tahoma" w:eastAsia="Tahoma" w:hAnsi="Tahoma"/>
          <w:color w:val="404042"/>
          <w:spacing w:val="3"/>
          <w:sz w:val="18"/>
        </w:rPr>
        <w:t>Young people transitioning into senior secondary schooling will have benefited from explicit pathway discussions with their teachers. So, too, will any student contemplating whether to leave school before the end of Year 12. They will use these conversations to identify their current capabilities and aspirations. They will participate in the development of a plan to build, evidence and articulate these capabilities prior to leaving school. They will have gained the discipline of planning for life.</w:t>
      </w:r>
    </w:p>
    <w:p w14:paraId="6F7603FB" w14:textId="77777777" w:rsidR="009757A9" w:rsidRDefault="00083242">
      <w:pPr>
        <w:spacing w:before="173"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Schools will ensure all school leavers can communicate and evidence their learning to employers and education institutions. Students will be helped to understand the various ways they have developed as individuals. They will be assured that they can show how they have acquired and applied their skills. They will be confident in their abilities but aware of how much they still have to learn.</w:t>
      </w:r>
    </w:p>
    <w:p w14:paraId="1D8395AB" w14:textId="77777777" w:rsidR="009757A9" w:rsidRDefault="00083242">
      <w:pPr>
        <w:numPr>
          <w:ilvl w:val="0"/>
          <w:numId w:val="7"/>
        </w:numPr>
        <w:tabs>
          <w:tab w:val="clear" w:pos="216"/>
          <w:tab w:val="left" w:pos="1080"/>
        </w:tabs>
        <w:spacing w:before="188" w:line="220" w:lineRule="exact"/>
        <w:ind w:left="864"/>
        <w:textAlignment w:val="baseline"/>
        <w:rPr>
          <w:rFonts w:ascii="Tahoma" w:eastAsia="Tahoma" w:hAnsi="Tahoma"/>
          <w:i/>
          <w:color w:val="00708E"/>
          <w:spacing w:val="-1"/>
          <w:sz w:val="18"/>
        </w:rPr>
      </w:pPr>
      <w:r>
        <w:rPr>
          <w:rFonts w:ascii="Tahoma" w:eastAsia="Tahoma" w:hAnsi="Tahoma"/>
          <w:i/>
          <w:color w:val="00708E"/>
          <w:spacing w:val="-1"/>
          <w:sz w:val="18"/>
        </w:rPr>
        <w:t>All students will leave with a Learner Profile</w:t>
      </w:r>
    </w:p>
    <w:p w14:paraId="5C1180BC" w14:textId="77777777" w:rsidR="009757A9" w:rsidRDefault="00083242">
      <w:pPr>
        <w:spacing w:before="168" w:line="240" w:lineRule="exact"/>
        <w:ind w:left="864" w:right="1296"/>
        <w:textAlignment w:val="baseline"/>
        <w:rPr>
          <w:rFonts w:ascii="Tahoma" w:eastAsia="Tahoma" w:hAnsi="Tahoma"/>
          <w:color w:val="404042"/>
          <w:sz w:val="18"/>
        </w:rPr>
      </w:pPr>
      <w:r>
        <w:rPr>
          <w:rFonts w:ascii="Tahoma" w:eastAsia="Tahoma" w:hAnsi="Tahoma"/>
          <w:color w:val="404042"/>
          <w:sz w:val="18"/>
        </w:rPr>
        <w:t>Students will leave school with a Learner Profile, identifying the range of their skills, knowledge and experiences. It will include learning and experiences gained inside and outside of school. Students will be guided to recognise the attributes they have acquired through study in the classroom as well as from work experience, volunteering and personal achievement.</w:t>
      </w:r>
    </w:p>
    <w:p w14:paraId="26848E4E" w14:textId="77777777" w:rsidR="009757A9" w:rsidRDefault="00083242">
      <w:pPr>
        <w:spacing w:before="172"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It is likely that the ATAR will continue to play a role in university selection processes, although many education providers now wish to also assess a student’s performance in a range of subject disciplines. But this ranking score will increasingly be enhanced by a greater recognition of the value of the broader set of skills, capabilities and experience that a student has gained by the time they leave school. Senior secondary students will be seen as young people, not numbers. This will change the way in which students see themselves and the manner in which they will want to present their educational achievements to others.</w:t>
      </w:r>
    </w:p>
    <w:p w14:paraId="4654104A" w14:textId="77777777" w:rsidR="009757A9" w:rsidRDefault="00083242">
      <w:pPr>
        <w:numPr>
          <w:ilvl w:val="0"/>
          <w:numId w:val="8"/>
        </w:numPr>
        <w:tabs>
          <w:tab w:val="clear" w:pos="216"/>
          <w:tab w:val="left" w:pos="1080"/>
        </w:tabs>
        <w:spacing w:before="200" w:line="209" w:lineRule="exact"/>
        <w:ind w:left="864"/>
        <w:textAlignment w:val="baseline"/>
        <w:rPr>
          <w:rFonts w:ascii="Arial" w:eastAsia="Arial" w:hAnsi="Arial"/>
          <w:i/>
          <w:color w:val="00708E"/>
          <w:spacing w:val="-1"/>
          <w:sz w:val="18"/>
        </w:rPr>
      </w:pPr>
      <w:r>
        <w:rPr>
          <w:rFonts w:ascii="Arial" w:eastAsia="Arial" w:hAnsi="Arial"/>
          <w:i/>
          <w:color w:val="00708E"/>
          <w:spacing w:val="-1"/>
          <w:sz w:val="18"/>
        </w:rPr>
        <w:t>All pathways will be equally respected</w:t>
      </w:r>
    </w:p>
    <w:p w14:paraId="2201CB70" w14:textId="77777777" w:rsidR="009757A9" w:rsidRDefault="00083242">
      <w:pPr>
        <w:spacing w:before="173" w:line="240" w:lineRule="exact"/>
        <w:ind w:left="864" w:right="1080"/>
        <w:textAlignment w:val="baseline"/>
        <w:rPr>
          <w:rFonts w:ascii="Tahoma" w:eastAsia="Tahoma" w:hAnsi="Tahoma"/>
          <w:color w:val="404042"/>
          <w:sz w:val="18"/>
        </w:rPr>
      </w:pPr>
      <w:r>
        <w:rPr>
          <w:rFonts w:ascii="Tahoma" w:eastAsia="Tahoma" w:hAnsi="Tahoma"/>
          <w:color w:val="404042"/>
          <w:sz w:val="18"/>
        </w:rPr>
        <w:t>The workforce of the future will require a range of skills and people with different types of qualifications. All students will be encouraged to pursue excellence and follow their passions and interests when selecting their subjects for Years 11 and 12 and considering post-school pathways.</w:t>
      </w:r>
    </w:p>
    <w:p w14:paraId="39E65863" w14:textId="77777777" w:rsidR="009757A9" w:rsidRDefault="00083242">
      <w:pPr>
        <w:spacing w:before="167" w:line="240" w:lineRule="exact"/>
        <w:ind w:left="864" w:right="1368"/>
        <w:textAlignment w:val="baseline"/>
        <w:rPr>
          <w:rFonts w:ascii="Tahoma" w:eastAsia="Tahoma" w:hAnsi="Tahoma"/>
          <w:color w:val="404042"/>
          <w:spacing w:val="5"/>
          <w:sz w:val="18"/>
        </w:rPr>
      </w:pPr>
      <w:r>
        <w:rPr>
          <w:rFonts w:ascii="Tahoma" w:eastAsia="Tahoma" w:hAnsi="Tahoma"/>
          <w:color w:val="404042"/>
          <w:spacing w:val="5"/>
          <w:sz w:val="18"/>
        </w:rPr>
        <w:t>All students will be given the opportunity to participate in meaningful career education and work exploration activities. This will allow them to acquire the skills to be work-ready. It will broaden their understanding of the employment opportunities available to them. They will be provided with assistance to navigate options and make well-informed decisions.</w:t>
      </w:r>
    </w:p>
    <w:p w14:paraId="54D9997E" w14:textId="77777777" w:rsidR="009757A9" w:rsidRDefault="00083242">
      <w:pPr>
        <w:spacing w:before="174" w:line="240" w:lineRule="exact"/>
        <w:ind w:left="864" w:right="1440"/>
        <w:textAlignment w:val="baseline"/>
        <w:rPr>
          <w:rFonts w:ascii="Tahoma" w:eastAsia="Tahoma" w:hAnsi="Tahoma"/>
          <w:color w:val="404042"/>
          <w:sz w:val="18"/>
        </w:rPr>
      </w:pPr>
      <w:r>
        <w:rPr>
          <w:rFonts w:ascii="Tahoma" w:eastAsia="Tahoma" w:hAnsi="Tahoma"/>
          <w:color w:val="404042"/>
          <w:sz w:val="18"/>
        </w:rPr>
        <w:t>All school pathways will be delivered to the same high standard. While higher education will remain an aspiration for many young people, academic pathways will no longer enjoy more privileged access to school resources than apprenticeships, traineeships or other forms of vocational education and training.</w:t>
      </w:r>
    </w:p>
    <w:p w14:paraId="3AE25436" w14:textId="77777777" w:rsidR="009757A9" w:rsidRDefault="00083242">
      <w:pPr>
        <w:spacing w:before="1089" w:after="607" w:line="209" w:lineRule="exact"/>
        <w:ind w:left="10800"/>
        <w:textAlignment w:val="baseline"/>
        <w:rPr>
          <w:rFonts w:ascii="Arial" w:eastAsia="Arial" w:hAnsi="Arial"/>
          <w:b/>
          <w:color w:val="5556A1"/>
          <w:spacing w:val="35"/>
          <w:sz w:val="19"/>
        </w:rPr>
      </w:pPr>
      <w:r>
        <w:rPr>
          <w:rFonts w:ascii="Arial" w:eastAsia="Arial" w:hAnsi="Arial"/>
          <w:b/>
          <w:color w:val="5556A1"/>
          <w:spacing w:val="35"/>
          <w:sz w:val="19"/>
        </w:rPr>
        <w:t>13</w:t>
      </w:r>
    </w:p>
    <w:p w14:paraId="17C56281" w14:textId="77777777" w:rsidR="009757A9" w:rsidRDefault="00083242">
      <w:pPr>
        <w:textAlignment w:val="baseline"/>
      </w:pPr>
      <w:r>
        <w:rPr>
          <w:noProof/>
          <w:lang w:val="en-AU" w:eastAsia="en-AU"/>
        </w:rPr>
        <w:drawing>
          <wp:inline distT="0" distB="0" distL="0" distR="0" wp14:anchorId="3D48C107" wp14:editId="2B220B1A">
            <wp:extent cx="7562215" cy="462915"/>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32"/>
                    <a:stretch>
                      <a:fillRect/>
                    </a:stretch>
                  </pic:blipFill>
                  <pic:spPr>
                    <a:xfrm>
                      <a:off x="0" y="0"/>
                      <a:ext cx="7562215" cy="462915"/>
                    </a:xfrm>
                    <a:prstGeom prst="rect">
                      <a:avLst/>
                    </a:prstGeom>
                  </pic:spPr>
                </pic:pic>
              </a:graphicData>
            </a:graphic>
          </wp:inline>
        </w:drawing>
      </w:r>
    </w:p>
    <w:p w14:paraId="0A609BE6" w14:textId="77777777" w:rsidR="009757A9" w:rsidRDefault="009757A9">
      <w:pPr>
        <w:sectPr w:rsidR="009757A9">
          <w:pgSz w:w="11909" w:h="16838"/>
          <w:pgMar w:top="1080" w:right="0" w:bottom="0" w:left="0" w:header="720" w:footer="720" w:gutter="0"/>
          <w:cols w:space="720"/>
        </w:sectPr>
      </w:pPr>
    </w:p>
    <w:p w14:paraId="37498066" w14:textId="77777777" w:rsidR="009757A9" w:rsidRDefault="00083242">
      <w:pPr>
        <w:numPr>
          <w:ilvl w:val="0"/>
          <w:numId w:val="9"/>
        </w:numPr>
        <w:tabs>
          <w:tab w:val="clear" w:pos="216"/>
          <w:tab w:val="left" w:pos="1080"/>
        </w:tabs>
        <w:spacing w:before="19" w:line="221" w:lineRule="exact"/>
        <w:ind w:left="864"/>
        <w:textAlignment w:val="baseline"/>
        <w:rPr>
          <w:rFonts w:ascii="Verdana" w:eastAsia="Verdana" w:hAnsi="Verdana"/>
          <w:i/>
          <w:color w:val="007896"/>
          <w:spacing w:val="-10"/>
          <w:sz w:val="18"/>
        </w:rPr>
      </w:pPr>
      <w:r>
        <w:rPr>
          <w:rFonts w:ascii="Verdana" w:eastAsia="Verdana" w:hAnsi="Verdana"/>
          <w:i/>
          <w:color w:val="007896"/>
          <w:spacing w:val="-10"/>
          <w:sz w:val="18"/>
        </w:rPr>
        <w:lastRenderedPageBreak/>
        <w:t>All students will benefit from informed decision-making</w:t>
      </w:r>
    </w:p>
    <w:p w14:paraId="19CFAB97" w14:textId="77777777" w:rsidR="009757A9" w:rsidRDefault="00083242">
      <w:pPr>
        <w:spacing w:before="188"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Quality career guidance will be provided through a well-functioning system that extends beyond the school.</w:t>
      </w:r>
    </w:p>
    <w:p w14:paraId="4EF66DDC" w14:textId="77777777" w:rsidR="009757A9" w:rsidRDefault="00083242">
      <w:pPr>
        <w:spacing w:before="173" w:line="240" w:lineRule="exact"/>
        <w:ind w:left="864" w:right="1512"/>
        <w:textAlignment w:val="baseline"/>
        <w:rPr>
          <w:rFonts w:ascii="Tahoma" w:eastAsia="Tahoma" w:hAnsi="Tahoma"/>
          <w:color w:val="404042"/>
          <w:sz w:val="18"/>
        </w:rPr>
      </w:pPr>
      <w:r>
        <w:rPr>
          <w:rFonts w:ascii="Tahoma" w:eastAsia="Tahoma" w:hAnsi="Tahoma"/>
          <w:color w:val="404042"/>
          <w:sz w:val="18"/>
        </w:rPr>
        <w:t xml:space="preserve">A career guidance ecosystem will provide reliable and targeted information and resources for students, parents, careers advisers, educators and employers. It will draw together schools, community career hubs and real-time </w:t>
      </w:r>
      <w:r>
        <w:rPr>
          <w:rFonts w:ascii="Verdana" w:eastAsia="Verdana" w:hAnsi="Verdana"/>
          <w:color w:val="404042"/>
          <w:sz w:val="18"/>
        </w:rPr>
        <w:t>industry advice. Efforts will be coordinated and overseen by the National Careers Institute.</w:t>
      </w:r>
    </w:p>
    <w:p w14:paraId="5EE17EFD" w14:textId="77777777" w:rsidR="009757A9" w:rsidRDefault="00083242">
      <w:pPr>
        <w:spacing w:before="168" w:line="240" w:lineRule="exact"/>
        <w:ind w:left="864" w:right="1080"/>
        <w:textAlignment w:val="baseline"/>
        <w:rPr>
          <w:rFonts w:ascii="Tahoma" w:eastAsia="Tahoma" w:hAnsi="Tahoma"/>
          <w:color w:val="404042"/>
          <w:sz w:val="18"/>
        </w:rPr>
      </w:pPr>
      <w:r>
        <w:rPr>
          <w:rFonts w:ascii="Tahoma" w:eastAsia="Tahoma" w:hAnsi="Tahoma"/>
          <w:color w:val="404042"/>
          <w:sz w:val="18"/>
        </w:rPr>
        <w:t>Schools will either have teachers who specialise in career education or they will be able to draw upon support from a network of career guidance professionals.</w:t>
      </w:r>
    </w:p>
    <w:p w14:paraId="0BD1A999" w14:textId="77777777" w:rsidR="009757A9" w:rsidRDefault="00083242">
      <w:pPr>
        <w:spacing w:before="173" w:line="240" w:lineRule="exact"/>
        <w:ind w:left="864" w:right="1080"/>
        <w:textAlignment w:val="baseline"/>
        <w:rPr>
          <w:rFonts w:ascii="Tahoma" w:eastAsia="Tahoma" w:hAnsi="Tahoma"/>
          <w:color w:val="404042"/>
          <w:sz w:val="18"/>
        </w:rPr>
      </w:pPr>
      <w:r>
        <w:rPr>
          <w:rFonts w:ascii="Tahoma" w:eastAsia="Tahoma" w:hAnsi="Tahoma"/>
          <w:color w:val="404042"/>
          <w:sz w:val="18"/>
        </w:rPr>
        <w:t>Students and their parents will have access to earlier, more regular and intensive career advice. It will be informed by knowledge of the future labour market. It will be delivered both face to face and online.</w:t>
      </w:r>
    </w:p>
    <w:p w14:paraId="05640576" w14:textId="77777777" w:rsidR="009757A9" w:rsidRDefault="00083242">
      <w:pPr>
        <w:numPr>
          <w:ilvl w:val="0"/>
          <w:numId w:val="8"/>
        </w:numPr>
        <w:tabs>
          <w:tab w:val="clear" w:pos="216"/>
          <w:tab w:val="left" w:pos="1080"/>
        </w:tabs>
        <w:spacing w:before="199" w:line="210" w:lineRule="exact"/>
        <w:ind w:left="864"/>
        <w:textAlignment w:val="baseline"/>
        <w:rPr>
          <w:rFonts w:ascii="Arial" w:eastAsia="Arial" w:hAnsi="Arial"/>
          <w:i/>
          <w:color w:val="00708E"/>
          <w:sz w:val="18"/>
        </w:rPr>
      </w:pPr>
      <w:r>
        <w:rPr>
          <w:rFonts w:ascii="Arial" w:eastAsia="Arial" w:hAnsi="Arial"/>
          <w:i/>
          <w:color w:val="00708E"/>
          <w:sz w:val="18"/>
        </w:rPr>
        <w:t>All schools will have strong partnerships with industry</w:t>
      </w:r>
    </w:p>
    <w:p w14:paraId="69324027" w14:textId="77777777" w:rsidR="009757A9" w:rsidRDefault="00083242">
      <w:pPr>
        <w:spacing w:before="171" w:line="240" w:lineRule="exact"/>
        <w:ind w:left="864" w:right="1728"/>
        <w:textAlignment w:val="baseline"/>
        <w:rPr>
          <w:rFonts w:ascii="Tahoma" w:eastAsia="Tahoma" w:hAnsi="Tahoma"/>
          <w:color w:val="404042"/>
          <w:sz w:val="18"/>
        </w:rPr>
      </w:pPr>
      <w:r>
        <w:rPr>
          <w:rFonts w:ascii="Tahoma" w:eastAsia="Tahoma" w:hAnsi="Tahoma"/>
          <w:color w:val="404042"/>
          <w:sz w:val="18"/>
        </w:rPr>
        <w:t>Meaningful, productive and mutually agreed engagement between industry and schools will be central to the education of senior secondary students. Appropriate governance arrangements will be in place to facilitate school–industry partnerships. There will be a strong focus on collaboration with local employers.</w:t>
      </w:r>
    </w:p>
    <w:p w14:paraId="47D41287" w14:textId="77777777" w:rsidR="009757A9" w:rsidRDefault="00083242">
      <w:pPr>
        <w:spacing w:before="168"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Industry-led organisations will provide a focal point for engagement between industry and education, providing </w:t>
      </w:r>
      <w:r>
        <w:rPr>
          <w:rFonts w:ascii="Verdana" w:eastAsia="Verdana" w:hAnsi="Verdana"/>
          <w:color w:val="404042"/>
          <w:sz w:val="18"/>
        </w:rPr>
        <w:t xml:space="preserve">up-to-date advice on skills needs. They will collaborate in developing and adapting qualifications in a fast and flexible </w:t>
      </w:r>
      <w:r>
        <w:rPr>
          <w:rFonts w:ascii="Tahoma" w:eastAsia="Tahoma" w:hAnsi="Tahoma"/>
          <w:color w:val="404042"/>
          <w:sz w:val="18"/>
        </w:rPr>
        <w:t xml:space="preserve">manner. This will ensure the quality and relevance of training. A focus on responsiveness to future industry need will </w:t>
      </w:r>
      <w:r>
        <w:rPr>
          <w:rFonts w:ascii="Verdana" w:eastAsia="Verdana" w:hAnsi="Verdana"/>
          <w:color w:val="404042"/>
          <w:sz w:val="18"/>
        </w:rPr>
        <w:t>help ensure students graduate with relevant certifications and informed expectations.</w:t>
      </w:r>
    </w:p>
    <w:p w14:paraId="2DD79046" w14:textId="77777777" w:rsidR="009757A9" w:rsidRDefault="00083242">
      <w:pPr>
        <w:numPr>
          <w:ilvl w:val="0"/>
          <w:numId w:val="8"/>
        </w:numPr>
        <w:tabs>
          <w:tab w:val="clear" w:pos="216"/>
          <w:tab w:val="left" w:pos="1080"/>
        </w:tabs>
        <w:spacing w:before="204" w:line="210" w:lineRule="exact"/>
        <w:ind w:left="864"/>
        <w:textAlignment w:val="baseline"/>
        <w:rPr>
          <w:rFonts w:ascii="Arial" w:eastAsia="Arial" w:hAnsi="Arial"/>
          <w:i/>
          <w:color w:val="007896"/>
          <w:spacing w:val="1"/>
          <w:sz w:val="18"/>
        </w:rPr>
      </w:pPr>
      <w:r>
        <w:rPr>
          <w:rFonts w:ascii="Arial" w:eastAsia="Arial" w:hAnsi="Arial"/>
          <w:i/>
          <w:color w:val="007896"/>
          <w:spacing w:val="1"/>
          <w:sz w:val="18"/>
        </w:rPr>
        <w:t>All students will start to prepare their Education Passport</w:t>
      </w:r>
    </w:p>
    <w:p w14:paraId="41C68EFE" w14:textId="77777777" w:rsidR="009757A9" w:rsidRDefault="00083242">
      <w:pPr>
        <w:spacing w:before="167" w:line="240" w:lineRule="exact"/>
        <w:ind w:left="864" w:right="1512"/>
        <w:textAlignment w:val="baseline"/>
        <w:rPr>
          <w:rFonts w:ascii="Verdana" w:eastAsia="Verdana" w:hAnsi="Verdana"/>
          <w:color w:val="404042"/>
          <w:sz w:val="18"/>
        </w:rPr>
      </w:pPr>
      <w:r>
        <w:rPr>
          <w:rFonts w:ascii="Verdana" w:eastAsia="Verdana" w:hAnsi="Verdana"/>
          <w:color w:val="404042"/>
          <w:sz w:val="18"/>
        </w:rPr>
        <w:t xml:space="preserve">An Education Passport – aligned with the attributes set out in the Learner Profile – will assist individuals to communicate their qualifications, learnings and experience as they move between pathways and change career </w:t>
      </w:r>
      <w:r>
        <w:rPr>
          <w:rFonts w:ascii="Tahoma" w:eastAsia="Tahoma" w:hAnsi="Tahoma"/>
          <w:color w:val="404042"/>
          <w:sz w:val="18"/>
        </w:rPr>
        <w:t>directions throughout their working lives. Its preparation will begin at school.</w:t>
      </w:r>
    </w:p>
    <w:p w14:paraId="79687DA3" w14:textId="77777777" w:rsidR="009757A9" w:rsidRDefault="00083242">
      <w:pPr>
        <w:spacing w:before="168" w:line="240" w:lineRule="exact"/>
        <w:ind w:left="864" w:right="1152"/>
        <w:textAlignment w:val="baseline"/>
        <w:rPr>
          <w:rFonts w:ascii="Tahoma" w:eastAsia="Tahoma" w:hAnsi="Tahoma"/>
          <w:color w:val="404042"/>
          <w:sz w:val="18"/>
        </w:rPr>
      </w:pPr>
      <w:r>
        <w:rPr>
          <w:rFonts w:ascii="Tahoma" w:eastAsia="Tahoma" w:hAnsi="Tahoma"/>
          <w:color w:val="404042"/>
          <w:sz w:val="18"/>
        </w:rPr>
        <w:t>Students will be empowered. They will be fully engaged in the curation and demonstration of their skills, both within school and outside of it. They will be prepared to record their working lives, education and learnings.</w:t>
      </w:r>
    </w:p>
    <w:p w14:paraId="38A8CE7A" w14:textId="77777777" w:rsidR="009757A9" w:rsidRDefault="00083242">
      <w:pPr>
        <w:spacing w:before="173" w:line="240" w:lineRule="exact"/>
        <w:ind w:left="864" w:right="864"/>
        <w:textAlignment w:val="baseline"/>
        <w:rPr>
          <w:rFonts w:ascii="Verdana" w:eastAsia="Verdana" w:hAnsi="Verdana"/>
          <w:color w:val="404042"/>
          <w:sz w:val="18"/>
        </w:rPr>
      </w:pPr>
      <w:r>
        <w:rPr>
          <w:rFonts w:ascii="Verdana" w:eastAsia="Verdana" w:hAnsi="Verdana"/>
          <w:color w:val="404042"/>
          <w:sz w:val="18"/>
        </w:rPr>
        <w:t xml:space="preserve">All senior secondary students will be fully aware that Australia has an increasingly flexible structure for continued </w:t>
      </w:r>
      <w:r>
        <w:rPr>
          <w:rFonts w:ascii="Tahoma" w:eastAsia="Tahoma" w:hAnsi="Tahoma"/>
          <w:color w:val="404042"/>
          <w:sz w:val="18"/>
        </w:rPr>
        <w:t>education and training when they leave school. Young people will be prepared to move between higher education and vocational training providers. They will understand the value of work-based learning. All these learning experiences will be progressively added to their Education Passport.</w:t>
      </w:r>
    </w:p>
    <w:p w14:paraId="3F05E654" w14:textId="77777777" w:rsidR="009757A9" w:rsidRDefault="00083242">
      <w:pPr>
        <w:numPr>
          <w:ilvl w:val="0"/>
          <w:numId w:val="8"/>
        </w:numPr>
        <w:tabs>
          <w:tab w:val="clear" w:pos="216"/>
          <w:tab w:val="left" w:pos="1080"/>
        </w:tabs>
        <w:spacing w:before="199" w:line="210" w:lineRule="exact"/>
        <w:ind w:left="864"/>
        <w:textAlignment w:val="baseline"/>
        <w:rPr>
          <w:rFonts w:ascii="Arial" w:eastAsia="Arial" w:hAnsi="Arial"/>
          <w:i/>
          <w:color w:val="007896"/>
          <w:sz w:val="18"/>
        </w:rPr>
      </w:pPr>
      <w:r>
        <w:rPr>
          <w:rFonts w:ascii="Arial" w:eastAsia="Arial" w:hAnsi="Arial"/>
          <w:i/>
          <w:color w:val="007896"/>
          <w:sz w:val="18"/>
        </w:rPr>
        <w:t>All students will be provided with equal opportunities for success</w:t>
      </w:r>
    </w:p>
    <w:p w14:paraId="6061ED58" w14:textId="77777777" w:rsidR="009757A9" w:rsidRDefault="00083242">
      <w:pPr>
        <w:spacing w:before="192"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Education will remain the foundation of a ‘fair go’ Australia. Senior secondary students from disadvantaged</w:t>
      </w:r>
    </w:p>
    <w:p w14:paraId="27DB3817"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backgrounds will be supported to ensure that they can follow the same pathways available to others at school, opening greater access to employment and education when they leave.</w:t>
      </w:r>
    </w:p>
    <w:p w14:paraId="20038C25"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Genuine equality of opportunity will be achieved through responsive education that meets the needs of all students. There will be targeted interventions to support those at risk of disengagement, at all points in their learning. A culture of putting students at the centre will sit at the core of education delivery.</w:t>
      </w:r>
    </w:p>
    <w:p w14:paraId="43242D5A" w14:textId="77777777" w:rsidR="009757A9" w:rsidRDefault="00083242">
      <w:pPr>
        <w:spacing w:before="173" w:line="240" w:lineRule="exact"/>
        <w:ind w:left="864" w:right="936"/>
        <w:textAlignment w:val="baseline"/>
        <w:rPr>
          <w:rFonts w:ascii="Verdana" w:eastAsia="Verdana" w:hAnsi="Verdana"/>
          <w:color w:val="404042"/>
          <w:sz w:val="18"/>
        </w:rPr>
      </w:pPr>
      <w:r>
        <w:rPr>
          <w:rFonts w:ascii="Verdana" w:eastAsia="Verdana" w:hAnsi="Verdana"/>
          <w:color w:val="404042"/>
          <w:sz w:val="18"/>
        </w:rPr>
        <w:t xml:space="preserve">Accessible alternative education settings and innovative flexible learning approaches will be actively trialled, evaluated and scaled up to ensure that vulnerable and at-risk students can benefit from education settings and approaches that </w:t>
      </w:r>
      <w:r>
        <w:rPr>
          <w:rFonts w:ascii="Tahoma" w:eastAsia="Tahoma" w:hAnsi="Tahoma"/>
          <w:color w:val="404042"/>
          <w:sz w:val="18"/>
        </w:rPr>
        <w:t>are tailored to their individual interests and goals. Young people will be encouraged to stay in school until they have completed Year 12. Students who decide to leave school early will have a plan for accessing training, developing their work skills and continuing their education later.</w:t>
      </w:r>
    </w:p>
    <w:p w14:paraId="5DEC9B3A" w14:textId="77777777" w:rsidR="009757A9" w:rsidRDefault="00083242">
      <w:pPr>
        <w:tabs>
          <w:tab w:val="left" w:pos="1368"/>
        </w:tabs>
        <w:spacing w:before="2262" w:after="638"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14</w:t>
      </w:r>
      <w:r>
        <w:rPr>
          <w:rFonts w:ascii="Tahoma" w:eastAsia="Tahoma" w:hAnsi="Tahoma"/>
          <w:color w:val="404042"/>
          <w:spacing w:val="4"/>
          <w:sz w:val="14"/>
        </w:rPr>
        <w:tab/>
        <w:t>Looking to the future</w:t>
      </w:r>
    </w:p>
    <w:p w14:paraId="590BEF7D" w14:textId="77777777" w:rsidR="009757A9" w:rsidRDefault="00083242">
      <w:pPr>
        <w:textAlignment w:val="baseline"/>
      </w:pPr>
      <w:r>
        <w:rPr>
          <w:noProof/>
          <w:lang w:val="en-AU" w:eastAsia="en-AU"/>
        </w:rPr>
        <w:drawing>
          <wp:inline distT="0" distB="0" distL="0" distR="0" wp14:anchorId="5410AAF4" wp14:editId="1E7B298F">
            <wp:extent cx="7562215" cy="46291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33"/>
                    <a:stretch>
                      <a:fillRect/>
                    </a:stretch>
                  </pic:blipFill>
                  <pic:spPr>
                    <a:xfrm>
                      <a:off x="0" y="0"/>
                      <a:ext cx="7562215" cy="462915"/>
                    </a:xfrm>
                    <a:prstGeom prst="rect">
                      <a:avLst/>
                    </a:prstGeom>
                  </pic:spPr>
                </pic:pic>
              </a:graphicData>
            </a:graphic>
          </wp:inline>
        </w:drawing>
      </w:r>
    </w:p>
    <w:p w14:paraId="39EF6C12" w14:textId="77777777" w:rsidR="009757A9" w:rsidRDefault="009757A9">
      <w:pPr>
        <w:sectPr w:rsidR="009757A9">
          <w:pgSz w:w="11909" w:h="16838"/>
          <w:pgMar w:top="1080" w:right="0" w:bottom="0" w:left="0" w:header="720" w:footer="720" w:gutter="0"/>
          <w:cols w:space="720"/>
        </w:sectPr>
      </w:pPr>
    </w:p>
    <w:p w14:paraId="3111CA54" w14:textId="77777777" w:rsidR="009757A9" w:rsidRDefault="00083242">
      <w:pPr>
        <w:spacing w:before="11" w:line="212" w:lineRule="exact"/>
        <w:ind w:left="864"/>
        <w:textAlignment w:val="baseline"/>
        <w:rPr>
          <w:rFonts w:ascii="Arial" w:eastAsia="Arial" w:hAnsi="Arial"/>
          <w:i/>
          <w:color w:val="007896"/>
          <w:sz w:val="18"/>
        </w:rPr>
      </w:pPr>
      <w:r>
        <w:rPr>
          <w:rFonts w:ascii="Arial" w:eastAsia="Arial" w:hAnsi="Arial"/>
          <w:i/>
          <w:color w:val="007896"/>
          <w:sz w:val="18"/>
        </w:rPr>
        <w:lastRenderedPageBreak/>
        <w:t>8) Government policies will be informed by evidence</w:t>
      </w:r>
    </w:p>
    <w:p w14:paraId="128BBF8D" w14:textId="77777777" w:rsidR="009757A9" w:rsidRDefault="00083242">
      <w:pPr>
        <w:spacing w:before="164" w:line="240" w:lineRule="exact"/>
        <w:ind w:left="864" w:right="1440"/>
        <w:textAlignment w:val="baseline"/>
        <w:rPr>
          <w:rFonts w:ascii="Tahoma" w:eastAsia="Tahoma" w:hAnsi="Tahoma"/>
          <w:color w:val="404042"/>
          <w:spacing w:val="6"/>
          <w:sz w:val="18"/>
        </w:rPr>
      </w:pPr>
      <w:r>
        <w:rPr>
          <w:rFonts w:ascii="Tahoma" w:eastAsia="Tahoma" w:hAnsi="Tahoma"/>
          <w:color w:val="404042"/>
          <w:spacing w:val="6"/>
          <w:sz w:val="18"/>
        </w:rPr>
        <w:t>The rhetoric of evidence-based policy will become reality. Nationally consistent data collection arrangements will provide a coherent and seamless picture of how people move through and between education and employment pathways. Behavioural psychology will help governments to understand how, why and when young people make decisions.</w:t>
      </w:r>
    </w:p>
    <w:p w14:paraId="16403F32" w14:textId="77777777" w:rsidR="009757A9" w:rsidRDefault="00083242">
      <w:pPr>
        <w:spacing w:before="174" w:line="240" w:lineRule="exact"/>
        <w:ind w:left="864" w:right="1080"/>
        <w:textAlignment w:val="baseline"/>
        <w:rPr>
          <w:rFonts w:ascii="Tahoma" w:eastAsia="Tahoma" w:hAnsi="Tahoma"/>
          <w:color w:val="404042"/>
          <w:spacing w:val="5"/>
          <w:sz w:val="18"/>
        </w:rPr>
      </w:pPr>
      <w:r>
        <w:rPr>
          <w:rFonts w:ascii="Tahoma" w:eastAsia="Tahoma" w:hAnsi="Tahoma"/>
          <w:color w:val="404042"/>
          <w:spacing w:val="5"/>
          <w:sz w:val="18"/>
        </w:rPr>
        <w:t>Big data integration and analysis – across schooling, tertiary education and training, and the labour market – will provide insights into the exercise of individual choice over time. It will help policymakers to understand why students begin education and training courses and why, too often, they decide to drop out. It will help ensure that spending on education gets the biggest bang for its buck. It will help us to prepare senior secondary students for their futures by getting the public policy settings right.</w:t>
      </w:r>
    </w:p>
    <w:p w14:paraId="39C512C4"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 Unique Student Identifier will play a key role in facilitating these developments. While protecting individual privacy, it will provide a much greater understanding of the pathways taken by young people as they transition from school, the reasons they choose them, and the extent to which they meet the changing needs of the Australian economy. Governments will increasingly understand the decisions that young people make and know better how to nudge them in the right direction.</w:t>
      </w:r>
    </w:p>
    <w:p w14:paraId="586DCC7B" w14:textId="77777777" w:rsidR="009757A9" w:rsidRDefault="00083242">
      <w:pPr>
        <w:spacing w:before="204" w:line="212" w:lineRule="exact"/>
        <w:ind w:left="864"/>
        <w:textAlignment w:val="baseline"/>
        <w:rPr>
          <w:rFonts w:ascii="Arial" w:eastAsia="Arial" w:hAnsi="Arial"/>
          <w:i/>
          <w:color w:val="007896"/>
          <w:spacing w:val="-2"/>
          <w:sz w:val="18"/>
        </w:rPr>
      </w:pPr>
      <w:r>
        <w:rPr>
          <w:rFonts w:ascii="Arial" w:eastAsia="Arial" w:hAnsi="Arial"/>
          <w:i/>
          <w:color w:val="007896"/>
          <w:spacing w:val="-2"/>
          <w:sz w:val="18"/>
        </w:rPr>
        <w:t>COAG Education Council leadership</w:t>
      </w:r>
    </w:p>
    <w:p w14:paraId="074A7E60" w14:textId="77777777" w:rsidR="009757A9" w:rsidRDefault="00083242">
      <w:pPr>
        <w:spacing w:before="164"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Together, these eight outcomes represent a new approach to how senior secondary students are prepared for life. Figure 1 illustrates what the student pathways planning journey might look like in the future, covering the whole life cycle from primary and early secondary schooling through to early and later career stages. It incorporates improvements that are already underway and that, pursued with greater vigour and coherence, can become the basis for better lifetime outcomes for students.</w:t>
      </w:r>
    </w:p>
    <w:p w14:paraId="4FDEEDBC" w14:textId="77777777" w:rsidR="009757A9" w:rsidRDefault="00083242">
      <w:pPr>
        <w:spacing w:before="173" w:after="112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But change needs leadership. Governments need not just to authorise new approaches but to actively encourage them. COAG Education Council can provide the national impetus to drive the changes, implemented in accordance with the particular circumstances of each state and territory but delivered collaboratively by school authorities committed to the same goals.</w:t>
      </w:r>
    </w:p>
    <w:p w14:paraId="36531C5D" w14:textId="77777777" w:rsidR="009757A9" w:rsidRDefault="00083242">
      <w:pPr>
        <w:spacing w:after="860"/>
        <w:ind w:left="5323" w:right="1253"/>
        <w:textAlignment w:val="baseline"/>
      </w:pPr>
      <w:r>
        <w:rPr>
          <w:noProof/>
          <w:lang w:val="en-AU" w:eastAsia="en-AU"/>
        </w:rPr>
        <w:drawing>
          <wp:inline distT="0" distB="0" distL="0" distR="0" wp14:anchorId="75F62165" wp14:editId="485C8CD3">
            <wp:extent cx="3386455" cy="3273425"/>
            <wp:effectExtent l="0" t="0" r="0" b="0"/>
            <wp:docPr id="2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Picture">
                      <a:extLst>
                        <a:ext uri="{C183D7F6-B498-43B3-948B-1728B52AA6E4}">
                          <adec:decorative xmlns:adec="http://schemas.microsoft.com/office/drawing/2017/decorative" val="1"/>
                        </a:ext>
                      </a:extLst>
                    </pic:cNvPr>
                    <pic:cNvPicPr preferRelativeResize="0"/>
                  </pic:nvPicPr>
                  <pic:blipFill>
                    <a:blip r:embed="rId34"/>
                    <a:stretch>
                      <a:fillRect/>
                    </a:stretch>
                  </pic:blipFill>
                  <pic:spPr>
                    <a:xfrm>
                      <a:off x="0" y="0"/>
                      <a:ext cx="3386455" cy="3273425"/>
                    </a:xfrm>
                    <a:prstGeom prst="rect">
                      <a:avLst/>
                    </a:prstGeom>
                  </pic:spPr>
                </pic:pic>
              </a:graphicData>
            </a:graphic>
          </wp:inline>
        </w:drawing>
      </w:r>
    </w:p>
    <w:p w14:paraId="2D73F82C" w14:textId="77777777" w:rsidR="009757A9" w:rsidRDefault="00083242">
      <w:pPr>
        <w:tabs>
          <w:tab w:val="left" w:pos="10872"/>
        </w:tabs>
        <w:spacing w:after="639" w:line="205" w:lineRule="exact"/>
        <w:ind w:left="7992"/>
        <w:textAlignment w:val="baseline"/>
        <w:rPr>
          <w:rFonts w:ascii="Tahoma" w:eastAsia="Tahoma" w:hAnsi="Tahoma"/>
          <w:color w:val="404042"/>
          <w:sz w:val="14"/>
        </w:rPr>
      </w:pPr>
      <w:r>
        <w:rPr>
          <w:rFonts w:ascii="Tahoma" w:eastAsia="Tahoma" w:hAnsi="Tahoma"/>
          <w:color w:val="404042"/>
          <w:sz w:val="14"/>
        </w:rPr>
        <w:t>Chapter 2: Exercising informed choice</w:t>
      </w:r>
      <w:r>
        <w:rPr>
          <w:rFonts w:ascii="Arial" w:eastAsia="Arial" w:hAnsi="Arial"/>
          <w:b/>
          <w:color w:val="5556A1"/>
          <w:sz w:val="19"/>
        </w:rPr>
        <w:tab/>
        <w:t>15</w:t>
      </w:r>
    </w:p>
    <w:p w14:paraId="55048866" w14:textId="77777777" w:rsidR="009757A9" w:rsidRDefault="00083242">
      <w:pPr>
        <w:textAlignment w:val="baseline"/>
      </w:pPr>
      <w:r>
        <w:rPr>
          <w:noProof/>
          <w:lang w:val="en-AU" w:eastAsia="en-AU"/>
        </w:rPr>
        <w:drawing>
          <wp:inline distT="0" distB="0" distL="0" distR="0" wp14:anchorId="1615FA3F" wp14:editId="642E0C8A">
            <wp:extent cx="7562215" cy="46291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35"/>
                    <a:stretch>
                      <a:fillRect/>
                    </a:stretch>
                  </pic:blipFill>
                  <pic:spPr>
                    <a:xfrm>
                      <a:off x="0" y="0"/>
                      <a:ext cx="7562215" cy="462915"/>
                    </a:xfrm>
                    <a:prstGeom prst="rect">
                      <a:avLst/>
                    </a:prstGeom>
                  </pic:spPr>
                </pic:pic>
              </a:graphicData>
            </a:graphic>
          </wp:inline>
        </w:drawing>
      </w:r>
    </w:p>
    <w:p w14:paraId="29F197C8" w14:textId="77777777" w:rsidR="009757A9" w:rsidRDefault="009757A9">
      <w:pPr>
        <w:sectPr w:rsidR="009757A9">
          <w:pgSz w:w="11909" w:h="16838"/>
          <w:pgMar w:top="1100" w:right="0" w:bottom="0" w:left="0" w:header="720" w:footer="720" w:gutter="0"/>
          <w:cols w:space="720"/>
        </w:sectPr>
      </w:pPr>
    </w:p>
    <w:p w14:paraId="3458AE9F" w14:textId="77777777" w:rsidR="009757A9" w:rsidRDefault="00083242">
      <w:pPr>
        <w:spacing w:before="21" w:after="502" w:line="225" w:lineRule="exact"/>
        <w:ind w:left="864"/>
        <w:textAlignment w:val="baseline"/>
        <w:rPr>
          <w:rFonts w:ascii="Arial" w:eastAsia="Arial" w:hAnsi="Arial"/>
          <w:b/>
          <w:color w:val="404042"/>
          <w:spacing w:val="4"/>
          <w:sz w:val="19"/>
        </w:rPr>
      </w:pPr>
      <w:r>
        <w:rPr>
          <w:rFonts w:ascii="Arial" w:eastAsia="Arial" w:hAnsi="Arial"/>
          <w:b/>
          <w:color w:val="404042"/>
          <w:spacing w:val="4"/>
          <w:sz w:val="19"/>
        </w:rPr>
        <w:lastRenderedPageBreak/>
        <w:t xml:space="preserve">Figure 1: </w:t>
      </w:r>
      <w:r>
        <w:rPr>
          <w:rFonts w:ascii="Tahoma" w:eastAsia="Tahoma" w:hAnsi="Tahoma"/>
          <w:color w:val="404042"/>
          <w:spacing w:val="4"/>
          <w:sz w:val="18"/>
        </w:rPr>
        <w:t>What the future student pathways journey would look like across a life cycle</w:t>
      </w:r>
    </w:p>
    <w:p w14:paraId="492FD0DE" w14:textId="77777777" w:rsidR="009757A9" w:rsidRDefault="00083242">
      <w:pPr>
        <w:spacing w:after="1282"/>
        <w:ind w:left="2290" w:right="2275"/>
        <w:textAlignment w:val="baseline"/>
      </w:pPr>
      <w:r>
        <w:rPr>
          <w:noProof/>
          <w:lang w:val="en-AU" w:eastAsia="en-AU"/>
        </w:rPr>
        <w:drawing>
          <wp:inline distT="0" distB="0" distL="0" distR="0" wp14:anchorId="55A3F92D" wp14:editId="5434CB07">
            <wp:extent cx="4663440" cy="7713980"/>
            <wp:effectExtent l="0" t="0" r="0" b="0"/>
            <wp:docPr id="24" name="Picture" descr="What the future student pathways journey would look like across a lifecycle.  Graphic in three sections describing what pathways may look like across schooling. &#10;First section. One heading: Primary / Early Secondary. One sub-heading: Pathway exploration. One dot point: Exposure to carers in a variety of roles and industries. &#10;&#10;Second section. Heading one: Years 9 and 10. Sub heading Pathways planning. Dot points: Formal pathway planning commences; consideration of advice on subject selections; individual advice on careers and potential pathways; work exploration activities; transition support; commence discussions around the development of the attributes to be included in the Learner Profile, and how they can be developed both within and outside of school. &#10;Heading two: Years 11 and 12. Subheading: Pathway planning. Dot points: Finalisation of subject selection (including VET); individual advice on post-school options; ongoing pathways planning and discussions about which attributes on the Learner Profile need to be strengthened; transition support; senior secondary certificate of education to include a Learner profile; Learner profile and employment information recorded on an Education Passport. &#10;&#10;Third section. Heading one: Post-school transition support (for example Year 13). Sub heading: Pathway planning, progression and transition. Dot point: Transition support. Heading two: 19-25 year olds. Subheading Pathway progression and transition. Dot points: ongoing access to career information and advice; continued learning through formal education or training (including Micro-Credentials) or on the job learning; post-school qualifications progressively added on an Education Passport. Heading three: Later Career Stages. Sub heading: Further planning, progression and transition. Dot points: ongoing access to career information and advice; continued learning through formal education and training (including Micro-Credentials) or on the job training; work experience and any additional qualifications recorded on Education Passport. &#10;"/>
            <wp:cNvGraphicFramePr/>
            <a:graphic xmlns:a="http://schemas.openxmlformats.org/drawingml/2006/main">
              <a:graphicData uri="http://schemas.openxmlformats.org/drawingml/2006/picture">
                <pic:pic xmlns:pic="http://schemas.openxmlformats.org/drawingml/2006/picture">
                  <pic:nvPicPr>
                    <pic:cNvPr id="24" name="Picture" descr="What the future student pathways journey would look like across a lifecycle.  Graphic in three sections describing what pathways may look like across schooling. &#10;First section. One heading: Primary / Early Secondary. One sub-heading: Pathway exploration. One dot point: Exposure to carers in a variety of roles and industries. &#10;&#10;Second section. Heading one: Years 9 and 10. Sub heading Pathways planning. Dot points: Formal pathway planning commences; consideration of advice on subject selections; individual advice on careers and potential pathways; work exploration activities; transition support; commence discussions around the development of the attributes to be included in the Learner Profile, and how they can be developed both within and outside of school. &#10;Heading two: Years 11 and 12. Subheading: Pathway planning. Dot points: Finalisation of subject selection (including VET); individual advice on post-school options; ongoing pathways planning and discussions about which attributes on the Learner Profile need to be strengthened; transition support; senior secondary certificate of education to include a Learner profile; Learner profile and employment information recorded on an Education Passport. &#10;&#10;Third section. Heading one: Post-school transition support (for example Year 13). Sub heading: Pathway planning, progression and transition. Dot point: Transition support. Heading two: 19-25 year olds. Subheading Pathway progression and transition. Dot points: ongoing access to career information and advice; continued learning through formal education or training (including Micro-Credentials) or on the job learning; post-school qualifications progressively added on an Education Passport. Heading three: Later Career Stages. Sub heading: Further planning, progression and transition. Dot points: ongoing access to career information and advice; continued learning through formal education and training (including Micro-Credentials) or on the job training; work experience and any additional qualifications recorded on Education Passport. &#10;"/>
                    <pic:cNvPicPr preferRelativeResize="0"/>
                  </pic:nvPicPr>
                  <pic:blipFill>
                    <a:blip r:embed="rId36"/>
                    <a:stretch>
                      <a:fillRect/>
                    </a:stretch>
                  </pic:blipFill>
                  <pic:spPr>
                    <a:xfrm>
                      <a:off x="0" y="0"/>
                      <a:ext cx="4663440" cy="7713980"/>
                    </a:xfrm>
                    <a:prstGeom prst="rect">
                      <a:avLst/>
                    </a:prstGeom>
                  </pic:spPr>
                </pic:pic>
              </a:graphicData>
            </a:graphic>
          </wp:inline>
        </w:drawing>
      </w:r>
    </w:p>
    <w:p w14:paraId="4A6CBCF3" w14:textId="77777777" w:rsidR="009757A9" w:rsidRDefault="00083242">
      <w:pPr>
        <w:tabs>
          <w:tab w:val="left" w:pos="1368"/>
        </w:tabs>
        <w:spacing w:after="628" w:line="207" w:lineRule="exact"/>
        <w:ind w:left="864"/>
        <w:textAlignment w:val="baseline"/>
        <w:rPr>
          <w:rFonts w:ascii="Arial" w:eastAsia="Arial" w:hAnsi="Arial"/>
          <w:b/>
          <w:color w:val="5556A1"/>
          <w:spacing w:val="4"/>
          <w:sz w:val="19"/>
        </w:rPr>
      </w:pPr>
      <w:r>
        <w:rPr>
          <w:rFonts w:ascii="Arial" w:eastAsia="Arial" w:hAnsi="Arial"/>
          <w:b/>
          <w:color w:val="5556A1"/>
          <w:spacing w:val="4"/>
          <w:sz w:val="19"/>
        </w:rPr>
        <w:t>16</w:t>
      </w:r>
      <w:r>
        <w:rPr>
          <w:rFonts w:ascii="Tahoma" w:eastAsia="Tahoma" w:hAnsi="Tahoma"/>
          <w:color w:val="404042"/>
          <w:spacing w:val="4"/>
          <w:sz w:val="14"/>
        </w:rPr>
        <w:tab/>
        <w:t>Looking to the future</w:t>
      </w:r>
    </w:p>
    <w:p w14:paraId="48998A1F" w14:textId="77777777" w:rsidR="009757A9" w:rsidRDefault="00083242">
      <w:pPr>
        <w:textAlignment w:val="baseline"/>
      </w:pPr>
      <w:r>
        <w:rPr>
          <w:noProof/>
          <w:lang w:val="en-AU" w:eastAsia="en-AU"/>
        </w:rPr>
        <w:drawing>
          <wp:inline distT="0" distB="0" distL="0" distR="0" wp14:anchorId="6E6F6F6F" wp14:editId="4412E0D9">
            <wp:extent cx="7562215" cy="46291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5"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p w14:paraId="4554AAEB" w14:textId="77777777" w:rsidR="009757A9" w:rsidRDefault="009757A9">
      <w:pPr>
        <w:sectPr w:rsidR="009757A9">
          <w:pgSz w:w="11909" w:h="16838"/>
          <w:pgMar w:top="1080" w:right="0" w:bottom="0" w:left="0" w:header="720" w:footer="720" w:gutter="0"/>
          <w:cols w:space="720"/>
        </w:sectPr>
      </w:pPr>
    </w:p>
    <w:p w14:paraId="5C2DC32D" w14:textId="77777777" w:rsidR="009757A9" w:rsidRDefault="00083242" w:rsidP="009E47D4">
      <w:pPr>
        <w:pStyle w:val="Heading1"/>
        <w:rPr>
          <w:rFonts w:eastAsia="Arial"/>
        </w:rPr>
      </w:pPr>
      <w:r>
        <w:rPr>
          <w:rFonts w:eastAsia="Arial"/>
        </w:rPr>
        <w:lastRenderedPageBreak/>
        <w:t>FINDINGS</w:t>
      </w:r>
    </w:p>
    <w:p w14:paraId="62A56BF7" w14:textId="77777777" w:rsidR="009757A9" w:rsidRDefault="00083242">
      <w:pPr>
        <w:spacing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As a review panel, we met with experts from around the country on the challenges facing senior secondary education. We listened to how those challenges might be overcome. We had discussions with ministers, advisers and senior officials in every jurisdiction. Most importantly, we participated in structured discussions with groups of school students and their teachers and parents. We considered over 200 submissions.</w:t>
      </w:r>
    </w:p>
    <w:p w14:paraId="7F2BBBAB" w14:textId="77777777" w:rsidR="009757A9" w:rsidRDefault="00083242">
      <w:pPr>
        <w:spacing w:line="462" w:lineRule="exact"/>
        <w:ind w:left="864"/>
        <w:textAlignment w:val="baseline"/>
        <w:rPr>
          <w:rFonts w:ascii="Tahoma" w:eastAsia="Tahoma" w:hAnsi="Tahoma"/>
          <w:color w:val="404042"/>
          <w:sz w:val="18"/>
        </w:rPr>
      </w:pPr>
      <w:r>
        <w:rPr>
          <w:rFonts w:ascii="Tahoma" w:eastAsia="Tahoma" w:hAnsi="Tahoma"/>
          <w:color w:val="404042"/>
          <w:sz w:val="18"/>
        </w:rPr>
        <w:t xml:space="preserve">Collectively, this is what we heard: </w:t>
      </w:r>
      <w:r>
        <w:rPr>
          <w:rFonts w:ascii="Tahoma" w:eastAsia="Tahoma" w:hAnsi="Tahoma"/>
          <w:color w:val="404042"/>
          <w:sz w:val="18"/>
        </w:rPr>
        <w:br/>
      </w:r>
      <w:r>
        <w:rPr>
          <w:rFonts w:ascii="Arial" w:eastAsia="Arial" w:hAnsi="Arial"/>
          <w:b/>
          <w:color w:val="000000"/>
          <w:sz w:val="21"/>
        </w:rPr>
        <w:t>Essential skills</w:t>
      </w:r>
    </w:p>
    <w:p w14:paraId="4BCB8043" w14:textId="77777777" w:rsidR="009757A9" w:rsidRDefault="00083242">
      <w:pPr>
        <w:spacing w:before="161" w:line="240" w:lineRule="exact"/>
        <w:ind w:left="1152" w:right="1728" w:hanging="288"/>
        <w:textAlignment w:val="baseline"/>
        <w:rPr>
          <w:rFonts w:ascii="Arial" w:eastAsia="Arial" w:hAnsi="Arial"/>
          <w:b/>
          <w:color w:val="404042"/>
          <w:sz w:val="20"/>
        </w:rPr>
      </w:pPr>
      <w:r>
        <w:rPr>
          <w:rFonts w:ascii="Arial" w:eastAsia="Arial" w:hAnsi="Arial"/>
          <w:b/>
          <w:color w:val="404042"/>
          <w:sz w:val="20"/>
        </w:rPr>
        <w:t xml:space="preserve">1.1 </w:t>
      </w:r>
      <w:r>
        <w:rPr>
          <w:rFonts w:ascii="Tahoma" w:eastAsia="Tahoma" w:hAnsi="Tahoma"/>
          <w:color w:val="404042"/>
          <w:sz w:val="18"/>
        </w:rPr>
        <w:t>All young Australians should be given equitable access and opportunity to become confident and creative individuals, successful lifelong learners, and active and informed members of the community.</w:t>
      </w:r>
    </w:p>
    <w:p w14:paraId="59046EF8" w14:textId="77777777" w:rsidR="009757A9" w:rsidRDefault="00083242">
      <w:pPr>
        <w:spacing w:before="168" w:line="240" w:lineRule="exact"/>
        <w:ind w:left="1152" w:right="1008" w:hanging="288"/>
        <w:textAlignment w:val="baseline"/>
        <w:rPr>
          <w:rFonts w:ascii="Arial" w:eastAsia="Arial" w:hAnsi="Arial"/>
          <w:b/>
          <w:color w:val="404042"/>
          <w:sz w:val="20"/>
        </w:rPr>
      </w:pPr>
      <w:r>
        <w:rPr>
          <w:rFonts w:ascii="Arial" w:eastAsia="Arial" w:hAnsi="Arial"/>
          <w:b/>
          <w:color w:val="404042"/>
          <w:sz w:val="20"/>
        </w:rPr>
        <w:t xml:space="preserve">1.2 </w:t>
      </w:r>
      <w:r>
        <w:rPr>
          <w:rFonts w:ascii="Tahoma" w:eastAsia="Tahoma" w:hAnsi="Tahoma"/>
          <w:color w:val="404042"/>
          <w:sz w:val="18"/>
        </w:rPr>
        <w:t>Literacy and numeracy remain essential competencies: all students should leave school with sufficient proficiency in English and mathematics to allow them to fully participate in the labour market and the community.</w:t>
      </w:r>
    </w:p>
    <w:p w14:paraId="1A21F7C3" w14:textId="77777777" w:rsidR="009757A9" w:rsidRDefault="00083242">
      <w:pPr>
        <w:spacing w:before="200" w:line="217" w:lineRule="exact"/>
        <w:ind w:left="864"/>
        <w:textAlignment w:val="baseline"/>
        <w:rPr>
          <w:rFonts w:ascii="Arial" w:eastAsia="Arial" w:hAnsi="Arial"/>
          <w:b/>
          <w:color w:val="404042"/>
          <w:spacing w:val="5"/>
          <w:sz w:val="20"/>
        </w:rPr>
      </w:pPr>
      <w:r>
        <w:rPr>
          <w:rFonts w:ascii="Arial" w:eastAsia="Arial" w:hAnsi="Arial"/>
          <w:b/>
          <w:color w:val="404042"/>
          <w:spacing w:val="5"/>
          <w:sz w:val="20"/>
        </w:rPr>
        <w:t xml:space="preserve">1.3 </w:t>
      </w:r>
      <w:r>
        <w:rPr>
          <w:rFonts w:ascii="Tahoma" w:eastAsia="Tahoma" w:hAnsi="Tahoma"/>
          <w:color w:val="404042"/>
          <w:spacing w:val="5"/>
          <w:sz w:val="18"/>
        </w:rPr>
        <w:t>Digital literacy should be considered alongside literacy and numeracy as a new essential competency. Digital</w:t>
      </w:r>
    </w:p>
    <w:p w14:paraId="242ABB40" w14:textId="77777777" w:rsidR="009757A9" w:rsidRDefault="00083242">
      <w:pPr>
        <w:spacing w:line="238" w:lineRule="exact"/>
        <w:ind w:left="1152" w:right="1152"/>
        <w:textAlignment w:val="baseline"/>
        <w:rPr>
          <w:rFonts w:ascii="Tahoma" w:eastAsia="Tahoma" w:hAnsi="Tahoma"/>
          <w:color w:val="404042"/>
          <w:sz w:val="18"/>
        </w:rPr>
      </w:pPr>
      <w:r>
        <w:rPr>
          <w:rFonts w:ascii="Tahoma" w:eastAsia="Tahoma" w:hAnsi="Tahoma"/>
          <w:color w:val="404042"/>
          <w:sz w:val="18"/>
        </w:rPr>
        <w:t>literacy includes not just an ability to use social media, but a capacity to use hardware and software effectively in the workplace, an awareness of cybersecurity issues, and the ability to use and evaluate digital information.</w:t>
      </w:r>
    </w:p>
    <w:p w14:paraId="165E3DB3" w14:textId="77777777" w:rsidR="009757A9" w:rsidRDefault="00083242">
      <w:pPr>
        <w:spacing w:before="165" w:line="240" w:lineRule="exact"/>
        <w:ind w:left="1152" w:right="864" w:hanging="288"/>
        <w:textAlignment w:val="baseline"/>
        <w:rPr>
          <w:rFonts w:ascii="Arial" w:eastAsia="Arial" w:hAnsi="Arial"/>
          <w:b/>
          <w:color w:val="404042"/>
          <w:spacing w:val="6"/>
          <w:sz w:val="20"/>
        </w:rPr>
      </w:pPr>
      <w:r>
        <w:rPr>
          <w:rFonts w:ascii="Arial" w:eastAsia="Arial" w:hAnsi="Arial"/>
          <w:b/>
          <w:color w:val="404042"/>
          <w:spacing w:val="6"/>
          <w:sz w:val="20"/>
        </w:rPr>
        <w:t xml:space="preserve">1.4 </w:t>
      </w:r>
      <w:r>
        <w:rPr>
          <w:rFonts w:ascii="Tahoma" w:eastAsia="Tahoma" w:hAnsi="Tahoma"/>
          <w:color w:val="404042"/>
          <w:spacing w:val="6"/>
          <w:sz w:val="18"/>
        </w:rPr>
        <w:t>Young people will need a broad base of skills, values and knowledge to become successful lifelong learners. Students also need to leave school with the essential life attributes to become productive members of the community. These include employability skills, creativity and entrepreneurial capabilities, financial literacy, interpersonal skills and civic understanding. Our senior secondary schooling system must continue to adapt to fulfil this modern role.</w:t>
      </w:r>
    </w:p>
    <w:p w14:paraId="3871BF63" w14:textId="77777777" w:rsidR="009757A9" w:rsidRDefault="00083242">
      <w:pPr>
        <w:spacing w:before="176" w:line="240" w:lineRule="exact"/>
        <w:ind w:left="1152" w:right="864" w:hanging="288"/>
        <w:textAlignment w:val="baseline"/>
        <w:rPr>
          <w:rFonts w:ascii="Arial" w:eastAsia="Arial" w:hAnsi="Arial"/>
          <w:b/>
          <w:color w:val="404042"/>
          <w:sz w:val="20"/>
        </w:rPr>
      </w:pPr>
      <w:r>
        <w:rPr>
          <w:rFonts w:ascii="Arial" w:eastAsia="Arial" w:hAnsi="Arial"/>
          <w:b/>
          <w:color w:val="404042"/>
          <w:sz w:val="20"/>
        </w:rPr>
        <w:t xml:space="preserve">1.5 </w:t>
      </w:r>
      <w:r>
        <w:rPr>
          <w:rFonts w:ascii="Tahoma" w:eastAsia="Tahoma" w:hAnsi="Tahoma"/>
          <w:color w:val="404042"/>
          <w:sz w:val="18"/>
        </w:rPr>
        <w:t>It is likely that, for the foreseeable future, many universities will continue to use the ATAR as one mechanism to rank students for entry. It will therefore continue to be a focus of senior secondary students who wish to pursue higher education. But it cannot continue to dominate the educational experience of senior secondary students.</w:t>
      </w:r>
    </w:p>
    <w:p w14:paraId="7EC81E1D" w14:textId="77777777" w:rsidR="009757A9" w:rsidRDefault="00083242">
      <w:pPr>
        <w:spacing w:before="168" w:line="240" w:lineRule="exact"/>
        <w:ind w:left="1152" w:right="864" w:hanging="288"/>
        <w:textAlignment w:val="baseline"/>
        <w:rPr>
          <w:rFonts w:ascii="Arial" w:eastAsia="Arial" w:hAnsi="Arial"/>
          <w:b/>
          <w:color w:val="404042"/>
          <w:sz w:val="20"/>
        </w:rPr>
      </w:pPr>
      <w:r>
        <w:rPr>
          <w:rFonts w:ascii="Arial" w:eastAsia="Arial" w:hAnsi="Arial"/>
          <w:b/>
          <w:color w:val="404042"/>
          <w:sz w:val="20"/>
        </w:rPr>
        <w:t xml:space="preserve">1.6 </w:t>
      </w:r>
      <w:r>
        <w:rPr>
          <w:rFonts w:ascii="Tahoma" w:eastAsia="Tahoma" w:hAnsi="Tahoma"/>
          <w:color w:val="404042"/>
          <w:sz w:val="18"/>
        </w:rPr>
        <w:t>While some level of stress is important in preparing students for the realities of life and supporting them to develop motivation, resilience and time management skills, the design of the senior secondary school system, and its focus on the ATAR, should not place unnecessary mental pressure on young people.</w:t>
      </w:r>
    </w:p>
    <w:p w14:paraId="5E3846FA" w14:textId="77777777" w:rsidR="009757A9" w:rsidRDefault="00083242">
      <w:pPr>
        <w:spacing w:before="199" w:line="217" w:lineRule="exact"/>
        <w:ind w:left="864"/>
        <w:textAlignment w:val="baseline"/>
        <w:rPr>
          <w:rFonts w:ascii="Arial" w:eastAsia="Arial" w:hAnsi="Arial"/>
          <w:b/>
          <w:color w:val="404042"/>
          <w:spacing w:val="5"/>
          <w:sz w:val="20"/>
        </w:rPr>
      </w:pPr>
      <w:r>
        <w:rPr>
          <w:rFonts w:ascii="Arial" w:eastAsia="Arial" w:hAnsi="Arial"/>
          <w:b/>
          <w:color w:val="404042"/>
          <w:spacing w:val="5"/>
          <w:sz w:val="20"/>
        </w:rPr>
        <w:t xml:space="preserve">1.7 </w:t>
      </w:r>
      <w:r>
        <w:rPr>
          <w:rFonts w:ascii="Tahoma" w:eastAsia="Tahoma" w:hAnsi="Tahoma"/>
          <w:color w:val="404042"/>
          <w:spacing w:val="5"/>
          <w:sz w:val="18"/>
        </w:rPr>
        <w:t>Many of the attributes that young people need are acquired not just from academic study or vocational education</w:t>
      </w:r>
    </w:p>
    <w:p w14:paraId="3007DC2F" w14:textId="77777777" w:rsidR="009757A9" w:rsidRDefault="00083242">
      <w:pPr>
        <w:spacing w:line="238" w:lineRule="exact"/>
        <w:ind w:left="1152" w:right="1008"/>
        <w:textAlignment w:val="baseline"/>
        <w:rPr>
          <w:rFonts w:ascii="Tahoma" w:eastAsia="Tahoma" w:hAnsi="Tahoma"/>
          <w:color w:val="404042"/>
          <w:spacing w:val="5"/>
          <w:sz w:val="18"/>
        </w:rPr>
      </w:pPr>
      <w:r>
        <w:rPr>
          <w:rFonts w:ascii="Tahoma" w:eastAsia="Tahoma" w:hAnsi="Tahoma"/>
          <w:color w:val="404042"/>
          <w:spacing w:val="5"/>
          <w:sz w:val="18"/>
        </w:rPr>
        <w:t>but also from experiences outside the classroom. They can learn much from part-time work, volunteering, hobbies or sport.</w:t>
      </w:r>
    </w:p>
    <w:p w14:paraId="3896B81D" w14:textId="77777777" w:rsidR="009757A9" w:rsidRDefault="00083242">
      <w:pPr>
        <w:spacing w:before="168" w:line="240" w:lineRule="exact"/>
        <w:ind w:left="1152" w:right="1296" w:hanging="288"/>
        <w:textAlignment w:val="baseline"/>
        <w:rPr>
          <w:rFonts w:ascii="Arial" w:eastAsia="Arial" w:hAnsi="Arial"/>
          <w:b/>
          <w:color w:val="404042"/>
          <w:sz w:val="20"/>
        </w:rPr>
      </w:pPr>
      <w:r>
        <w:rPr>
          <w:rFonts w:ascii="Arial" w:eastAsia="Arial" w:hAnsi="Arial"/>
          <w:b/>
          <w:color w:val="404042"/>
          <w:sz w:val="20"/>
        </w:rPr>
        <w:t xml:space="preserve">1.8 </w:t>
      </w:r>
      <w:r>
        <w:rPr>
          <w:rFonts w:ascii="Tahoma" w:eastAsia="Tahoma" w:hAnsi="Tahoma"/>
          <w:color w:val="404042"/>
          <w:sz w:val="18"/>
        </w:rPr>
        <w:t>Changing the outcomes we measure and value in senior secondary school will help to level the playing field for all students. The challenges faced by disadvantaged students should not be seen just through the lens of social deprivation: rather, their capacity to overcome the barriers should be recognised as a positive attribute when assessing their learning capabilities.</w:t>
      </w:r>
    </w:p>
    <w:p w14:paraId="0921FD7D" w14:textId="77777777" w:rsidR="009757A9" w:rsidRDefault="00083242">
      <w:pPr>
        <w:spacing w:before="168" w:line="240" w:lineRule="exact"/>
        <w:ind w:left="1152" w:right="1296" w:hanging="288"/>
        <w:textAlignment w:val="baseline"/>
        <w:rPr>
          <w:rFonts w:ascii="Arial" w:eastAsia="Arial" w:hAnsi="Arial"/>
          <w:b/>
          <w:color w:val="404042"/>
          <w:sz w:val="20"/>
        </w:rPr>
      </w:pPr>
      <w:r>
        <w:rPr>
          <w:rFonts w:ascii="Arial" w:eastAsia="Arial" w:hAnsi="Arial"/>
          <w:b/>
          <w:color w:val="404042"/>
          <w:sz w:val="20"/>
        </w:rPr>
        <w:t xml:space="preserve">1.9 </w:t>
      </w:r>
      <w:r>
        <w:rPr>
          <w:rFonts w:ascii="Tahoma" w:eastAsia="Tahoma" w:hAnsi="Tahoma"/>
          <w:color w:val="404042"/>
          <w:sz w:val="18"/>
        </w:rPr>
        <w:t>The certificate of achievement with which students leave school should record and verify the full range of their knowledge and attributes, including academic and non-academic skills, to provide a more wide-ranging view of student achievement, and a more reliable measure of the whole person.</w:t>
      </w:r>
    </w:p>
    <w:p w14:paraId="78066CCA" w14:textId="77777777" w:rsidR="009757A9" w:rsidRDefault="00083242">
      <w:pPr>
        <w:spacing w:before="274" w:line="242" w:lineRule="exact"/>
        <w:ind w:left="864"/>
        <w:textAlignment w:val="baseline"/>
        <w:rPr>
          <w:rFonts w:ascii="Arial" w:eastAsia="Arial" w:hAnsi="Arial"/>
          <w:b/>
          <w:color w:val="000000"/>
          <w:spacing w:val="-1"/>
          <w:sz w:val="21"/>
        </w:rPr>
      </w:pPr>
      <w:r>
        <w:rPr>
          <w:rFonts w:ascii="Arial" w:eastAsia="Arial" w:hAnsi="Arial"/>
          <w:b/>
          <w:color w:val="000000"/>
          <w:spacing w:val="-1"/>
          <w:sz w:val="21"/>
        </w:rPr>
        <w:t>Exercising informed choice</w:t>
      </w:r>
    </w:p>
    <w:p w14:paraId="29886D0E" w14:textId="77777777" w:rsidR="009757A9" w:rsidRDefault="00083242">
      <w:pPr>
        <w:spacing w:before="161" w:line="240" w:lineRule="exact"/>
        <w:ind w:left="1152" w:right="1008" w:hanging="288"/>
        <w:textAlignment w:val="baseline"/>
        <w:rPr>
          <w:rFonts w:ascii="Arial" w:eastAsia="Arial" w:hAnsi="Arial"/>
          <w:b/>
          <w:color w:val="404042"/>
          <w:sz w:val="20"/>
        </w:rPr>
      </w:pPr>
      <w:r>
        <w:rPr>
          <w:rFonts w:ascii="Arial" w:eastAsia="Arial" w:hAnsi="Arial"/>
          <w:b/>
          <w:color w:val="404042"/>
          <w:sz w:val="20"/>
        </w:rPr>
        <w:t xml:space="preserve">2.1 </w:t>
      </w:r>
      <w:r>
        <w:rPr>
          <w:rFonts w:ascii="Tahoma" w:eastAsia="Tahoma" w:hAnsi="Tahoma"/>
          <w:color w:val="404042"/>
          <w:sz w:val="18"/>
        </w:rPr>
        <w:t>All students should be in a position to take advantage of the wide range of educational and training pathways that are available after they leave school.</w:t>
      </w:r>
    </w:p>
    <w:p w14:paraId="71CC8CAC" w14:textId="77777777" w:rsidR="009757A9" w:rsidRDefault="00083242">
      <w:pPr>
        <w:spacing w:before="195" w:line="217" w:lineRule="exact"/>
        <w:ind w:left="864"/>
        <w:textAlignment w:val="baseline"/>
        <w:rPr>
          <w:rFonts w:ascii="Arial" w:eastAsia="Arial" w:hAnsi="Arial"/>
          <w:b/>
          <w:color w:val="404042"/>
          <w:spacing w:val="4"/>
          <w:sz w:val="20"/>
        </w:rPr>
      </w:pPr>
      <w:r>
        <w:rPr>
          <w:rFonts w:ascii="Arial" w:eastAsia="Arial" w:hAnsi="Arial"/>
          <w:b/>
          <w:color w:val="404042"/>
          <w:spacing w:val="4"/>
          <w:sz w:val="20"/>
        </w:rPr>
        <w:t xml:space="preserve">2.2 </w:t>
      </w:r>
      <w:r>
        <w:rPr>
          <w:rFonts w:ascii="Tahoma" w:eastAsia="Tahoma" w:hAnsi="Tahoma"/>
          <w:color w:val="404042"/>
          <w:spacing w:val="4"/>
          <w:sz w:val="18"/>
        </w:rPr>
        <w:t>A ll students (and their parents) should have access to professional career guidance at school. Parents and families</w:t>
      </w:r>
    </w:p>
    <w:p w14:paraId="4F3D937A" w14:textId="77777777" w:rsidR="009757A9" w:rsidRDefault="00083242">
      <w:pPr>
        <w:spacing w:line="238" w:lineRule="exact"/>
        <w:ind w:left="1296" w:right="1296"/>
        <w:textAlignment w:val="baseline"/>
        <w:rPr>
          <w:rFonts w:ascii="Tahoma" w:eastAsia="Tahoma" w:hAnsi="Tahoma"/>
          <w:color w:val="404042"/>
          <w:sz w:val="18"/>
        </w:rPr>
      </w:pPr>
      <w:r>
        <w:rPr>
          <w:rFonts w:ascii="Tahoma" w:eastAsia="Tahoma" w:hAnsi="Tahoma"/>
          <w:color w:val="404042"/>
          <w:sz w:val="18"/>
        </w:rPr>
        <w:t>have the greatest influence on students’ career-related decisions at the senior secondary level. They must be engaged, fully informed and supported in the advice they provide to their children.</w:t>
      </w:r>
    </w:p>
    <w:p w14:paraId="084F85DE" w14:textId="77777777" w:rsidR="009757A9" w:rsidRDefault="00083242">
      <w:pPr>
        <w:spacing w:before="1342" w:after="604" w:line="214" w:lineRule="exact"/>
        <w:ind w:left="10800"/>
        <w:textAlignment w:val="baseline"/>
        <w:rPr>
          <w:rFonts w:ascii="Arial" w:eastAsia="Arial" w:hAnsi="Arial"/>
          <w:b/>
          <w:color w:val="5556A1"/>
          <w:spacing w:val="32"/>
          <w:sz w:val="20"/>
        </w:rPr>
      </w:pPr>
      <w:r>
        <w:rPr>
          <w:rFonts w:ascii="Arial" w:eastAsia="Arial" w:hAnsi="Arial"/>
          <w:b/>
          <w:color w:val="5556A1"/>
          <w:spacing w:val="32"/>
          <w:sz w:val="20"/>
        </w:rPr>
        <w:t>17</w:t>
      </w:r>
    </w:p>
    <w:p w14:paraId="6DCF4141" w14:textId="77777777" w:rsidR="009757A9" w:rsidRDefault="00083242">
      <w:pPr>
        <w:textAlignment w:val="baseline"/>
      </w:pPr>
      <w:r>
        <w:rPr>
          <w:noProof/>
          <w:lang w:val="en-AU" w:eastAsia="en-AU"/>
        </w:rPr>
        <w:drawing>
          <wp:inline distT="0" distB="0" distL="0" distR="0" wp14:anchorId="2348B17C" wp14:editId="36CDB4EB">
            <wp:extent cx="7562215" cy="46291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6" name="Picture"/>
                    <pic:cNvPicPr preferRelativeResize="0"/>
                  </pic:nvPicPr>
                  <pic:blipFill>
                    <a:blip r:embed="rId37"/>
                    <a:stretch>
                      <a:fillRect/>
                    </a:stretch>
                  </pic:blipFill>
                  <pic:spPr>
                    <a:xfrm>
                      <a:off x="0" y="0"/>
                      <a:ext cx="7562215" cy="462915"/>
                    </a:xfrm>
                    <a:prstGeom prst="rect">
                      <a:avLst/>
                    </a:prstGeom>
                  </pic:spPr>
                </pic:pic>
              </a:graphicData>
            </a:graphic>
          </wp:inline>
        </w:drawing>
      </w:r>
    </w:p>
    <w:p w14:paraId="43074FE0" w14:textId="77777777" w:rsidR="009757A9" w:rsidRDefault="009757A9">
      <w:pPr>
        <w:sectPr w:rsidR="009757A9">
          <w:pgSz w:w="11909" w:h="16838"/>
          <w:pgMar w:top="1080" w:right="0" w:bottom="0" w:left="0" w:header="720" w:footer="720" w:gutter="0"/>
          <w:cols w:space="720"/>
        </w:sectPr>
      </w:pPr>
    </w:p>
    <w:p w14:paraId="0A90288F" w14:textId="77777777" w:rsidR="009757A9" w:rsidRDefault="00083242">
      <w:pPr>
        <w:spacing w:line="240" w:lineRule="exact"/>
        <w:ind w:left="1152" w:right="1008" w:hanging="288"/>
        <w:textAlignment w:val="baseline"/>
        <w:rPr>
          <w:rFonts w:ascii="Arial" w:eastAsia="Arial" w:hAnsi="Arial"/>
          <w:b/>
          <w:color w:val="404042"/>
          <w:spacing w:val="5"/>
          <w:sz w:val="20"/>
        </w:rPr>
      </w:pPr>
      <w:r>
        <w:rPr>
          <w:rFonts w:ascii="Arial" w:eastAsia="Arial" w:hAnsi="Arial"/>
          <w:b/>
          <w:color w:val="404042"/>
          <w:spacing w:val="5"/>
          <w:sz w:val="20"/>
        </w:rPr>
        <w:lastRenderedPageBreak/>
        <w:t xml:space="preserve">2.3 </w:t>
      </w:r>
      <w:r>
        <w:rPr>
          <w:rFonts w:ascii="Tahoma" w:eastAsia="Tahoma" w:hAnsi="Tahoma"/>
          <w:color w:val="404042"/>
          <w:spacing w:val="5"/>
          <w:sz w:val="18"/>
        </w:rPr>
        <w:t>At present, the vocational education and training (VET) pathway is not seen as equal to or complementary to a university one. Many students are not provided with information or encouragement to undertake VET either in Years 11 and 12, or as a post-school pathway. All students should be encouraged to excel and follow their passions and strengths, be made to feel that their educational preference or their choice of career is legitimate, and that whatever career path they choose, they have an important role to play in a well-functioning society.</w:t>
      </w:r>
    </w:p>
    <w:p w14:paraId="5770A3CE" w14:textId="77777777" w:rsidR="009757A9" w:rsidRDefault="00083242">
      <w:pPr>
        <w:spacing w:before="168" w:line="240" w:lineRule="exact"/>
        <w:ind w:left="1152" w:right="1440" w:hanging="288"/>
        <w:textAlignment w:val="baseline"/>
        <w:rPr>
          <w:rFonts w:ascii="Arial" w:eastAsia="Arial" w:hAnsi="Arial"/>
          <w:b/>
          <w:color w:val="404042"/>
          <w:sz w:val="20"/>
        </w:rPr>
      </w:pPr>
      <w:r>
        <w:rPr>
          <w:rFonts w:ascii="Arial" w:eastAsia="Arial" w:hAnsi="Arial"/>
          <w:b/>
          <w:color w:val="404042"/>
          <w:sz w:val="20"/>
        </w:rPr>
        <w:t xml:space="preserve">2.4 </w:t>
      </w:r>
      <w:r>
        <w:rPr>
          <w:rFonts w:ascii="Tahoma" w:eastAsia="Tahoma" w:hAnsi="Tahoma"/>
          <w:color w:val="404042"/>
          <w:sz w:val="18"/>
        </w:rPr>
        <w:t>Undue focus on the ATAR has a distortionary impact on educational expectations, in which a preference for vocational education and training is perceived as ‘second class’. This is reinforced by the parameters around the Senior Secondary Certificate of Education and ATAR restricting the type and number of subjects students are undertaking in senior secondary schooling, particularly in VET. More flexibility is needed in designing and constructing learning structures that do not privilege particular pathways.</w:t>
      </w:r>
    </w:p>
    <w:p w14:paraId="1748F5F9" w14:textId="77777777" w:rsidR="009757A9" w:rsidRDefault="00083242">
      <w:pPr>
        <w:spacing w:before="173" w:line="240" w:lineRule="exact"/>
        <w:ind w:left="1152" w:right="1224" w:hanging="288"/>
        <w:textAlignment w:val="baseline"/>
        <w:rPr>
          <w:rFonts w:ascii="Arial" w:eastAsia="Arial" w:hAnsi="Arial"/>
          <w:b/>
          <w:color w:val="404042"/>
          <w:spacing w:val="5"/>
          <w:sz w:val="20"/>
        </w:rPr>
      </w:pPr>
      <w:r>
        <w:rPr>
          <w:rFonts w:ascii="Arial" w:eastAsia="Arial" w:hAnsi="Arial"/>
          <w:b/>
          <w:color w:val="404042"/>
          <w:spacing w:val="5"/>
          <w:sz w:val="20"/>
        </w:rPr>
        <w:t xml:space="preserve">2.5 </w:t>
      </w:r>
      <w:r>
        <w:rPr>
          <w:rFonts w:ascii="Tahoma" w:eastAsia="Tahoma" w:hAnsi="Tahoma"/>
          <w:color w:val="404042"/>
          <w:spacing w:val="5"/>
          <w:sz w:val="18"/>
        </w:rPr>
        <w:t>School systems must cater for the needs of all their students and encourage them to pursue excellence in their areas of interest. Students who aspire to higher education should be encouraged and supported to pursue this goal. The senior secondary schooling system must, however, provide and support the full range of pathways for all students. At present, those who are more interested in pursuing vocational learning or structured workplace learning often feel that they are inferior or their decisions are less valid.</w:t>
      </w:r>
    </w:p>
    <w:p w14:paraId="651106A7" w14:textId="77777777" w:rsidR="009757A9" w:rsidRDefault="00083242">
      <w:pPr>
        <w:spacing w:before="168" w:line="240" w:lineRule="exact"/>
        <w:ind w:left="1152" w:right="1008" w:hanging="288"/>
        <w:textAlignment w:val="baseline"/>
        <w:rPr>
          <w:rFonts w:ascii="Arial" w:eastAsia="Arial" w:hAnsi="Arial"/>
          <w:b/>
          <w:color w:val="404042"/>
          <w:spacing w:val="5"/>
          <w:sz w:val="20"/>
        </w:rPr>
      </w:pPr>
      <w:r>
        <w:rPr>
          <w:rFonts w:ascii="Arial" w:eastAsia="Arial" w:hAnsi="Arial"/>
          <w:b/>
          <w:color w:val="404042"/>
          <w:spacing w:val="5"/>
          <w:sz w:val="20"/>
        </w:rPr>
        <w:t xml:space="preserve">2.6 </w:t>
      </w:r>
      <w:r>
        <w:rPr>
          <w:rFonts w:ascii="Tahoma" w:eastAsia="Tahoma" w:hAnsi="Tahoma"/>
          <w:color w:val="404042"/>
          <w:spacing w:val="5"/>
          <w:sz w:val="18"/>
        </w:rPr>
        <w:t>Career advice nationally is inadequate, despite individual pockets of best practice. Unsurprisingly, many teachers have limited career education knowledge, especially on non-university or blended pathways. Significant improvements need to be made to increase information on the future labour market, apply new models to decision-making, and employ the right people to work face to face with students. It is unreasonable to expect that every school is able to independently provide this. They need support.</w:t>
      </w:r>
    </w:p>
    <w:p w14:paraId="59393385" w14:textId="77777777" w:rsidR="009757A9" w:rsidRDefault="00083242">
      <w:pPr>
        <w:spacing w:before="173" w:line="240" w:lineRule="exact"/>
        <w:ind w:left="1152" w:right="1008" w:hanging="288"/>
        <w:textAlignment w:val="baseline"/>
        <w:rPr>
          <w:rFonts w:ascii="Arial" w:eastAsia="Arial" w:hAnsi="Arial"/>
          <w:b/>
          <w:color w:val="404042"/>
          <w:spacing w:val="4"/>
          <w:sz w:val="20"/>
        </w:rPr>
      </w:pPr>
      <w:r>
        <w:rPr>
          <w:rFonts w:ascii="Arial" w:eastAsia="Arial" w:hAnsi="Arial"/>
          <w:b/>
          <w:color w:val="404042"/>
          <w:spacing w:val="4"/>
          <w:sz w:val="20"/>
        </w:rPr>
        <w:t xml:space="preserve">2.7 </w:t>
      </w:r>
      <w:r>
        <w:rPr>
          <w:rFonts w:ascii="Tahoma" w:eastAsia="Tahoma" w:hAnsi="Tahoma"/>
          <w:color w:val="404042"/>
          <w:spacing w:val="4"/>
          <w:sz w:val="18"/>
        </w:rPr>
        <w:t>Individualised career guidance should be provided before senior secondary school, and should extend beyond the end of Year 12. Online information has the capacity to improve decision-making, if it is made available to all students, parents and school staff in a centralised, trusted, up-to-date and easy-to-use repository. The experience of COVID-19 has shown the value of students being able to access information remotely.</w:t>
      </w:r>
    </w:p>
    <w:p w14:paraId="027A6304"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VET and the world of work</w:t>
      </w:r>
    </w:p>
    <w:p w14:paraId="2C3540EF" w14:textId="77777777" w:rsidR="009757A9" w:rsidRDefault="00083242">
      <w:pPr>
        <w:spacing w:before="154" w:line="240" w:lineRule="exact"/>
        <w:ind w:left="1152" w:right="1008" w:hanging="288"/>
        <w:textAlignment w:val="baseline"/>
        <w:rPr>
          <w:rFonts w:ascii="Arial" w:eastAsia="Arial" w:hAnsi="Arial"/>
          <w:b/>
          <w:color w:val="404042"/>
          <w:spacing w:val="5"/>
          <w:sz w:val="20"/>
        </w:rPr>
      </w:pPr>
      <w:r>
        <w:rPr>
          <w:rFonts w:ascii="Arial" w:eastAsia="Arial" w:hAnsi="Arial"/>
          <w:b/>
          <w:color w:val="404042"/>
          <w:spacing w:val="5"/>
          <w:sz w:val="20"/>
        </w:rPr>
        <w:t xml:space="preserve">3.1 </w:t>
      </w:r>
      <w:r>
        <w:rPr>
          <w:rFonts w:ascii="Tahoma" w:eastAsia="Tahoma" w:hAnsi="Tahoma"/>
          <w:color w:val="404042"/>
          <w:spacing w:val="5"/>
          <w:sz w:val="18"/>
        </w:rPr>
        <w:t>All students should be encouraged to undertake career education and work exploration activities, regardless of their chosen pathway or locality. They need to be provided with individualised, objective, unbiased and up-to-date career information.</w:t>
      </w:r>
    </w:p>
    <w:p w14:paraId="1208D850" w14:textId="77777777" w:rsidR="009757A9" w:rsidRDefault="00083242">
      <w:pPr>
        <w:spacing w:before="201" w:line="216" w:lineRule="exact"/>
        <w:ind w:left="864"/>
        <w:textAlignment w:val="baseline"/>
        <w:rPr>
          <w:rFonts w:ascii="Arial" w:eastAsia="Arial" w:hAnsi="Arial"/>
          <w:b/>
          <w:color w:val="404042"/>
          <w:spacing w:val="4"/>
          <w:sz w:val="20"/>
        </w:rPr>
      </w:pPr>
      <w:r>
        <w:rPr>
          <w:rFonts w:ascii="Arial" w:eastAsia="Arial" w:hAnsi="Arial"/>
          <w:b/>
          <w:color w:val="404042"/>
          <w:spacing w:val="4"/>
          <w:sz w:val="20"/>
        </w:rPr>
        <w:t xml:space="preserve">3.2 </w:t>
      </w:r>
      <w:r>
        <w:rPr>
          <w:rFonts w:ascii="Tahoma" w:eastAsia="Tahoma" w:hAnsi="Tahoma"/>
          <w:color w:val="404042"/>
          <w:spacing w:val="4"/>
          <w:sz w:val="18"/>
        </w:rPr>
        <w:t>VET delivered to senior secondary students is of inconsistent quality, difficult to navigate, and not well integrated</w:t>
      </w:r>
    </w:p>
    <w:p w14:paraId="785F241D" w14:textId="77777777" w:rsidR="009757A9" w:rsidRDefault="00083242">
      <w:pPr>
        <w:spacing w:line="238" w:lineRule="exact"/>
        <w:ind w:left="1152" w:right="1152"/>
        <w:textAlignment w:val="baseline"/>
        <w:rPr>
          <w:rFonts w:ascii="Tahoma" w:eastAsia="Tahoma" w:hAnsi="Tahoma"/>
          <w:color w:val="404042"/>
          <w:sz w:val="18"/>
        </w:rPr>
      </w:pPr>
      <w:r>
        <w:rPr>
          <w:rFonts w:ascii="Tahoma" w:eastAsia="Tahoma" w:hAnsi="Tahoma"/>
          <w:color w:val="404042"/>
          <w:sz w:val="18"/>
        </w:rPr>
        <w:t>into senior secondary studies. VET qualifications delivered in schools need to meet clearly defined standards and deliver or contribute to credentials that are accepted in the labour market.</w:t>
      </w:r>
    </w:p>
    <w:p w14:paraId="74F96F6F" w14:textId="77777777" w:rsidR="009757A9" w:rsidRDefault="00083242">
      <w:pPr>
        <w:spacing w:before="168" w:line="240" w:lineRule="exact"/>
        <w:ind w:left="1152" w:right="864" w:hanging="288"/>
        <w:textAlignment w:val="baseline"/>
        <w:rPr>
          <w:rFonts w:ascii="Arial" w:eastAsia="Arial" w:hAnsi="Arial"/>
          <w:b/>
          <w:color w:val="404042"/>
          <w:sz w:val="20"/>
        </w:rPr>
      </w:pPr>
      <w:r>
        <w:rPr>
          <w:rFonts w:ascii="Arial" w:eastAsia="Arial" w:hAnsi="Arial"/>
          <w:b/>
          <w:color w:val="404042"/>
          <w:sz w:val="20"/>
        </w:rPr>
        <w:t xml:space="preserve">3.3 </w:t>
      </w:r>
      <w:r>
        <w:rPr>
          <w:rFonts w:ascii="Tahoma" w:eastAsia="Tahoma" w:hAnsi="Tahoma"/>
          <w:color w:val="404042"/>
          <w:sz w:val="18"/>
        </w:rPr>
        <w:t>Upfront expenses associated with undertaking VET are not equitable. Costs can act as a disincentive for students to study VET in both Years 11 and 12 or as a post-school pathway.</w:t>
      </w:r>
    </w:p>
    <w:p w14:paraId="2034DBC1"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Building school-industry partnerships</w:t>
      </w:r>
    </w:p>
    <w:p w14:paraId="26DF3A48" w14:textId="77777777" w:rsidR="009757A9" w:rsidRDefault="00083242">
      <w:pPr>
        <w:spacing w:before="156" w:line="240" w:lineRule="exact"/>
        <w:ind w:left="1152" w:right="864" w:hanging="288"/>
        <w:textAlignment w:val="baseline"/>
        <w:rPr>
          <w:rFonts w:ascii="Arial" w:eastAsia="Arial" w:hAnsi="Arial"/>
          <w:b/>
          <w:color w:val="404042"/>
          <w:spacing w:val="7"/>
          <w:sz w:val="20"/>
        </w:rPr>
      </w:pPr>
      <w:r>
        <w:rPr>
          <w:rFonts w:ascii="Arial" w:eastAsia="Arial" w:hAnsi="Arial"/>
          <w:b/>
          <w:color w:val="404042"/>
          <w:spacing w:val="7"/>
          <w:sz w:val="20"/>
        </w:rPr>
        <w:t xml:space="preserve">4.1 </w:t>
      </w:r>
      <w:r>
        <w:rPr>
          <w:rFonts w:ascii="Tahoma" w:eastAsia="Tahoma" w:hAnsi="Tahoma"/>
          <w:color w:val="404042"/>
          <w:spacing w:val="7"/>
          <w:sz w:val="18"/>
        </w:rPr>
        <w:t>One of the important goals of schooling is to provide a foundation that prepares young people for the world of work. Industry has an essential role to play in supporting schools to achieve this. While there are notable exceptions at the school level, effective partnerships with industry have proven hard to establish and are not adequately embedded in education systems. Industry collaboration needs to be accorded more weight and pursued with greater vigour.</w:t>
      </w:r>
    </w:p>
    <w:p w14:paraId="5CCB945A" w14:textId="77777777" w:rsidR="009757A9" w:rsidRDefault="00083242">
      <w:pPr>
        <w:spacing w:before="173" w:line="240" w:lineRule="exact"/>
        <w:ind w:left="1152" w:right="1152" w:hanging="288"/>
        <w:textAlignment w:val="baseline"/>
        <w:rPr>
          <w:rFonts w:ascii="Arial" w:eastAsia="Arial" w:hAnsi="Arial"/>
          <w:b/>
          <w:color w:val="404042"/>
          <w:spacing w:val="6"/>
          <w:sz w:val="20"/>
        </w:rPr>
      </w:pPr>
      <w:r>
        <w:rPr>
          <w:rFonts w:ascii="Arial" w:eastAsia="Arial" w:hAnsi="Arial"/>
          <w:b/>
          <w:color w:val="404042"/>
          <w:spacing w:val="6"/>
          <w:sz w:val="20"/>
        </w:rPr>
        <w:t xml:space="preserve">4.2 </w:t>
      </w:r>
      <w:r>
        <w:rPr>
          <w:rFonts w:ascii="Tahoma" w:eastAsia="Tahoma" w:hAnsi="Tahoma"/>
          <w:color w:val="404042"/>
          <w:spacing w:val="6"/>
          <w:sz w:val="18"/>
        </w:rPr>
        <w:t>It is essential that schools and industry engage more systematically with employers in order to help senior secondary students gain an understanding of the world of work, undertake effective career planning, and access opportunities for employment and training. Programs that support school–industry partnerships at scale, such as hubs and brokerage arrangements, should be put in place to increase the quality and longevity of school– industry partnerships.</w:t>
      </w:r>
    </w:p>
    <w:p w14:paraId="09072361" w14:textId="77777777" w:rsidR="009757A9" w:rsidRDefault="00083242">
      <w:pPr>
        <w:tabs>
          <w:tab w:val="left" w:pos="1368"/>
        </w:tabs>
        <w:spacing w:before="1553" w:after="633" w:line="214" w:lineRule="exact"/>
        <w:ind w:left="864"/>
        <w:textAlignment w:val="baseline"/>
        <w:rPr>
          <w:rFonts w:ascii="Arial" w:eastAsia="Arial" w:hAnsi="Arial"/>
          <w:b/>
          <w:color w:val="5556A1"/>
          <w:spacing w:val="4"/>
          <w:sz w:val="20"/>
        </w:rPr>
      </w:pPr>
      <w:r>
        <w:rPr>
          <w:rFonts w:ascii="Arial" w:eastAsia="Arial" w:hAnsi="Arial"/>
          <w:b/>
          <w:color w:val="5556A1"/>
          <w:spacing w:val="4"/>
          <w:sz w:val="20"/>
        </w:rPr>
        <w:t>18</w:t>
      </w:r>
      <w:r>
        <w:rPr>
          <w:rFonts w:ascii="Tahoma" w:eastAsia="Tahoma" w:hAnsi="Tahoma"/>
          <w:color w:val="404042"/>
          <w:spacing w:val="4"/>
          <w:sz w:val="14"/>
        </w:rPr>
        <w:tab/>
        <w:t>Looking to the future</w:t>
      </w:r>
    </w:p>
    <w:p w14:paraId="71E4FC2E" w14:textId="77777777" w:rsidR="009757A9" w:rsidRDefault="00083242">
      <w:pPr>
        <w:textAlignment w:val="baseline"/>
      </w:pPr>
      <w:r>
        <w:rPr>
          <w:noProof/>
          <w:lang w:val="en-AU" w:eastAsia="en-AU"/>
        </w:rPr>
        <w:drawing>
          <wp:inline distT="0" distB="0" distL="0" distR="0" wp14:anchorId="0CA2712B" wp14:editId="4EDC3146">
            <wp:extent cx="7562215" cy="462915"/>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38"/>
                    <a:stretch>
                      <a:fillRect/>
                    </a:stretch>
                  </pic:blipFill>
                  <pic:spPr>
                    <a:xfrm>
                      <a:off x="0" y="0"/>
                      <a:ext cx="7562215" cy="462915"/>
                    </a:xfrm>
                    <a:prstGeom prst="rect">
                      <a:avLst/>
                    </a:prstGeom>
                  </pic:spPr>
                </pic:pic>
              </a:graphicData>
            </a:graphic>
          </wp:inline>
        </w:drawing>
      </w:r>
    </w:p>
    <w:p w14:paraId="78AB5689" w14:textId="77777777" w:rsidR="009757A9" w:rsidRDefault="009757A9">
      <w:pPr>
        <w:sectPr w:rsidR="009757A9">
          <w:pgSz w:w="11909" w:h="16838"/>
          <w:pgMar w:top="1080" w:right="0" w:bottom="0" w:left="0" w:header="720" w:footer="720" w:gutter="0"/>
          <w:cols w:space="720"/>
        </w:sectPr>
      </w:pPr>
    </w:p>
    <w:p w14:paraId="6023C047" w14:textId="77777777" w:rsidR="009757A9" w:rsidRDefault="00083242">
      <w:pPr>
        <w:spacing w:before="14" w:line="245" w:lineRule="exact"/>
        <w:ind w:left="864"/>
        <w:textAlignment w:val="baseline"/>
        <w:rPr>
          <w:rFonts w:ascii="Tahoma" w:eastAsia="Tahoma" w:hAnsi="Tahoma"/>
          <w:b/>
          <w:color w:val="000000"/>
          <w:sz w:val="20"/>
        </w:rPr>
      </w:pPr>
      <w:r>
        <w:rPr>
          <w:rFonts w:ascii="Tahoma" w:eastAsia="Tahoma" w:hAnsi="Tahoma"/>
          <w:b/>
          <w:color w:val="000000"/>
          <w:sz w:val="20"/>
        </w:rPr>
        <w:lastRenderedPageBreak/>
        <w:t>Building more flexible pathways from school</w:t>
      </w:r>
    </w:p>
    <w:p w14:paraId="56943D08" w14:textId="77777777" w:rsidR="009757A9" w:rsidRDefault="00083242">
      <w:pPr>
        <w:spacing w:before="168" w:line="240" w:lineRule="exact"/>
        <w:ind w:left="1152" w:right="1152" w:hanging="288"/>
        <w:textAlignment w:val="baseline"/>
        <w:rPr>
          <w:rFonts w:ascii="Arial" w:eastAsia="Arial" w:hAnsi="Arial"/>
          <w:b/>
          <w:color w:val="404042"/>
          <w:spacing w:val="6"/>
          <w:sz w:val="20"/>
        </w:rPr>
      </w:pPr>
      <w:r>
        <w:rPr>
          <w:rFonts w:ascii="Arial" w:eastAsia="Arial" w:hAnsi="Arial"/>
          <w:b/>
          <w:color w:val="404042"/>
          <w:spacing w:val="6"/>
          <w:sz w:val="20"/>
        </w:rPr>
        <w:t xml:space="preserve">5.1 </w:t>
      </w:r>
      <w:r>
        <w:rPr>
          <w:rFonts w:ascii="Tahoma" w:eastAsia="Tahoma" w:hAnsi="Tahoma"/>
          <w:color w:val="404042"/>
          <w:spacing w:val="6"/>
          <w:sz w:val="18"/>
        </w:rPr>
        <w:t>A ‘one size fits all’ traditional learning environment cannot bring out the best in all young people. Students who complete Year 12 and attain a Senior Secondary Certificate of Education have a stronger foundation to achieve future success in their working lives and they should be encouraged to stay the course. However, the costs to a young person of remaining in a learning environment that is unsuited to them are also apparent. School systems should have multiple education settings and flexible learning programs so that all young people are given the opportunity to thrive.</w:t>
      </w:r>
    </w:p>
    <w:p w14:paraId="0FF64290" w14:textId="77777777" w:rsidR="009757A9" w:rsidRDefault="00083242">
      <w:pPr>
        <w:spacing w:before="168" w:line="240" w:lineRule="exact"/>
        <w:ind w:left="1152" w:right="864" w:hanging="288"/>
        <w:textAlignment w:val="baseline"/>
        <w:rPr>
          <w:rFonts w:ascii="Arial" w:eastAsia="Arial" w:hAnsi="Arial"/>
          <w:b/>
          <w:color w:val="404042"/>
          <w:spacing w:val="5"/>
          <w:sz w:val="20"/>
        </w:rPr>
      </w:pPr>
      <w:r>
        <w:rPr>
          <w:rFonts w:ascii="Arial" w:eastAsia="Arial" w:hAnsi="Arial"/>
          <w:b/>
          <w:color w:val="404042"/>
          <w:spacing w:val="5"/>
          <w:sz w:val="20"/>
        </w:rPr>
        <w:t xml:space="preserve">5.2 </w:t>
      </w:r>
      <w:r>
        <w:rPr>
          <w:rFonts w:ascii="Tahoma" w:eastAsia="Tahoma" w:hAnsi="Tahoma"/>
          <w:color w:val="404042"/>
          <w:spacing w:val="5"/>
          <w:sz w:val="18"/>
        </w:rPr>
        <w:t>School does not suit everyone. Legislation exists in states and territories enabling some young people to leave school to transition to secure employment or undertake further study. It is important that such a choice is not seen as a failure. Rather, through Years 9 and 10, young people need to be supported to develop their work skills, have a plan for accessing training, and be provided with a clear pathway back to further education or training in the future. They must be encouraged to achieve a qualification equivalent to the senior secondary certificate, through an apprenticeship or traineeship, certificated VET courses, or combinations of VET and workplace learning.</w:t>
      </w:r>
    </w:p>
    <w:p w14:paraId="75643BF1" w14:textId="77777777" w:rsidR="009757A9" w:rsidRDefault="00083242">
      <w:pPr>
        <w:spacing w:before="171" w:line="240" w:lineRule="exact"/>
        <w:ind w:left="1152" w:right="864" w:hanging="288"/>
        <w:textAlignment w:val="baseline"/>
        <w:rPr>
          <w:rFonts w:ascii="Arial" w:eastAsia="Arial" w:hAnsi="Arial"/>
          <w:b/>
          <w:color w:val="404042"/>
          <w:sz w:val="20"/>
        </w:rPr>
      </w:pPr>
      <w:r>
        <w:rPr>
          <w:rFonts w:ascii="Arial" w:eastAsia="Arial" w:hAnsi="Arial"/>
          <w:b/>
          <w:color w:val="404042"/>
          <w:sz w:val="20"/>
        </w:rPr>
        <w:t xml:space="preserve">5.3 </w:t>
      </w:r>
      <w:r>
        <w:rPr>
          <w:rFonts w:ascii="Tahoma" w:eastAsia="Tahoma" w:hAnsi="Tahoma"/>
          <w:color w:val="404042"/>
          <w:sz w:val="18"/>
        </w:rPr>
        <w:t>School students need support to access the great potential of short online courses. Micro-credentials can help them to explore their passions. The Senior Secondary Certificate of Education, ATAR or senior secondary end-of-year assessments need to have sufficient flexibility to credit microcredentials and other learning options. This will ensure that all forms of credential are measurable, verifiable, certifiable and transferable.</w:t>
      </w:r>
    </w:p>
    <w:p w14:paraId="215C7E25" w14:textId="77777777" w:rsidR="009757A9" w:rsidRDefault="00083242">
      <w:pPr>
        <w:spacing w:before="176" w:line="240" w:lineRule="exact"/>
        <w:ind w:left="864"/>
        <w:textAlignment w:val="baseline"/>
        <w:rPr>
          <w:rFonts w:ascii="Arial" w:eastAsia="Arial" w:hAnsi="Arial"/>
          <w:b/>
          <w:color w:val="404042"/>
          <w:spacing w:val="4"/>
          <w:sz w:val="20"/>
        </w:rPr>
      </w:pPr>
      <w:r>
        <w:rPr>
          <w:rFonts w:ascii="Arial" w:eastAsia="Arial" w:hAnsi="Arial"/>
          <w:b/>
          <w:color w:val="404042"/>
          <w:spacing w:val="4"/>
          <w:sz w:val="20"/>
        </w:rPr>
        <w:t xml:space="preserve">5.4 </w:t>
      </w:r>
      <w:r>
        <w:rPr>
          <w:rFonts w:ascii="Tahoma" w:eastAsia="Tahoma" w:hAnsi="Tahoma"/>
          <w:color w:val="404042"/>
          <w:spacing w:val="4"/>
          <w:sz w:val="18"/>
        </w:rPr>
        <w:t>Education should be recognised as a lifelong, but not linear, journey. The skills students need and the careers they</w:t>
      </w:r>
    </w:p>
    <w:p w14:paraId="74601300" w14:textId="77777777" w:rsidR="009757A9" w:rsidRDefault="00083242">
      <w:pPr>
        <w:spacing w:line="237" w:lineRule="exact"/>
        <w:ind w:left="1152" w:right="1224"/>
        <w:textAlignment w:val="baseline"/>
        <w:rPr>
          <w:rFonts w:ascii="Tahoma" w:eastAsia="Tahoma" w:hAnsi="Tahoma"/>
          <w:color w:val="404042"/>
          <w:sz w:val="18"/>
        </w:rPr>
      </w:pPr>
      <w:r>
        <w:rPr>
          <w:rFonts w:ascii="Tahoma" w:eastAsia="Tahoma" w:hAnsi="Tahoma"/>
          <w:color w:val="404042"/>
          <w:sz w:val="18"/>
        </w:rPr>
        <w:t>follow are likely to change over time. If young people are to become productive workers and active citizens, they need to leave school with the capability and enthusiasm to keep on learning throughout their lives.</w:t>
      </w:r>
    </w:p>
    <w:p w14:paraId="24C5E4BB" w14:textId="77777777" w:rsidR="009757A9" w:rsidRDefault="00083242">
      <w:pPr>
        <w:spacing w:before="274" w:line="242" w:lineRule="exact"/>
        <w:ind w:left="864"/>
        <w:textAlignment w:val="baseline"/>
        <w:rPr>
          <w:rFonts w:ascii="Arial" w:eastAsia="Arial" w:hAnsi="Arial"/>
          <w:b/>
          <w:color w:val="000000"/>
          <w:spacing w:val="-1"/>
          <w:sz w:val="21"/>
        </w:rPr>
      </w:pPr>
      <w:r>
        <w:rPr>
          <w:rFonts w:ascii="Arial" w:eastAsia="Arial" w:hAnsi="Arial"/>
          <w:b/>
          <w:color w:val="000000"/>
          <w:spacing w:val="-1"/>
          <w:sz w:val="21"/>
        </w:rPr>
        <w:t>Ensuring all students have an equal chance of success</w:t>
      </w:r>
    </w:p>
    <w:p w14:paraId="56E4ABFB" w14:textId="77777777" w:rsidR="009757A9" w:rsidRDefault="00083242">
      <w:pPr>
        <w:spacing w:before="156" w:line="240" w:lineRule="exact"/>
        <w:ind w:left="1152" w:right="1080" w:hanging="288"/>
        <w:textAlignment w:val="baseline"/>
        <w:rPr>
          <w:rFonts w:ascii="Arial" w:eastAsia="Arial" w:hAnsi="Arial"/>
          <w:b/>
          <w:color w:val="404042"/>
          <w:spacing w:val="5"/>
          <w:sz w:val="20"/>
        </w:rPr>
      </w:pPr>
      <w:r>
        <w:rPr>
          <w:rFonts w:ascii="Arial" w:eastAsia="Arial" w:hAnsi="Arial"/>
          <w:b/>
          <w:color w:val="404042"/>
          <w:spacing w:val="5"/>
          <w:sz w:val="20"/>
        </w:rPr>
        <w:t xml:space="preserve">6.1 </w:t>
      </w:r>
      <w:r>
        <w:rPr>
          <w:rFonts w:ascii="Tahoma" w:eastAsia="Tahoma" w:hAnsi="Tahoma"/>
          <w:color w:val="404042"/>
          <w:spacing w:val="5"/>
          <w:sz w:val="18"/>
        </w:rPr>
        <w:t>Education is a key to offering economic opportunity and social mobility to all young Australians, no matter what their background or circumstances. Students should have equitable access to high-quality schooling that offers them the best prospect for leading successful lives. Education should be acknowledged as the stepping stone to a fair society.</w:t>
      </w:r>
    </w:p>
    <w:p w14:paraId="1DA6920E" w14:textId="77777777" w:rsidR="009757A9" w:rsidRDefault="00083242">
      <w:pPr>
        <w:spacing w:before="173" w:line="240" w:lineRule="exact"/>
        <w:ind w:left="1152" w:right="1008" w:hanging="288"/>
        <w:textAlignment w:val="baseline"/>
        <w:rPr>
          <w:rFonts w:ascii="Arial" w:eastAsia="Arial" w:hAnsi="Arial"/>
          <w:b/>
          <w:color w:val="404042"/>
          <w:sz w:val="20"/>
        </w:rPr>
      </w:pPr>
      <w:r>
        <w:rPr>
          <w:rFonts w:ascii="Arial" w:eastAsia="Arial" w:hAnsi="Arial"/>
          <w:b/>
          <w:color w:val="404042"/>
          <w:sz w:val="20"/>
        </w:rPr>
        <w:t xml:space="preserve">6.2 </w:t>
      </w:r>
      <w:r>
        <w:rPr>
          <w:rFonts w:ascii="Tahoma" w:eastAsia="Tahoma" w:hAnsi="Tahoma"/>
          <w:color w:val="404042"/>
          <w:sz w:val="18"/>
        </w:rPr>
        <w:t>Students who do not transition to further education, training or employment cannot be left to flounder. They need increased support and guidance in the year after finishing senior secondary school. Supporting the rates of youth senior secondary achievement or equivalent, both within and outside of traditional schooling models, will have positive benefits for individuals and society.</w:t>
      </w:r>
    </w:p>
    <w:p w14:paraId="1A3DDCB5"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Creating evidenced-based policy</w:t>
      </w:r>
    </w:p>
    <w:p w14:paraId="5248D961" w14:textId="77777777" w:rsidR="009757A9" w:rsidRDefault="00083242">
      <w:pPr>
        <w:spacing w:before="162" w:line="240" w:lineRule="exact"/>
        <w:ind w:left="864"/>
        <w:textAlignment w:val="baseline"/>
        <w:rPr>
          <w:rFonts w:ascii="Arial" w:eastAsia="Arial" w:hAnsi="Arial"/>
          <w:b/>
          <w:color w:val="404042"/>
          <w:spacing w:val="5"/>
          <w:sz w:val="20"/>
        </w:rPr>
      </w:pPr>
      <w:r>
        <w:rPr>
          <w:rFonts w:ascii="Arial" w:eastAsia="Arial" w:hAnsi="Arial"/>
          <w:b/>
          <w:color w:val="404042"/>
          <w:spacing w:val="5"/>
          <w:sz w:val="20"/>
        </w:rPr>
        <w:t xml:space="preserve">7.1 </w:t>
      </w:r>
      <w:r>
        <w:rPr>
          <w:rFonts w:ascii="Tahoma" w:eastAsia="Tahoma" w:hAnsi="Tahoma"/>
          <w:color w:val="404042"/>
          <w:spacing w:val="5"/>
          <w:sz w:val="18"/>
        </w:rPr>
        <w:t>Governments need to make much better use of big data in order to properly understand the choices that students</w:t>
      </w:r>
    </w:p>
    <w:p w14:paraId="4FC83EF8" w14:textId="77777777" w:rsidR="009757A9" w:rsidRDefault="00083242">
      <w:pPr>
        <w:spacing w:line="237" w:lineRule="exact"/>
        <w:ind w:left="1152" w:right="1080"/>
        <w:textAlignment w:val="baseline"/>
        <w:rPr>
          <w:rFonts w:ascii="Tahoma" w:eastAsia="Tahoma" w:hAnsi="Tahoma"/>
          <w:color w:val="404042"/>
          <w:sz w:val="18"/>
        </w:rPr>
      </w:pPr>
      <w:r>
        <w:rPr>
          <w:rFonts w:ascii="Tahoma" w:eastAsia="Tahoma" w:hAnsi="Tahoma"/>
          <w:color w:val="404042"/>
          <w:sz w:val="18"/>
        </w:rPr>
        <w:t>make as they transition from school into training, further education and work. Quantitative research can improve their capacity to formulate evidence-based policy responses.</w:t>
      </w:r>
    </w:p>
    <w:p w14:paraId="50249D0A" w14:textId="77777777" w:rsidR="009757A9" w:rsidRDefault="00083242">
      <w:pPr>
        <w:spacing w:before="168" w:line="240" w:lineRule="exact"/>
        <w:ind w:left="1152" w:right="1080" w:hanging="288"/>
        <w:textAlignment w:val="baseline"/>
        <w:rPr>
          <w:rFonts w:ascii="Arial" w:eastAsia="Arial" w:hAnsi="Arial"/>
          <w:b/>
          <w:color w:val="404042"/>
          <w:sz w:val="20"/>
        </w:rPr>
      </w:pPr>
      <w:r>
        <w:rPr>
          <w:rFonts w:ascii="Arial" w:eastAsia="Arial" w:hAnsi="Arial"/>
          <w:b/>
          <w:color w:val="404042"/>
          <w:sz w:val="20"/>
        </w:rPr>
        <w:t xml:space="preserve">7.2 </w:t>
      </w:r>
      <w:r>
        <w:rPr>
          <w:rFonts w:ascii="Tahoma" w:eastAsia="Tahoma" w:hAnsi="Tahoma"/>
          <w:color w:val="404042"/>
          <w:sz w:val="18"/>
        </w:rPr>
        <w:t>Data integration projects across sectors and states and territories should be leveraged to gain greater insight into how people move through different parts of the education system and labour market across their lifetimes.</w:t>
      </w:r>
    </w:p>
    <w:p w14:paraId="27A96685" w14:textId="77777777" w:rsidR="009757A9" w:rsidRDefault="000D2E34">
      <w:pPr>
        <w:spacing w:before="173" w:line="240" w:lineRule="exact"/>
        <w:ind w:left="1152" w:right="1008" w:hanging="288"/>
        <w:textAlignment w:val="baseline"/>
        <w:rPr>
          <w:rFonts w:ascii="Arial" w:eastAsia="Arial" w:hAnsi="Arial"/>
          <w:b/>
          <w:color w:val="404042"/>
          <w:sz w:val="20"/>
        </w:rPr>
      </w:pPr>
      <w:r>
        <w:rPr>
          <w:noProof/>
          <w:lang w:val="en-AU" w:eastAsia="en-AU"/>
        </w:rPr>
        <mc:AlternateContent>
          <mc:Choice Requires="wps">
            <w:drawing>
              <wp:anchor distT="0" distB="0" distL="0" distR="0" simplePos="0" relativeHeight="251295232" behindDoc="1" locked="0" layoutInCell="1" allowOverlap="1" wp14:anchorId="705B1C2D" wp14:editId="7254CAB4">
                <wp:simplePos x="0" y="0"/>
                <wp:positionH relativeFrom="page">
                  <wp:posOffset>0</wp:posOffset>
                </wp:positionH>
                <wp:positionV relativeFrom="page">
                  <wp:posOffset>7894320</wp:posOffset>
                </wp:positionV>
                <wp:extent cx="7562215" cy="2797810"/>
                <wp:effectExtent l="0" t="0" r="0" b="0"/>
                <wp:wrapSquare wrapText="bothSides"/>
                <wp:docPr id="985"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79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F18C" w14:textId="77777777" w:rsidR="00490F33" w:rsidRDefault="00490F33">
                            <w:pPr>
                              <w:textAlignment w:val="baseline"/>
                            </w:pPr>
                            <w:r>
                              <w:rPr>
                                <w:noProof/>
                                <w:lang w:val="en-AU" w:eastAsia="en-AU"/>
                              </w:rPr>
                              <w:drawing>
                                <wp:inline distT="0" distB="0" distL="0" distR="0" wp14:anchorId="11954F85" wp14:editId="28185BFD">
                                  <wp:extent cx="7562215" cy="279781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39"/>
                                          <a:stretch>
                                            <a:fillRect/>
                                          </a:stretch>
                                        </pic:blipFill>
                                        <pic:spPr>
                                          <a:xfrm>
                                            <a:off x="0" y="0"/>
                                            <a:ext cx="7562215" cy="27978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B1C2D" id="Text Box 706" o:spid="_x0000_s1029" type="#_x0000_t202" style="position:absolute;left:0;text-align:left;margin-left:0;margin-top:621.6pt;width:595.45pt;height:220.3pt;z-index:-25202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Gq8QEAAMIDAAAOAAAAZHJzL2Uyb0RvYy54bWysU9tu2zAMfR+wfxD0vjjJ0CQ14hRdiw4D&#10;ugvQ7gNoWY6F2aJGKbGzrx8lx1m3vQ17EShejg4Pqe3N0LXiqMkbtIVczOZSaKuwMnZfyK/PD282&#10;UvgAtoIWrS7kSXt5s3v9atu7XC+xwbbSJBjE+rx3hWxCcHmWedXoDvwMnbYcrJE6CHylfVYR9Ize&#10;tdlyPl9lPVLlCJX2nr33Y1DuEn5daxU+17XXQbSFZG4hnZTOMp7Zbgv5nsA1Rp1pwD+w6MBYfvQC&#10;dQ8BxIHMX1CdUYQe6zBT2GVY10bp1AN3s5j/0c1TA06nXlgc7y4y+f8Hqz4dv5AwVSGvN1dSWOh4&#10;SM96COIdDmI9X0WFeudzTnxynBoGDvCkU7fePaL65oXFuwbsXt8SYd9oqJjhIlZmL0pHHB9Byv4j&#10;VvwQHAImoKGmLsrHgghG50mdLtOJZBQ711er5XLBJBXHluvr9WaR5pdBPpU78uG9xk5Eo5DE40/w&#10;cHz0IdKBfEqJr1l8MG2bVqC1vzk4MXoS/ch45B6GckhavZ1UKbE6cT+E42LxR2CjQfohRc9LVUj/&#10;/QCkpWg/WNYkbuBk0GSUkwFWcWkhgxSjeRfGTT04MvuGkUfVLd6ybrVJHUWBRxZnurwoqdHzUsdN&#10;fHlPWb++3u4nAAAA//8DAFBLAwQUAAYACAAAACEAHzrJSOAAAAALAQAADwAAAGRycy9kb3ducmV2&#10;LnhtbEyPwU7DMBBE70j8g7VI3KjdFEVJiFNVCE5IiDQcODqxm1iN1yF22/D3bE9w290Zzb4pt4sb&#10;2dnMwXqUsF4JYAY7ry32Ej6b14cMWIgKtRo9Ggk/JsC2ur0pVaH9BWtz3seeUQiGQkkYYpwKzkM3&#10;GKfCyk8GSTv42alI69xzPasLhbuRJ0Kk3CmL9GFQk3keTHfcn5yE3RfWL/b7vf2oD7VtmlzgW3qU&#10;8v5u2T0Bi2aJf2a44hM6VMTU+hPqwEYJVCTSNXncJMCu+joXObCWpjTbZMCrkv/vUP0CAAD//wMA&#10;UEsBAi0AFAAGAAgAAAAhALaDOJL+AAAA4QEAABMAAAAAAAAAAAAAAAAAAAAAAFtDb250ZW50X1R5&#10;cGVzXS54bWxQSwECLQAUAAYACAAAACEAOP0h/9YAAACUAQAACwAAAAAAAAAAAAAAAAAvAQAAX3Jl&#10;bHMvLnJlbHNQSwECLQAUAAYACAAAACEASgDRqvEBAADCAwAADgAAAAAAAAAAAAAAAAAuAgAAZHJz&#10;L2Uyb0RvYy54bWxQSwECLQAUAAYACAAAACEAHzrJSOAAAAALAQAADwAAAAAAAAAAAAAAAABLBAAA&#10;ZHJzL2Rvd25yZXYueG1sUEsFBgAAAAAEAAQA8wAAAFgFAAAAAA==&#10;" filled="f" stroked="f">
                <v:textbox inset="0,0,0,0">
                  <w:txbxContent>
                    <w:p w14:paraId="1C0BF18C" w14:textId="77777777" w:rsidR="00490F33" w:rsidRDefault="00490F33">
                      <w:pPr>
                        <w:textAlignment w:val="baseline"/>
                      </w:pPr>
                      <w:r>
                        <w:rPr>
                          <w:noProof/>
                          <w:lang w:val="en-AU" w:eastAsia="en-AU"/>
                        </w:rPr>
                        <w:drawing>
                          <wp:inline distT="0" distB="0" distL="0" distR="0" wp14:anchorId="11954F85" wp14:editId="28185BFD">
                            <wp:extent cx="7562215" cy="279781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39"/>
                                    <a:stretch>
                                      <a:fillRect/>
                                    </a:stretch>
                                  </pic:blipFill>
                                  <pic:spPr>
                                    <a:xfrm>
                                      <a:off x="0" y="0"/>
                                      <a:ext cx="7562215" cy="279781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296256" behindDoc="1" locked="0" layoutInCell="1" allowOverlap="1" wp14:anchorId="39F14C02" wp14:editId="78FDC2DD">
                <wp:simplePos x="0" y="0"/>
                <wp:positionH relativeFrom="page">
                  <wp:posOffset>6834505</wp:posOffset>
                </wp:positionH>
                <wp:positionV relativeFrom="page">
                  <wp:posOffset>9693275</wp:posOffset>
                </wp:positionV>
                <wp:extent cx="247650" cy="146050"/>
                <wp:effectExtent l="0" t="0" r="0" b="0"/>
                <wp:wrapSquare wrapText="bothSides"/>
                <wp:docPr id="984"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21677" w14:textId="77777777" w:rsidR="00490F33" w:rsidRDefault="00490F33">
                            <w:pPr>
                              <w:spacing w:before="16" w:line="213" w:lineRule="exact"/>
                              <w:textAlignment w:val="baseline"/>
                              <w:rPr>
                                <w:rFonts w:ascii="Arial" w:eastAsia="Arial" w:hAnsi="Arial"/>
                                <w:b/>
                                <w:color w:val="5556A1"/>
                                <w:spacing w:val="16"/>
                                <w:sz w:val="20"/>
                              </w:rPr>
                            </w:pPr>
                            <w:r>
                              <w:rPr>
                                <w:rFonts w:ascii="Arial" w:eastAsia="Arial" w:hAnsi="Arial"/>
                                <w:b/>
                                <w:color w:val="5556A1"/>
                                <w:spacing w:val="1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14C02" id="Text Box 705" o:spid="_x0000_s1030" type="#_x0000_t202" style="position:absolute;left:0;text-align:left;margin-left:538.15pt;margin-top:763.25pt;width:19.5pt;height:11.5pt;z-index:-252020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HK7QEAAMADAAAOAAAAZHJzL2Uyb0RvYy54bWysU9tu2zAMfR+wfxD0vtgJ0rQz4hRdiw4D&#10;ugvQ7gMYWY6F2aJGKbGzrx8lx1m3vRV9ESiSOjw8pNbXQ9eKgyZv0JZyPsul0FZhZeyulN+f7t9d&#10;SeED2ApatLqUR+3l9ebtm3XvCr3ABttKk2AQ64velbIJwRVZ5lWjO/AzdNpysEbqIPCVdllF0DN6&#10;12aLPF9lPVLlCJX2nr13Y1BuEn5daxW+1rXXQbSlZG4hnZTObTyzzRqKHYFrjDrRgBew6MBYLnqG&#10;uoMAYk/mP6jOKEKPdZgp7DKsa6N06oG7mef/dPPYgNOpFxbHu7NM/vVg1ZfDNxKmKuX7q6UUFjoe&#10;0pMegviAg7jML6JCvfMFJz46Tg0DB3jSqVvvHlD98MLibQN2p2+IsG80VMxwHl9mz56OOD6CbPvP&#10;WHEh2AdMQENNXZSPBRGMzpM6nqcTySh2LpaXqwuOKA7Nl6uc7VgBiumxIx8+auxENEpJPPwEDocH&#10;H8bUKSXWsnhv2pb9ULT2LwdjRk8iH/mOzMOwHZJSy0mTLVZH7oZwXCv+Bmw0SL+k6HmlSul/7oG0&#10;FO0ny4rE/ZsMmoztZIBV/LSUQYrRvA3jnu4dmV3DyKPmFm9YtdqkjqK8I4sTXV6TpMlppeMePr+n&#10;rD8fb/MbAAD//wMAUEsDBBQABgAIAAAAIQBynrjH4gAAAA8BAAAPAAAAZHJzL2Rvd25yZXYueG1s&#10;TI/BTsMwEETvSPyDtUjcqJNCQpvGqSoEJyTUNBw4OrGbWI3XIXbb8PdsTnDbmR3Nvs23k+3ZRY/e&#10;OBQQLyJgGhunDLYCPqu3hxUwHyQq2TvUAn60h21xe5PLTLkrlvpyCC2jEvSZFNCFMGSc+6bTVvqF&#10;GzTS7uhGKwPJseVqlFcqtz1fRlHKrTRIFzo56JdON6fD2QrYfWH5ar4/6n15LE1VrSN8T09C3N9N&#10;uw2woKfwF4YZn9ChIKbanVF51pOOntNHytKULNME2JyJ44S8evae1gnwIuf//yh+AQAA//8DAFBL&#10;AQItABQABgAIAAAAIQC2gziS/gAAAOEBAAATAAAAAAAAAAAAAAAAAAAAAABbQ29udGVudF9UeXBl&#10;c10ueG1sUEsBAi0AFAAGAAgAAAAhADj9If/WAAAAlAEAAAsAAAAAAAAAAAAAAAAALwEAAF9yZWxz&#10;Ly5yZWxzUEsBAi0AFAAGAAgAAAAhANgw0crtAQAAwAMAAA4AAAAAAAAAAAAAAAAALgIAAGRycy9l&#10;Mm9Eb2MueG1sUEsBAi0AFAAGAAgAAAAhAHKeuMfiAAAADwEAAA8AAAAAAAAAAAAAAAAARwQAAGRy&#10;cy9kb3ducmV2LnhtbFBLBQYAAAAABAAEAPMAAABWBQAAAAA=&#10;" filled="f" stroked="f">
                <v:textbox inset="0,0,0,0">
                  <w:txbxContent>
                    <w:p w14:paraId="1CA21677" w14:textId="77777777" w:rsidR="00490F33" w:rsidRDefault="00490F33">
                      <w:pPr>
                        <w:spacing w:before="16" w:line="213" w:lineRule="exact"/>
                        <w:textAlignment w:val="baseline"/>
                        <w:rPr>
                          <w:rFonts w:ascii="Arial" w:eastAsia="Arial" w:hAnsi="Arial"/>
                          <w:b/>
                          <w:color w:val="5556A1"/>
                          <w:spacing w:val="16"/>
                          <w:sz w:val="20"/>
                        </w:rPr>
                      </w:pPr>
                      <w:r>
                        <w:rPr>
                          <w:rFonts w:ascii="Arial" w:eastAsia="Arial" w:hAnsi="Arial"/>
                          <w:b/>
                          <w:color w:val="5556A1"/>
                          <w:spacing w:val="16"/>
                          <w:sz w:val="20"/>
                        </w:rPr>
                        <w:t>19</w:t>
                      </w:r>
                    </w:p>
                  </w:txbxContent>
                </v:textbox>
                <w10:wrap type="square" anchorx="page" anchory="page"/>
              </v:shape>
            </w:pict>
          </mc:Fallback>
        </mc:AlternateContent>
      </w:r>
      <w:r w:rsidR="00083242">
        <w:rPr>
          <w:rFonts w:ascii="Arial" w:eastAsia="Arial" w:hAnsi="Arial"/>
          <w:b/>
          <w:color w:val="404042"/>
          <w:sz w:val="20"/>
        </w:rPr>
        <w:t xml:space="preserve">7.3 </w:t>
      </w:r>
      <w:r w:rsidR="00083242">
        <w:rPr>
          <w:rFonts w:ascii="Tahoma" w:eastAsia="Tahoma" w:hAnsi="Tahoma"/>
          <w:color w:val="404042"/>
          <w:sz w:val="18"/>
        </w:rPr>
        <w:t>Education Council should accelerate the development of a Unique Student Identifier that allows senior secondary schooling to be linked with VET and higher education, while protecting the privacy of individuals. It can benefit not only governments but individuals and training providers.</w:t>
      </w:r>
    </w:p>
    <w:p w14:paraId="28CEC6A6" w14:textId="77777777" w:rsidR="009757A9" w:rsidRDefault="009757A9">
      <w:pPr>
        <w:sectPr w:rsidR="009757A9">
          <w:pgSz w:w="11909" w:h="16838"/>
          <w:pgMar w:top="1080" w:right="0" w:bottom="4010" w:left="0" w:header="720" w:footer="720" w:gutter="0"/>
          <w:cols w:space="720"/>
        </w:sectPr>
      </w:pPr>
    </w:p>
    <w:p w14:paraId="1FA788FA" w14:textId="77777777" w:rsidR="009757A9" w:rsidRDefault="00083242" w:rsidP="009E47D4">
      <w:pPr>
        <w:pStyle w:val="Heading1"/>
        <w:rPr>
          <w:rFonts w:eastAsia="Arial"/>
          <w:w w:val="95"/>
        </w:rPr>
      </w:pPr>
      <w:r>
        <w:rPr>
          <w:rFonts w:eastAsia="Arial"/>
          <w:w w:val="95"/>
        </w:rPr>
        <w:lastRenderedPageBreak/>
        <w:t>RECOMMENDATIONS</w:t>
      </w:r>
    </w:p>
    <w:p w14:paraId="793E9AE9" w14:textId="77777777" w:rsidR="009757A9" w:rsidRDefault="00083242">
      <w:pPr>
        <w:spacing w:line="413" w:lineRule="exact"/>
        <w:ind w:left="864"/>
        <w:textAlignment w:val="baseline"/>
        <w:rPr>
          <w:rFonts w:ascii="Tahoma" w:eastAsia="Tahoma" w:hAnsi="Tahoma"/>
          <w:color w:val="404042"/>
          <w:sz w:val="18"/>
        </w:rPr>
      </w:pPr>
      <w:r>
        <w:rPr>
          <w:rFonts w:ascii="Tahoma" w:eastAsia="Tahoma" w:hAnsi="Tahoma"/>
          <w:color w:val="404042"/>
          <w:sz w:val="18"/>
        </w:rPr>
        <w:t xml:space="preserve">The Panel recommends: </w:t>
      </w:r>
      <w:r>
        <w:rPr>
          <w:rFonts w:ascii="Tahoma" w:eastAsia="Tahoma" w:hAnsi="Tahoma"/>
          <w:color w:val="404042"/>
          <w:sz w:val="18"/>
        </w:rPr>
        <w:br/>
      </w:r>
      <w:r>
        <w:rPr>
          <w:rFonts w:ascii="Arial" w:eastAsia="Arial" w:hAnsi="Arial"/>
          <w:i/>
          <w:color w:val="007896"/>
          <w:sz w:val="18"/>
        </w:rPr>
        <w:t>Recommendation 1</w:t>
      </w:r>
    </w:p>
    <w:p w14:paraId="71C9D068" w14:textId="77777777" w:rsidR="009757A9" w:rsidRDefault="00083242">
      <w:pPr>
        <w:spacing w:before="172" w:line="240" w:lineRule="exact"/>
        <w:ind w:left="864" w:right="1296"/>
        <w:textAlignment w:val="baseline"/>
        <w:rPr>
          <w:rFonts w:ascii="Tahoma" w:eastAsia="Tahoma" w:hAnsi="Tahoma"/>
          <w:color w:val="404042"/>
          <w:sz w:val="18"/>
        </w:rPr>
      </w:pPr>
      <w:r>
        <w:rPr>
          <w:rFonts w:ascii="Tahoma" w:eastAsia="Tahoma" w:hAnsi="Tahoma"/>
          <w:color w:val="404042"/>
          <w:sz w:val="18"/>
        </w:rPr>
        <w:t>All students should expect that they will be supported to meet the minimum literacy, numeracy and digital literacy proficiency standards, which are the foundation for success beyond school.</w:t>
      </w:r>
    </w:p>
    <w:p w14:paraId="664D180B" w14:textId="77777777" w:rsidR="009757A9" w:rsidRDefault="00083242">
      <w:pPr>
        <w:numPr>
          <w:ilvl w:val="0"/>
          <w:numId w:val="10"/>
        </w:numPr>
        <w:tabs>
          <w:tab w:val="clear" w:pos="216"/>
          <w:tab w:val="left" w:pos="1296"/>
        </w:tabs>
        <w:spacing w:before="78" w:line="220" w:lineRule="exact"/>
        <w:ind w:left="1296" w:hanging="216"/>
        <w:textAlignment w:val="baseline"/>
        <w:rPr>
          <w:rFonts w:ascii="Tahoma" w:eastAsia="Tahoma" w:hAnsi="Tahoma"/>
          <w:color w:val="404042"/>
          <w:spacing w:val="5"/>
          <w:sz w:val="18"/>
        </w:rPr>
      </w:pPr>
      <w:r>
        <w:rPr>
          <w:rFonts w:ascii="Tahoma" w:eastAsia="Tahoma" w:hAnsi="Tahoma"/>
          <w:color w:val="404042"/>
          <w:spacing w:val="5"/>
          <w:sz w:val="18"/>
        </w:rPr>
        <w:t>Students should be supported to meet the requirements and have them recognised by the end of Year 10.</w:t>
      </w:r>
    </w:p>
    <w:p w14:paraId="36A05E59" w14:textId="77777777" w:rsidR="009757A9" w:rsidRDefault="00083242">
      <w:pPr>
        <w:numPr>
          <w:ilvl w:val="0"/>
          <w:numId w:val="10"/>
        </w:numPr>
        <w:tabs>
          <w:tab w:val="clear" w:pos="216"/>
          <w:tab w:val="left" w:pos="1296"/>
        </w:tabs>
        <w:spacing w:before="53" w:line="240" w:lineRule="exact"/>
        <w:ind w:left="1296" w:right="1800" w:hanging="216"/>
        <w:textAlignment w:val="baseline"/>
        <w:rPr>
          <w:rFonts w:ascii="Tahoma" w:eastAsia="Tahoma" w:hAnsi="Tahoma"/>
          <w:color w:val="404042"/>
          <w:sz w:val="18"/>
        </w:rPr>
      </w:pPr>
      <w:r>
        <w:rPr>
          <w:rFonts w:ascii="Tahoma" w:eastAsia="Tahoma" w:hAnsi="Tahoma"/>
          <w:color w:val="404042"/>
          <w:sz w:val="18"/>
        </w:rPr>
        <w:t>Students still requiring additional assistance to meet those standards should be provided with targeted interventions in Years 11 and 12.</w:t>
      </w:r>
    </w:p>
    <w:p w14:paraId="41505BF1" w14:textId="77777777" w:rsidR="009757A9" w:rsidRDefault="00083242">
      <w:pPr>
        <w:numPr>
          <w:ilvl w:val="0"/>
          <w:numId w:val="10"/>
        </w:numPr>
        <w:tabs>
          <w:tab w:val="clear" w:pos="216"/>
          <w:tab w:val="left" w:pos="1296"/>
        </w:tabs>
        <w:spacing w:before="57" w:line="240" w:lineRule="exact"/>
        <w:ind w:left="1296" w:right="1224" w:hanging="216"/>
        <w:textAlignment w:val="baseline"/>
        <w:rPr>
          <w:rFonts w:ascii="Tahoma" w:eastAsia="Tahoma" w:hAnsi="Tahoma"/>
          <w:color w:val="404042"/>
          <w:sz w:val="18"/>
        </w:rPr>
      </w:pPr>
      <w:r>
        <w:rPr>
          <w:rFonts w:ascii="Tahoma" w:eastAsia="Tahoma" w:hAnsi="Tahoma"/>
          <w:color w:val="404042"/>
          <w:sz w:val="18"/>
        </w:rPr>
        <w:t>If, despite this supplementary support, students leave school without meeting these standards, they should be given ample opportunity and support to achieve these proficiency standards later.</w:t>
      </w:r>
    </w:p>
    <w:p w14:paraId="42E3FDB3"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2</w:t>
      </w:r>
    </w:p>
    <w:p w14:paraId="3F888B01" w14:textId="77777777" w:rsidR="009757A9" w:rsidRDefault="00083242">
      <w:pPr>
        <w:spacing w:before="172" w:line="240" w:lineRule="exact"/>
        <w:ind w:left="864" w:right="1440"/>
        <w:textAlignment w:val="baseline"/>
        <w:rPr>
          <w:rFonts w:ascii="Tahoma" w:eastAsia="Tahoma" w:hAnsi="Tahoma"/>
          <w:color w:val="404042"/>
          <w:sz w:val="18"/>
        </w:rPr>
      </w:pPr>
      <w:r>
        <w:rPr>
          <w:rFonts w:ascii="Tahoma" w:eastAsia="Tahoma" w:hAnsi="Tahoma"/>
          <w:color w:val="404042"/>
          <w:sz w:val="18"/>
        </w:rPr>
        <w:t>There should be agreement on a common language across the entire education and training system for what are variously described across sectors as general capabilities, employability skills, soft skills or graduate capabilities.</w:t>
      </w:r>
    </w:p>
    <w:p w14:paraId="74496A12"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3</w:t>
      </w:r>
    </w:p>
    <w:p w14:paraId="3F772408" w14:textId="77777777" w:rsidR="009757A9" w:rsidRDefault="00083242">
      <w:pPr>
        <w:spacing w:before="172" w:line="240" w:lineRule="exact"/>
        <w:ind w:left="864" w:right="1008"/>
        <w:textAlignment w:val="baseline"/>
        <w:rPr>
          <w:rFonts w:ascii="Tahoma" w:eastAsia="Tahoma" w:hAnsi="Tahoma"/>
          <w:color w:val="404042"/>
          <w:sz w:val="18"/>
        </w:rPr>
      </w:pPr>
      <w:r>
        <w:rPr>
          <w:rFonts w:ascii="Tahoma" w:eastAsia="Tahoma" w:hAnsi="Tahoma"/>
          <w:color w:val="404042"/>
          <w:sz w:val="18"/>
        </w:rPr>
        <w:t>Once the common language is agreed across sectors and jurisdictions, appropriate standards should be developed to allow the evidencing, within the schooling sector, of the capabilities necessary for employment and active citizenship, building on the Foundation to Year 10 capabilities, but focused particularly on Years 11 and 12.</w:t>
      </w:r>
    </w:p>
    <w:p w14:paraId="58AE2B89" w14:textId="77777777" w:rsidR="009757A9" w:rsidRDefault="00083242">
      <w:pPr>
        <w:spacing w:before="203" w:line="205" w:lineRule="exact"/>
        <w:ind w:left="864"/>
        <w:textAlignment w:val="baseline"/>
        <w:rPr>
          <w:rFonts w:ascii="Arial" w:eastAsia="Arial" w:hAnsi="Arial"/>
          <w:i/>
          <w:color w:val="007896"/>
          <w:sz w:val="18"/>
        </w:rPr>
      </w:pPr>
      <w:r>
        <w:rPr>
          <w:rFonts w:ascii="Arial" w:eastAsia="Arial" w:hAnsi="Arial"/>
          <w:i/>
          <w:color w:val="007896"/>
          <w:sz w:val="18"/>
        </w:rPr>
        <w:t>Recommendation 4</w:t>
      </w:r>
    </w:p>
    <w:p w14:paraId="2CC8FE70" w14:textId="77777777" w:rsidR="009757A9" w:rsidRDefault="00083242">
      <w:pPr>
        <w:spacing w:before="172" w:line="240" w:lineRule="exact"/>
        <w:ind w:left="864" w:right="1512"/>
        <w:textAlignment w:val="baseline"/>
        <w:rPr>
          <w:rFonts w:ascii="Tahoma" w:eastAsia="Tahoma" w:hAnsi="Tahoma"/>
          <w:color w:val="404042"/>
          <w:sz w:val="18"/>
        </w:rPr>
      </w:pPr>
      <w:r>
        <w:rPr>
          <w:rFonts w:ascii="Tahoma" w:eastAsia="Tahoma" w:hAnsi="Tahoma"/>
          <w:color w:val="404042"/>
          <w:sz w:val="18"/>
        </w:rPr>
        <w:t>Students should leave school with a Learner Profile that incorporates not only their ATAR score (where relevant) together with their individual subject results, but that also captures the broader range of evidenced capabilities necessary for employment and active citizenship that they have acquired in senior secondary schooling.</w:t>
      </w:r>
    </w:p>
    <w:p w14:paraId="35D5D618" w14:textId="77777777" w:rsidR="009757A9" w:rsidRDefault="00083242">
      <w:pPr>
        <w:spacing w:before="199" w:line="205" w:lineRule="exact"/>
        <w:ind w:left="864"/>
        <w:textAlignment w:val="baseline"/>
        <w:rPr>
          <w:rFonts w:ascii="Arial" w:eastAsia="Arial" w:hAnsi="Arial"/>
          <w:i/>
          <w:color w:val="007896"/>
          <w:sz w:val="18"/>
        </w:rPr>
      </w:pPr>
      <w:r>
        <w:rPr>
          <w:rFonts w:ascii="Arial" w:eastAsia="Arial" w:hAnsi="Arial"/>
          <w:i/>
          <w:color w:val="007896"/>
          <w:sz w:val="18"/>
        </w:rPr>
        <w:t>Recommendation 5</w:t>
      </w:r>
    </w:p>
    <w:p w14:paraId="67833487" w14:textId="77777777" w:rsidR="009757A9" w:rsidRDefault="00083242">
      <w:pPr>
        <w:spacing w:before="177" w:line="240" w:lineRule="exact"/>
        <w:ind w:left="864" w:right="936"/>
        <w:textAlignment w:val="baseline"/>
        <w:rPr>
          <w:rFonts w:ascii="Tahoma" w:eastAsia="Tahoma" w:hAnsi="Tahoma"/>
          <w:color w:val="404042"/>
          <w:sz w:val="18"/>
        </w:rPr>
      </w:pPr>
      <w:r>
        <w:rPr>
          <w:rFonts w:ascii="Tahoma" w:eastAsia="Tahoma" w:hAnsi="Tahoma"/>
          <w:color w:val="404042"/>
          <w:sz w:val="18"/>
        </w:rPr>
        <w:t>Senior secondary certification requirements and the way learning is packaged should be restructured so that students are not presented with a binary choice between vocational or higher education pathways.</w:t>
      </w:r>
    </w:p>
    <w:p w14:paraId="2F8308C5" w14:textId="77777777" w:rsidR="009757A9" w:rsidRDefault="00083242">
      <w:pPr>
        <w:spacing w:before="199" w:line="205" w:lineRule="exact"/>
        <w:ind w:left="864"/>
        <w:textAlignment w:val="baseline"/>
        <w:rPr>
          <w:rFonts w:ascii="Arial" w:eastAsia="Arial" w:hAnsi="Arial"/>
          <w:i/>
          <w:color w:val="007896"/>
          <w:sz w:val="18"/>
        </w:rPr>
      </w:pPr>
      <w:r>
        <w:rPr>
          <w:rFonts w:ascii="Arial" w:eastAsia="Arial" w:hAnsi="Arial"/>
          <w:i/>
          <w:color w:val="007896"/>
          <w:sz w:val="18"/>
        </w:rPr>
        <w:t>Recommendation 6</w:t>
      </w:r>
    </w:p>
    <w:p w14:paraId="50F42C5B" w14:textId="77777777" w:rsidR="009757A9" w:rsidRDefault="00083242">
      <w:pPr>
        <w:spacing w:before="197"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Career guidance within and outside of schools should be strengthened significantly and accorded higher status.</w:t>
      </w:r>
    </w:p>
    <w:p w14:paraId="42568124" w14:textId="77777777" w:rsidR="009757A9" w:rsidRDefault="00083242">
      <w:pPr>
        <w:numPr>
          <w:ilvl w:val="0"/>
          <w:numId w:val="11"/>
        </w:numPr>
        <w:tabs>
          <w:tab w:val="clear" w:pos="216"/>
          <w:tab w:val="left" w:pos="1296"/>
        </w:tabs>
        <w:spacing w:before="58" w:line="240" w:lineRule="exact"/>
        <w:ind w:left="1296" w:right="1224" w:hanging="216"/>
        <w:textAlignment w:val="baseline"/>
        <w:rPr>
          <w:rFonts w:ascii="Tahoma" w:eastAsia="Tahoma" w:hAnsi="Tahoma"/>
          <w:color w:val="404042"/>
          <w:spacing w:val="4"/>
          <w:sz w:val="18"/>
        </w:rPr>
      </w:pPr>
      <w:r>
        <w:rPr>
          <w:rFonts w:ascii="Tahoma" w:eastAsia="Tahoma" w:hAnsi="Tahoma"/>
          <w:color w:val="404042"/>
          <w:spacing w:val="4"/>
          <w:sz w:val="18"/>
        </w:rPr>
        <w:t>The newly established National Careers Institute should provide a free and comprehensive digital platform for career information for students and their teachers, with a focus on making its considerable data sources easy to navigate.</w:t>
      </w:r>
    </w:p>
    <w:p w14:paraId="0BA51301" w14:textId="77777777" w:rsidR="009757A9" w:rsidRDefault="00083242">
      <w:pPr>
        <w:numPr>
          <w:ilvl w:val="0"/>
          <w:numId w:val="11"/>
        </w:numPr>
        <w:tabs>
          <w:tab w:val="clear" w:pos="216"/>
          <w:tab w:val="left" w:pos="1296"/>
        </w:tabs>
        <w:spacing w:before="48" w:line="240" w:lineRule="exact"/>
        <w:ind w:left="1296" w:right="1368" w:hanging="216"/>
        <w:textAlignment w:val="baseline"/>
        <w:rPr>
          <w:rFonts w:ascii="Tahoma" w:eastAsia="Tahoma" w:hAnsi="Tahoma"/>
          <w:color w:val="404042"/>
          <w:spacing w:val="6"/>
          <w:sz w:val="18"/>
        </w:rPr>
      </w:pPr>
      <w:r>
        <w:rPr>
          <w:rFonts w:ascii="Tahoma" w:eastAsia="Tahoma" w:hAnsi="Tahoma"/>
          <w:color w:val="404042"/>
          <w:spacing w:val="6"/>
          <w:sz w:val="18"/>
        </w:rPr>
        <w:t>Schools should be supported by a network of career hubs that provide a connected system of individualised career guidance that schools, students and their parents can access, with an initial focus on regional and remote areas.</w:t>
      </w:r>
    </w:p>
    <w:p w14:paraId="56D6C76F" w14:textId="77777777" w:rsidR="009757A9" w:rsidRDefault="00083242">
      <w:pPr>
        <w:numPr>
          <w:ilvl w:val="0"/>
          <w:numId w:val="11"/>
        </w:numPr>
        <w:tabs>
          <w:tab w:val="clear" w:pos="216"/>
          <w:tab w:val="left" w:pos="1296"/>
        </w:tabs>
        <w:spacing w:before="82" w:line="220" w:lineRule="exact"/>
        <w:ind w:left="1296" w:hanging="216"/>
        <w:textAlignment w:val="baseline"/>
        <w:rPr>
          <w:rFonts w:ascii="Tahoma" w:eastAsia="Tahoma" w:hAnsi="Tahoma"/>
          <w:color w:val="404042"/>
          <w:spacing w:val="5"/>
          <w:sz w:val="18"/>
        </w:rPr>
      </w:pPr>
      <w:r>
        <w:rPr>
          <w:rFonts w:ascii="Tahoma" w:eastAsia="Tahoma" w:hAnsi="Tahoma"/>
          <w:color w:val="404042"/>
          <w:spacing w:val="5"/>
          <w:sz w:val="18"/>
        </w:rPr>
        <w:t>Schools should be encouraged to provide wide-ranging career guidance as the basis of pathway planning.</w:t>
      </w:r>
    </w:p>
    <w:p w14:paraId="08ADBE66" w14:textId="77777777" w:rsidR="009757A9" w:rsidRDefault="00083242">
      <w:pPr>
        <w:numPr>
          <w:ilvl w:val="0"/>
          <w:numId w:val="11"/>
        </w:numPr>
        <w:tabs>
          <w:tab w:val="clear" w:pos="216"/>
          <w:tab w:val="left" w:pos="1296"/>
        </w:tabs>
        <w:spacing w:before="78" w:line="220" w:lineRule="exact"/>
        <w:ind w:left="1296" w:hanging="216"/>
        <w:textAlignment w:val="baseline"/>
        <w:rPr>
          <w:rFonts w:ascii="Tahoma" w:eastAsia="Tahoma" w:hAnsi="Tahoma"/>
          <w:color w:val="404042"/>
          <w:spacing w:val="5"/>
          <w:sz w:val="18"/>
        </w:rPr>
      </w:pPr>
      <w:r>
        <w:rPr>
          <w:rFonts w:ascii="Tahoma" w:eastAsia="Tahoma" w:hAnsi="Tahoma"/>
          <w:color w:val="404042"/>
          <w:spacing w:val="5"/>
          <w:sz w:val="18"/>
        </w:rPr>
        <w:t>Those students who choose to leave school before the end of Year 12 need to be given greater advice and support.</w:t>
      </w:r>
    </w:p>
    <w:p w14:paraId="0C6E1710" w14:textId="77777777" w:rsidR="009757A9" w:rsidRDefault="00083242">
      <w:pPr>
        <w:numPr>
          <w:ilvl w:val="0"/>
          <w:numId w:val="11"/>
        </w:numPr>
        <w:tabs>
          <w:tab w:val="clear" w:pos="216"/>
          <w:tab w:val="left" w:pos="1296"/>
        </w:tabs>
        <w:spacing w:before="57" w:line="240" w:lineRule="exact"/>
        <w:ind w:left="1296" w:right="1296" w:hanging="216"/>
        <w:textAlignment w:val="baseline"/>
        <w:rPr>
          <w:rFonts w:ascii="Tahoma" w:eastAsia="Tahoma" w:hAnsi="Tahoma"/>
          <w:color w:val="404042"/>
          <w:sz w:val="18"/>
        </w:rPr>
      </w:pPr>
      <w:r>
        <w:rPr>
          <w:rFonts w:ascii="Tahoma" w:eastAsia="Tahoma" w:hAnsi="Tahoma"/>
          <w:color w:val="404042"/>
          <w:sz w:val="18"/>
        </w:rPr>
        <w:t>All those who provide career guidance both in and outside of schools should be expected to have certificated professional qualifications.</w:t>
      </w:r>
    </w:p>
    <w:p w14:paraId="767789A4" w14:textId="77777777" w:rsidR="009757A9" w:rsidRDefault="00083242">
      <w:pPr>
        <w:spacing w:before="199" w:line="205" w:lineRule="exact"/>
        <w:ind w:left="864"/>
        <w:textAlignment w:val="baseline"/>
        <w:rPr>
          <w:rFonts w:ascii="Arial" w:eastAsia="Arial" w:hAnsi="Arial"/>
          <w:i/>
          <w:color w:val="007896"/>
          <w:sz w:val="18"/>
        </w:rPr>
      </w:pPr>
      <w:r>
        <w:rPr>
          <w:rFonts w:ascii="Arial" w:eastAsia="Arial" w:hAnsi="Arial"/>
          <w:i/>
          <w:color w:val="007896"/>
          <w:sz w:val="18"/>
        </w:rPr>
        <w:t>Recommendation 7</w:t>
      </w:r>
    </w:p>
    <w:p w14:paraId="62E847B2" w14:textId="77777777" w:rsidR="009757A9" w:rsidRDefault="00083242">
      <w:pPr>
        <w:spacing w:before="177" w:line="240" w:lineRule="exact"/>
        <w:ind w:left="864" w:right="936"/>
        <w:textAlignment w:val="baseline"/>
        <w:rPr>
          <w:rFonts w:ascii="Tahoma" w:eastAsia="Tahoma" w:hAnsi="Tahoma"/>
          <w:color w:val="404042"/>
          <w:sz w:val="18"/>
        </w:rPr>
      </w:pPr>
      <w:r>
        <w:rPr>
          <w:rFonts w:ascii="Tahoma" w:eastAsia="Tahoma" w:hAnsi="Tahoma"/>
          <w:color w:val="404042"/>
          <w:sz w:val="18"/>
        </w:rPr>
        <w:t>All students – including those seeking university entry – should be supported to undertake career education and work exploration at school, through workplace learning, work skills courses, and/or undertaking applied subjects such as design and technology.</w:t>
      </w:r>
    </w:p>
    <w:p w14:paraId="04135FE5" w14:textId="7474B03B" w:rsidR="009757A9" w:rsidRDefault="008232DF">
      <w:pPr>
        <w:tabs>
          <w:tab w:val="left" w:pos="1368"/>
        </w:tabs>
        <w:spacing w:before="1286" w:after="636" w:line="209"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117504" behindDoc="1" locked="0" layoutInCell="1" allowOverlap="1" wp14:anchorId="4CEAD668" wp14:editId="3B99CD55">
            <wp:simplePos x="0" y="0"/>
            <wp:positionH relativeFrom="margin">
              <wp:align>right</wp:align>
            </wp:positionH>
            <wp:positionV relativeFrom="paragraph">
              <wp:posOffset>1229360</wp:posOffset>
            </wp:positionV>
            <wp:extent cx="7562215" cy="462915"/>
            <wp:effectExtent l="0" t="0" r="635" b="0"/>
            <wp:wrapNone/>
            <wp:docPr id="1073"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4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20</w:t>
      </w:r>
      <w:r w:rsidR="00083242">
        <w:rPr>
          <w:rFonts w:ascii="Tahoma" w:eastAsia="Tahoma" w:hAnsi="Tahoma"/>
          <w:color w:val="404042"/>
          <w:spacing w:val="4"/>
          <w:sz w:val="14"/>
        </w:rPr>
        <w:tab/>
        <w:t>Looking to the future</w:t>
      </w:r>
    </w:p>
    <w:p w14:paraId="76527AB4" w14:textId="56C9EC93" w:rsidR="009757A9" w:rsidRDefault="009757A9">
      <w:pPr>
        <w:textAlignment w:val="baseline"/>
      </w:pPr>
    </w:p>
    <w:p w14:paraId="553A332A" w14:textId="4B897C5C" w:rsidR="009757A9" w:rsidRDefault="009757A9">
      <w:pPr>
        <w:sectPr w:rsidR="009757A9">
          <w:pgSz w:w="11909" w:h="16838"/>
          <w:pgMar w:top="1080" w:right="0" w:bottom="0" w:left="0" w:header="720" w:footer="720" w:gutter="0"/>
          <w:cols w:space="720"/>
        </w:sectPr>
      </w:pPr>
    </w:p>
    <w:p w14:paraId="34C9C220" w14:textId="77777777" w:rsidR="009757A9" w:rsidRDefault="00083242">
      <w:pPr>
        <w:spacing w:before="11" w:line="205" w:lineRule="exact"/>
        <w:ind w:left="864"/>
        <w:textAlignment w:val="baseline"/>
        <w:rPr>
          <w:rFonts w:ascii="Arial" w:eastAsia="Arial" w:hAnsi="Arial"/>
          <w:i/>
          <w:color w:val="007896"/>
          <w:sz w:val="18"/>
        </w:rPr>
      </w:pPr>
      <w:r>
        <w:rPr>
          <w:rFonts w:ascii="Arial" w:eastAsia="Arial" w:hAnsi="Arial"/>
          <w:i/>
          <w:color w:val="007896"/>
          <w:sz w:val="18"/>
        </w:rPr>
        <w:lastRenderedPageBreak/>
        <w:t>Recommendation 8</w:t>
      </w:r>
    </w:p>
    <w:p w14:paraId="3B2926BC" w14:textId="77777777" w:rsidR="009757A9" w:rsidRDefault="00083242">
      <w:pPr>
        <w:spacing w:before="172" w:line="240" w:lineRule="exact"/>
        <w:ind w:left="864" w:right="1296"/>
        <w:textAlignment w:val="baseline"/>
        <w:rPr>
          <w:rFonts w:ascii="Tahoma" w:eastAsia="Tahoma" w:hAnsi="Tahoma"/>
          <w:color w:val="404042"/>
          <w:spacing w:val="6"/>
          <w:sz w:val="18"/>
        </w:rPr>
      </w:pPr>
      <w:r>
        <w:rPr>
          <w:rFonts w:ascii="Tahoma" w:eastAsia="Tahoma" w:hAnsi="Tahoma"/>
          <w:color w:val="404042"/>
          <w:spacing w:val="6"/>
          <w:sz w:val="18"/>
        </w:rPr>
        <w:t>Vocational education and training (VET) should only be provided at school where it can be done in a high-quality way as demonstrated through the explicit endorsement of local employers or industry bodies, and if schools are unable to meet these requirements, they should support their students to undertake VET at an external registered training organisation.</w:t>
      </w:r>
    </w:p>
    <w:p w14:paraId="34BFBD5C"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9</w:t>
      </w:r>
    </w:p>
    <w:p w14:paraId="3AD03BB4" w14:textId="77777777" w:rsidR="009757A9" w:rsidRDefault="00083242">
      <w:pPr>
        <w:spacing w:before="172" w:line="240" w:lineRule="exact"/>
        <w:ind w:left="864" w:right="1008"/>
        <w:textAlignment w:val="baseline"/>
        <w:rPr>
          <w:rFonts w:ascii="Tahoma" w:eastAsia="Tahoma" w:hAnsi="Tahoma"/>
          <w:color w:val="404042"/>
          <w:sz w:val="18"/>
        </w:rPr>
      </w:pPr>
      <w:r>
        <w:rPr>
          <w:rFonts w:ascii="Tahoma" w:eastAsia="Tahoma" w:hAnsi="Tahoma"/>
          <w:color w:val="404042"/>
          <w:sz w:val="18"/>
        </w:rPr>
        <w:t>When undertaking a formal VET qualification or school-based apprenticeship or traineeship, the allocation of time spent by students at school, with a registered training organisation, or in the workplace should be based upon what is in their best interests, rather than upon funding arrangements or administrative convenience.</w:t>
      </w:r>
    </w:p>
    <w:p w14:paraId="618F3497"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10</w:t>
      </w:r>
    </w:p>
    <w:p w14:paraId="4DE17AA4" w14:textId="77777777" w:rsidR="009757A9" w:rsidRDefault="00083242">
      <w:pPr>
        <w:spacing w:before="172" w:line="240" w:lineRule="exact"/>
        <w:ind w:left="864" w:right="1800"/>
        <w:textAlignment w:val="baseline"/>
        <w:rPr>
          <w:rFonts w:ascii="Tahoma" w:eastAsia="Tahoma" w:hAnsi="Tahoma"/>
          <w:color w:val="404042"/>
          <w:sz w:val="18"/>
        </w:rPr>
      </w:pPr>
      <w:r>
        <w:rPr>
          <w:rFonts w:ascii="Tahoma" w:eastAsia="Tahoma" w:hAnsi="Tahoma"/>
          <w:color w:val="404042"/>
          <w:sz w:val="18"/>
        </w:rPr>
        <w:t>In collaboration with the Skills Council, Education Council should co-design with industry a national strategy on vocational education and training in schools that promotes the quality of VET, including by addressing the following elements.</w:t>
      </w:r>
    </w:p>
    <w:p w14:paraId="5E2AD419" w14:textId="77777777" w:rsidR="009757A9" w:rsidRDefault="00083242">
      <w:pPr>
        <w:numPr>
          <w:ilvl w:val="0"/>
          <w:numId w:val="12"/>
        </w:numPr>
        <w:tabs>
          <w:tab w:val="clear" w:pos="216"/>
          <w:tab w:val="left" w:pos="1296"/>
        </w:tabs>
        <w:spacing w:before="77" w:line="220" w:lineRule="exact"/>
        <w:ind w:left="1296" w:hanging="216"/>
        <w:textAlignment w:val="baseline"/>
        <w:rPr>
          <w:rFonts w:ascii="Tahoma" w:eastAsia="Tahoma" w:hAnsi="Tahoma"/>
          <w:color w:val="404042"/>
          <w:spacing w:val="4"/>
          <w:sz w:val="18"/>
        </w:rPr>
      </w:pPr>
      <w:r>
        <w:rPr>
          <w:rFonts w:ascii="Tahoma" w:eastAsia="Tahoma" w:hAnsi="Tahoma"/>
          <w:color w:val="404042"/>
          <w:spacing w:val="4"/>
          <w:sz w:val="18"/>
        </w:rPr>
        <w:t>The interests of the student must be at the centre of the strategy.</w:t>
      </w:r>
    </w:p>
    <w:p w14:paraId="2C1799DA" w14:textId="77777777" w:rsidR="009757A9" w:rsidRDefault="00083242">
      <w:pPr>
        <w:numPr>
          <w:ilvl w:val="0"/>
          <w:numId w:val="12"/>
        </w:numPr>
        <w:tabs>
          <w:tab w:val="clear" w:pos="216"/>
          <w:tab w:val="left" w:pos="1296"/>
        </w:tabs>
        <w:spacing w:before="78" w:line="220" w:lineRule="exact"/>
        <w:ind w:left="1080"/>
        <w:textAlignment w:val="baseline"/>
        <w:rPr>
          <w:rFonts w:ascii="Tahoma" w:eastAsia="Tahoma" w:hAnsi="Tahoma"/>
          <w:color w:val="404042"/>
          <w:spacing w:val="5"/>
          <w:sz w:val="18"/>
        </w:rPr>
      </w:pPr>
      <w:r>
        <w:rPr>
          <w:rFonts w:ascii="Tahoma" w:eastAsia="Tahoma" w:hAnsi="Tahoma"/>
          <w:color w:val="404042"/>
          <w:spacing w:val="5"/>
          <w:sz w:val="18"/>
        </w:rPr>
        <w:t>All students must meet the minimum standards in literacy, numeracy and digital literacy.</w:t>
      </w:r>
    </w:p>
    <w:p w14:paraId="207600B6" w14:textId="77777777" w:rsidR="009757A9" w:rsidRDefault="00083242">
      <w:pPr>
        <w:numPr>
          <w:ilvl w:val="0"/>
          <w:numId w:val="12"/>
        </w:numPr>
        <w:tabs>
          <w:tab w:val="clear" w:pos="216"/>
          <w:tab w:val="left" w:pos="1296"/>
        </w:tabs>
        <w:spacing w:before="57" w:line="240" w:lineRule="exact"/>
        <w:ind w:left="1296" w:right="2376" w:hanging="216"/>
        <w:textAlignment w:val="baseline"/>
        <w:rPr>
          <w:rFonts w:ascii="Tahoma" w:eastAsia="Tahoma" w:hAnsi="Tahoma"/>
          <w:color w:val="404042"/>
          <w:sz w:val="18"/>
        </w:rPr>
      </w:pPr>
      <w:r>
        <w:rPr>
          <w:rFonts w:ascii="Tahoma" w:eastAsia="Tahoma" w:hAnsi="Tahoma"/>
          <w:color w:val="404042"/>
          <w:sz w:val="18"/>
        </w:rPr>
        <w:t>All students leaving school should have had exposure to professional career education and work exploration activities.</w:t>
      </w:r>
    </w:p>
    <w:p w14:paraId="6A0608A7" w14:textId="77777777" w:rsidR="009757A9" w:rsidRDefault="00083242">
      <w:pPr>
        <w:numPr>
          <w:ilvl w:val="0"/>
          <w:numId w:val="12"/>
        </w:numPr>
        <w:tabs>
          <w:tab w:val="clear" w:pos="216"/>
          <w:tab w:val="left" w:pos="1296"/>
        </w:tabs>
        <w:spacing w:before="50" w:line="240" w:lineRule="exact"/>
        <w:ind w:left="1296" w:right="864" w:hanging="216"/>
        <w:textAlignment w:val="baseline"/>
        <w:rPr>
          <w:rFonts w:ascii="Tahoma" w:eastAsia="Tahoma" w:hAnsi="Tahoma"/>
          <w:color w:val="404042"/>
          <w:sz w:val="18"/>
        </w:rPr>
      </w:pPr>
      <w:r>
        <w:rPr>
          <w:rFonts w:ascii="Tahoma" w:eastAsia="Tahoma" w:hAnsi="Tahoma"/>
          <w:color w:val="404042"/>
          <w:sz w:val="18"/>
        </w:rPr>
        <w:t>Formal VET qualifications delivered in schools must be of a quality that is valued by industry and match the quality of VET delivered outside schools.</w:t>
      </w:r>
    </w:p>
    <w:p w14:paraId="0486D3E6" w14:textId="77777777" w:rsidR="009757A9" w:rsidRDefault="00083242">
      <w:pPr>
        <w:numPr>
          <w:ilvl w:val="0"/>
          <w:numId w:val="12"/>
        </w:numPr>
        <w:tabs>
          <w:tab w:val="clear" w:pos="216"/>
          <w:tab w:val="left" w:pos="1296"/>
        </w:tabs>
        <w:spacing w:before="61" w:line="240" w:lineRule="exact"/>
        <w:ind w:left="1296" w:right="1224" w:hanging="216"/>
        <w:textAlignment w:val="baseline"/>
        <w:rPr>
          <w:rFonts w:ascii="Tahoma" w:eastAsia="Tahoma" w:hAnsi="Tahoma"/>
          <w:color w:val="404042"/>
          <w:sz w:val="18"/>
        </w:rPr>
      </w:pPr>
      <w:r>
        <w:rPr>
          <w:rFonts w:ascii="Tahoma" w:eastAsia="Tahoma" w:hAnsi="Tahoma"/>
          <w:color w:val="404042"/>
          <w:sz w:val="18"/>
        </w:rPr>
        <w:t>Where schools cannot deliver high-quality, formal VET qualifications, they should encourage students to study through reputable external registered training organisations.</w:t>
      </w:r>
    </w:p>
    <w:p w14:paraId="437BE13E" w14:textId="77777777" w:rsidR="009757A9" w:rsidRDefault="00083242">
      <w:pPr>
        <w:numPr>
          <w:ilvl w:val="0"/>
          <w:numId w:val="12"/>
        </w:numPr>
        <w:tabs>
          <w:tab w:val="clear" w:pos="216"/>
          <w:tab w:val="left" w:pos="1296"/>
        </w:tabs>
        <w:spacing w:before="57" w:line="240" w:lineRule="exact"/>
        <w:ind w:left="1296" w:right="1440" w:hanging="216"/>
        <w:textAlignment w:val="baseline"/>
        <w:rPr>
          <w:rFonts w:ascii="Tahoma" w:eastAsia="Tahoma" w:hAnsi="Tahoma"/>
          <w:color w:val="404042"/>
          <w:sz w:val="18"/>
        </w:rPr>
      </w:pPr>
      <w:r>
        <w:rPr>
          <w:rFonts w:ascii="Tahoma" w:eastAsia="Tahoma" w:hAnsi="Tahoma"/>
          <w:color w:val="404042"/>
          <w:sz w:val="18"/>
        </w:rPr>
        <w:t>The Preparing Secondary Students for Work framework, formulated in 2014, should be updated with a much greater focus on quality and implementation.</w:t>
      </w:r>
    </w:p>
    <w:p w14:paraId="027CD454" w14:textId="77777777" w:rsidR="009757A9" w:rsidRDefault="00083242">
      <w:pPr>
        <w:numPr>
          <w:ilvl w:val="0"/>
          <w:numId w:val="12"/>
        </w:numPr>
        <w:tabs>
          <w:tab w:val="clear" w:pos="216"/>
          <w:tab w:val="left" w:pos="1296"/>
        </w:tabs>
        <w:spacing w:before="58" w:line="240" w:lineRule="exact"/>
        <w:ind w:left="1296" w:right="1008" w:hanging="216"/>
        <w:textAlignment w:val="baseline"/>
        <w:rPr>
          <w:rFonts w:ascii="Tahoma" w:eastAsia="Tahoma" w:hAnsi="Tahoma"/>
          <w:color w:val="404042"/>
          <w:sz w:val="18"/>
        </w:rPr>
      </w:pPr>
      <w:r>
        <w:rPr>
          <w:rFonts w:ascii="Tahoma" w:eastAsia="Tahoma" w:hAnsi="Tahoma"/>
          <w:color w:val="404042"/>
          <w:sz w:val="18"/>
        </w:rPr>
        <w:t>School-based apprenticeships and traineeships should be more actively promoted and made easier to undertake for both students and employers.</w:t>
      </w:r>
    </w:p>
    <w:p w14:paraId="09EA54F7" w14:textId="77777777" w:rsidR="009757A9" w:rsidRDefault="00083242">
      <w:pPr>
        <w:numPr>
          <w:ilvl w:val="0"/>
          <w:numId w:val="12"/>
        </w:numPr>
        <w:tabs>
          <w:tab w:val="clear" w:pos="216"/>
          <w:tab w:val="left" w:pos="1296"/>
        </w:tabs>
        <w:spacing w:line="351" w:lineRule="exact"/>
        <w:ind w:left="864" w:right="1512" w:firstLine="216"/>
        <w:textAlignment w:val="baseline"/>
        <w:rPr>
          <w:rFonts w:ascii="Tahoma" w:eastAsia="Tahoma" w:hAnsi="Tahoma"/>
          <w:color w:val="404042"/>
          <w:sz w:val="18"/>
        </w:rPr>
      </w:pPr>
      <w:r>
        <w:rPr>
          <w:rFonts w:ascii="Tahoma" w:eastAsia="Tahoma" w:hAnsi="Tahoma"/>
          <w:color w:val="404042"/>
          <w:sz w:val="18"/>
        </w:rPr>
        <w:t xml:space="preserve">The VET undertaken should be responsive to existing and emerging skills needs, including at the local level. </w:t>
      </w:r>
      <w:r>
        <w:rPr>
          <w:rFonts w:ascii="Arial" w:eastAsia="Arial" w:hAnsi="Arial"/>
          <w:i/>
          <w:color w:val="007896"/>
          <w:sz w:val="18"/>
        </w:rPr>
        <w:t>Recommendation 11</w:t>
      </w:r>
    </w:p>
    <w:p w14:paraId="7DCA2EEB" w14:textId="77777777" w:rsidR="009757A9" w:rsidRDefault="00083242">
      <w:pPr>
        <w:spacing w:before="176" w:line="240" w:lineRule="exact"/>
        <w:ind w:left="864" w:right="1656"/>
        <w:textAlignment w:val="baseline"/>
        <w:rPr>
          <w:rFonts w:ascii="Tahoma" w:eastAsia="Tahoma" w:hAnsi="Tahoma"/>
          <w:color w:val="404042"/>
          <w:sz w:val="18"/>
        </w:rPr>
      </w:pPr>
      <w:r>
        <w:rPr>
          <w:rFonts w:ascii="Tahoma" w:eastAsia="Tahoma" w:hAnsi="Tahoma"/>
          <w:color w:val="404042"/>
          <w:sz w:val="18"/>
        </w:rPr>
        <w:t>Education authorities and industry bodies should formalise their working relationship in order to facilitate the engagement of industry in senior secondary schooling in a systematic and comprehensive manner.</w:t>
      </w:r>
    </w:p>
    <w:p w14:paraId="5076DE21" w14:textId="77777777" w:rsidR="009757A9" w:rsidRDefault="00083242">
      <w:pPr>
        <w:spacing w:before="199" w:line="205" w:lineRule="exact"/>
        <w:ind w:left="864"/>
        <w:textAlignment w:val="baseline"/>
        <w:rPr>
          <w:rFonts w:ascii="Arial" w:eastAsia="Arial" w:hAnsi="Arial"/>
          <w:i/>
          <w:color w:val="007896"/>
          <w:spacing w:val="-1"/>
          <w:sz w:val="18"/>
        </w:rPr>
      </w:pPr>
      <w:r>
        <w:rPr>
          <w:rFonts w:ascii="Arial" w:eastAsia="Arial" w:hAnsi="Arial"/>
          <w:i/>
          <w:color w:val="007896"/>
          <w:spacing w:val="-1"/>
          <w:sz w:val="18"/>
        </w:rPr>
        <w:t>Recommendation 12</w:t>
      </w:r>
    </w:p>
    <w:p w14:paraId="7B3470C6" w14:textId="77777777" w:rsidR="009757A9" w:rsidRDefault="00083242">
      <w:pPr>
        <w:spacing w:before="170"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Education authorities need to facilitate and encourage partnerships between schools and employers at the local level in order to help students to make choices and gain experience in the diverse career pathways that different industries can offer.</w:t>
      </w:r>
    </w:p>
    <w:p w14:paraId="25D76580" w14:textId="77777777" w:rsidR="009757A9" w:rsidRDefault="00083242">
      <w:pPr>
        <w:spacing w:before="206" w:line="205" w:lineRule="exact"/>
        <w:ind w:left="864"/>
        <w:textAlignment w:val="baseline"/>
        <w:rPr>
          <w:rFonts w:ascii="Arial" w:eastAsia="Arial" w:hAnsi="Arial"/>
          <w:i/>
          <w:color w:val="007896"/>
          <w:spacing w:val="-1"/>
          <w:sz w:val="18"/>
        </w:rPr>
      </w:pPr>
      <w:r>
        <w:rPr>
          <w:rFonts w:ascii="Arial" w:eastAsia="Arial" w:hAnsi="Arial"/>
          <w:i/>
          <w:color w:val="007896"/>
          <w:spacing w:val="-1"/>
          <w:sz w:val="18"/>
        </w:rPr>
        <w:t>Recommendation 13</w:t>
      </w:r>
    </w:p>
    <w:p w14:paraId="535DA5DB" w14:textId="77777777" w:rsidR="009757A9" w:rsidRDefault="00083242">
      <w:pPr>
        <w:spacing w:before="192"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Governments should provide access to free education or training to 16- to 20-year-olds who have left school without</w:t>
      </w:r>
    </w:p>
    <w:p w14:paraId="4AB0B1E7" w14:textId="77777777" w:rsidR="009757A9" w:rsidRDefault="00083242">
      <w:pPr>
        <w:spacing w:line="240" w:lineRule="exact"/>
        <w:ind w:left="864" w:right="936"/>
        <w:textAlignment w:val="baseline"/>
        <w:rPr>
          <w:rFonts w:ascii="Tahoma" w:eastAsia="Tahoma" w:hAnsi="Tahoma"/>
          <w:color w:val="404042"/>
          <w:sz w:val="18"/>
        </w:rPr>
      </w:pPr>
      <w:r>
        <w:rPr>
          <w:rFonts w:ascii="Tahoma" w:eastAsia="Tahoma" w:hAnsi="Tahoma"/>
          <w:color w:val="404042"/>
          <w:sz w:val="18"/>
        </w:rPr>
        <w:t>obtaining a Senior Secondary Certificate of Education in order to allow them to attain a Senior Secondary Certificate of Education or equivalent, and to attain minimum standards of literacy, numeracy and digital literacy.</w:t>
      </w:r>
    </w:p>
    <w:p w14:paraId="77A5C19B"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14</w:t>
      </w:r>
    </w:p>
    <w:p w14:paraId="2D015D95" w14:textId="77777777" w:rsidR="009757A9" w:rsidRDefault="00083242">
      <w:pPr>
        <w:spacing w:before="172" w:line="240" w:lineRule="exact"/>
        <w:ind w:left="864" w:right="1296"/>
        <w:textAlignment w:val="baseline"/>
        <w:rPr>
          <w:rFonts w:ascii="Tahoma" w:eastAsia="Tahoma" w:hAnsi="Tahoma"/>
          <w:color w:val="404042"/>
          <w:sz w:val="18"/>
        </w:rPr>
      </w:pPr>
      <w:r>
        <w:rPr>
          <w:rFonts w:ascii="Tahoma" w:eastAsia="Tahoma" w:hAnsi="Tahoma"/>
          <w:color w:val="404042"/>
          <w:sz w:val="18"/>
        </w:rPr>
        <w:t>Education Council should develop a national approach to the use of microcredentialing in schools that encourages senior secondary students to access high-quality, relevant courses developed by tertiary education and training providers, industry groups or employers.</w:t>
      </w:r>
    </w:p>
    <w:p w14:paraId="286FE3CA" w14:textId="77777777" w:rsidR="009757A9" w:rsidRDefault="00083242">
      <w:pPr>
        <w:spacing w:before="1699" w:after="607" w:line="209" w:lineRule="exact"/>
        <w:ind w:left="10800"/>
        <w:textAlignment w:val="baseline"/>
        <w:rPr>
          <w:rFonts w:ascii="Arial" w:eastAsia="Arial" w:hAnsi="Arial"/>
          <w:b/>
          <w:color w:val="5556A1"/>
          <w:spacing w:val="28"/>
          <w:sz w:val="19"/>
        </w:rPr>
      </w:pPr>
      <w:r>
        <w:rPr>
          <w:rFonts w:ascii="Arial" w:eastAsia="Arial" w:hAnsi="Arial"/>
          <w:b/>
          <w:color w:val="5556A1"/>
          <w:spacing w:val="28"/>
          <w:sz w:val="19"/>
        </w:rPr>
        <w:t>21</w:t>
      </w:r>
    </w:p>
    <w:p w14:paraId="67827ADF" w14:textId="77777777" w:rsidR="009757A9" w:rsidRDefault="00083242">
      <w:pPr>
        <w:textAlignment w:val="baseline"/>
      </w:pPr>
      <w:r>
        <w:rPr>
          <w:noProof/>
          <w:lang w:val="en-AU" w:eastAsia="en-AU"/>
        </w:rPr>
        <w:drawing>
          <wp:inline distT="0" distB="0" distL="0" distR="0" wp14:anchorId="29DD50FC" wp14:editId="2A78AF56">
            <wp:extent cx="7562215" cy="462915"/>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0" name="Picture"/>
                    <pic:cNvPicPr preferRelativeResize="0"/>
                  </pic:nvPicPr>
                  <pic:blipFill>
                    <a:blip r:embed="rId41"/>
                    <a:stretch>
                      <a:fillRect/>
                    </a:stretch>
                  </pic:blipFill>
                  <pic:spPr>
                    <a:xfrm>
                      <a:off x="0" y="0"/>
                      <a:ext cx="7562215" cy="462915"/>
                    </a:xfrm>
                    <a:prstGeom prst="rect">
                      <a:avLst/>
                    </a:prstGeom>
                  </pic:spPr>
                </pic:pic>
              </a:graphicData>
            </a:graphic>
          </wp:inline>
        </w:drawing>
      </w:r>
    </w:p>
    <w:p w14:paraId="13B0A996" w14:textId="77777777" w:rsidR="009757A9" w:rsidRDefault="009757A9">
      <w:pPr>
        <w:sectPr w:rsidR="009757A9">
          <w:pgSz w:w="11909" w:h="16838"/>
          <w:pgMar w:top="1100" w:right="0" w:bottom="0" w:left="0" w:header="720" w:footer="720" w:gutter="0"/>
          <w:cols w:space="720"/>
        </w:sectPr>
      </w:pPr>
    </w:p>
    <w:p w14:paraId="7B669A88" w14:textId="77777777" w:rsidR="009757A9" w:rsidRDefault="00083242">
      <w:pPr>
        <w:spacing w:before="11" w:line="205" w:lineRule="exact"/>
        <w:ind w:left="864"/>
        <w:textAlignment w:val="baseline"/>
        <w:rPr>
          <w:rFonts w:ascii="Arial" w:eastAsia="Arial" w:hAnsi="Arial"/>
          <w:i/>
          <w:color w:val="007896"/>
          <w:sz w:val="18"/>
        </w:rPr>
      </w:pPr>
      <w:r>
        <w:rPr>
          <w:rFonts w:ascii="Arial" w:eastAsia="Arial" w:hAnsi="Arial"/>
          <w:i/>
          <w:color w:val="007896"/>
          <w:sz w:val="18"/>
        </w:rPr>
        <w:lastRenderedPageBreak/>
        <w:t>Recommendation 15</w:t>
      </w:r>
    </w:p>
    <w:p w14:paraId="2A4358B5" w14:textId="77777777" w:rsidR="009757A9" w:rsidRDefault="00083242">
      <w:pPr>
        <w:spacing w:before="172" w:line="240" w:lineRule="exact"/>
        <w:ind w:left="864" w:right="1224"/>
        <w:textAlignment w:val="baseline"/>
        <w:rPr>
          <w:rFonts w:ascii="Tahoma" w:eastAsia="Tahoma" w:hAnsi="Tahoma"/>
          <w:color w:val="404042"/>
          <w:sz w:val="18"/>
        </w:rPr>
      </w:pPr>
      <w:r>
        <w:rPr>
          <w:rFonts w:ascii="Tahoma" w:eastAsia="Tahoma" w:hAnsi="Tahoma"/>
          <w:color w:val="404042"/>
          <w:sz w:val="18"/>
        </w:rPr>
        <w:t>In collaboration with industry, and VET and higher education providers, Education Council should codesign a digital Education Passport for lifelong learning – a living document that allows young people to capture progressively their education and training qualifications and workplace experience.</w:t>
      </w:r>
    </w:p>
    <w:p w14:paraId="74AED09F"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16</w:t>
      </w:r>
    </w:p>
    <w:p w14:paraId="71865ECB" w14:textId="77777777" w:rsidR="009757A9" w:rsidRDefault="00083242">
      <w:pPr>
        <w:spacing w:before="172" w:line="240" w:lineRule="exact"/>
        <w:ind w:left="864" w:right="1512"/>
        <w:textAlignment w:val="baseline"/>
        <w:rPr>
          <w:rFonts w:ascii="Tahoma" w:eastAsia="Tahoma" w:hAnsi="Tahoma"/>
          <w:color w:val="404042"/>
          <w:sz w:val="18"/>
        </w:rPr>
      </w:pPr>
      <w:r>
        <w:rPr>
          <w:rFonts w:ascii="Tahoma" w:eastAsia="Tahoma" w:hAnsi="Tahoma"/>
          <w:color w:val="404042"/>
          <w:sz w:val="18"/>
        </w:rPr>
        <w:t>Education Council should ensure that the cultural competencies and experiences of Aboriginal and Torres Strait Islander students can be recognised as a key part of their Learner Profiles.</w:t>
      </w:r>
    </w:p>
    <w:p w14:paraId="4AEF757A" w14:textId="77777777" w:rsidR="009757A9" w:rsidRDefault="00083242">
      <w:pPr>
        <w:spacing w:before="204" w:line="205" w:lineRule="exact"/>
        <w:ind w:left="864"/>
        <w:textAlignment w:val="baseline"/>
        <w:rPr>
          <w:rFonts w:ascii="Arial" w:eastAsia="Arial" w:hAnsi="Arial"/>
          <w:i/>
          <w:color w:val="007896"/>
          <w:sz w:val="18"/>
        </w:rPr>
      </w:pPr>
      <w:r>
        <w:rPr>
          <w:rFonts w:ascii="Arial" w:eastAsia="Arial" w:hAnsi="Arial"/>
          <w:i/>
          <w:color w:val="007896"/>
          <w:sz w:val="18"/>
        </w:rPr>
        <w:t>Recommendation 17</w:t>
      </w:r>
    </w:p>
    <w:p w14:paraId="5F7A9A2B" w14:textId="77777777" w:rsidR="009757A9" w:rsidRDefault="00083242">
      <w:pPr>
        <w:spacing w:before="172" w:line="240" w:lineRule="exact"/>
        <w:ind w:left="864" w:right="864"/>
        <w:textAlignment w:val="baseline"/>
        <w:rPr>
          <w:rFonts w:ascii="Tahoma" w:eastAsia="Tahoma" w:hAnsi="Tahoma"/>
          <w:color w:val="404042"/>
          <w:sz w:val="18"/>
        </w:rPr>
      </w:pPr>
      <w:r>
        <w:rPr>
          <w:rFonts w:ascii="Tahoma" w:eastAsia="Tahoma" w:hAnsi="Tahoma"/>
          <w:color w:val="404042"/>
          <w:sz w:val="18"/>
        </w:rPr>
        <w:t>All senior secondary students with disability should have access to work exploration in school and, in collaboration with disability support groups, have an individual post-school transition plan put in place prior to leaving school.</w:t>
      </w:r>
    </w:p>
    <w:p w14:paraId="7D793D15" w14:textId="77777777" w:rsidR="009757A9" w:rsidRDefault="00083242">
      <w:pPr>
        <w:spacing w:before="203" w:line="205" w:lineRule="exact"/>
        <w:ind w:left="864"/>
        <w:textAlignment w:val="baseline"/>
        <w:rPr>
          <w:rFonts w:ascii="Arial" w:eastAsia="Arial" w:hAnsi="Arial"/>
          <w:i/>
          <w:color w:val="007896"/>
          <w:sz w:val="18"/>
        </w:rPr>
      </w:pPr>
      <w:r>
        <w:rPr>
          <w:rFonts w:ascii="Arial" w:eastAsia="Arial" w:hAnsi="Arial"/>
          <w:i/>
          <w:color w:val="007896"/>
          <w:sz w:val="18"/>
        </w:rPr>
        <w:t>Recommendation 18</w:t>
      </w:r>
    </w:p>
    <w:p w14:paraId="2F294A30" w14:textId="77777777" w:rsidR="009757A9" w:rsidRDefault="00083242">
      <w:pPr>
        <w:spacing w:before="172" w:line="240" w:lineRule="exact"/>
        <w:ind w:left="864"/>
        <w:textAlignment w:val="baseline"/>
        <w:rPr>
          <w:rFonts w:ascii="Tahoma" w:eastAsia="Tahoma" w:hAnsi="Tahoma"/>
          <w:color w:val="404042"/>
          <w:spacing w:val="5"/>
          <w:sz w:val="18"/>
        </w:rPr>
      </w:pPr>
      <w:r>
        <w:rPr>
          <w:rFonts w:ascii="Tahoma" w:eastAsia="Tahoma" w:hAnsi="Tahoma"/>
          <w:color w:val="404042"/>
          <w:spacing w:val="5"/>
          <w:sz w:val="18"/>
        </w:rPr>
        <w:t>Education Council should establish a national Transition from School Program that, through a range of collaborative</w:t>
      </w:r>
    </w:p>
    <w:p w14:paraId="5E0FDB24"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demonstration projects, would trial and evaluate new approaches to supporting vulnerable and at-risk students as they prepare to leave school.</w:t>
      </w:r>
    </w:p>
    <w:p w14:paraId="2156EDC4" w14:textId="77777777" w:rsidR="009757A9" w:rsidRDefault="00083242">
      <w:pPr>
        <w:spacing w:before="204" w:line="205" w:lineRule="exact"/>
        <w:ind w:left="864"/>
        <w:textAlignment w:val="baseline"/>
        <w:rPr>
          <w:rFonts w:ascii="Arial" w:eastAsia="Arial" w:hAnsi="Arial"/>
          <w:i/>
          <w:color w:val="007896"/>
          <w:spacing w:val="-1"/>
          <w:sz w:val="18"/>
        </w:rPr>
      </w:pPr>
      <w:r>
        <w:rPr>
          <w:rFonts w:ascii="Arial" w:eastAsia="Arial" w:hAnsi="Arial"/>
          <w:i/>
          <w:color w:val="007896"/>
          <w:spacing w:val="-1"/>
          <w:sz w:val="18"/>
        </w:rPr>
        <w:t>Recommendation 19</w:t>
      </w:r>
    </w:p>
    <w:p w14:paraId="1EEC2B15" w14:textId="77777777" w:rsidR="009757A9" w:rsidRDefault="00083242">
      <w:pPr>
        <w:spacing w:before="172"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Education policy needs to be based on evidence about the pathways from school taken by young people and, for that reason, governments should continue to invest in longitudinal studies, such as the Longitudinal Surveys of Australian Youth (LSAY), the Longitudinal Study of Indigenous Children (LSIC) and the Household, Income and Labour Dynamics in Australia (HILDA) Survey.</w:t>
      </w:r>
    </w:p>
    <w:p w14:paraId="653D84EA" w14:textId="77777777" w:rsidR="009757A9" w:rsidRDefault="00083242">
      <w:pPr>
        <w:spacing w:before="199" w:line="205" w:lineRule="exact"/>
        <w:ind w:left="864"/>
        <w:textAlignment w:val="baseline"/>
        <w:rPr>
          <w:rFonts w:ascii="Arial" w:eastAsia="Arial" w:hAnsi="Arial"/>
          <w:i/>
          <w:color w:val="007896"/>
          <w:sz w:val="18"/>
        </w:rPr>
      </w:pPr>
      <w:r>
        <w:rPr>
          <w:rFonts w:ascii="Arial" w:eastAsia="Arial" w:hAnsi="Arial"/>
          <w:i/>
          <w:color w:val="007896"/>
          <w:sz w:val="18"/>
        </w:rPr>
        <w:t>Recommendation 20</w:t>
      </w:r>
    </w:p>
    <w:p w14:paraId="0420FF5F" w14:textId="77777777" w:rsidR="009757A9" w:rsidRDefault="00083242">
      <w:pPr>
        <w:spacing w:before="177" w:after="6552" w:line="240" w:lineRule="exact"/>
        <w:ind w:left="864" w:right="936"/>
        <w:textAlignment w:val="baseline"/>
        <w:rPr>
          <w:rFonts w:ascii="Tahoma" w:eastAsia="Tahoma" w:hAnsi="Tahoma"/>
          <w:color w:val="404042"/>
          <w:sz w:val="18"/>
        </w:rPr>
      </w:pPr>
      <w:r>
        <w:rPr>
          <w:rFonts w:ascii="Tahoma" w:eastAsia="Tahoma" w:hAnsi="Tahoma"/>
          <w:color w:val="404042"/>
          <w:sz w:val="18"/>
        </w:rPr>
        <w:t>Data integration projects across sectors and states and territories should be leveraged to provide insights into how and why people move through different parts of the education system and labour market across their lifetimes and, to this end, Education Council should accelerate the development of a Unique Student Identifier to understand better the routes by which students, from Year 10 onwards, move into tertiary education, training and employment.</w:t>
      </w:r>
    </w:p>
    <w:p w14:paraId="00F18461" w14:textId="77777777" w:rsidR="009757A9" w:rsidRDefault="009757A9">
      <w:pPr>
        <w:spacing w:before="177" w:after="6552" w:line="240" w:lineRule="exact"/>
        <w:sectPr w:rsidR="009757A9">
          <w:pgSz w:w="11909" w:h="16838"/>
          <w:pgMar w:top="1100" w:right="0" w:bottom="0" w:left="0" w:header="720" w:footer="720" w:gutter="0"/>
          <w:cols w:space="720"/>
        </w:sectPr>
      </w:pPr>
    </w:p>
    <w:p w14:paraId="4C703ECD" w14:textId="77777777" w:rsidR="009757A9" w:rsidRDefault="00083242">
      <w:pPr>
        <w:tabs>
          <w:tab w:val="left" w:pos="1368"/>
        </w:tabs>
        <w:spacing w:after="636"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22</w:t>
      </w:r>
      <w:r>
        <w:rPr>
          <w:rFonts w:ascii="Tahoma" w:eastAsia="Tahoma" w:hAnsi="Tahoma"/>
          <w:color w:val="404042"/>
          <w:spacing w:val="4"/>
          <w:sz w:val="14"/>
        </w:rPr>
        <w:tab/>
        <w:t>Looking to the future</w:t>
      </w:r>
    </w:p>
    <w:p w14:paraId="092615D8" w14:textId="77777777" w:rsidR="009757A9" w:rsidRDefault="00083242">
      <w:pPr>
        <w:textAlignment w:val="baseline"/>
      </w:pPr>
      <w:r>
        <w:rPr>
          <w:noProof/>
          <w:lang w:val="en-AU" w:eastAsia="en-AU"/>
        </w:rPr>
        <w:drawing>
          <wp:anchor distT="0" distB="0" distL="114300" distR="114300" simplePos="0" relativeHeight="252115456" behindDoc="1" locked="0" layoutInCell="1" allowOverlap="1" wp14:anchorId="72EB3D45" wp14:editId="2E293E2D">
            <wp:simplePos x="0" y="0"/>
            <wp:positionH relativeFrom="column">
              <wp:posOffset>0</wp:posOffset>
            </wp:positionH>
            <wp:positionV relativeFrom="paragraph">
              <wp:posOffset>-2540</wp:posOffset>
            </wp:positionV>
            <wp:extent cx="7562215" cy="462915"/>
            <wp:effectExtent l="0" t="0" r="635" b="0"/>
            <wp:wrapNone/>
            <wp:docPr id="31"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4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1520B678" w14:textId="77777777" w:rsidR="009757A9" w:rsidRDefault="009757A9">
      <w:pPr>
        <w:sectPr w:rsidR="009757A9">
          <w:type w:val="continuous"/>
          <w:pgSz w:w="11909" w:h="16838"/>
          <w:pgMar w:top="1100" w:right="0" w:bottom="0" w:left="0" w:header="720" w:footer="720" w:gutter="0"/>
          <w:cols w:space="720"/>
        </w:sectPr>
      </w:pPr>
    </w:p>
    <w:p w14:paraId="2304D982" w14:textId="77777777" w:rsidR="009757A9" w:rsidRPr="009E47D4" w:rsidRDefault="000D2E34" w:rsidP="009E47D4">
      <w:pPr>
        <w:pStyle w:val="Heading1"/>
        <w:ind w:left="3119" w:hanging="3119"/>
        <w:rPr>
          <w:rFonts w:eastAsia="Arial"/>
        </w:rPr>
      </w:pPr>
      <w:r>
        <w:rPr>
          <w:noProof/>
          <w:lang w:val="en-AU" w:eastAsia="en-AU"/>
        </w:rPr>
        <w:lastRenderedPageBreak/>
        <mc:AlternateContent>
          <mc:Choice Requires="wps">
            <w:drawing>
              <wp:anchor distT="0" distB="0" distL="0" distR="0" simplePos="0" relativeHeight="251297280" behindDoc="1" locked="0" layoutInCell="1" allowOverlap="1" wp14:anchorId="24ECC64C" wp14:editId="2A802070">
                <wp:simplePos x="0" y="0"/>
                <wp:positionH relativeFrom="page">
                  <wp:posOffset>804545</wp:posOffset>
                </wp:positionH>
                <wp:positionV relativeFrom="page">
                  <wp:posOffset>0</wp:posOffset>
                </wp:positionV>
                <wp:extent cx="6757670" cy="6696075"/>
                <wp:effectExtent l="0" t="0" r="0" b="0"/>
                <wp:wrapSquare wrapText="bothSides"/>
                <wp:docPr id="983"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9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2295F" w14:textId="77777777" w:rsidR="00490F33" w:rsidRDefault="00490F33">
                            <w:pPr>
                              <w:spacing w:after="1833"/>
                              <w:textAlignment w:val="baseline"/>
                            </w:pPr>
                            <w:r>
                              <w:rPr>
                                <w:noProof/>
                                <w:lang w:val="en-AU" w:eastAsia="en-AU"/>
                              </w:rPr>
                              <w:drawing>
                                <wp:inline distT="0" distB="0" distL="0" distR="0" wp14:anchorId="59CCCBED" wp14:editId="21935432">
                                  <wp:extent cx="6757670" cy="5532120"/>
                                  <wp:effectExtent l="0" t="0" r="0" b="0"/>
                                  <wp:docPr id="100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00" name="Picture">
                                            <a:extLst>
                                              <a:ext uri="{C183D7F6-B498-43B3-948B-1728B52AA6E4}">
                                                <adec:decorative xmlns:adec="http://schemas.microsoft.com/office/drawing/2017/decorative" val="1"/>
                                              </a:ext>
                                            </a:extLst>
                                          </pic:cNvPr>
                                          <pic:cNvPicPr preferRelativeResize="0"/>
                                        </pic:nvPicPr>
                                        <pic:blipFill>
                                          <a:blip r:embed="rId42"/>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C64C" id="Text Box 704" o:spid="_x0000_s1031" type="#_x0000_t202" style="position:absolute;left:0;text-align:left;margin-left:63.35pt;margin-top:0;width:532.1pt;height:527.25pt;z-index:-25201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08AEAAMIDAAAOAAAAZHJzL2Uyb0RvYy54bWysU9tu2zAMfR+wfxD0vtjpVqc14hRdiw4D&#10;ugvQ9gMYWY6F2aJGKbGzrx8lJ2m3vg17EWiROjznkF5ejX0ndpq8QVvJ+SyXQluFtbGbSj493r27&#10;kMIHsDV0aHUl99rLq9XbN8vBlfoMW+xqTYJBrC8HV8k2BFdmmVet7sHP0GnLyQaph8CftMlqgoHR&#10;+y47y/MiG5BqR6i093x7OyXlKuE3jVbhW9N4HURXSeYW0knpXMczWy2h3BC41qgDDfgHFj0Yy01P&#10;ULcQQGzJvILqjSL02ISZwj7DpjFKJw2sZp7/peahBaeTFjbHu5NN/v/Bqq+77yRMXcnLi/dSWOh5&#10;SI96DOIjjmKRf4gODc6XXPjguDSMnOBJJ7Xe3aP64YXFmxbsRl8T4dBqqJnhPL7MXjydcHwEWQ9f&#10;sOZGsA2YgMaG+mgfGyIYnSe1P00nklF8WSzOF8WCU4pzRXFZ5Ivz1APK43NHPnzS2IsYVJJ4/Ake&#10;dvc+RDpQHktiN4t3puvSCnT2jwsujDeJfmQ8cQ/jekxepb5R2hrrPeshnBaLfwQOWqRfUgy8VJX0&#10;P7dAWorus2VP4gYeAzoG62MAVvHTSgYppvAmTJu6dWQ2LSNPrlu8Zt8akxQ9szjQ5UVJQg9LHTfx&#10;5Xeqev71Vr8BAAD//wMAUEsDBBQABgAIAAAAIQCO+NkR3gAAAAoBAAAPAAAAZHJzL2Rvd25yZXYu&#10;eG1sTI/BTsMwEETvSPyDtUjcqN2KBhLiVBWCExIiDQeOTrxNosbrELtt+Hu2J7jtaEazb/LN7AZx&#10;win0njQsFwoEUuNtT62Gz+r17hFEiIasGTyhhh8MsCmur3KTWX+mEk+72AouoZAZDV2MYyZlaDp0&#10;Jiz8iMTe3k/ORJZTK+1kzlzuBrlSKpHO9MQfOjPic4fNYXd0GrZfVL703+/1R7kv+6pKFb0lB61v&#10;b+btE4iIc/wLwwWf0aFgptofyQYxsF4lDxzVwIsu9jJVKYiaL7W+X4Mscvl/QvELAAD//wMAUEsB&#10;Ai0AFAAGAAgAAAAhALaDOJL+AAAA4QEAABMAAAAAAAAAAAAAAAAAAAAAAFtDb250ZW50X1R5cGVz&#10;XS54bWxQSwECLQAUAAYACAAAACEAOP0h/9YAAACUAQAACwAAAAAAAAAAAAAAAAAvAQAAX3JlbHMv&#10;LnJlbHNQSwECLQAUAAYACAAAACEAP/X4NPABAADCAwAADgAAAAAAAAAAAAAAAAAuAgAAZHJzL2Uy&#10;b0RvYy54bWxQSwECLQAUAAYACAAAACEAjvjZEd4AAAAKAQAADwAAAAAAAAAAAAAAAABKBAAAZHJz&#10;L2Rvd25yZXYueG1sUEsFBgAAAAAEAAQA8wAAAFUFAAAAAA==&#10;" filled="f" stroked="f">
                <v:textbox inset="0,0,0,0">
                  <w:txbxContent>
                    <w:p w14:paraId="11A2295F" w14:textId="77777777" w:rsidR="00490F33" w:rsidRDefault="00490F33">
                      <w:pPr>
                        <w:spacing w:after="1833"/>
                        <w:textAlignment w:val="baseline"/>
                      </w:pPr>
                      <w:r>
                        <w:rPr>
                          <w:noProof/>
                          <w:lang w:val="en-AU" w:eastAsia="en-AU"/>
                        </w:rPr>
                        <w:drawing>
                          <wp:inline distT="0" distB="0" distL="0" distR="0" wp14:anchorId="59CCCBED" wp14:editId="21935432">
                            <wp:extent cx="6757670" cy="5532120"/>
                            <wp:effectExtent l="0" t="0" r="0" b="0"/>
                            <wp:docPr id="100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00" name="Picture">
                                      <a:extLst>
                                        <a:ext uri="{C183D7F6-B498-43B3-948B-1728B52AA6E4}">
                                          <adec:decorative xmlns:adec="http://schemas.microsoft.com/office/drawing/2017/decorative" val="1"/>
                                        </a:ext>
                                      </a:extLst>
                                    </pic:cNvPr>
                                    <pic:cNvPicPr preferRelativeResize="0"/>
                                  </pic:nvPicPr>
                                  <pic:blipFill>
                                    <a:blip r:embed="rId42"/>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Pr>
          <w:rFonts w:eastAsia="Arial"/>
        </w:rPr>
        <w:t xml:space="preserve">INTRODUCTION: </w:t>
      </w:r>
      <w:r w:rsidR="009E47D4" w:rsidRPr="00000820">
        <w:rPr>
          <w:rFonts w:eastAsia="Tahoma"/>
          <w:b w:val="0"/>
          <w:bCs/>
          <w:w w:val="95"/>
        </w:rPr>
        <w:t xml:space="preserve">THE </w:t>
      </w:r>
      <w:r w:rsidR="009E47D4" w:rsidRPr="00000820">
        <w:rPr>
          <w:b w:val="0"/>
          <w:bCs/>
        </w:rPr>
        <w:t xml:space="preserve">EDUCATION AND </w:t>
      </w:r>
      <w:r w:rsidR="00083242" w:rsidRPr="00000820">
        <w:rPr>
          <w:b w:val="0"/>
          <w:bCs/>
        </w:rPr>
        <w:t>EMPLOYMENT</w:t>
      </w:r>
      <w:r w:rsidR="009E47D4" w:rsidRPr="00000820">
        <w:rPr>
          <w:b w:val="0"/>
          <w:bCs/>
        </w:rPr>
        <w:t xml:space="preserve"> </w:t>
      </w:r>
      <w:r w:rsidR="00083242" w:rsidRPr="00000820">
        <w:rPr>
          <w:b w:val="0"/>
          <w:bCs/>
        </w:rPr>
        <w:t>CONTEXT OF THIS REPORT</w:t>
      </w:r>
    </w:p>
    <w:p w14:paraId="0C1927BF" w14:textId="77777777" w:rsidR="009757A9" w:rsidRDefault="009757A9">
      <w:pPr>
        <w:spacing w:before="6" w:after="3795" w:line="456" w:lineRule="exact"/>
        <w:sectPr w:rsidR="009757A9" w:rsidSect="009E47D4">
          <w:pgSz w:w="11909" w:h="16838"/>
          <w:pgMar w:top="0" w:right="427" w:bottom="0" w:left="883" w:header="720" w:footer="720" w:gutter="0"/>
          <w:cols w:space="720"/>
        </w:sectPr>
      </w:pPr>
    </w:p>
    <w:p w14:paraId="3C1683DB" w14:textId="39B0B213" w:rsidR="009757A9" w:rsidRDefault="009757A9">
      <w:pPr>
        <w:textAlignment w:val="baseline"/>
      </w:pPr>
    </w:p>
    <w:p w14:paraId="24723AED" w14:textId="77777777" w:rsidR="001D3978" w:rsidRDefault="001D3978" w:rsidP="009E47D4">
      <w:pPr>
        <w:spacing w:before="2" w:after="609" w:line="205" w:lineRule="exact"/>
        <w:ind w:left="10800"/>
        <w:textAlignment w:val="baseline"/>
        <w:rPr>
          <w:rFonts w:ascii="Arial" w:eastAsia="Arial" w:hAnsi="Arial"/>
          <w:color w:val="5457A2"/>
          <w:spacing w:val="38"/>
          <w:sz w:val="18"/>
        </w:rPr>
      </w:pPr>
    </w:p>
    <w:p w14:paraId="5E24091F" w14:textId="77777777" w:rsidR="001D3978" w:rsidRDefault="001D3978" w:rsidP="009E47D4">
      <w:pPr>
        <w:spacing w:before="2" w:after="609" w:line="205" w:lineRule="exact"/>
        <w:ind w:left="10800"/>
        <w:textAlignment w:val="baseline"/>
        <w:rPr>
          <w:rFonts w:ascii="Arial" w:eastAsia="Arial" w:hAnsi="Arial"/>
          <w:color w:val="5457A2"/>
          <w:spacing w:val="38"/>
          <w:sz w:val="18"/>
        </w:rPr>
      </w:pPr>
    </w:p>
    <w:p w14:paraId="48944452" w14:textId="77777777" w:rsidR="001D3978" w:rsidRDefault="001D3978" w:rsidP="009E47D4">
      <w:pPr>
        <w:spacing w:before="2" w:after="609" w:line="205" w:lineRule="exact"/>
        <w:ind w:left="10800"/>
        <w:textAlignment w:val="baseline"/>
        <w:rPr>
          <w:rFonts w:ascii="Arial" w:eastAsia="Arial" w:hAnsi="Arial"/>
          <w:color w:val="5457A2"/>
          <w:spacing w:val="38"/>
          <w:sz w:val="18"/>
        </w:rPr>
      </w:pPr>
    </w:p>
    <w:p w14:paraId="34526E03" w14:textId="77777777" w:rsidR="001D3978" w:rsidRDefault="001D3978" w:rsidP="009E47D4">
      <w:pPr>
        <w:spacing w:before="2" w:after="609" w:line="205" w:lineRule="exact"/>
        <w:ind w:left="10800"/>
        <w:textAlignment w:val="baseline"/>
        <w:rPr>
          <w:rFonts w:ascii="Arial" w:eastAsia="Arial" w:hAnsi="Arial"/>
          <w:b/>
          <w:bCs/>
          <w:color w:val="5457A2"/>
          <w:spacing w:val="38"/>
          <w:sz w:val="18"/>
          <w:szCs w:val="18"/>
        </w:rPr>
      </w:pPr>
      <w:r>
        <w:rPr>
          <w:noProof/>
          <w:lang w:val="en-AU" w:eastAsia="en-AU"/>
        </w:rPr>
        <w:drawing>
          <wp:anchor distT="0" distB="0" distL="114300" distR="114300" simplePos="0" relativeHeight="252025344" behindDoc="1" locked="0" layoutInCell="1" allowOverlap="1" wp14:anchorId="10691F77" wp14:editId="4FCDE972">
            <wp:simplePos x="0" y="0"/>
            <wp:positionH relativeFrom="page">
              <wp:align>left</wp:align>
            </wp:positionH>
            <wp:positionV relativeFrom="paragraph">
              <wp:posOffset>1076960</wp:posOffset>
            </wp:positionV>
            <wp:extent cx="7562215" cy="462915"/>
            <wp:effectExtent l="0" t="0" r="635" b="0"/>
            <wp:wrapNone/>
            <wp:docPr id="33" name="Picture"/>
            <wp:cNvGraphicFramePr/>
            <a:graphic xmlns:a="http://schemas.openxmlformats.org/drawingml/2006/main">
              <a:graphicData uri="http://schemas.openxmlformats.org/drawingml/2006/picture">
                <pic:pic xmlns:pic="http://schemas.openxmlformats.org/drawingml/2006/picture">
                  <pic:nvPicPr>
                    <pic:cNvPr id="33"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46CD4E9C" w14:textId="6524154F" w:rsidR="009E47D4" w:rsidRPr="001D3978" w:rsidRDefault="001D3978" w:rsidP="009E47D4">
      <w:pPr>
        <w:spacing w:before="2" w:after="609" w:line="205" w:lineRule="exact"/>
        <w:ind w:left="10800"/>
        <w:textAlignment w:val="baseline"/>
        <w:rPr>
          <w:rFonts w:ascii="Arial" w:eastAsia="Arial" w:hAnsi="Arial"/>
          <w:b/>
          <w:bCs/>
          <w:color w:val="5457A2"/>
          <w:spacing w:val="38"/>
          <w:sz w:val="18"/>
          <w:szCs w:val="18"/>
        </w:rPr>
      </w:pPr>
      <w:r w:rsidRPr="001D3978">
        <w:rPr>
          <w:rFonts w:ascii="Arial" w:eastAsia="Arial" w:hAnsi="Arial"/>
          <w:b/>
          <w:bCs/>
          <w:color w:val="5457A2"/>
          <w:spacing w:val="38"/>
          <w:sz w:val="18"/>
          <w:szCs w:val="18"/>
        </w:rPr>
        <w:t>2</w:t>
      </w:r>
      <w:r w:rsidR="009E47D4" w:rsidRPr="001D3978">
        <w:rPr>
          <w:rFonts w:ascii="Arial" w:eastAsia="Arial" w:hAnsi="Arial"/>
          <w:b/>
          <w:bCs/>
          <w:color w:val="5457A2"/>
          <w:spacing w:val="38"/>
          <w:sz w:val="18"/>
          <w:szCs w:val="18"/>
        </w:rPr>
        <w:t>3</w:t>
      </w:r>
    </w:p>
    <w:p w14:paraId="5841739E" w14:textId="77777777" w:rsidR="009757A9" w:rsidRDefault="009757A9">
      <w:pPr>
        <w:rPr>
          <w:rFonts w:ascii="Arial" w:eastAsia="Arial" w:hAnsi="Arial"/>
          <w:b/>
          <w:bCs/>
          <w:color w:val="5457A2"/>
          <w:spacing w:val="38"/>
          <w:sz w:val="18"/>
          <w:szCs w:val="18"/>
        </w:rPr>
      </w:pPr>
    </w:p>
    <w:p w14:paraId="15119B75" w14:textId="32466146" w:rsidR="001D3978" w:rsidRDefault="001D3978" w:rsidP="001D3978">
      <w:pPr>
        <w:tabs>
          <w:tab w:val="left" w:pos="10920"/>
        </w:tabs>
        <w:rPr>
          <w:rFonts w:ascii="Arial" w:eastAsia="Arial" w:hAnsi="Arial"/>
          <w:b/>
          <w:bCs/>
          <w:color w:val="5457A2"/>
          <w:spacing w:val="38"/>
          <w:sz w:val="18"/>
          <w:szCs w:val="18"/>
        </w:rPr>
      </w:pPr>
    </w:p>
    <w:p w14:paraId="4D4D9FA5" w14:textId="5F85A20E" w:rsidR="001D3978" w:rsidRPr="001D3978" w:rsidRDefault="001D3978" w:rsidP="001D3978">
      <w:pPr>
        <w:tabs>
          <w:tab w:val="left" w:pos="10920"/>
        </w:tabs>
        <w:rPr>
          <w:sz w:val="16"/>
          <w:szCs w:val="16"/>
        </w:rPr>
        <w:sectPr w:rsidR="001D3978" w:rsidRPr="001D3978">
          <w:type w:val="continuous"/>
          <w:pgSz w:w="11909" w:h="16838"/>
          <w:pgMar w:top="0" w:right="0" w:bottom="0" w:left="0" w:header="720" w:footer="720" w:gutter="0"/>
          <w:cols w:space="720"/>
        </w:sectPr>
      </w:pPr>
      <w:r>
        <w:rPr>
          <w:sz w:val="16"/>
          <w:szCs w:val="16"/>
        </w:rPr>
        <w:tab/>
      </w:r>
    </w:p>
    <w:p w14:paraId="35F26924" w14:textId="77777777" w:rsidR="009757A9" w:rsidRDefault="00083242">
      <w:pPr>
        <w:spacing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lastRenderedPageBreak/>
        <w:t>The world young people are entering is changing dramatically and rapidly in terms of the skills and capabilities required for the occupations and challenges of the future. A fourth industrial revolution is underway as we see technological advances blurring the boundaries between the physical, the digital and the biological.</w:t>
      </w:r>
      <w:r>
        <w:rPr>
          <w:rFonts w:ascii="Tahoma" w:eastAsia="Tahoma" w:hAnsi="Tahoma"/>
          <w:color w:val="404042"/>
          <w:spacing w:val="5"/>
          <w:sz w:val="18"/>
          <w:vertAlign w:val="superscript"/>
        </w:rPr>
        <w:t>1</w:t>
      </w:r>
      <w:r>
        <w:rPr>
          <w:rFonts w:ascii="Tahoma" w:eastAsia="Tahoma" w:hAnsi="Tahoma"/>
          <w:color w:val="404042"/>
          <w:spacing w:val="5"/>
          <w:sz w:val="18"/>
        </w:rPr>
        <w:t xml:space="preserve"> Jobs, both trade and professional, are likely to change profoundly. Some will disappear. Others will emerge. Cognitive technology will likely require more people with understanding of robotics, but, paradoxically, also more care workers.</w:t>
      </w:r>
    </w:p>
    <w:p w14:paraId="2FB848A5" w14:textId="77777777" w:rsidR="009757A9" w:rsidRDefault="00083242">
      <w:pPr>
        <w:spacing w:before="168"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This uncertain future contributes to today’s educational dilemmas. The Organisation for Economic Cooperation and Development (OECD) has identified a number of trends shaping the future of education, including a shift in the global balance of economic power towards Asia, an expanding global middle class, general reduction in voter turnout numbers, rising inequality within countries, climate change, increasing digitalisation, and lengthening life expectancies.</w:t>
      </w:r>
      <w:r>
        <w:rPr>
          <w:rFonts w:ascii="Tahoma" w:eastAsia="Tahoma" w:hAnsi="Tahoma"/>
          <w:color w:val="404042"/>
          <w:spacing w:val="4"/>
          <w:sz w:val="18"/>
          <w:vertAlign w:val="superscript"/>
        </w:rPr>
        <w:t>2</w:t>
      </w:r>
      <w:r>
        <w:rPr>
          <w:rFonts w:ascii="Tahoma" w:eastAsia="Tahoma" w:hAnsi="Tahoma"/>
          <w:color w:val="404042"/>
          <w:spacing w:val="4"/>
          <w:sz w:val="10"/>
        </w:rPr>
        <w:t xml:space="preserve"> </w:t>
      </w:r>
    </w:p>
    <w:p w14:paraId="4BC7AF1E" w14:textId="77777777" w:rsidR="009757A9" w:rsidRDefault="00083242">
      <w:pPr>
        <w:spacing w:before="173" w:line="240" w:lineRule="exact"/>
        <w:ind w:left="864"/>
        <w:textAlignment w:val="baseline"/>
        <w:rPr>
          <w:rFonts w:ascii="Tahoma" w:eastAsia="Tahoma" w:hAnsi="Tahoma"/>
          <w:color w:val="404042"/>
          <w:spacing w:val="5"/>
          <w:sz w:val="18"/>
        </w:rPr>
      </w:pPr>
      <w:r>
        <w:rPr>
          <w:rFonts w:ascii="Tahoma" w:eastAsia="Tahoma" w:hAnsi="Tahoma"/>
          <w:color w:val="404042"/>
          <w:spacing w:val="5"/>
          <w:sz w:val="18"/>
        </w:rPr>
        <w:t>What is certain is that workplace skills in demand will change, careers will shift direction and Australians will need</w:t>
      </w:r>
    </w:p>
    <w:p w14:paraId="4695EF2F" w14:textId="77777777" w:rsidR="009757A9" w:rsidRDefault="00083242">
      <w:pPr>
        <w:spacing w:line="240" w:lineRule="exact"/>
        <w:ind w:left="864"/>
        <w:textAlignment w:val="baseline"/>
        <w:rPr>
          <w:rFonts w:ascii="Tahoma" w:eastAsia="Tahoma" w:hAnsi="Tahoma"/>
          <w:color w:val="404042"/>
          <w:spacing w:val="4"/>
          <w:sz w:val="18"/>
        </w:rPr>
      </w:pPr>
      <w:r>
        <w:rPr>
          <w:rFonts w:ascii="Tahoma" w:eastAsia="Tahoma" w:hAnsi="Tahoma"/>
          <w:color w:val="404042"/>
          <w:spacing w:val="4"/>
          <w:sz w:val="18"/>
        </w:rPr>
        <w:t>to leave school with the capability to keep on learning. It is clear that the ways in which young people access and</w:t>
      </w:r>
    </w:p>
    <w:p w14:paraId="0105BD63" w14:textId="77777777" w:rsidR="009757A9" w:rsidRDefault="00083242">
      <w:pPr>
        <w:spacing w:before="20"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undertake education and training will be very different to the ways their parents and teachers have done so in the past.</w:t>
      </w:r>
    </w:p>
    <w:p w14:paraId="543F343D" w14:textId="77777777" w:rsidR="009757A9" w:rsidRDefault="00083242">
      <w:pPr>
        <w:spacing w:before="168"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We have seen remarkable agility in education systems through the dramatic speed and breadth of changes to how schooling is delivered as a result of the coronavirus disease 2019 (COVID-19) global pandemic. Educational structures have changed far faster than any of us could have imagined six months ago. Students have had to adjust to remote learning. Teachers have shown themselves to be adaptable and resilient under pressure. All of this is extraordinarily positive. But, as we slowly recover, the crisis must not be wasted. As we return to a new post-virus ‘normalcy’, it is easy to imagine that school education will become a greater blend of face-to-face and online learning, with social media increasingly perceived by young people as the default means of accessing information.</w:t>
      </w:r>
    </w:p>
    <w:p w14:paraId="17C3E79F" w14:textId="77777777" w:rsidR="009757A9" w:rsidRPr="00617D51" w:rsidRDefault="00083242" w:rsidP="00617D51">
      <w:pPr>
        <w:pStyle w:val="Heading2"/>
        <w:rPr>
          <w:rFonts w:eastAsia="Arial"/>
          <w:sz w:val="25"/>
          <w:szCs w:val="25"/>
        </w:rPr>
      </w:pPr>
      <w:r w:rsidRPr="00617D51">
        <w:rPr>
          <w:rFonts w:eastAsia="Arial"/>
          <w:sz w:val="25"/>
          <w:szCs w:val="25"/>
        </w:rPr>
        <w:t>Educational attainment</w:t>
      </w:r>
    </w:p>
    <w:p w14:paraId="51998D70" w14:textId="77777777" w:rsidR="009757A9" w:rsidRDefault="00083242">
      <w:pPr>
        <w:spacing w:before="156" w:line="240" w:lineRule="exact"/>
        <w:ind w:left="864" w:right="1440"/>
        <w:textAlignment w:val="baseline"/>
        <w:rPr>
          <w:rFonts w:ascii="Tahoma" w:eastAsia="Tahoma" w:hAnsi="Tahoma"/>
          <w:color w:val="404042"/>
          <w:spacing w:val="5"/>
          <w:sz w:val="18"/>
        </w:rPr>
      </w:pPr>
      <w:r>
        <w:rPr>
          <w:rFonts w:ascii="Tahoma" w:eastAsia="Tahoma" w:hAnsi="Tahoma"/>
          <w:color w:val="404042"/>
          <w:spacing w:val="5"/>
          <w:sz w:val="18"/>
        </w:rPr>
        <w:t>Some long-term trends are likely to continue. Educational attainment has been increasing in Australia for several decades, encouraged by government policies. The demand for higher levels of education has grown within the labour market.</w:t>
      </w:r>
    </w:p>
    <w:p w14:paraId="0AD3D0E4" w14:textId="77777777" w:rsidR="009757A9" w:rsidRDefault="00083242">
      <w:pPr>
        <w:spacing w:before="172" w:line="240" w:lineRule="exact"/>
        <w:ind w:left="864" w:right="1728"/>
        <w:textAlignment w:val="baseline"/>
        <w:rPr>
          <w:rFonts w:ascii="Tahoma" w:eastAsia="Tahoma" w:hAnsi="Tahoma"/>
          <w:color w:val="404042"/>
          <w:sz w:val="18"/>
        </w:rPr>
      </w:pPr>
      <w:r>
        <w:rPr>
          <w:rFonts w:ascii="Tahoma" w:eastAsia="Tahoma" w:hAnsi="Tahoma"/>
          <w:color w:val="404042"/>
          <w:sz w:val="18"/>
        </w:rPr>
        <w:t>The Australian Government agreed to establish the Compact with Young Australians in 2009, requiring young Australians to participate in full-time education, training or employment until they reach the age of 17.</w:t>
      </w:r>
    </w:p>
    <w:p w14:paraId="7B016E13" w14:textId="77777777" w:rsidR="009757A9" w:rsidRDefault="00083242">
      <w:pPr>
        <w:spacing w:line="240" w:lineRule="exact"/>
        <w:ind w:left="864" w:right="1152"/>
        <w:textAlignment w:val="baseline"/>
        <w:rPr>
          <w:rFonts w:ascii="Tahoma" w:eastAsia="Tahoma" w:hAnsi="Tahoma"/>
          <w:color w:val="404042"/>
          <w:spacing w:val="3"/>
          <w:sz w:val="18"/>
        </w:rPr>
      </w:pPr>
      <w:r>
        <w:rPr>
          <w:rFonts w:ascii="Tahoma" w:eastAsia="Tahoma" w:hAnsi="Tahoma"/>
          <w:color w:val="404042"/>
          <w:spacing w:val="3"/>
          <w:sz w:val="18"/>
        </w:rPr>
        <w:t>The Council of Australian Governments (COAG) also set a target to lift the Year 12 (or equivalent) attainment rate for 20- to 24-year-olds to 90 per cent by 2020. In 1990, the apparent Year 12 retention rate was 64 per cent.</w:t>
      </w:r>
      <w:r>
        <w:rPr>
          <w:rFonts w:ascii="Tahoma" w:eastAsia="Tahoma" w:hAnsi="Tahoma"/>
          <w:color w:val="404042"/>
          <w:spacing w:val="3"/>
          <w:sz w:val="18"/>
          <w:vertAlign w:val="superscript"/>
        </w:rPr>
        <w:t>3</w:t>
      </w:r>
      <w:r>
        <w:rPr>
          <w:rFonts w:ascii="Tahoma" w:eastAsia="Tahoma" w:hAnsi="Tahoma"/>
          <w:color w:val="404042"/>
          <w:spacing w:val="3"/>
          <w:sz w:val="18"/>
        </w:rPr>
        <w:t xml:space="preserve"> By 2013, the number of young people completing senior secondary schooling had risen to 81.6 per cent.</w:t>
      </w:r>
      <w:r>
        <w:rPr>
          <w:rFonts w:ascii="Tahoma" w:eastAsia="Tahoma" w:hAnsi="Tahoma"/>
          <w:color w:val="404042"/>
          <w:spacing w:val="3"/>
          <w:sz w:val="18"/>
          <w:vertAlign w:val="superscript"/>
        </w:rPr>
        <w:t>4</w:t>
      </w:r>
      <w:r>
        <w:rPr>
          <w:rFonts w:ascii="Tahoma" w:eastAsia="Tahoma" w:hAnsi="Tahoma"/>
          <w:color w:val="404042"/>
          <w:spacing w:val="3"/>
          <w:sz w:val="18"/>
        </w:rPr>
        <w:t xml:space="preserve"> By 2019, it was sitting at 84 per cent.</w:t>
      </w:r>
      <w:r>
        <w:rPr>
          <w:rFonts w:ascii="Tahoma" w:eastAsia="Tahoma" w:hAnsi="Tahoma"/>
          <w:color w:val="404042"/>
          <w:spacing w:val="3"/>
          <w:sz w:val="18"/>
          <w:vertAlign w:val="superscript"/>
        </w:rPr>
        <w:t>5</w:t>
      </w:r>
      <w:r>
        <w:rPr>
          <w:rFonts w:ascii="Tahoma" w:eastAsia="Tahoma" w:hAnsi="Tahoma"/>
          <w:color w:val="404042"/>
          <w:spacing w:val="3"/>
          <w:sz w:val="10"/>
        </w:rPr>
        <w:t xml:space="preserve"> </w:t>
      </w:r>
    </w:p>
    <w:p w14:paraId="00E8D866" w14:textId="77777777" w:rsidR="009757A9" w:rsidRDefault="00083242">
      <w:pPr>
        <w:spacing w:before="168"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Young people are not a homogeneous group. Some – by virtue of their location, race, ethnicity, parental income or disability – have less opportunity to benefit from education. Different groups of young people are more or less likely to disengage from school or leave prior to completing their Senior Secondary Certificate of Education (SSCE). For example, Aboriginal and Torres Strait Islander students have a lower retention rate than their non-Indigenous peers, at</w:t>
      </w:r>
    </w:p>
    <w:p w14:paraId="7FC28084" w14:textId="77777777" w:rsidR="009757A9" w:rsidRDefault="00083242">
      <w:pPr>
        <w:spacing w:after="998" w:line="240" w:lineRule="exact"/>
        <w:ind w:left="864"/>
        <w:textAlignment w:val="baseline"/>
        <w:rPr>
          <w:rFonts w:ascii="Tahoma" w:eastAsia="Tahoma" w:hAnsi="Tahoma"/>
          <w:color w:val="404042"/>
          <w:spacing w:val="3"/>
          <w:sz w:val="18"/>
        </w:rPr>
      </w:pPr>
      <w:r>
        <w:rPr>
          <w:rFonts w:ascii="Tahoma" w:eastAsia="Tahoma" w:hAnsi="Tahoma"/>
          <w:color w:val="404042"/>
          <w:spacing w:val="3"/>
          <w:sz w:val="18"/>
        </w:rPr>
        <w:t>58.7 per cent.</w:t>
      </w:r>
      <w:r>
        <w:rPr>
          <w:rFonts w:ascii="Tahoma" w:eastAsia="Tahoma" w:hAnsi="Tahoma"/>
          <w:color w:val="404042"/>
          <w:spacing w:val="3"/>
          <w:sz w:val="18"/>
          <w:vertAlign w:val="superscript"/>
        </w:rPr>
        <w:t>6</w:t>
      </w:r>
      <w:r>
        <w:rPr>
          <w:rFonts w:ascii="Tahoma" w:eastAsia="Tahoma" w:hAnsi="Tahoma"/>
          <w:color w:val="404042"/>
          <w:spacing w:val="3"/>
          <w:sz w:val="18"/>
        </w:rPr>
        <w:t xml:space="preserve"> For students with disability, only around 32 per cent complete Year 12.</w:t>
      </w:r>
      <w:r>
        <w:rPr>
          <w:rFonts w:ascii="Tahoma" w:eastAsia="Tahoma" w:hAnsi="Tahoma"/>
          <w:color w:val="404042"/>
          <w:spacing w:val="3"/>
          <w:sz w:val="18"/>
          <w:vertAlign w:val="superscript"/>
        </w:rPr>
        <w:t>7</w:t>
      </w:r>
      <w:r>
        <w:rPr>
          <w:rFonts w:ascii="Tahoma" w:eastAsia="Tahoma" w:hAnsi="Tahoma"/>
          <w:color w:val="404042"/>
          <w:spacing w:val="3"/>
          <w:sz w:val="10"/>
        </w:rPr>
        <w:t xml:space="preserve"> </w:t>
      </w:r>
    </w:p>
    <w:p w14:paraId="63C94263" w14:textId="77777777" w:rsidR="009757A9" w:rsidRDefault="000D2E34">
      <w:pPr>
        <w:tabs>
          <w:tab w:val="left" w:pos="1080"/>
        </w:tabs>
        <w:spacing w:before="50" w:line="200" w:lineRule="exact"/>
        <w:ind w:left="1080" w:right="1440"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01088" behindDoc="0" locked="0" layoutInCell="1" allowOverlap="1" wp14:anchorId="46105AE6" wp14:editId="7C7BF155">
                <wp:simplePos x="0" y="0"/>
                <wp:positionH relativeFrom="page">
                  <wp:posOffset>539750</wp:posOffset>
                </wp:positionH>
                <wp:positionV relativeFrom="page">
                  <wp:posOffset>7418705</wp:posOffset>
                </wp:positionV>
                <wp:extent cx="917575" cy="0"/>
                <wp:effectExtent l="0" t="0" r="0" b="0"/>
                <wp:wrapNone/>
                <wp:docPr id="982"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9F18" id="Line 703" o:spid="_x0000_s1026" style="position:absolute;z-index:25180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4.15pt" to="114.75pt,5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VUzQEAAIUDAAAOAAAAZHJzL2Uyb0RvYy54bWysU8GO2jAQvVfqP1i+lwSqLRAR9gDdXmiL&#10;tNsPGGwnsep4LI8h8Pe1HWC37a1qDpbHM/PmzZvJ6vHcG3ZSnjTamk8nJWfKCpTatjX/8fL0YcEZ&#10;BbASDFpV84si/rh+/241uErNsEMjlWcRxFI1uJp3IbiqKEh0qgeaoFM2Ohv0PYRo+raQHoaI3pti&#10;VpafigG9dB6FIoqv29HJ1xm/aZQI35uGVGCm5pFbyKfP5yGdxXoFVevBdVpcacA/sOhB21j0DrWF&#10;AOzo9V9QvRYeCZswEdgX2DRaqNxD7GZa/tHNcwdO5V6iOOTuMtH/gxXfTnvPtKz5cjHjzEIfh7TT&#10;VrF5+TGpMziqYtDG7n3qT5zts9uh+EnM4qYD26rM8uXiYuI0ZRS/pSSDXKxxGL6ijDFwDJilOje+&#10;T5BRBHbOE7ncJ6LOgYn4uJzOH+YPnImbq4Dqluc8hS8Ke5YuNTeRdMaF045C4gHVLSSVsfikjcnz&#10;NpYNNV8slmVOIDRaJmcKI98eNsazE6SNyV9uKnrehiXkLVA3xmXXuEsej1bmKp0C+fl6D6DNeI+s&#10;jL2KlHQZFT6gvOz9Tbw460z/updpmd7aOfv171n/AgAA//8DAFBLAwQUAAYACAAAACEAEp55Pd8A&#10;AAAMAQAADwAAAGRycy9kb3ducmV2LnhtbEyPQU+EMBCF7yb+h2ZMvBi3LGYJImWDq144bCJsPBc6&#10;Akpb0nZ38d87Howe583Le9/Lt4ue2AmdH60RsF5FwNB0Vo2mF3BoXm5TYD5Io+RkDQr4Qg/b4vIi&#10;l5myZ/OKpzr0jEKMz6SAIYQ549x3A2rpV3ZGQ79367QMdLqeKyfPFK4nHkdRwrUcDTUMcsbdgN1n&#10;fdQC2ucy2TWVPeybt7ZyN9VHWT8+CXF9tZQPwAIu4c8MP/iEDgUxtfZolGeTgHRDUwLp6yS9A0aO&#10;OL7fAGt/JV7k/P+I4hsAAP//AwBQSwECLQAUAAYACAAAACEAtoM4kv4AAADhAQAAEwAAAAAAAAAA&#10;AAAAAAAAAAAAW0NvbnRlbnRfVHlwZXNdLnhtbFBLAQItABQABgAIAAAAIQA4/SH/1gAAAJQBAAAL&#10;AAAAAAAAAAAAAAAAAC8BAABfcmVscy8ucmVsc1BLAQItABQABgAIAAAAIQDzURVUzQEAAIUDAAAO&#10;AAAAAAAAAAAAAAAAAC4CAABkcnMvZTJvRG9jLnhtbFBLAQItABQABgAIAAAAIQASnnk93wAAAAwB&#10;AAAPAAAAAAAAAAAAAAAAACcEAABkcnMvZG93bnJldi54bWxQSwUGAAAAAAQABADzAAAAMwUAAAAA&#10;" strokeweight=".7pt">
                <w10:wrap anchorx="page" anchory="page"/>
              </v:line>
            </w:pict>
          </mc:Fallback>
        </mc:AlternateContent>
      </w:r>
      <w:r w:rsidR="00083242">
        <w:rPr>
          <w:rFonts w:ascii="Tahoma" w:eastAsia="Tahoma" w:hAnsi="Tahoma"/>
          <w:color w:val="404042"/>
          <w:sz w:val="14"/>
        </w:rPr>
        <w:t>1</w:t>
      </w:r>
      <w:r w:rsidR="00083242">
        <w:rPr>
          <w:rFonts w:ascii="Tahoma" w:eastAsia="Tahoma" w:hAnsi="Tahoma"/>
          <w:color w:val="404042"/>
          <w:sz w:val="14"/>
        </w:rPr>
        <w:tab/>
      </w:r>
      <w:hyperlink r:id="rId43">
        <w:r w:rsidR="00083242">
          <w:rPr>
            <w:rFonts w:ascii="Tahoma" w:eastAsia="Tahoma" w:hAnsi="Tahoma"/>
            <w:color w:val="0000FF"/>
            <w:sz w:val="14"/>
            <w:u w:val="single"/>
          </w:rPr>
          <w:t>Schwab,</w:t>
        </w:r>
      </w:hyperlink>
      <w:r w:rsidR="00083242">
        <w:rPr>
          <w:rFonts w:ascii="Tahoma" w:eastAsia="Tahoma" w:hAnsi="Tahoma"/>
          <w:color w:val="404042"/>
          <w:sz w:val="14"/>
        </w:rPr>
        <w:t xml:space="preserve"> K. (2016), ‘The Fourth Industrial Revolution: What it means, how to respond’, World Economic Forum, 14 January 2016, </w:t>
      </w:r>
      <w:hyperlink r:id="rId44">
        <w:r w:rsidR="00083242">
          <w:rPr>
            <w:rFonts w:ascii="Tahoma" w:eastAsia="Tahoma" w:hAnsi="Tahoma"/>
            <w:color w:val="0000FF"/>
            <w:sz w:val="14"/>
            <w:u w:val="single"/>
          </w:rPr>
          <w:t>https://www. weforum.org/agenda/2016/01/the-fourth-industrial-revolution-what-it-means-and-how-to-respond</w:t>
        </w:r>
      </w:hyperlink>
      <w:r w:rsidR="00083242">
        <w:rPr>
          <w:rFonts w:ascii="Tahoma" w:eastAsia="Tahoma" w:hAnsi="Tahoma"/>
          <w:color w:val="404042"/>
          <w:sz w:val="14"/>
        </w:rPr>
        <w:t>.</w:t>
      </w:r>
    </w:p>
    <w:p w14:paraId="3B04ADB3" w14:textId="77777777" w:rsidR="009757A9" w:rsidRDefault="00083242">
      <w:pPr>
        <w:tabs>
          <w:tab w:val="left" w:pos="1080"/>
        </w:tabs>
        <w:spacing w:line="199" w:lineRule="exact"/>
        <w:ind w:left="1080" w:right="1080" w:hanging="216"/>
        <w:textAlignment w:val="baseline"/>
        <w:rPr>
          <w:rFonts w:ascii="Tahoma" w:eastAsia="Tahoma" w:hAnsi="Tahoma"/>
          <w:color w:val="404042"/>
          <w:sz w:val="14"/>
        </w:rPr>
      </w:pPr>
      <w:r>
        <w:rPr>
          <w:rFonts w:ascii="Tahoma" w:eastAsia="Tahoma" w:hAnsi="Tahoma"/>
          <w:color w:val="404042"/>
          <w:sz w:val="14"/>
        </w:rPr>
        <w:t>2</w:t>
      </w:r>
      <w:r>
        <w:rPr>
          <w:rFonts w:ascii="Tahoma" w:eastAsia="Tahoma" w:hAnsi="Tahoma"/>
          <w:color w:val="404042"/>
          <w:sz w:val="14"/>
        </w:rPr>
        <w:tab/>
        <w:t xml:space="preserve">Organisation for Economic Co-operation and Development (2019b), </w:t>
      </w:r>
      <w:r>
        <w:rPr>
          <w:rFonts w:ascii="Arial" w:eastAsia="Arial" w:hAnsi="Arial"/>
          <w:i/>
          <w:color w:val="404042"/>
          <w:sz w:val="14"/>
        </w:rPr>
        <w:t>Trends Shaping Education 2019</w:t>
      </w:r>
      <w:r>
        <w:rPr>
          <w:rFonts w:ascii="Tahoma" w:eastAsia="Tahoma" w:hAnsi="Tahoma"/>
          <w:color w:val="404042"/>
          <w:sz w:val="14"/>
        </w:rPr>
        <w:t xml:space="preserve">, summary, p. 2, </w:t>
      </w:r>
      <w:hyperlink r:id="rId45">
        <w:r>
          <w:rPr>
            <w:rFonts w:ascii="Tahoma" w:eastAsia="Tahoma" w:hAnsi="Tahoma"/>
            <w:color w:val="0000FF"/>
            <w:sz w:val="14"/>
            <w:u w:val="single"/>
          </w:rPr>
          <w:t>https://www.oecd-ilibrary.org/ education/trends-shaping-education-2019_trends_edu-2019-en</w:t>
        </w:r>
      </w:hyperlink>
      <w:r>
        <w:rPr>
          <w:rFonts w:ascii="Tahoma" w:eastAsia="Tahoma" w:hAnsi="Tahoma"/>
          <w:color w:val="404042"/>
          <w:sz w:val="14"/>
        </w:rPr>
        <w:t>.</w:t>
      </w:r>
    </w:p>
    <w:p w14:paraId="3D888EC9" w14:textId="77777777" w:rsidR="009757A9" w:rsidRDefault="00083242">
      <w:pPr>
        <w:tabs>
          <w:tab w:val="left" w:pos="1080"/>
        </w:tabs>
        <w:spacing w:before="3" w:line="200" w:lineRule="exact"/>
        <w:ind w:left="1080" w:right="2160" w:hanging="216"/>
        <w:textAlignment w:val="baseline"/>
        <w:rPr>
          <w:rFonts w:ascii="Tahoma" w:eastAsia="Tahoma" w:hAnsi="Tahoma"/>
          <w:color w:val="404042"/>
          <w:sz w:val="14"/>
        </w:rPr>
      </w:pPr>
      <w:r>
        <w:rPr>
          <w:rFonts w:ascii="Tahoma" w:eastAsia="Tahoma" w:hAnsi="Tahoma"/>
          <w:color w:val="404042"/>
          <w:sz w:val="14"/>
        </w:rPr>
        <w:t>3</w:t>
      </w:r>
      <w:r>
        <w:rPr>
          <w:rFonts w:ascii="Tahoma" w:eastAsia="Tahoma" w:hAnsi="Tahoma"/>
          <w:color w:val="404042"/>
          <w:sz w:val="14"/>
        </w:rPr>
        <w:tab/>
        <w:t xml:space="preserve">Australian Bureau of Statistics (1991), </w:t>
      </w:r>
      <w:r>
        <w:rPr>
          <w:rFonts w:ascii="Arial" w:eastAsia="Arial" w:hAnsi="Arial"/>
          <w:i/>
          <w:color w:val="404042"/>
          <w:sz w:val="14"/>
        </w:rPr>
        <w:t>Schools, Australia, 1990</w:t>
      </w:r>
      <w:r>
        <w:rPr>
          <w:rFonts w:ascii="Tahoma" w:eastAsia="Tahoma" w:hAnsi="Tahoma"/>
          <w:color w:val="404042"/>
          <w:sz w:val="14"/>
        </w:rPr>
        <w:t xml:space="preserve">, cat. no. 4221.0, p. 55, </w:t>
      </w:r>
      <w:hyperlink r:id="rId46">
        <w:r>
          <w:rPr>
            <w:rFonts w:ascii="Tahoma" w:eastAsia="Tahoma" w:hAnsi="Tahoma"/>
            <w:color w:val="0000FF"/>
            <w:sz w:val="14"/>
            <w:u w:val="single"/>
          </w:rPr>
          <w:t>https://www.abs.gov.au/AUSSTATS/abs@.nsf/ allprimarymainfeatures/1A6958EE78EA4DAACA257441001B8B29?opendocument</w:t>
        </w:r>
      </w:hyperlink>
      <w:r>
        <w:rPr>
          <w:rFonts w:ascii="Tahoma" w:eastAsia="Tahoma" w:hAnsi="Tahoma"/>
          <w:color w:val="404042"/>
          <w:sz w:val="14"/>
        </w:rPr>
        <w:t>.</w:t>
      </w:r>
    </w:p>
    <w:p w14:paraId="3ADA77EE" w14:textId="77777777" w:rsidR="009757A9" w:rsidRDefault="00083242">
      <w:pPr>
        <w:tabs>
          <w:tab w:val="left" w:pos="1080"/>
        </w:tabs>
        <w:spacing w:line="199" w:lineRule="exact"/>
        <w:ind w:left="1080" w:right="1944" w:hanging="216"/>
        <w:textAlignment w:val="baseline"/>
        <w:rPr>
          <w:rFonts w:ascii="Tahoma" w:eastAsia="Tahoma" w:hAnsi="Tahoma"/>
          <w:color w:val="404042"/>
          <w:sz w:val="14"/>
        </w:rPr>
      </w:pPr>
      <w:r>
        <w:rPr>
          <w:rFonts w:ascii="Tahoma" w:eastAsia="Tahoma" w:hAnsi="Tahoma"/>
          <w:color w:val="404042"/>
          <w:sz w:val="14"/>
        </w:rPr>
        <w:t>4</w:t>
      </w:r>
      <w:r>
        <w:rPr>
          <w:rFonts w:ascii="Tahoma" w:eastAsia="Tahoma" w:hAnsi="Tahoma"/>
          <w:color w:val="404042"/>
          <w:sz w:val="14"/>
        </w:rPr>
        <w:tab/>
        <w:t xml:space="preserve">Australian Bureau of Statistics (2014b), </w:t>
      </w:r>
      <w:r>
        <w:rPr>
          <w:rFonts w:ascii="Arial" w:eastAsia="Arial" w:hAnsi="Arial"/>
          <w:i/>
          <w:color w:val="404042"/>
          <w:sz w:val="14"/>
        </w:rPr>
        <w:t>Schools, Australia, 2013: Students</w:t>
      </w:r>
      <w:r>
        <w:rPr>
          <w:rFonts w:ascii="Tahoma" w:eastAsia="Tahoma" w:hAnsi="Tahoma"/>
          <w:color w:val="404042"/>
          <w:sz w:val="14"/>
        </w:rPr>
        <w:t xml:space="preserve">, cat. no. 4221.0, </w:t>
      </w:r>
      <w:hyperlink r:id="rId47">
        <w:r>
          <w:rPr>
            <w:rFonts w:ascii="Tahoma" w:eastAsia="Tahoma" w:hAnsi="Tahoma"/>
            <w:color w:val="0000FF"/>
            <w:sz w:val="14"/>
            <w:u w:val="single"/>
          </w:rPr>
          <w:t>https://www.abs.gov.au/ausstats/abs@.nsf/ Lookup/4221.0main+features42013</w:t>
        </w:r>
      </w:hyperlink>
      <w:r>
        <w:rPr>
          <w:rFonts w:ascii="Tahoma" w:eastAsia="Tahoma" w:hAnsi="Tahoma"/>
          <w:color w:val="404042"/>
          <w:sz w:val="14"/>
        </w:rPr>
        <w:t>.</w:t>
      </w:r>
    </w:p>
    <w:p w14:paraId="6A37C72A" w14:textId="77777777" w:rsidR="009757A9" w:rsidRDefault="00083242">
      <w:pPr>
        <w:tabs>
          <w:tab w:val="left" w:pos="1080"/>
        </w:tabs>
        <w:spacing w:before="30" w:line="176" w:lineRule="exact"/>
        <w:ind w:left="864"/>
        <w:textAlignment w:val="baseline"/>
        <w:rPr>
          <w:rFonts w:ascii="Tahoma" w:eastAsia="Tahoma" w:hAnsi="Tahoma"/>
          <w:color w:val="404042"/>
          <w:spacing w:val="3"/>
          <w:sz w:val="14"/>
        </w:rPr>
      </w:pPr>
      <w:r>
        <w:rPr>
          <w:rFonts w:ascii="Tahoma" w:eastAsia="Tahoma" w:hAnsi="Tahoma"/>
          <w:color w:val="404042"/>
          <w:spacing w:val="3"/>
          <w:sz w:val="14"/>
        </w:rPr>
        <w:t>5</w:t>
      </w:r>
      <w:r>
        <w:rPr>
          <w:rFonts w:ascii="Tahoma" w:eastAsia="Tahoma" w:hAnsi="Tahoma"/>
          <w:color w:val="404042"/>
          <w:spacing w:val="3"/>
          <w:sz w:val="14"/>
        </w:rPr>
        <w:tab/>
        <w:t xml:space="preserve">Australian Bureau of Statistics (2020b), </w:t>
      </w:r>
      <w:r>
        <w:rPr>
          <w:rFonts w:ascii="Arial" w:eastAsia="Arial" w:hAnsi="Arial"/>
          <w:i/>
          <w:color w:val="404042"/>
          <w:spacing w:val="3"/>
          <w:sz w:val="14"/>
        </w:rPr>
        <w:t>Schools, Australia, 2019: Key statistics</w:t>
      </w:r>
      <w:r>
        <w:rPr>
          <w:rFonts w:ascii="Tahoma" w:eastAsia="Tahoma" w:hAnsi="Tahoma"/>
          <w:color w:val="404042"/>
          <w:spacing w:val="3"/>
          <w:sz w:val="14"/>
        </w:rPr>
        <w:t xml:space="preserve">, cat. no. 4221.0, </w:t>
      </w:r>
      <w:hyperlink r:id="rId48">
        <w:r>
          <w:rPr>
            <w:rFonts w:ascii="Tahoma" w:eastAsia="Tahoma" w:hAnsi="Tahoma"/>
            <w:color w:val="0000FF"/>
            <w:spacing w:val="3"/>
            <w:sz w:val="14"/>
            <w:u w:val="single"/>
          </w:rPr>
          <w:t>https://www.abs.gov.au/ausstats/abs@.nsf/mf/4221.0</w:t>
        </w:r>
      </w:hyperlink>
      <w:r>
        <w:rPr>
          <w:rFonts w:ascii="Tahoma" w:eastAsia="Tahoma" w:hAnsi="Tahoma"/>
          <w:color w:val="404042"/>
          <w:spacing w:val="3"/>
          <w:sz w:val="14"/>
        </w:rPr>
        <w:t>.</w:t>
      </w:r>
    </w:p>
    <w:p w14:paraId="78E09110" w14:textId="77777777" w:rsidR="009757A9" w:rsidRDefault="00083242">
      <w:pPr>
        <w:tabs>
          <w:tab w:val="left" w:pos="1080"/>
        </w:tabs>
        <w:spacing w:line="198" w:lineRule="exact"/>
        <w:ind w:left="1080" w:hanging="216"/>
        <w:textAlignment w:val="baseline"/>
        <w:rPr>
          <w:rFonts w:ascii="Tahoma" w:eastAsia="Tahoma" w:hAnsi="Tahoma"/>
          <w:color w:val="404042"/>
          <w:sz w:val="14"/>
        </w:rPr>
      </w:pPr>
      <w:r>
        <w:rPr>
          <w:rFonts w:ascii="Tahoma" w:eastAsia="Tahoma" w:hAnsi="Tahoma"/>
          <w:color w:val="404042"/>
          <w:sz w:val="14"/>
        </w:rPr>
        <w:t>6</w:t>
      </w:r>
      <w:r>
        <w:rPr>
          <w:rFonts w:ascii="Tahoma" w:eastAsia="Tahoma" w:hAnsi="Tahoma"/>
          <w:color w:val="404042"/>
          <w:sz w:val="14"/>
        </w:rPr>
        <w:tab/>
        <w:t xml:space="preserve">Australian Bureau of Statistics (2020a), </w:t>
      </w:r>
      <w:r>
        <w:rPr>
          <w:rFonts w:ascii="Arial" w:eastAsia="Arial" w:hAnsi="Arial"/>
          <w:i/>
          <w:color w:val="404042"/>
          <w:sz w:val="14"/>
        </w:rPr>
        <w:t xml:space="preserve">Schools, Australia, 2019: Aboriginal and Torres Strait Islander </w:t>
      </w:r>
      <w:r>
        <w:rPr>
          <w:rFonts w:ascii="Arial" w:eastAsia="Arial" w:hAnsi="Arial"/>
          <w:i/>
          <w:color w:val="404042"/>
          <w:sz w:val="14"/>
        </w:rPr>
        <w:br/>
        <w:t>students</w:t>
      </w:r>
      <w:r>
        <w:rPr>
          <w:rFonts w:ascii="Tahoma" w:eastAsia="Tahoma" w:hAnsi="Tahoma"/>
          <w:color w:val="404042"/>
          <w:sz w:val="14"/>
        </w:rPr>
        <w:t xml:space="preserve">, cat. no. 4221.0, </w:t>
      </w:r>
      <w:hyperlink r:id="rId49">
        <w:r>
          <w:rPr>
            <w:rFonts w:ascii="Tahoma" w:eastAsia="Tahoma" w:hAnsi="Tahoma"/>
            <w:color w:val="0000FF"/>
            <w:sz w:val="14"/>
            <w:u w:val="single"/>
          </w:rPr>
          <w:t>https://www.abs.gov.au/ausstats/abs@.nsf/Latestproducts/4221.0Main%20</w:t>
        </w:r>
      </w:hyperlink>
      <w:r>
        <w:rPr>
          <w:rFonts w:ascii="Tahoma" w:eastAsia="Tahoma" w:hAnsi="Tahoma"/>
          <w:color w:val="404042"/>
          <w:sz w:val="14"/>
        </w:rPr>
        <w:t xml:space="preserve"> </w:t>
      </w:r>
      <w:r>
        <w:rPr>
          <w:rFonts w:ascii="Tahoma" w:eastAsia="Tahoma" w:hAnsi="Tahoma"/>
          <w:color w:val="404042"/>
          <w:sz w:val="14"/>
        </w:rPr>
        <w:br/>
      </w:r>
      <w:hyperlink r:id="rId50">
        <w:r>
          <w:rPr>
            <w:rFonts w:ascii="Tahoma" w:eastAsia="Tahoma" w:hAnsi="Tahoma"/>
            <w:color w:val="0000FF"/>
            <w:sz w:val="14"/>
            <w:u w:val="single"/>
          </w:rPr>
          <w:t>Features102019?opendocument&amp;tabname=Summary&amp;prodno=4221.0&amp;issue=2019&amp;num=&amp;view=</w:t>
        </w:r>
      </w:hyperlink>
      <w:r>
        <w:rPr>
          <w:rFonts w:ascii="Tahoma" w:eastAsia="Tahoma" w:hAnsi="Tahoma"/>
          <w:color w:val="404042"/>
          <w:sz w:val="14"/>
        </w:rPr>
        <w:t>.</w:t>
      </w:r>
    </w:p>
    <w:p w14:paraId="5A2A07D9" w14:textId="77777777" w:rsidR="009757A9" w:rsidRDefault="00083242">
      <w:pPr>
        <w:tabs>
          <w:tab w:val="left" w:pos="1080"/>
        </w:tabs>
        <w:spacing w:line="199" w:lineRule="exact"/>
        <w:ind w:left="1080" w:right="864" w:hanging="216"/>
        <w:textAlignment w:val="baseline"/>
        <w:rPr>
          <w:rFonts w:ascii="Tahoma" w:eastAsia="Tahoma" w:hAnsi="Tahoma"/>
          <w:color w:val="404042"/>
          <w:sz w:val="14"/>
        </w:rPr>
      </w:pPr>
      <w:r>
        <w:rPr>
          <w:rFonts w:ascii="Tahoma" w:eastAsia="Tahoma" w:hAnsi="Tahoma"/>
          <w:color w:val="404042"/>
          <w:sz w:val="14"/>
        </w:rPr>
        <w:t>7</w:t>
      </w:r>
      <w:r>
        <w:rPr>
          <w:rFonts w:ascii="Tahoma" w:eastAsia="Tahoma" w:hAnsi="Tahoma"/>
          <w:color w:val="404042"/>
          <w:sz w:val="14"/>
        </w:rPr>
        <w:tab/>
        <w:t xml:space="preserve">Australian Institute of Health and Welfare (2019a), </w:t>
      </w:r>
      <w:r>
        <w:rPr>
          <w:rFonts w:ascii="Arial" w:eastAsia="Arial" w:hAnsi="Arial"/>
          <w:i/>
          <w:color w:val="404042"/>
          <w:sz w:val="14"/>
        </w:rPr>
        <w:t>People with Disability in Australia 2019: In brief</w:t>
      </w:r>
      <w:r>
        <w:rPr>
          <w:rFonts w:ascii="Tahoma" w:eastAsia="Tahoma" w:hAnsi="Tahoma"/>
          <w:color w:val="404042"/>
          <w:sz w:val="14"/>
        </w:rPr>
        <w:t xml:space="preserve">, p. 16, </w:t>
      </w:r>
      <w:hyperlink r:id="rId51">
        <w:r>
          <w:rPr>
            <w:rFonts w:ascii="Tahoma" w:eastAsia="Tahoma" w:hAnsi="Tahoma"/>
            <w:color w:val="0000FF"/>
            <w:sz w:val="14"/>
            <w:u w:val="single"/>
          </w:rPr>
          <w:t>https://www.aihw.gov.au/getmedia/3bc5f549-216e-4199-9a82-fba1bba9208f/aihw-dis-74.pdf.aspx?inline=true</w:t>
        </w:r>
      </w:hyperlink>
      <w:r>
        <w:rPr>
          <w:rFonts w:ascii="Tahoma" w:eastAsia="Tahoma" w:hAnsi="Tahoma"/>
          <w:color w:val="404042"/>
          <w:sz w:val="14"/>
        </w:rPr>
        <w:t>.</w:t>
      </w:r>
    </w:p>
    <w:p w14:paraId="197C058C" w14:textId="63C89275" w:rsidR="009757A9" w:rsidRDefault="00453B94">
      <w:pPr>
        <w:tabs>
          <w:tab w:val="left" w:pos="1368"/>
        </w:tabs>
        <w:spacing w:before="736" w:after="638" w:line="200" w:lineRule="exact"/>
        <w:ind w:left="864"/>
        <w:textAlignment w:val="baseline"/>
        <w:rPr>
          <w:rFonts w:ascii="Arial" w:eastAsia="Arial" w:hAnsi="Arial"/>
          <w:b/>
          <w:color w:val="5556A1"/>
          <w:spacing w:val="4"/>
          <w:sz w:val="18"/>
        </w:rPr>
      </w:pPr>
      <w:r>
        <w:rPr>
          <w:noProof/>
          <w:lang w:val="en-AU" w:eastAsia="en-AU"/>
        </w:rPr>
        <w:drawing>
          <wp:anchor distT="0" distB="0" distL="114300" distR="114300" simplePos="0" relativeHeight="252119552" behindDoc="1" locked="0" layoutInCell="1" allowOverlap="1" wp14:anchorId="471A05C8" wp14:editId="20A76CF2">
            <wp:simplePos x="0" y="0"/>
            <wp:positionH relativeFrom="margin">
              <wp:align>right</wp:align>
            </wp:positionH>
            <wp:positionV relativeFrom="paragraph">
              <wp:posOffset>904240</wp:posOffset>
            </wp:positionV>
            <wp:extent cx="7562215" cy="462915"/>
            <wp:effectExtent l="0" t="0" r="635" b="0"/>
            <wp:wrapNone/>
            <wp:docPr id="1074"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4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8"/>
        </w:rPr>
        <w:t>24</w:t>
      </w:r>
      <w:r w:rsidR="00083242">
        <w:rPr>
          <w:rFonts w:ascii="Tahoma" w:eastAsia="Tahoma" w:hAnsi="Tahoma"/>
          <w:color w:val="404042"/>
          <w:spacing w:val="4"/>
          <w:sz w:val="14"/>
        </w:rPr>
        <w:tab/>
        <w:t>Looking to the future</w:t>
      </w:r>
    </w:p>
    <w:p w14:paraId="45ED8D0C" w14:textId="13604767" w:rsidR="009757A9" w:rsidRDefault="009757A9">
      <w:pPr>
        <w:textAlignment w:val="baseline"/>
      </w:pPr>
    </w:p>
    <w:p w14:paraId="4548E03F" w14:textId="72BD5090" w:rsidR="009757A9" w:rsidRDefault="009757A9">
      <w:pPr>
        <w:sectPr w:rsidR="009757A9">
          <w:pgSz w:w="11909" w:h="16838"/>
          <w:pgMar w:top="1080" w:right="0" w:bottom="0" w:left="0" w:header="720" w:footer="720" w:gutter="0"/>
          <w:cols w:space="720"/>
        </w:sectPr>
      </w:pPr>
    </w:p>
    <w:p w14:paraId="17CFB764" w14:textId="77777777" w:rsidR="009757A9" w:rsidRPr="00617D51" w:rsidRDefault="00083242" w:rsidP="00617D51">
      <w:pPr>
        <w:pStyle w:val="Heading2"/>
        <w:rPr>
          <w:sz w:val="25"/>
          <w:szCs w:val="25"/>
        </w:rPr>
      </w:pPr>
      <w:r w:rsidRPr="00617D51">
        <w:rPr>
          <w:sz w:val="25"/>
          <w:szCs w:val="25"/>
        </w:rPr>
        <w:lastRenderedPageBreak/>
        <w:t>Post-school destinations</w:t>
      </w:r>
    </w:p>
    <w:p w14:paraId="16BB3D64" w14:textId="77777777" w:rsidR="009757A9" w:rsidRDefault="00083242">
      <w:pPr>
        <w:spacing w:before="167" w:line="240" w:lineRule="exact"/>
        <w:ind w:left="864" w:right="936"/>
        <w:textAlignment w:val="baseline"/>
        <w:rPr>
          <w:rFonts w:ascii="Tahoma" w:eastAsia="Tahoma" w:hAnsi="Tahoma"/>
          <w:color w:val="404042"/>
          <w:spacing w:val="3"/>
          <w:sz w:val="18"/>
        </w:rPr>
      </w:pPr>
      <w:r>
        <w:rPr>
          <w:rFonts w:ascii="Tahoma" w:eastAsia="Tahoma" w:hAnsi="Tahoma"/>
          <w:color w:val="404042"/>
          <w:spacing w:val="3"/>
          <w:sz w:val="18"/>
        </w:rPr>
        <w:t>Destinations of school leavers are also evolving. Between 1988 and 1998, school leavers shifted towards tertiary education. By 1998, the proportion of school leavers who chose to continue their studies increased from 43 per cent to 58 per cent over this period.</w:t>
      </w:r>
      <w:r>
        <w:rPr>
          <w:rFonts w:ascii="Tahoma" w:eastAsia="Tahoma" w:hAnsi="Tahoma"/>
          <w:color w:val="404042"/>
          <w:spacing w:val="3"/>
          <w:sz w:val="18"/>
          <w:vertAlign w:val="superscript"/>
        </w:rPr>
        <w:t>8</w:t>
      </w:r>
      <w:r>
        <w:rPr>
          <w:rFonts w:ascii="Tahoma" w:eastAsia="Tahoma" w:hAnsi="Tahoma"/>
          <w:color w:val="404042"/>
          <w:spacing w:val="3"/>
          <w:sz w:val="18"/>
        </w:rPr>
        <w:t xml:space="preserve"> Higher education in particular increased its share of school leavers from 18 per cent to around 30 per cent.</w:t>
      </w:r>
      <w:r>
        <w:rPr>
          <w:rFonts w:ascii="Tahoma" w:eastAsia="Tahoma" w:hAnsi="Tahoma"/>
          <w:color w:val="404042"/>
          <w:spacing w:val="3"/>
          <w:sz w:val="18"/>
          <w:vertAlign w:val="superscript"/>
        </w:rPr>
        <w:t>9</w:t>
      </w:r>
      <w:r>
        <w:rPr>
          <w:rFonts w:ascii="Tahoma" w:eastAsia="Tahoma" w:hAnsi="Tahoma"/>
          <w:color w:val="404042"/>
          <w:spacing w:val="3"/>
          <w:sz w:val="18"/>
        </w:rPr>
        <w:t xml:space="preserve"> Another 24 per cent of school leavers attended TAFE colleges. Some 5 per cent studied at other education institutions.</w:t>
      </w:r>
      <w:r>
        <w:rPr>
          <w:rFonts w:ascii="Tahoma" w:eastAsia="Tahoma" w:hAnsi="Tahoma"/>
          <w:color w:val="404042"/>
          <w:spacing w:val="3"/>
          <w:sz w:val="18"/>
          <w:vertAlign w:val="superscript"/>
        </w:rPr>
        <w:t>10</w:t>
      </w:r>
      <w:r>
        <w:rPr>
          <w:rFonts w:ascii="Tahoma" w:eastAsia="Tahoma" w:hAnsi="Tahoma"/>
          <w:color w:val="404042"/>
          <w:spacing w:val="3"/>
          <w:sz w:val="18"/>
        </w:rPr>
        <w:t xml:space="preserve"> The remaining 42 per cent of school leavers were not attending an education institution, </w:t>
      </w:r>
      <w:r>
        <w:rPr>
          <w:rFonts w:ascii="Verdana" w:eastAsia="Verdana" w:hAnsi="Verdana"/>
          <w:color w:val="404042"/>
          <w:spacing w:val="3"/>
          <w:sz w:val="18"/>
        </w:rPr>
        <w:t>though a small number had deferred such an offer.</w:t>
      </w:r>
      <w:r>
        <w:rPr>
          <w:rFonts w:ascii="Tahoma" w:eastAsia="Tahoma" w:hAnsi="Tahoma"/>
          <w:color w:val="404042"/>
          <w:spacing w:val="3"/>
          <w:sz w:val="18"/>
          <w:vertAlign w:val="superscript"/>
        </w:rPr>
        <w:t>11</w:t>
      </w:r>
      <w:r>
        <w:rPr>
          <w:rFonts w:ascii="Tahoma" w:eastAsia="Tahoma" w:hAnsi="Tahoma"/>
          <w:color w:val="404042"/>
          <w:spacing w:val="3"/>
          <w:sz w:val="9"/>
        </w:rPr>
        <w:t xml:space="preserve"> </w:t>
      </w:r>
    </w:p>
    <w:p w14:paraId="282ED270" w14:textId="2F758779" w:rsidR="009757A9" w:rsidRDefault="00083242">
      <w:pPr>
        <w:spacing w:before="151" w:line="240" w:lineRule="exact"/>
        <w:ind w:left="864" w:right="1080"/>
        <w:textAlignment w:val="baseline"/>
        <w:rPr>
          <w:rFonts w:ascii="Verdana" w:eastAsia="Verdana" w:hAnsi="Verdana"/>
          <w:color w:val="404042"/>
          <w:sz w:val="18"/>
        </w:rPr>
      </w:pPr>
      <w:r>
        <w:rPr>
          <w:rFonts w:ascii="Tahoma" w:eastAsia="Tahoma" w:hAnsi="Tahoma"/>
          <w:color w:val="404042"/>
          <w:sz w:val="18"/>
        </w:rPr>
        <w:t xml:space="preserve">How dramatically the situation has changed. In the latest generation, the level of education to which students aspire </w:t>
      </w:r>
      <w:r>
        <w:rPr>
          <w:rFonts w:ascii="Verdana" w:eastAsia="Verdana" w:hAnsi="Verdana"/>
          <w:color w:val="404042"/>
          <w:sz w:val="18"/>
        </w:rPr>
        <w:t>has risen significantly. In May 2019, 121,200 school leavers were enrolled in higher education, 43,700 were enrolled in TAFE, and 7,300 were enrolled in other institutions/organisations (Figure 2).</w:t>
      </w:r>
    </w:p>
    <w:p w14:paraId="00E94CF1" w14:textId="4714E383" w:rsidR="00617D51" w:rsidRDefault="00617D51" w:rsidP="00617D51">
      <w:pPr>
        <w:spacing w:before="240" w:after="502" w:line="225" w:lineRule="exact"/>
        <w:ind w:left="864"/>
        <w:textAlignment w:val="baseline"/>
        <w:rPr>
          <w:rFonts w:ascii="Arial" w:eastAsia="Arial" w:hAnsi="Arial"/>
          <w:b/>
          <w:color w:val="404042"/>
          <w:spacing w:val="4"/>
          <w:sz w:val="19"/>
        </w:rPr>
      </w:pPr>
      <w:r>
        <w:rPr>
          <w:rFonts w:ascii="Arial" w:eastAsia="Arial" w:hAnsi="Arial"/>
          <w:b/>
          <w:color w:val="404042"/>
          <w:spacing w:val="4"/>
          <w:sz w:val="19"/>
        </w:rPr>
        <w:t xml:space="preserve">Figure 2: </w:t>
      </w:r>
      <w:r>
        <w:rPr>
          <w:rFonts w:ascii="Tahoma" w:eastAsia="Tahoma" w:hAnsi="Tahoma"/>
          <w:color w:val="404042"/>
          <w:spacing w:val="4"/>
          <w:sz w:val="18"/>
        </w:rPr>
        <w:t>Post-school destinations, May 2019</w:t>
      </w:r>
    </w:p>
    <w:p w14:paraId="4ADAFABB" w14:textId="77777777" w:rsidR="00617D51" w:rsidRDefault="00617D51">
      <w:pPr>
        <w:spacing w:before="151" w:line="240" w:lineRule="exact"/>
        <w:ind w:left="864" w:right="1080"/>
        <w:textAlignment w:val="baseline"/>
        <w:rPr>
          <w:rFonts w:ascii="Tahoma" w:eastAsia="Tahoma" w:hAnsi="Tahoma"/>
          <w:color w:val="404042"/>
          <w:sz w:val="18"/>
        </w:rPr>
      </w:pPr>
    </w:p>
    <w:p w14:paraId="79EBC663" w14:textId="77777777" w:rsidR="009757A9" w:rsidRDefault="000D2E34">
      <w:pPr>
        <w:spacing w:line="164" w:lineRule="exact"/>
        <w:ind w:left="864"/>
        <w:textAlignment w:val="baseline"/>
        <w:rPr>
          <w:rFonts w:ascii="Verdana" w:eastAsia="Verdana" w:hAnsi="Verdana"/>
          <w:color w:val="000000"/>
          <w:spacing w:val="1"/>
          <w:sz w:val="13"/>
        </w:rPr>
      </w:pPr>
      <w:r>
        <w:rPr>
          <w:noProof/>
          <w:lang w:val="en-AU" w:eastAsia="en-AU"/>
        </w:rPr>
        <mc:AlternateContent>
          <mc:Choice Requires="wps">
            <w:drawing>
              <wp:anchor distT="0" distB="0" distL="0" distR="0" simplePos="0" relativeHeight="251298304" behindDoc="1" locked="0" layoutInCell="1" allowOverlap="1" wp14:anchorId="14AA9394" wp14:editId="6EEC611D">
                <wp:simplePos x="0" y="0"/>
                <wp:positionH relativeFrom="page">
                  <wp:posOffset>0</wp:posOffset>
                </wp:positionH>
                <wp:positionV relativeFrom="page">
                  <wp:posOffset>3108960</wp:posOffset>
                </wp:positionV>
                <wp:extent cx="7562215" cy="3897630"/>
                <wp:effectExtent l="0" t="0" r="0" b="0"/>
                <wp:wrapSquare wrapText="bothSides"/>
                <wp:docPr id="981"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389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39E5" w14:textId="77777777" w:rsidR="00490F33" w:rsidRDefault="00490F33">
                            <w:pPr>
                              <w:spacing w:after="450"/>
                              <w:ind w:left="926" w:right="1099"/>
                              <w:textAlignment w:val="baseline"/>
                            </w:pPr>
                            <w:r>
                              <w:rPr>
                                <w:noProof/>
                                <w:lang w:val="en-AU" w:eastAsia="en-AU"/>
                              </w:rPr>
                              <w:drawing>
                                <wp:inline distT="0" distB="0" distL="0" distR="0" wp14:anchorId="44D48F08" wp14:editId="3B3BE13E">
                                  <wp:extent cx="6276340" cy="3611880"/>
                                  <wp:effectExtent l="0" t="0" r="0" b="0"/>
                                  <wp:docPr id="32" name="Picture" descr="Graphic showing Post-school destinations, based on estimates sourced from the Australian Bureau of Statistics (2019), Education and Work, Australia, May 2019, cat. no. 6227.0, Table 17. Destinations of young people who left school in 2018 to study further: Higher Education 121,200; TAFE 43,700 and other institutions 7,300. Employment status of young people who left school in 2018: Employed full time 29,100, employed part-time 41,800, not employed 44,400."/>
                                  <wp:cNvGraphicFramePr/>
                                  <a:graphic xmlns:a="http://schemas.openxmlformats.org/drawingml/2006/main">
                                    <a:graphicData uri="http://schemas.openxmlformats.org/drawingml/2006/picture">
                                      <pic:pic xmlns:pic="http://schemas.openxmlformats.org/drawingml/2006/picture">
                                        <pic:nvPicPr>
                                          <pic:cNvPr id="32" name="Picture" descr="Graphic showing Post-school destinations, based on estimates sourced from the Australian Bureau of Statistics (2019), Education and Work, Australia, May 2019, cat. no. 6227.0, Table 17. Destinations of young people who left school in 2018 to study further: Higher Education 121,200; TAFE 43,700 and other institutions 7,300. Employment status of young people who left school in 2018: Employed full time 29,100, employed part-time 41,800, not employed 44,400."/>
                                          <pic:cNvPicPr preferRelativeResize="0"/>
                                        </pic:nvPicPr>
                                        <pic:blipFill>
                                          <a:blip r:embed="rId52"/>
                                          <a:stretch>
                                            <a:fillRect/>
                                          </a:stretch>
                                        </pic:blipFill>
                                        <pic:spPr>
                                          <a:xfrm>
                                            <a:off x="0" y="0"/>
                                            <a:ext cx="6276340" cy="36118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A9394" id="Text Box 702" o:spid="_x0000_s1032" type="#_x0000_t202" style="position:absolute;left:0;text-align:left;margin-left:0;margin-top:244.8pt;width:595.45pt;height:306.9pt;z-index:-25201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fV8gEAAMIDAAAOAAAAZHJzL2Uyb0RvYy54bWysU9tu2zAMfR+wfxD0vjhJ0SQ14hRdiw4D&#10;unVAuw9gZDkWZosapcTOvn6UHGfd9lb0RaB4OTo8pNbXfduIgyZv0BZyNplKoa3C0thdIb8/339Y&#10;SeED2BIatLqQR+3l9eb9u3Xncj3HGptSk2AQ6/POFbIOweVZ5lWtW/ATdNpysEJqIfCVdllJ0DF6&#10;22Tz6XSRdUilI1Tae/beDUG5SfhVpVV4rCqvg2gKydxCOimd23hmmzXkOwJXG3WiAa9g0YKx/OgZ&#10;6g4CiD2Z/6Baowg9VmGisM2wqozSqQfuZjb9p5unGpxOvbA43p1l8m8Hq74evpEwZSGvVjMpLLQ8&#10;pGfdB/ERe7GczqNCnfM5Jz45Tg09B3jSqVvvHlD98MLibQ12p2+IsKs1lMxwFiuzF6UDjo8g2+4L&#10;lvwQ7AMmoL6iNsrHgghG50kdz9OJZBQ7l5eL+Xx2KYXi2MXqarm4SPPLIB/LHfnwSWMrolFI4vEn&#10;eDg8+BDpQD6mxNcs3pumSSvQ2L8cnBg9iX5kPHAP/bZPWi1GVbZYHrkfwmGx+COwUSP9kqLjpSqk&#10;/7kH0lI0ny1rEjdwNGg0tqMBVnFpIYMUg3kbhk3dOzK7mpEH1S3esG6VSR1FgQcWJ7q8KKnR01LH&#10;TXx5T1l/vt7mNwAAAP//AwBQSwMEFAAGAAgAAAAhAJAPQkTfAAAACgEAAA8AAABkcnMvZG93bnJl&#10;di54bWxMj8FOwzAQRO9I/IO1SNyo3VJFTYhTVRWckBBpOHB04m1iNV6H2G3D3+Oc6G1Ws5p5k28n&#10;27MLjt44krBcCGBIjdOGWglf1dvTBpgPirTqHaGEX/SwLe7vcpVpd6USL4fQshhCPlMSuhCGjHPf&#10;dGiVX7gBKXpHN1oV4jm2XI/qGsNtz1dCJNwqQ7GhUwPuO2xOh7OVsPum8tX8fNSf5bE0VZUKek9O&#10;Uj4+TLsXYAGn8P8MM35EhyIy1e5M2rNeQhwSJKw3aQJstpepSIHVsxLPa+BFzm8nFH8AAAD//wMA&#10;UEsBAi0AFAAGAAgAAAAhALaDOJL+AAAA4QEAABMAAAAAAAAAAAAAAAAAAAAAAFtDb250ZW50X1R5&#10;cGVzXS54bWxQSwECLQAUAAYACAAAACEAOP0h/9YAAACUAQAACwAAAAAAAAAAAAAAAAAvAQAAX3Jl&#10;bHMvLnJlbHNQSwECLQAUAAYACAAAACEABD5X1fIBAADCAwAADgAAAAAAAAAAAAAAAAAuAgAAZHJz&#10;L2Uyb0RvYy54bWxQSwECLQAUAAYACAAAACEAkA9CRN8AAAAKAQAADwAAAAAAAAAAAAAAAABMBAAA&#10;ZHJzL2Rvd25yZXYueG1sUEsFBgAAAAAEAAQA8wAAAFgFAAAAAA==&#10;" filled="f" stroked="f">
                <v:textbox inset="0,0,0,0">
                  <w:txbxContent>
                    <w:p w14:paraId="1B8B39E5" w14:textId="77777777" w:rsidR="00490F33" w:rsidRDefault="00490F33">
                      <w:pPr>
                        <w:spacing w:after="450"/>
                        <w:ind w:left="926" w:right="1099"/>
                        <w:textAlignment w:val="baseline"/>
                      </w:pPr>
                      <w:r>
                        <w:rPr>
                          <w:noProof/>
                          <w:lang w:val="en-AU" w:eastAsia="en-AU"/>
                        </w:rPr>
                        <w:drawing>
                          <wp:inline distT="0" distB="0" distL="0" distR="0" wp14:anchorId="44D48F08" wp14:editId="3B3BE13E">
                            <wp:extent cx="6276340" cy="3611880"/>
                            <wp:effectExtent l="0" t="0" r="0" b="0"/>
                            <wp:docPr id="32" name="Picture" descr="Graphic showing Post-school destinations, based on estimates sourced from the Australian Bureau of Statistics (2019), Education and Work, Australia, May 2019, cat. no. 6227.0, Table 17. Destinations of young people who left school in 2018 to study further: Higher Education 121,200; TAFE 43,700 and other institutions 7,300. Employment status of young people who left school in 2018: Employed full time 29,100, employed part-time 41,800, not employed 44,400."/>
                            <wp:cNvGraphicFramePr/>
                            <a:graphic xmlns:a="http://schemas.openxmlformats.org/drawingml/2006/main">
                              <a:graphicData uri="http://schemas.openxmlformats.org/drawingml/2006/picture">
                                <pic:pic xmlns:pic="http://schemas.openxmlformats.org/drawingml/2006/picture">
                                  <pic:nvPicPr>
                                    <pic:cNvPr id="32" name="Picture" descr="Graphic showing Post-school destinations, based on estimates sourced from the Australian Bureau of Statistics (2019), Education and Work, Australia, May 2019, cat. no. 6227.0, Table 17. Destinations of young people who left school in 2018 to study further: Higher Education 121,200; TAFE 43,700 and other institutions 7,300. Employment status of young people who left school in 2018: Employed full time 29,100, employed part-time 41,800, not employed 44,400."/>
                                    <pic:cNvPicPr preferRelativeResize="0"/>
                                  </pic:nvPicPr>
                                  <pic:blipFill>
                                    <a:blip r:embed="rId52"/>
                                    <a:stretch>
                                      <a:fillRect/>
                                    </a:stretch>
                                  </pic:blipFill>
                                  <pic:spPr>
                                    <a:xfrm>
                                      <a:off x="0" y="0"/>
                                      <a:ext cx="6276340" cy="3611880"/>
                                    </a:xfrm>
                                    <a:prstGeom prst="rect">
                                      <a:avLst/>
                                    </a:prstGeom>
                                  </pic:spPr>
                                </pic:pic>
                              </a:graphicData>
                            </a:graphic>
                          </wp:inline>
                        </w:drawing>
                      </w:r>
                    </w:p>
                  </w:txbxContent>
                </v:textbox>
                <w10:wrap type="square" anchorx="page" anchory="page"/>
              </v:shape>
            </w:pict>
          </mc:Fallback>
        </mc:AlternateContent>
      </w:r>
      <w:r w:rsidR="00083242">
        <w:rPr>
          <w:rFonts w:ascii="Verdana" w:eastAsia="Verdana" w:hAnsi="Verdana"/>
          <w:color w:val="000000"/>
          <w:spacing w:val="1"/>
          <w:sz w:val="13"/>
        </w:rPr>
        <w:t>Note: These figures are estimates from the Australian Bureau of Statistics.</w:t>
      </w:r>
    </w:p>
    <w:p w14:paraId="6526AE83" w14:textId="77777777" w:rsidR="009757A9" w:rsidRDefault="00083242">
      <w:pPr>
        <w:spacing w:before="146" w:line="171" w:lineRule="exact"/>
        <w:ind w:left="864"/>
        <w:textAlignment w:val="baseline"/>
        <w:rPr>
          <w:rFonts w:ascii="Tahoma" w:eastAsia="Tahoma" w:hAnsi="Tahoma"/>
          <w:color w:val="000000"/>
          <w:spacing w:val="1"/>
          <w:sz w:val="14"/>
        </w:rPr>
      </w:pPr>
      <w:r>
        <w:rPr>
          <w:rFonts w:ascii="Tahoma" w:eastAsia="Tahoma" w:hAnsi="Tahoma"/>
          <w:color w:val="000000"/>
          <w:spacing w:val="1"/>
          <w:sz w:val="14"/>
        </w:rPr>
        <w:t xml:space="preserve">Source: Australian Bureau of Statistics (2019b), </w:t>
      </w:r>
      <w:r>
        <w:rPr>
          <w:rFonts w:ascii="Arial" w:eastAsia="Arial" w:hAnsi="Arial"/>
          <w:i/>
          <w:color w:val="000000"/>
          <w:spacing w:val="1"/>
          <w:sz w:val="14"/>
        </w:rPr>
        <w:t>Education and Work, Australia, May 2019</w:t>
      </w:r>
      <w:r>
        <w:rPr>
          <w:rFonts w:ascii="Verdana" w:eastAsia="Verdana" w:hAnsi="Verdana"/>
          <w:color w:val="000000"/>
          <w:spacing w:val="1"/>
          <w:sz w:val="13"/>
        </w:rPr>
        <w:t>, cat. no. 6227.0, Table 17.</w:t>
      </w:r>
    </w:p>
    <w:p w14:paraId="1801BCD2" w14:textId="77777777" w:rsidR="009757A9" w:rsidRDefault="00083242">
      <w:pPr>
        <w:spacing w:before="231" w:after="998"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This transformation has occurred in response both to government policies and labour market demand. In terms of the </w:t>
      </w:r>
      <w:r>
        <w:rPr>
          <w:rFonts w:ascii="Verdana" w:eastAsia="Verdana" w:hAnsi="Verdana"/>
          <w:color w:val="404042"/>
          <w:sz w:val="18"/>
        </w:rPr>
        <w:t xml:space="preserve">relative benefits of different post-school pathways, Figure 3 illustrates that those with a qualification at Certificate III/IV </w:t>
      </w:r>
      <w:r>
        <w:rPr>
          <w:rFonts w:ascii="Tahoma" w:eastAsia="Tahoma" w:hAnsi="Tahoma"/>
          <w:color w:val="404042"/>
          <w:sz w:val="18"/>
        </w:rPr>
        <w:t>or diploma or higher have the strongest labour force participation.</w:t>
      </w:r>
    </w:p>
    <w:p w14:paraId="15B586FA" w14:textId="77777777" w:rsidR="009757A9" w:rsidRDefault="000D2E34" w:rsidP="0070332D">
      <w:pPr>
        <w:tabs>
          <w:tab w:val="left" w:pos="1080"/>
        </w:tabs>
        <w:spacing w:before="43" w:line="201" w:lineRule="exact"/>
        <w:ind w:left="851"/>
        <w:textAlignment w:val="baseline"/>
        <w:rPr>
          <w:rFonts w:ascii="Verdana" w:eastAsia="Verdana" w:hAnsi="Verdana"/>
          <w:color w:val="404042"/>
          <w:sz w:val="13"/>
        </w:rPr>
      </w:pPr>
      <w:r>
        <w:rPr>
          <w:noProof/>
          <w:lang w:val="en-AU" w:eastAsia="en-AU"/>
        </w:rPr>
        <mc:AlternateContent>
          <mc:Choice Requires="wps">
            <w:drawing>
              <wp:anchor distT="0" distB="0" distL="114300" distR="114300" simplePos="0" relativeHeight="251802112" behindDoc="0" locked="0" layoutInCell="1" allowOverlap="1" wp14:anchorId="7D569941" wp14:editId="7E425F66">
                <wp:simplePos x="0" y="0"/>
                <wp:positionH relativeFrom="page">
                  <wp:posOffset>539750</wp:posOffset>
                </wp:positionH>
                <wp:positionV relativeFrom="page">
                  <wp:posOffset>8561705</wp:posOffset>
                </wp:positionV>
                <wp:extent cx="917575" cy="0"/>
                <wp:effectExtent l="0" t="0" r="0" b="0"/>
                <wp:wrapNone/>
                <wp:docPr id="980" name="Lin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385C9" id="Line 701" o:spid="_x0000_s1026" style="position:absolute;z-index:25180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74.15pt" to="114.75pt,6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s9zAEAAIUDAAAOAAAAZHJzL2Uyb0RvYy54bWysU8Fu2zAMvQ/YPwi6L3YKdEmMOD0k6y7Z&#10;FqDdBzCSbAuTRUFSYufvR8lJtm63YT4Iovj4SD7S66exN+ysfNBoaz6flZwpK1Bq29b8++vzhyVn&#10;IYKVYNCqml9U4E+b9+/Wg6vUA3ZopPKMSGyoBlfzLkZXFUUQneohzNApS84GfQ+RTN8W0sNA7L0p&#10;HsryYzGgl86jUCHQ625y8k3mbxol4remCSoyU3OqLebT5/OYzmKzhqr14DotrmXAP1TRg7aU9E61&#10;gwjs5PVfVL0WHgM2cSawL7BptFC5B+pmXv7RzUsHTuVeSJzg7jKF/0crvp4PnmlZ89WS9LHQ05D2&#10;2iq2KOdJncGFikBbe/CpPzHaF7dH8SMwi9sObKtyla8XR4E5ongTkozgKMdx+IKSMHCKmKUaG98n&#10;ShKBjXkil/tE1BiZoMfVfPG4eORM3FwFVLc450P8rLBn6VJzQ0VnXjjvQ6TKCXqDpDQWn7Uxed7G&#10;sqHmy+WqzAEBjZbJmWDBt8et8ewMaWPyl2QgsjewxLyD0E247Jp2yePJypylUyA/Xe8RtJnuRGQs&#10;8d10mRQ+orwcfMqT3mnWOeN1L9My/W5n1K+/Z/MTAAD//wMAUEsDBBQABgAIAAAAIQAjU0t54AAA&#10;AAwBAAAPAAAAZHJzL2Rvd25yZXYueG1sTI/BTsMwEETvSPyDtUhcUOuQ0iqEOFUocMkBqUnF2YmX&#10;JBDbke224e9ZDgiOOzuaeZNtZz2yEzo/WCPgdhkBQ9NaNZhOwKF+WSTAfJBGydEaFPCFHrb55UUm&#10;U2XPZo+nKnSMQoxPpYA+hCnl3Lc9aumXdkJDv3frtAx0uo4rJ88UrkceR9GGazkYaujlhLse28/q&#10;qAU0z8VmV5f28Fq/NaW7KT+K6vFJiOuruXgAFnAOf2b4wSd0yImpsUejPBsFJGuaEkhf3SUrYOSI&#10;4/s1sOZX4nnG/4/IvwEAAP//AwBQSwECLQAUAAYACAAAACEAtoM4kv4AAADhAQAAEwAAAAAAAAAA&#10;AAAAAAAAAAAAW0NvbnRlbnRfVHlwZXNdLnhtbFBLAQItABQABgAIAAAAIQA4/SH/1gAAAJQBAAAL&#10;AAAAAAAAAAAAAAAAAC8BAABfcmVscy8ucmVsc1BLAQItABQABgAIAAAAIQCv6ms9zAEAAIUDAAAO&#10;AAAAAAAAAAAAAAAAAC4CAABkcnMvZTJvRG9jLnhtbFBLAQItABQABgAIAAAAIQAjU0t54AAAAAwB&#10;AAAPAAAAAAAAAAAAAAAAACYEAABkcnMvZG93bnJldi54bWxQSwUGAAAAAAQABADzAAAAMwUAAAAA&#10;" strokeweight=".7pt">
                <w10:wrap anchorx="page" anchory="page"/>
              </v:line>
            </w:pict>
          </mc:Fallback>
        </mc:AlternateContent>
      </w:r>
      <w:r w:rsidR="0070332D">
        <w:rPr>
          <w:rFonts w:ascii="Verdana" w:eastAsia="Verdana" w:hAnsi="Verdana"/>
          <w:color w:val="404042"/>
          <w:sz w:val="13"/>
        </w:rPr>
        <w:t xml:space="preserve">8 </w:t>
      </w:r>
      <w:r w:rsidR="00083242">
        <w:rPr>
          <w:rFonts w:ascii="Verdana" w:eastAsia="Verdana" w:hAnsi="Verdana"/>
          <w:color w:val="404042"/>
          <w:sz w:val="13"/>
        </w:rPr>
        <w:t xml:space="preserve">Australian Bureau of Statistics (1999), Australian Social Trends, 1999: Participation in education – Destinations of school leavers, cat. no. 4102.0, </w:t>
      </w:r>
      <w:r w:rsidR="00083242">
        <w:rPr>
          <w:rFonts w:ascii="Verdana" w:eastAsia="Verdana" w:hAnsi="Verdana"/>
          <w:color w:val="404042"/>
          <w:sz w:val="13"/>
        </w:rPr>
        <w:br/>
      </w:r>
      <w:hyperlink r:id="rId53">
        <w:r w:rsidR="00083242">
          <w:rPr>
            <w:rFonts w:ascii="Tahoma" w:eastAsia="Tahoma" w:hAnsi="Tahoma"/>
            <w:color w:val="0000FF"/>
            <w:sz w:val="14"/>
            <w:u w:val="single"/>
          </w:rPr>
          <w:t>https://www.abs.gov.au/AUSSTATS/abs@.nsf/2f762f95845417aeca25706c00834efa/2f3f76f60abec87aca2570ec00112c40!OpenDocument</w:t>
        </w:r>
      </w:hyperlink>
      <w:r w:rsidR="00083242">
        <w:rPr>
          <w:rFonts w:ascii="Tahoma" w:eastAsia="Tahoma" w:hAnsi="Tahoma"/>
          <w:color w:val="404042"/>
          <w:sz w:val="14"/>
        </w:rPr>
        <w:t>.</w:t>
      </w:r>
    </w:p>
    <w:p w14:paraId="7007F19F" w14:textId="77777777" w:rsidR="009757A9" w:rsidRDefault="00083242">
      <w:pPr>
        <w:spacing w:before="35" w:line="162" w:lineRule="exact"/>
        <w:ind w:left="864"/>
        <w:textAlignment w:val="baseline"/>
        <w:rPr>
          <w:rFonts w:ascii="Tahoma" w:eastAsia="Tahoma" w:hAnsi="Tahoma"/>
          <w:color w:val="404042"/>
          <w:spacing w:val="12"/>
          <w:sz w:val="14"/>
        </w:rPr>
      </w:pPr>
      <w:r>
        <w:rPr>
          <w:rFonts w:ascii="Tahoma" w:eastAsia="Tahoma" w:hAnsi="Tahoma"/>
          <w:color w:val="404042"/>
          <w:spacing w:val="12"/>
          <w:sz w:val="14"/>
        </w:rPr>
        <w:t>9 Ibid.</w:t>
      </w:r>
    </w:p>
    <w:p w14:paraId="7BCD4191" w14:textId="77777777" w:rsidR="009757A9" w:rsidRDefault="00083242">
      <w:pPr>
        <w:spacing w:before="35" w:line="162" w:lineRule="exact"/>
        <w:ind w:left="864"/>
        <w:textAlignment w:val="baseline"/>
        <w:rPr>
          <w:rFonts w:ascii="Tahoma" w:eastAsia="Tahoma" w:hAnsi="Tahoma"/>
          <w:color w:val="404042"/>
          <w:spacing w:val="2"/>
          <w:sz w:val="14"/>
        </w:rPr>
      </w:pPr>
      <w:r>
        <w:rPr>
          <w:rFonts w:ascii="Tahoma" w:eastAsia="Tahoma" w:hAnsi="Tahoma"/>
          <w:color w:val="404042"/>
          <w:spacing w:val="2"/>
          <w:sz w:val="14"/>
        </w:rPr>
        <w:t>10 Ibid.</w:t>
      </w:r>
    </w:p>
    <w:p w14:paraId="0C594B98" w14:textId="77777777" w:rsidR="009757A9" w:rsidRDefault="00083242">
      <w:pPr>
        <w:spacing w:before="39" w:line="162" w:lineRule="exact"/>
        <w:ind w:left="864"/>
        <w:textAlignment w:val="baseline"/>
        <w:rPr>
          <w:rFonts w:ascii="Tahoma" w:eastAsia="Tahoma" w:hAnsi="Tahoma"/>
          <w:color w:val="404042"/>
          <w:spacing w:val="2"/>
          <w:sz w:val="14"/>
        </w:rPr>
      </w:pPr>
      <w:r>
        <w:rPr>
          <w:rFonts w:ascii="Tahoma" w:eastAsia="Tahoma" w:hAnsi="Tahoma"/>
          <w:color w:val="404042"/>
          <w:spacing w:val="2"/>
          <w:sz w:val="14"/>
        </w:rPr>
        <w:t>11 Ibid.</w:t>
      </w:r>
    </w:p>
    <w:p w14:paraId="58B5B9B1" w14:textId="1A274B3F" w:rsidR="009757A9" w:rsidRDefault="00FF2927">
      <w:pPr>
        <w:tabs>
          <w:tab w:val="left" w:pos="10728"/>
        </w:tabs>
        <w:spacing w:before="739" w:after="633" w:line="212" w:lineRule="exact"/>
        <w:ind w:left="9720"/>
        <w:textAlignment w:val="baseline"/>
        <w:rPr>
          <w:rFonts w:ascii="Tahoma" w:eastAsia="Tahoma" w:hAnsi="Tahoma"/>
          <w:color w:val="404042"/>
          <w:spacing w:val="7"/>
          <w:sz w:val="14"/>
        </w:rPr>
      </w:pPr>
      <w:r>
        <w:rPr>
          <w:noProof/>
          <w:lang w:val="en-AU" w:eastAsia="en-AU"/>
        </w:rPr>
        <w:drawing>
          <wp:anchor distT="0" distB="0" distL="114300" distR="114300" simplePos="0" relativeHeight="252124672" behindDoc="1" locked="0" layoutInCell="1" allowOverlap="1" wp14:anchorId="06CF104E" wp14:editId="707E6B9A">
            <wp:simplePos x="0" y="0"/>
            <wp:positionH relativeFrom="margin">
              <wp:align>right</wp:align>
            </wp:positionH>
            <wp:positionV relativeFrom="paragraph">
              <wp:posOffset>748665</wp:posOffset>
            </wp:positionV>
            <wp:extent cx="7562215" cy="462915"/>
            <wp:effectExtent l="0" t="0" r="635" b="0"/>
            <wp:wrapNone/>
            <wp:docPr id="1076" name="Picture"/>
            <wp:cNvGraphicFramePr/>
            <a:graphic xmlns:a="http://schemas.openxmlformats.org/drawingml/2006/main">
              <a:graphicData uri="http://schemas.openxmlformats.org/drawingml/2006/picture">
                <pic:pic xmlns:pic="http://schemas.openxmlformats.org/drawingml/2006/picture">
                  <pic:nvPicPr>
                    <pic:cNvPr id="47"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7"/>
          <w:sz w:val="14"/>
        </w:rPr>
        <w:t>Introduction</w:t>
      </w:r>
      <w:r w:rsidR="00083242">
        <w:rPr>
          <w:rFonts w:ascii="Arial" w:eastAsia="Arial" w:hAnsi="Arial"/>
          <w:b/>
          <w:color w:val="5556A1"/>
          <w:spacing w:val="7"/>
          <w:sz w:val="19"/>
        </w:rPr>
        <w:tab/>
        <w:t>25</w:t>
      </w:r>
    </w:p>
    <w:p w14:paraId="3B99A67E" w14:textId="1D9C8F04" w:rsidR="009757A9" w:rsidRDefault="009757A9" w:rsidP="00FF2927">
      <w:pPr>
        <w:ind w:firstLine="720"/>
        <w:rPr>
          <w:rFonts w:ascii="Tahoma" w:eastAsia="Tahoma" w:hAnsi="Tahoma"/>
          <w:color w:val="404042"/>
          <w:spacing w:val="7"/>
          <w:sz w:val="14"/>
        </w:rPr>
      </w:pPr>
    </w:p>
    <w:p w14:paraId="26696353" w14:textId="77777777" w:rsidR="00FF2927" w:rsidRDefault="00FF2927" w:rsidP="00FF2927">
      <w:pPr>
        <w:rPr>
          <w:rFonts w:ascii="Tahoma" w:eastAsia="Tahoma" w:hAnsi="Tahoma"/>
          <w:color w:val="404042"/>
          <w:spacing w:val="7"/>
          <w:sz w:val="14"/>
        </w:rPr>
      </w:pPr>
    </w:p>
    <w:p w14:paraId="2C69C3A2" w14:textId="05E7BDCF" w:rsidR="00FF2927" w:rsidRPr="00FF2927" w:rsidRDefault="00FF2927" w:rsidP="00FF2927">
      <w:pPr>
        <w:sectPr w:rsidR="00FF2927" w:rsidRPr="00FF2927">
          <w:type w:val="continuous"/>
          <w:pgSz w:w="11909" w:h="16838"/>
          <w:pgMar w:top="1080" w:right="0" w:bottom="0" w:left="0" w:header="720" w:footer="720" w:gutter="0"/>
          <w:cols w:space="720"/>
        </w:sectPr>
      </w:pPr>
    </w:p>
    <w:p w14:paraId="7082EC13" w14:textId="77777777" w:rsidR="009757A9" w:rsidRDefault="00083242">
      <w:pPr>
        <w:spacing w:before="21" w:after="1266" w:line="225" w:lineRule="exact"/>
        <w:ind w:left="864"/>
        <w:textAlignment w:val="baseline"/>
        <w:rPr>
          <w:rFonts w:ascii="Arial" w:eastAsia="Arial" w:hAnsi="Arial"/>
          <w:b/>
          <w:color w:val="404042"/>
          <w:spacing w:val="4"/>
          <w:sz w:val="19"/>
        </w:rPr>
      </w:pPr>
      <w:r>
        <w:rPr>
          <w:rFonts w:ascii="Arial" w:eastAsia="Arial" w:hAnsi="Arial"/>
          <w:b/>
          <w:color w:val="404042"/>
          <w:spacing w:val="4"/>
          <w:sz w:val="19"/>
        </w:rPr>
        <w:lastRenderedPageBreak/>
        <w:t xml:space="preserve">Figure 3: </w:t>
      </w:r>
      <w:r>
        <w:rPr>
          <w:rFonts w:ascii="Tahoma" w:eastAsia="Tahoma" w:hAnsi="Tahoma"/>
          <w:color w:val="404042"/>
          <w:spacing w:val="4"/>
          <w:sz w:val="18"/>
        </w:rPr>
        <w:t>Labour force participation rates by highest qualification level, May 2019 (persons aged 15-74)</w:t>
      </w:r>
    </w:p>
    <w:p w14:paraId="69A78704" w14:textId="77777777" w:rsidR="009757A9" w:rsidRDefault="00083242">
      <w:pPr>
        <w:spacing w:after="710"/>
        <w:ind w:left="1608" w:right="1671"/>
        <w:textAlignment w:val="baseline"/>
      </w:pPr>
      <w:r>
        <w:rPr>
          <w:noProof/>
          <w:lang w:val="en-AU" w:eastAsia="en-AU"/>
        </w:rPr>
        <w:drawing>
          <wp:inline distT="0" distB="0" distL="0" distR="0" wp14:anchorId="44CD0D82" wp14:editId="17264ACE">
            <wp:extent cx="5480050" cy="2419985"/>
            <wp:effectExtent l="0" t="0" r="0" b="0"/>
            <wp:docPr id="37" name="Picture" descr="Labour force participation rates from May 2019 for persons aged 15-74 years by highest qualification level Illustrates that those with a qualification at Certificate III/IV or above have the strongest labour force participation. Breakdown as follows. Post Graduate Degree: 86% in labour workforce, 14% not in labour force. Graduate Diploma/Graduate Certificate: 80% in labour force, 20% not in labour force. Bachelor Degree: 83% in labour workforce, 17% not in labour force. Advanced Diploma/Diploma: 79% in labour force, 21% not in labour force. Certificate 3 or 4: 80% in labour force, 20% not in labour force. Certificate 1 or 2: 65% in labour force, 35% not in labour force. Year 12 or equivalent: 73% in labour force, 27% not in labour force. Year 11: 61% in labour force, 39% not in labour force. Year 10: 55% in labour force, 45% not in labour force. Year 9 or below: 34% in labour force, 66% not in labour force."/>
            <wp:cNvGraphicFramePr/>
            <a:graphic xmlns:a="http://schemas.openxmlformats.org/drawingml/2006/main">
              <a:graphicData uri="http://schemas.openxmlformats.org/drawingml/2006/picture">
                <pic:pic xmlns:pic="http://schemas.openxmlformats.org/drawingml/2006/picture">
                  <pic:nvPicPr>
                    <pic:cNvPr id="37" name="Picture" descr="Labour force participation rates from May 2019 for persons aged 15-74 years by highest qualification level Illustrates that those with a qualification at Certificate III/IV or above have the strongest labour force participation. Breakdown as follows. Post Graduate Degree: 86% in labour workforce, 14% not in labour force. Graduate Diploma/Graduate Certificate: 80% in labour force, 20% not in labour force. Bachelor Degree: 83% in labour workforce, 17% not in labour force. Advanced Diploma/Diploma: 79% in labour force, 21% not in labour force. Certificate 3 or 4: 80% in labour force, 20% not in labour force. Certificate 1 or 2: 65% in labour force, 35% not in labour force. Year 12 or equivalent: 73% in labour force, 27% not in labour force. Year 11: 61% in labour force, 39% not in labour force. Year 10: 55% in labour force, 45% not in labour force. Year 9 or below: 34% in labour force, 66% not in labour force."/>
                    <pic:cNvPicPr preferRelativeResize="0"/>
                  </pic:nvPicPr>
                  <pic:blipFill>
                    <a:blip r:embed="rId54"/>
                    <a:stretch>
                      <a:fillRect/>
                    </a:stretch>
                  </pic:blipFill>
                  <pic:spPr>
                    <a:xfrm>
                      <a:off x="0" y="0"/>
                      <a:ext cx="5480050" cy="2419985"/>
                    </a:xfrm>
                    <a:prstGeom prst="rect">
                      <a:avLst/>
                    </a:prstGeom>
                  </pic:spPr>
                </pic:pic>
              </a:graphicData>
            </a:graphic>
          </wp:inline>
        </w:drawing>
      </w:r>
    </w:p>
    <w:p w14:paraId="5AF396DE" w14:textId="77777777" w:rsidR="009757A9" w:rsidRDefault="00083242">
      <w:pPr>
        <w:spacing w:before="7" w:line="178" w:lineRule="exact"/>
        <w:ind w:left="864" w:right="1872"/>
        <w:textAlignment w:val="baseline"/>
        <w:rPr>
          <w:rFonts w:ascii="Tahoma" w:eastAsia="Tahoma" w:hAnsi="Tahoma"/>
          <w:color w:val="000000"/>
          <w:sz w:val="14"/>
        </w:rPr>
      </w:pPr>
      <w:r>
        <w:rPr>
          <w:rFonts w:ascii="Tahoma" w:eastAsia="Tahoma" w:hAnsi="Tahoma"/>
          <w:color w:val="000000"/>
          <w:sz w:val="14"/>
        </w:rPr>
        <w:t xml:space="preserve">Note: </w:t>
      </w:r>
      <w:r>
        <w:rPr>
          <w:rFonts w:ascii="Arial" w:eastAsia="Arial" w:hAnsi="Arial"/>
          <w:i/>
          <w:color w:val="000000"/>
          <w:sz w:val="14"/>
        </w:rPr>
        <w:t xml:space="preserve">The Education and Work, Australia </w:t>
      </w:r>
      <w:r>
        <w:rPr>
          <w:rFonts w:ascii="Tahoma" w:eastAsia="Tahoma" w:hAnsi="Tahoma"/>
          <w:color w:val="000000"/>
          <w:sz w:val="14"/>
        </w:rPr>
        <w:t>collection is a sample survey and may encounter sampling errors, which may impact on the result of the statistics.</w:t>
      </w:r>
    </w:p>
    <w:p w14:paraId="4DEFAA80" w14:textId="77777777" w:rsidR="009757A9" w:rsidRDefault="00083242">
      <w:pPr>
        <w:spacing w:before="143" w:line="176" w:lineRule="exact"/>
        <w:ind w:left="864"/>
        <w:textAlignment w:val="baseline"/>
        <w:rPr>
          <w:rFonts w:ascii="Tahoma" w:eastAsia="Tahoma" w:hAnsi="Tahoma"/>
          <w:color w:val="000000"/>
          <w:spacing w:val="2"/>
          <w:sz w:val="14"/>
        </w:rPr>
      </w:pPr>
      <w:r>
        <w:rPr>
          <w:rFonts w:ascii="Tahoma" w:eastAsia="Tahoma" w:hAnsi="Tahoma"/>
          <w:color w:val="000000"/>
          <w:spacing w:val="2"/>
          <w:sz w:val="14"/>
        </w:rPr>
        <w:t xml:space="preserve">Source: Australian Bureau of Statistics (2019b), </w:t>
      </w:r>
      <w:r>
        <w:rPr>
          <w:rFonts w:ascii="Arial" w:eastAsia="Arial" w:hAnsi="Arial"/>
          <w:i/>
          <w:color w:val="000000"/>
          <w:spacing w:val="2"/>
          <w:sz w:val="14"/>
        </w:rPr>
        <w:t>Education and Work, Australia, May 2019</w:t>
      </w:r>
      <w:r>
        <w:rPr>
          <w:rFonts w:ascii="Tahoma" w:eastAsia="Tahoma" w:hAnsi="Tahoma"/>
          <w:color w:val="000000"/>
          <w:spacing w:val="2"/>
          <w:sz w:val="14"/>
        </w:rPr>
        <w:t>, cat. no. 6227.0, Table 10.</w:t>
      </w:r>
    </w:p>
    <w:p w14:paraId="7E6CC0E5" w14:textId="77777777" w:rsidR="009757A9" w:rsidRDefault="00083242">
      <w:pPr>
        <w:spacing w:before="643" w:line="240" w:lineRule="exact"/>
        <w:ind w:left="864" w:right="936"/>
        <w:textAlignment w:val="baseline"/>
        <w:rPr>
          <w:rFonts w:ascii="Tahoma" w:eastAsia="Tahoma" w:hAnsi="Tahoma"/>
          <w:color w:val="404042"/>
          <w:sz w:val="18"/>
        </w:rPr>
      </w:pPr>
      <w:r>
        <w:rPr>
          <w:rFonts w:ascii="Tahoma" w:eastAsia="Tahoma" w:hAnsi="Tahoma"/>
          <w:color w:val="404042"/>
          <w:sz w:val="18"/>
        </w:rPr>
        <w:t>In 2019, 83 per cent of 15- to 74-year-olds with a bachelor degree were in the labour force, compared to 80 per cent of those with certificates at the III/IV level, and 73 per cent of those with Year 12 as their highest educational attainment. Young people with a qualification level of Year 11 or below had the lowest labour force participation rates. Education, it is clear, represents the pathway to gaining meaningful employment.</w:t>
      </w:r>
    </w:p>
    <w:p w14:paraId="2D310D93" w14:textId="77777777" w:rsidR="009757A9" w:rsidRDefault="00083242">
      <w:pPr>
        <w:spacing w:before="168"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In terms of graduate income, vocational education and training (VET) graduates earn higher wages immediately following graduation. University graduates have the ability to earn higher wages over a lifetime. For example, in 2017, at the age of 21, university graduate fortnightly wages exceeded school leaver wages by approximately 25 per cent, while VET graduate wages exceeded school leaver wages by approximately 50 per cent. Once the graduates reached the age of 24, this trend was reversed, with university graduates earning more than VET graduates thereafter.</w:t>
      </w:r>
      <w:r>
        <w:rPr>
          <w:rFonts w:ascii="Tahoma" w:eastAsia="Tahoma" w:hAnsi="Tahoma"/>
          <w:color w:val="404042"/>
          <w:spacing w:val="4"/>
          <w:sz w:val="18"/>
          <w:vertAlign w:val="superscript"/>
        </w:rPr>
        <w:t>12</w:t>
      </w:r>
      <w:r>
        <w:rPr>
          <w:rFonts w:ascii="Tahoma" w:eastAsia="Tahoma" w:hAnsi="Tahoma"/>
          <w:color w:val="404042"/>
          <w:spacing w:val="4"/>
          <w:sz w:val="10"/>
        </w:rPr>
        <w:t xml:space="preserve"> </w:t>
      </w:r>
    </w:p>
    <w:p w14:paraId="4DE287F5" w14:textId="77777777" w:rsidR="009757A9" w:rsidRDefault="00083242">
      <w:pPr>
        <w:spacing w:before="173" w:after="1919"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Wages, or lifetime income, is a good indicator of economic success in life. But it can be much more than that: greater success in employment often goes hand in hand with more stable family life and greater levels of civic engagement. At a time when trust in democratic governance and other institutions is declining in Australia, education can play a key role in creating an informed and participatory citizenry and maintaining a cohesive and harmonious society. Education counters ignorance and fear and promotes tolerance and understanding.</w:t>
      </w:r>
    </w:p>
    <w:p w14:paraId="0686ADC1" w14:textId="77777777" w:rsidR="009757A9" w:rsidRDefault="000D2E34">
      <w:pPr>
        <w:spacing w:before="46" w:line="202" w:lineRule="exact"/>
        <w:ind w:left="1080" w:right="1080"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03136" behindDoc="0" locked="0" layoutInCell="1" allowOverlap="1" wp14:anchorId="5DAB2C58" wp14:editId="0AD122E2">
                <wp:simplePos x="0" y="0"/>
                <wp:positionH relativeFrom="page">
                  <wp:posOffset>539750</wp:posOffset>
                </wp:positionH>
                <wp:positionV relativeFrom="page">
                  <wp:posOffset>8942705</wp:posOffset>
                </wp:positionV>
                <wp:extent cx="917575" cy="0"/>
                <wp:effectExtent l="0" t="0" r="0" b="0"/>
                <wp:wrapNone/>
                <wp:docPr id="979"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53D66" id="Line 700" o:spid="_x0000_s1026" style="position:absolute;z-index:25180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04.15pt" to="114.75pt,7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hLzgEAAIUDAAAOAAAAZHJzL2Uyb0RvYy54bWysU02PGyEMvVfqf0Dcm5mstE0yymQPSbeX&#10;tI202x/gADODChhhkkn+fYF8dNveqs4BYWw/Pz97lk8na9hRBdLoWj6d1JwpJ1Bq17f8++vzhzln&#10;FMFJMOhUy8+K+NPq/bvl6Bv1gAMaqQJLII6a0bd8iNE3VUViUBZogl655OwwWIjJDH0lA4wJ3Zrq&#10;oa4/ViMG6QMKRZReNxcnXxX8rlMifus6UpGZlidusZyhnPt8VqslNH0AP2hxpQH/wMKCdqnoHWoD&#10;Edgh6L+grBYBCbs4EWgr7DotVOkhdTOt/+jmZQCvSi9JHPJ3mej/wYqvx11gWrZ8MVtw5sCmIW21&#10;U2xWF3VGT00KWrtdyP2Jk3vxWxQ/iDlcD+B6VVi+nn1KnGY9q99SskE+1diPX1CmGDhELFKdumAz&#10;ZBKBncpEzveJqFNkIj0uprPH2SNn4uaqoLnl+UDxs0LL8qXlJpEuuHDcUsw8oLmF5DIOn7UxZd7G&#10;sbHl8/miLgmERsvszGEU+v3aBHaEvDHlK00lz9uwjLwBGi5xxXXZpYAHJ0uVQYH8dL1H0OZyT6yM&#10;u4qUdcmbSs0e5XkXbuKlWRf6173My/TWLtm//p7VTwAAAP//AwBQSwMEFAAGAAgAAAAhAKPTHyvg&#10;AAAADAEAAA8AAABkcnMvZG93bnJldi54bWxMj8FOwzAQRO9I/IO1SFxQ6xBoFUKcKhS45IBEUvXs&#10;xCYJxOvIdtvw92wPCI47O5p5k21mM7Kjdn6wKOB2GQHT2Fo1YCdgV78uEmA+SFRytKgFfGsPm/zy&#10;IpOpsid818cqdIxC0KdSQB/ClHLu214b6Zd20ki/D+uMDHS6jisnTxRuRh5H0ZobOSA19HLS2163&#10;X9XBCGheivW2Lu3urd43pbspP4vq6VmI66u5eAQW9Bz+zHDGJ3TIiamxB1SejQKSFU0JpN9HyR0w&#10;csTxwwpY8yvxPOP/R+Q/AAAA//8DAFBLAQItABQABgAIAAAAIQC2gziS/gAAAOEBAAATAAAAAAAA&#10;AAAAAAAAAAAAAABbQ29udGVudF9UeXBlc10ueG1sUEsBAi0AFAAGAAgAAAAhADj9If/WAAAAlAEA&#10;AAsAAAAAAAAAAAAAAAAALwEAAF9yZWxzLy5yZWxzUEsBAi0AFAAGAAgAAAAhAOG9OEvOAQAAhQMA&#10;AA4AAAAAAAAAAAAAAAAALgIAAGRycy9lMm9Eb2MueG1sUEsBAi0AFAAGAAgAAAAhAKPTHyvgAAAA&#10;DAEAAA8AAAAAAAAAAAAAAAAAKAQAAGRycy9kb3ducmV2LnhtbFBLBQYAAAAABAAEAPMAAAA1BQAA&#10;AAA=&#10;" strokeweight=".7pt">
                <w10:wrap anchorx="page" anchory="page"/>
              </v:line>
            </w:pict>
          </mc:Fallback>
        </mc:AlternateContent>
      </w:r>
      <w:r w:rsidR="00083242">
        <w:rPr>
          <w:rFonts w:ascii="Tahoma" w:eastAsia="Tahoma" w:hAnsi="Tahoma"/>
          <w:color w:val="404042"/>
          <w:sz w:val="14"/>
        </w:rPr>
        <w:t xml:space="preserve">12 Group of Eight (2014), </w:t>
      </w:r>
      <w:r w:rsidR="00083242">
        <w:rPr>
          <w:rFonts w:ascii="Arial" w:eastAsia="Arial" w:hAnsi="Arial"/>
          <w:i/>
          <w:color w:val="404042"/>
          <w:sz w:val="14"/>
        </w:rPr>
        <w:t>Policy Note: Graduate skills and national productivity</w:t>
      </w:r>
      <w:r w:rsidR="00083242">
        <w:rPr>
          <w:rFonts w:ascii="Tahoma" w:eastAsia="Tahoma" w:hAnsi="Tahoma"/>
          <w:color w:val="404042"/>
          <w:sz w:val="14"/>
        </w:rPr>
        <w:t xml:space="preserve">, March 2014, p. 4, </w:t>
      </w:r>
      <w:hyperlink r:id="rId55">
        <w:r w:rsidR="00083242">
          <w:rPr>
            <w:rFonts w:ascii="Tahoma" w:eastAsia="Tahoma" w:hAnsi="Tahoma"/>
            <w:color w:val="0000FF"/>
            <w:sz w:val="14"/>
            <w:u w:val="single"/>
          </w:rPr>
          <w:t xml:space="preserve">https://go8.edu.au/files/docs/publications/graduate_ </w:t>
        </w:r>
      </w:hyperlink>
      <w:r w:rsidR="00083242">
        <w:rPr>
          <w:rFonts w:ascii="Tahoma" w:eastAsia="Tahoma" w:hAnsi="Tahoma"/>
          <w:color w:val="0000FF"/>
          <w:sz w:val="14"/>
          <w:u w:val="single"/>
        </w:rPr>
        <w:t>skills_and_national_productivity.pdf</w:t>
      </w:r>
      <w:r w:rsidR="00083242">
        <w:rPr>
          <w:rFonts w:ascii="Tahoma" w:eastAsia="Tahoma" w:hAnsi="Tahoma"/>
          <w:color w:val="404042"/>
          <w:sz w:val="14"/>
        </w:rPr>
        <w:t>.</w:t>
      </w:r>
    </w:p>
    <w:p w14:paraId="77C4803B" w14:textId="77777777" w:rsidR="009757A9" w:rsidRDefault="00083242">
      <w:pPr>
        <w:tabs>
          <w:tab w:val="left" w:pos="1368"/>
        </w:tabs>
        <w:spacing w:before="729" w:after="628" w:line="217" w:lineRule="exact"/>
        <w:ind w:left="864"/>
        <w:textAlignment w:val="baseline"/>
        <w:rPr>
          <w:rFonts w:ascii="Arial" w:eastAsia="Arial" w:hAnsi="Arial"/>
          <w:b/>
          <w:color w:val="5556A1"/>
          <w:spacing w:val="4"/>
          <w:sz w:val="19"/>
        </w:rPr>
      </w:pPr>
      <w:r>
        <w:rPr>
          <w:rFonts w:ascii="Arial" w:eastAsia="Arial" w:hAnsi="Arial"/>
          <w:b/>
          <w:color w:val="5556A1"/>
          <w:spacing w:val="4"/>
          <w:sz w:val="19"/>
        </w:rPr>
        <w:t>26</w:t>
      </w:r>
      <w:r>
        <w:rPr>
          <w:rFonts w:ascii="Tahoma" w:eastAsia="Tahoma" w:hAnsi="Tahoma"/>
          <w:color w:val="404042"/>
          <w:spacing w:val="4"/>
          <w:sz w:val="14"/>
        </w:rPr>
        <w:tab/>
        <w:t>Looking to the future</w:t>
      </w:r>
    </w:p>
    <w:p w14:paraId="48783D56" w14:textId="77777777" w:rsidR="009757A9" w:rsidRDefault="00083242">
      <w:pPr>
        <w:textAlignment w:val="baseline"/>
      </w:pPr>
      <w:r>
        <w:rPr>
          <w:noProof/>
          <w:lang w:val="en-AU" w:eastAsia="en-AU"/>
        </w:rPr>
        <w:drawing>
          <wp:inline distT="0" distB="0" distL="0" distR="0" wp14:anchorId="1433F5B2" wp14:editId="28656CFB">
            <wp:extent cx="7562215" cy="462915"/>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8" name="Picture"/>
                    <pic:cNvPicPr preferRelativeResize="0"/>
                  </pic:nvPicPr>
                  <pic:blipFill>
                    <a:blip r:embed="rId56"/>
                    <a:stretch>
                      <a:fillRect/>
                    </a:stretch>
                  </pic:blipFill>
                  <pic:spPr>
                    <a:xfrm>
                      <a:off x="0" y="0"/>
                      <a:ext cx="7562215" cy="462915"/>
                    </a:xfrm>
                    <a:prstGeom prst="rect">
                      <a:avLst/>
                    </a:prstGeom>
                  </pic:spPr>
                </pic:pic>
              </a:graphicData>
            </a:graphic>
          </wp:inline>
        </w:drawing>
      </w:r>
    </w:p>
    <w:p w14:paraId="47D5E748" w14:textId="77777777" w:rsidR="009757A9" w:rsidRDefault="009757A9">
      <w:pPr>
        <w:sectPr w:rsidR="009757A9">
          <w:pgSz w:w="11909" w:h="16838"/>
          <w:pgMar w:top="1080" w:right="0" w:bottom="0" w:left="0" w:header="720" w:footer="720" w:gutter="0"/>
          <w:cols w:space="720"/>
        </w:sectPr>
      </w:pPr>
    </w:p>
    <w:p w14:paraId="7416833B" w14:textId="77777777" w:rsidR="009757A9" w:rsidRPr="00617D51" w:rsidRDefault="00083242" w:rsidP="00617D51">
      <w:pPr>
        <w:pStyle w:val="Heading2"/>
        <w:rPr>
          <w:rFonts w:eastAsia="Arial"/>
          <w:sz w:val="25"/>
          <w:szCs w:val="25"/>
        </w:rPr>
      </w:pPr>
      <w:r w:rsidRPr="00617D51">
        <w:rPr>
          <w:rFonts w:eastAsia="Arial"/>
          <w:sz w:val="25"/>
          <w:szCs w:val="25"/>
        </w:rPr>
        <w:lastRenderedPageBreak/>
        <w:t>The labour market of the future</w:t>
      </w:r>
    </w:p>
    <w:p w14:paraId="1EB5529D" w14:textId="77777777" w:rsidR="009757A9" w:rsidRDefault="00083242">
      <w:pPr>
        <w:spacing w:before="155" w:line="240" w:lineRule="exact"/>
        <w:ind w:left="864" w:right="1008"/>
        <w:textAlignment w:val="baseline"/>
        <w:rPr>
          <w:rFonts w:ascii="Tahoma" w:eastAsia="Tahoma" w:hAnsi="Tahoma"/>
          <w:color w:val="404042"/>
          <w:sz w:val="18"/>
        </w:rPr>
      </w:pPr>
      <w:r>
        <w:rPr>
          <w:rFonts w:ascii="Tahoma" w:eastAsia="Tahoma" w:hAnsi="Tahoma"/>
          <w:color w:val="404042"/>
          <w:sz w:val="18"/>
        </w:rPr>
        <w:t>The workforce is also undergoing severe disruption. Following the global financial crisis in 2008, we saw employment prospects for young people become much more limited under tight labour market conditions. Employers preferred to keep their skilled and experienced staff over hiring young people with fewer skills and less experience.</w:t>
      </w:r>
      <w:r>
        <w:rPr>
          <w:rFonts w:ascii="Tahoma" w:eastAsia="Tahoma" w:hAnsi="Tahoma"/>
          <w:color w:val="404042"/>
          <w:sz w:val="18"/>
          <w:vertAlign w:val="superscript"/>
        </w:rPr>
        <w:t>13</w:t>
      </w:r>
      <w:r>
        <w:rPr>
          <w:rFonts w:ascii="Tahoma" w:eastAsia="Tahoma" w:hAnsi="Tahoma"/>
          <w:color w:val="404042"/>
          <w:sz w:val="18"/>
        </w:rPr>
        <w:t xml:space="preserve"> This situation is likely to be seen once again following the COVID19 pandemic.</w:t>
      </w:r>
    </w:p>
    <w:p w14:paraId="2D2F2555" w14:textId="54EB203B" w:rsidR="009757A9" w:rsidRDefault="00617D51">
      <w:pPr>
        <w:spacing w:before="168" w:after="470" w:line="240" w:lineRule="exact"/>
        <w:ind w:left="864" w:right="1224"/>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04160" behindDoc="0" locked="0" layoutInCell="1" allowOverlap="1" wp14:anchorId="56129F51" wp14:editId="4D3F7DC2">
                <wp:simplePos x="0" y="0"/>
                <wp:positionH relativeFrom="page">
                  <wp:posOffset>768985</wp:posOffset>
                </wp:positionH>
                <wp:positionV relativeFrom="page">
                  <wp:posOffset>2485390</wp:posOffset>
                </wp:positionV>
                <wp:extent cx="5907405" cy="0"/>
                <wp:effectExtent l="0" t="0" r="0" b="0"/>
                <wp:wrapNone/>
                <wp:docPr id="978" name="Lin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9A7AF" id="Line 699" o:spid="_x0000_s1026" style="position:absolute;z-index:25180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5pt,195.7pt" to="525.7pt,1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Mm0QEAAIYDAAAOAAAAZHJzL2Uyb0RvYy54bWysU01v2zAMvQ/YfxB0X+x0TTIbcXpI1l2y&#10;LUDbH8BIcixMFgVJiZN/P0r5aLfdil0ESiQfHx+p+cOxN+ygfNBoGz4elZwpK1Bqu2v4y/Pjpy+c&#10;hQhWgkGrGn5SgT8sPn6YD65Wd9ihkcozArGhHlzDuxhdXRRBdKqHMEKnLDlb9D1EuvpdIT0MhN6b&#10;4q4sp8WAXjqPQoVAr6uzky8yftsqEX+2bVCRmYYTt5hPn89tOovFHOqdB9dpcaEB72DRg7ZU9Aa1&#10;gghs7/U/UL0WHgO2cSSwL7BttVC5B+pmXP7VzVMHTuVeSJzgbjKF/wcrfhw2nmnZ8GpGo7LQ05DW&#10;2io2raqkzuBCTUFLu/GpP3G0T26N4ldgFpcd2J3KLJ9PjhLHKaP4IyVdgqMa2+E7SoqBfcQs1bH1&#10;fYIkEdgxT+R0m4g6RibocVKVs/tywpm4+gqor4nOh/hNYc+S0XBDrDMwHNYhJiJQX0NSHYuP2pg8&#10;cGPZ0PDp50mZEwIaLZMzhQW/2y6NZwdIK1POquo+d0Wet2EJeQWhO8dl13mZPO6tzFU6BfLrxY6g&#10;zdkmVsZeVErCnCXeojxt/FU9Gnamf1nMtE1v7zn79fssfgMAAP//AwBQSwMEFAAGAAgAAAAhAJN8&#10;a+3cAAAADAEAAA8AAABkcnMvZG93bnJldi54bWxMj0FvwjAMhe+T+A+RkXYbSdmYoGuKEIgTlw0m&#10;7Woar+3WOFUTSvn3S6VJ283Pfnr+XrYebCN66nztWEMyUyCIC2dqLjW8n/YPSxA+IBtsHJOGG3lY&#10;55O7DFPjrvxG/TGUIoawT1FDFUKbSumLiiz6mWuJ4+3TdRZDlF0pTYfXGG4bOVfqWVqsOX6osKVt&#10;RcX38WI17FGdXs3h4L78x+K2xSDNjnqt76fD5gVEoCH8mWHEj+iQR6azu7Dxool6niTRquFxlTyB&#10;GB1qMU7n35XMM/m/RP4DAAD//wMAUEsBAi0AFAAGAAgAAAAhALaDOJL+AAAA4QEAABMAAAAAAAAA&#10;AAAAAAAAAAAAAFtDb250ZW50X1R5cGVzXS54bWxQSwECLQAUAAYACAAAACEAOP0h/9YAAACUAQAA&#10;CwAAAAAAAAAAAAAAAAAvAQAAX3JlbHMvLnJlbHNQSwECLQAUAAYACAAAACEAyoYDJtEBAACGAwAA&#10;DgAAAAAAAAAAAAAAAAAuAgAAZHJzL2Uyb0RvYy54bWxQSwECLQAUAAYACAAAACEAk3xr7d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z w:val="18"/>
        </w:rPr>
        <w:t>For young people entering into employment either straight from school or after further education and training, the landscape of the world of work has inexorably shifted from that experienced by preceding generations.</w:t>
      </w:r>
    </w:p>
    <w:p w14:paraId="04B7EE9F" w14:textId="7ED538A5" w:rsidR="009757A9" w:rsidRDefault="00083242">
      <w:pPr>
        <w:spacing w:before="109" w:line="299" w:lineRule="exact"/>
        <w:ind w:left="1296" w:right="1368"/>
        <w:textAlignment w:val="baseline"/>
        <w:rPr>
          <w:rFonts w:ascii="Tahoma" w:eastAsia="Tahoma" w:hAnsi="Tahoma"/>
          <w:i/>
          <w:color w:val="007994"/>
          <w:sz w:val="21"/>
        </w:rPr>
      </w:pPr>
      <w:r>
        <w:rPr>
          <w:rFonts w:ascii="Tahoma" w:eastAsia="Tahoma" w:hAnsi="Tahoma"/>
          <w:i/>
          <w:color w:val="007994"/>
          <w:sz w:val="21"/>
        </w:rPr>
        <w:t>“... the average Australian worker will likely change jobs 2.4 times over the next two decades. By 2040, 9 out of 10 Australians between 21 to 65 years are expected to have changed occupations at least once. Most of these people will require some reskilling to successfully switch from one job to the next ... workers who stay in their roles will need to frequently refresh their skills to navigate changes in the way they do their jobs.”</w:t>
      </w:r>
    </w:p>
    <w:p w14:paraId="1F49FAD8" w14:textId="1FCC8601" w:rsidR="009757A9" w:rsidRDefault="00617D51">
      <w:pPr>
        <w:spacing w:before="38" w:after="215" w:line="260" w:lineRule="exact"/>
        <w:ind w:left="9504"/>
        <w:textAlignment w:val="baseline"/>
        <w:rPr>
          <w:rFonts w:ascii="Tahoma" w:eastAsia="Tahoma" w:hAnsi="Tahoma"/>
          <w:i/>
          <w:color w:val="007994"/>
          <w:spacing w:val="-6"/>
          <w:sz w:val="21"/>
        </w:rPr>
      </w:pPr>
      <w:r>
        <w:rPr>
          <w:noProof/>
          <w:lang w:val="en-AU" w:eastAsia="en-AU"/>
        </w:rPr>
        <mc:AlternateContent>
          <mc:Choice Requires="wps">
            <w:drawing>
              <wp:anchor distT="0" distB="0" distL="114300" distR="114300" simplePos="0" relativeHeight="251805184" behindDoc="0" locked="0" layoutInCell="1" allowOverlap="1" wp14:anchorId="1DD1C158" wp14:editId="5DBAD871">
                <wp:simplePos x="0" y="0"/>
                <wp:positionH relativeFrom="page">
                  <wp:posOffset>826135</wp:posOffset>
                </wp:positionH>
                <wp:positionV relativeFrom="page">
                  <wp:posOffset>3914775</wp:posOffset>
                </wp:positionV>
                <wp:extent cx="5907405" cy="0"/>
                <wp:effectExtent l="0" t="0" r="0" b="0"/>
                <wp:wrapNone/>
                <wp:docPr id="977"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0B2CE" id="Line 698" o:spid="_x0000_s1026" style="position:absolute;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08.25pt" to="530.2pt,3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X+0gEAAIYDAAAOAAAAZHJzL2Uyb0RvYy54bWysU01v2zAMvQ/YfxB0X+x0TVIbcXpI1l2y&#10;LUDbH8BIsi1MEgVJiZ1/P0n5WLfdil0ESiQfHx+p5eOoFTkK5yWahk4nJSXCMOTSdA19fXn69ECJ&#10;D2A4KDSioSfh6ePq44flYGtxhz0qLhyJIMbXg21oH4Kti8KzXmjwE7TCRGeLTkOIV9cV3MEQ0bUq&#10;7spyXgzouHXIhPfxdXN20lXGb1vBwo+29SIQ1dDILeTT5XOfzmK1hLpzYHvJLjTgHSw0SBOL3qA2&#10;EIAcnPwHSkvm0GMbJgx1gW0rmcg9xG6m5V/dPPdgRe4liuPtTSb//2DZ9+POEckbWi0WlBjQcUhb&#10;aQSZVw9JncH6Ogatzc6l/thonu0W2U9PDK57MJ3ILF9ONiZOU0bxR0q6eBtr7IdvyGMMHAJmqcbW&#10;6QQZRSBjnsjpNhExBsLi46wqF/fljBJ29RVQXxOt8+GrQE2S0VAVWWdgOG59SESgvoakOgafpFJ5&#10;4MqQoaHzz7MyJ3hUkidnCvOu26+VI0dIK1Muquo+dxU9b8MS8gZ8f47LrvMyOTwYnqv0AviXix1A&#10;qrMdWSlzUSkJc5Z4j/y0c1f14rAz/ctipm16e8/Zv7/P6hcAAAD//wMAUEsDBBQABgAIAAAAIQC5&#10;DWcb3AAAAAwBAAAPAAAAZHJzL2Rvd25yZXYueG1sTI/BbsIwDIbvk3iHyEi7jaTbqKauKUJMnLhs&#10;MGlX05i20DhVE0p5+wVp0jj+9qffn/PFaFsxUO8bxxqSmQJBXDrTcKXhe7d+egPhA7LB1jFpuJKH&#10;RTF5yDEz7sJfNGxDJWIJ+ww11CF0mZS+rMmin7mOOO4OrrcYYuwraXq8xHLbymelUmmx4Xihxo5W&#10;NZWn7dlqWKPafZrNxh39z/y6wiDNBw1aP07H5TuIQGP4h+GmH9WhiE57d2bjRRvzi0oiqiFN0jmI&#10;G6FS9Qpi/zeSRS7vnyh+AQAA//8DAFBLAQItABQABgAIAAAAIQC2gziS/gAAAOEBAAATAAAAAAAA&#10;AAAAAAAAAAAAAABbQ29udGVudF9UeXBlc10ueG1sUEsBAi0AFAAGAAgAAAAhADj9If/WAAAAlAEA&#10;AAsAAAAAAAAAAAAAAAAALwEAAF9yZWxzLy5yZWxzUEsBAi0AFAAGAAgAAAAhANdXJf7SAQAAhgMA&#10;AA4AAAAAAAAAAAAAAAAALgIAAGRycy9lMm9Eb2MueG1sUEsBAi0AFAAGAAgAAAAhALkNZxvcAAAA&#10;DAEAAA8AAAAAAAAAAAAAAAAALAQAAGRycy9kb3ducmV2LnhtbFBLBQYAAAAABAAEAPMAAAA1BQAA&#10;AAA=&#10;" strokecolor="#007994" strokeweight=".5pt">
                <w10:wrap anchorx="page" anchory="page"/>
              </v:line>
            </w:pict>
          </mc:Fallback>
        </mc:AlternateContent>
      </w:r>
      <w:r w:rsidR="00083242">
        <w:rPr>
          <w:rFonts w:ascii="Tahoma" w:eastAsia="Tahoma" w:hAnsi="Tahoma"/>
          <w:i/>
          <w:color w:val="007994"/>
          <w:spacing w:val="-6"/>
          <w:sz w:val="21"/>
        </w:rPr>
        <w:t>AlphaBeta</w:t>
      </w:r>
      <w:r w:rsidR="00083242">
        <w:rPr>
          <w:rFonts w:ascii="Tahoma" w:eastAsia="Tahoma" w:hAnsi="Tahoma"/>
          <w:i/>
          <w:color w:val="007994"/>
          <w:spacing w:val="-6"/>
          <w:sz w:val="21"/>
          <w:vertAlign w:val="superscript"/>
        </w:rPr>
        <w:t>14</w:t>
      </w:r>
      <w:r w:rsidR="00083242">
        <w:rPr>
          <w:rFonts w:ascii="Tahoma" w:eastAsia="Tahoma" w:hAnsi="Tahoma"/>
          <w:i/>
          <w:color w:val="007994"/>
          <w:spacing w:val="-6"/>
          <w:sz w:val="11"/>
        </w:rPr>
        <w:t xml:space="preserve"> </w:t>
      </w:r>
    </w:p>
    <w:p w14:paraId="7428E2F8" w14:textId="7651162C" w:rsidR="009757A9" w:rsidRDefault="00083242">
      <w:pPr>
        <w:spacing w:before="419" w:line="240" w:lineRule="exact"/>
        <w:ind w:left="864" w:right="1152"/>
        <w:textAlignment w:val="baseline"/>
        <w:rPr>
          <w:rFonts w:ascii="Tahoma" w:eastAsia="Tahoma" w:hAnsi="Tahoma"/>
          <w:color w:val="404042"/>
          <w:spacing w:val="4"/>
          <w:sz w:val="18"/>
        </w:rPr>
      </w:pPr>
      <w:r>
        <w:rPr>
          <w:rFonts w:ascii="Tahoma" w:eastAsia="Tahoma" w:hAnsi="Tahoma"/>
          <w:color w:val="404042"/>
          <w:spacing w:val="4"/>
          <w:sz w:val="18"/>
        </w:rPr>
        <w:t>Australian workers are already spending less time on routine and manual tasks and more time on complex activities that require a high degree of creative thinking, decision-making, problem-solving, interpretation of information, and personal interaction.</w:t>
      </w:r>
      <w:r>
        <w:rPr>
          <w:rFonts w:ascii="Tahoma" w:eastAsia="Tahoma" w:hAnsi="Tahoma"/>
          <w:color w:val="404042"/>
          <w:spacing w:val="4"/>
          <w:sz w:val="18"/>
          <w:vertAlign w:val="superscript"/>
        </w:rPr>
        <w:t>15</w:t>
      </w:r>
      <w:r>
        <w:rPr>
          <w:rFonts w:ascii="Tahoma" w:eastAsia="Tahoma" w:hAnsi="Tahoma"/>
          <w:color w:val="404042"/>
          <w:spacing w:val="4"/>
          <w:sz w:val="18"/>
        </w:rPr>
        <w:t xml:space="preserve"> Current estimates show that 96 per cent of Australian jobs require time management and organisational skills, 97 per cent require customer service skills, 70 per cent require verbal communication skills, and 87 per cent require digital literacy skills.</w:t>
      </w:r>
      <w:r>
        <w:rPr>
          <w:rFonts w:ascii="Tahoma" w:eastAsia="Tahoma" w:hAnsi="Tahoma"/>
          <w:color w:val="404042"/>
          <w:spacing w:val="4"/>
          <w:sz w:val="18"/>
          <w:vertAlign w:val="superscript"/>
        </w:rPr>
        <w:t>16</w:t>
      </w:r>
      <w:r>
        <w:rPr>
          <w:rFonts w:ascii="Tahoma" w:eastAsia="Tahoma" w:hAnsi="Tahoma"/>
          <w:color w:val="404042"/>
          <w:spacing w:val="4"/>
          <w:sz w:val="10"/>
        </w:rPr>
        <w:t xml:space="preserve"> </w:t>
      </w:r>
    </w:p>
    <w:p w14:paraId="5F982E44" w14:textId="77777777" w:rsidR="009757A9" w:rsidRDefault="00083242">
      <w:pPr>
        <w:spacing w:before="168" w:line="240" w:lineRule="exact"/>
        <w:ind w:left="864" w:right="1296"/>
        <w:textAlignment w:val="baseline"/>
        <w:rPr>
          <w:rFonts w:ascii="Tahoma" w:eastAsia="Tahoma" w:hAnsi="Tahoma"/>
          <w:color w:val="404042"/>
          <w:sz w:val="18"/>
        </w:rPr>
      </w:pPr>
      <w:r>
        <w:rPr>
          <w:rFonts w:ascii="Tahoma" w:eastAsia="Tahoma" w:hAnsi="Tahoma"/>
          <w:color w:val="404042"/>
          <w:sz w:val="18"/>
        </w:rPr>
        <w:t>As shown in Figure 4, projected employment growth is strongest in skill level 1 and skill level 4 occupations. Skill level 1 occupations (bachelor degree or higher qualification) are projected to grow by 484,600 or 11.8 per cent, and skill level 4 occupations (Certificate II or III) by 276,000 or 8.1 per cent over the five years to May 2024. This highlights the importance of tertiary education in the labour market.</w:t>
      </w:r>
    </w:p>
    <w:p w14:paraId="6C33CF60" w14:textId="77777777" w:rsidR="009757A9" w:rsidRDefault="00083242">
      <w:pPr>
        <w:spacing w:before="172" w:after="2995"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The employment growth at skill level 1 can be attributed to occupations within the professionals category, such as registered nurses, and software and applications programmers. Employment growth in skill level 4 occupations can be attributed to the community and personal service workers group. Three of the six occupations projected to have the largest increase in employment in this group are aged and disability carers (up by 45,100 or 25 per cent), child carers (30,200 or 20 per cent) and education aides (23,200 or 21 per cent).</w:t>
      </w:r>
      <w:r>
        <w:rPr>
          <w:rFonts w:ascii="Tahoma" w:eastAsia="Tahoma" w:hAnsi="Tahoma"/>
          <w:color w:val="404042"/>
          <w:spacing w:val="4"/>
          <w:sz w:val="18"/>
          <w:vertAlign w:val="superscript"/>
        </w:rPr>
        <w:t>17</w:t>
      </w:r>
      <w:r>
        <w:rPr>
          <w:rFonts w:ascii="Tahoma" w:eastAsia="Tahoma" w:hAnsi="Tahoma"/>
          <w:color w:val="404042"/>
          <w:spacing w:val="4"/>
          <w:sz w:val="10"/>
        </w:rPr>
        <w:t xml:space="preserve"> </w:t>
      </w:r>
    </w:p>
    <w:p w14:paraId="1AA78C90" w14:textId="77777777" w:rsidR="009757A9" w:rsidRDefault="009757A9">
      <w:pPr>
        <w:spacing w:before="172" w:after="2995" w:line="240" w:lineRule="exact"/>
        <w:sectPr w:rsidR="009757A9">
          <w:pgSz w:w="11909" w:h="16838"/>
          <w:pgMar w:top="1080" w:right="0" w:bottom="0" w:left="0" w:header="720" w:footer="720" w:gutter="0"/>
          <w:cols w:space="720"/>
        </w:sectPr>
      </w:pPr>
    </w:p>
    <w:p w14:paraId="28C83F5D" w14:textId="77777777" w:rsidR="009757A9" w:rsidRDefault="000D2E34">
      <w:pPr>
        <w:spacing w:before="50" w:line="200" w:lineRule="exact"/>
        <w:ind w:left="1080" w:right="1152" w:hanging="216"/>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06208" behindDoc="0" locked="0" layoutInCell="1" allowOverlap="1" wp14:anchorId="10229E8E" wp14:editId="1B295D2B">
                <wp:simplePos x="0" y="0"/>
                <wp:positionH relativeFrom="page">
                  <wp:posOffset>539750</wp:posOffset>
                </wp:positionH>
                <wp:positionV relativeFrom="page">
                  <wp:posOffset>8180705</wp:posOffset>
                </wp:positionV>
                <wp:extent cx="917575" cy="0"/>
                <wp:effectExtent l="0" t="0" r="0" b="0"/>
                <wp:wrapNone/>
                <wp:docPr id="976"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C0CC8" id="Line 697" o:spid="_x0000_s1026" style="position:absolute;z-index:25180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44.15pt" to="114.75pt,6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fjMzgEAAIUDAAAOAAAAZHJzL2Uyb0RvYy54bWysU01v2zAMvQ/YfxB0X+wUaD6MOD0k6y7Z&#10;FqDdD2Ak2RYmi4KoxMm/nyQnabfdhvkgiCL5+PhIr57OvWEn5Umjrfl0UnKmrECpbVvzH6/Pnxac&#10;UQArwaBVNb8o4k/rjx9Wg6vUA3ZopPIsgliqBlfzLgRXFQWJTvVAE3TKRmeDvocQTd8W0sMQ0XtT&#10;PJTlrBjQS+dRKKL4uh2dfJ3xm0aJ8L1pSAVmah65hXz6fB7SWaxXULUeXKfFlQb8A4setI1F71Bb&#10;CMCOXv8F1WvhkbAJE4F9gU2jhco9xG6m5R/dvHTgVO4likPuLhP9P1jx7bT3TMuaL+czziz0cUg7&#10;bRWbLedJncFRFYM2du9Tf+JsX9wOxU9iFjcd2FZllq8XFxOnKaP4LSUZ5GKNw/AVZYyBY8As1bnx&#10;fYKMIrBznsjlPhF1DkzEx+V0/jh/5EzcXAVUtzznKXxR2LN0qbmJpDMunHYUEg+obiGpjMVnbUye&#10;t7FsqPlisSxzAqHRMjlTGPn2sDGenSBtTP5yU9HzPiwhb4G6MS67xl3yeLQyV+kUyM/XewBtxntk&#10;ZexVpKTLqPAB5WXvb+LFWWf6171My/Teztlvf8/6FwAAAP//AwBQSwMEFAAGAAgAAAAhAK9ojRvf&#10;AAAADAEAAA8AAABkcnMvZG93bnJldi54bWxMj0FPhDAQhe8m/odmTLwYt4jZDSJlg6teOJgIG8+F&#10;joDSKaHdXfz3jgejx3nz8t73su1iR3HE2Q+OFNysIhBIrTMDdQr29fN1AsIHTUaPjlDBF3rY5udn&#10;mU6NO9ErHqvQCQ4hn2oFfQhTKqVve7Tar9yExL93N1sd+Jw7aWZ94nA7yjiKNtLqgbih1xPuemw/&#10;q4NV0DwVm11duv1L/daU81X5UVQPj0pdXizFPYiAS/gzww8+o0POTI07kPFiVJCseUpgPU6SWxDs&#10;iOO7NYjmV5J5Jv+PyL8BAAD//wMAUEsBAi0AFAAGAAgAAAAhALaDOJL+AAAA4QEAABMAAAAAAAAA&#10;AAAAAAAAAAAAAFtDb250ZW50X1R5cGVzXS54bWxQSwECLQAUAAYACAAAACEAOP0h/9YAAACUAQAA&#10;CwAAAAAAAAAAAAAAAAAvAQAAX3JlbHMvLnJlbHNQSwECLQAUAAYACAAAACEA/Tn4zM4BAACFAwAA&#10;DgAAAAAAAAAAAAAAAAAuAgAAZHJzL2Uyb0RvYy54bWxQSwECLQAUAAYACAAAACEAr2iNG98AAAAM&#10;AQAADwAAAAAAAAAAAAAAAAAoBAAAZHJzL2Rvd25yZXYueG1sUEsFBgAAAAAEAAQA8wAAADQFAAAA&#10;AA==&#10;" strokeweight=".7pt">
                <w10:wrap anchorx="page" anchory="page"/>
              </v:line>
            </w:pict>
          </mc:Fallback>
        </mc:AlternateContent>
      </w:r>
      <w:r w:rsidR="00083242">
        <w:rPr>
          <w:rFonts w:ascii="Tahoma" w:eastAsia="Tahoma" w:hAnsi="Tahoma"/>
          <w:color w:val="404042"/>
          <w:sz w:val="14"/>
        </w:rPr>
        <w:t xml:space="preserve">13 Parliamentary Library (2016), ‘Developments in the youth labour market since the GFC’, Parliament of Australia, Research Paper Series, 2016–17, 31 August 2016, p. 3, </w:t>
      </w:r>
      <w:hyperlink r:id="rId57">
        <w:r w:rsidR="00083242">
          <w:rPr>
            <w:rFonts w:ascii="Tahoma" w:eastAsia="Tahoma" w:hAnsi="Tahoma"/>
            <w:color w:val="0000FF"/>
            <w:sz w:val="14"/>
            <w:u w:val="single"/>
          </w:rPr>
          <w:t>https://parlinfo.aph.gov.au/parlInfo/download/library/prspub/4789032/upload_binary/4789032.pdf</w:t>
        </w:r>
      </w:hyperlink>
      <w:r w:rsidR="00083242">
        <w:rPr>
          <w:rFonts w:ascii="Tahoma" w:eastAsia="Tahoma" w:hAnsi="Tahoma"/>
          <w:color w:val="404042"/>
          <w:sz w:val="14"/>
        </w:rPr>
        <w:t>.</w:t>
      </w:r>
    </w:p>
    <w:p w14:paraId="25339E77" w14:textId="77777777" w:rsidR="009757A9" w:rsidRDefault="00083242">
      <w:pPr>
        <w:spacing w:before="30" w:line="176" w:lineRule="exact"/>
        <w:ind w:left="864"/>
        <w:textAlignment w:val="baseline"/>
        <w:rPr>
          <w:rFonts w:ascii="Tahoma" w:eastAsia="Tahoma" w:hAnsi="Tahoma"/>
          <w:color w:val="404042"/>
          <w:spacing w:val="4"/>
          <w:sz w:val="14"/>
        </w:rPr>
      </w:pPr>
      <w:r>
        <w:rPr>
          <w:rFonts w:ascii="Tahoma" w:eastAsia="Tahoma" w:hAnsi="Tahoma"/>
          <w:color w:val="404042"/>
          <w:spacing w:val="4"/>
          <w:sz w:val="14"/>
        </w:rPr>
        <w:t xml:space="preserve">14 AlphaBeta (2018), </w:t>
      </w:r>
      <w:r>
        <w:rPr>
          <w:rFonts w:ascii="Arial" w:eastAsia="Arial" w:hAnsi="Arial"/>
          <w:i/>
          <w:color w:val="404042"/>
          <w:spacing w:val="4"/>
          <w:sz w:val="14"/>
        </w:rPr>
        <w:t>Future Skills</w:t>
      </w:r>
      <w:r>
        <w:rPr>
          <w:rFonts w:ascii="Tahoma" w:eastAsia="Tahoma" w:hAnsi="Tahoma"/>
          <w:color w:val="404042"/>
          <w:spacing w:val="4"/>
          <w:sz w:val="14"/>
        </w:rPr>
        <w:t xml:space="preserve">, p. 7, </w:t>
      </w:r>
      <w:hyperlink r:id="rId58">
        <w:r>
          <w:rPr>
            <w:rFonts w:ascii="Tahoma" w:eastAsia="Tahoma" w:hAnsi="Tahoma"/>
            <w:color w:val="0000FF"/>
            <w:spacing w:val="4"/>
            <w:sz w:val="14"/>
            <w:u w:val="single"/>
          </w:rPr>
          <w:t>https://www.alphabeta.com/wp-content/uploads/2019/01/google-skills-report.pdf</w:t>
        </w:r>
      </w:hyperlink>
      <w:r>
        <w:rPr>
          <w:rFonts w:ascii="Tahoma" w:eastAsia="Tahoma" w:hAnsi="Tahoma"/>
          <w:color w:val="404042"/>
          <w:spacing w:val="4"/>
          <w:sz w:val="14"/>
        </w:rPr>
        <w:t>.</w:t>
      </w:r>
    </w:p>
    <w:p w14:paraId="4853003D" w14:textId="77777777" w:rsidR="009757A9" w:rsidRDefault="00083242">
      <w:pPr>
        <w:spacing w:before="21" w:line="176" w:lineRule="exact"/>
        <w:ind w:left="864"/>
        <w:textAlignment w:val="baseline"/>
        <w:rPr>
          <w:rFonts w:ascii="Tahoma" w:eastAsia="Tahoma" w:hAnsi="Tahoma"/>
          <w:color w:val="404042"/>
          <w:spacing w:val="5"/>
          <w:sz w:val="14"/>
        </w:rPr>
      </w:pPr>
      <w:r>
        <w:rPr>
          <w:rFonts w:ascii="Tahoma" w:eastAsia="Tahoma" w:hAnsi="Tahoma"/>
          <w:color w:val="404042"/>
          <w:spacing w:val="5"/>
          <w:sz w:val="14"/>
        </w:rPr>
        <w:t xml:space="preserve">15 AlphaBeta (2017), </w:t>
      </w:r>
      <w:r>
        <w:rPr>
          <w:rFonts w:ascii="Arial" w:eastAsia="Arial" w:hAnsi="Arial"/>
          <w:i/>
          <w:color w:val="404042"/>
          <w:spacing w:val="5"/>
          <w:sz w:val="14"/>
        </w:rPr>
        <w:t>The Automation Advantage</w:t>
      </w:r>
      <w:r>
        <w:rPr>
          <w:rFonts w:ascii="Tahoma" w:eastAsia="Tahoma" w:hAnsi="Tahoma"/>
          <w:color w:val="404042"/>
          <w:spacing w:val="5"/>
          <w:sz w:val="14"/>
        </w:rPr>
        <w:t xml:space="preserve">, p. 11, </w:t>
      </w:r>
      <w:hyperlink r:id="rId59">
        <w:r>
          <w:rPr>
            <w:rFonts w:ascii="Tahoma" w:eastAsia="Tahoma" w:hAnsi="Tahoma"/>
            <w:color w:val="0000FF"/>
            <w:spacing w:val="5"/>
            <w:sz w:val="14"/>
            <w:u w:val="single"/>
          </w:rPr>
          <w:t>https://www.alphabeta.com/wp-content/uploads/2017/08/The-Automation-Advantage.pdf</w:t>
        </w:r>
      </w:hyperlink>
      <w:r>
        <w:rPr>
          <w:rFonts w:ascii="Tahoma" w:eastAsia="Tahoma" w:hAnsi="Tahoma"/>
          <w:color w:val="404042"/>
          <w:spacing w:val="5"/>
          <w:sz w:val="14"/>
        </w:rPr>
        <w:t>.</w:t>
      </w:r>
    </w:p>
    <w:p w14:paraId="333D092A" w14:textId="77777777" w:rsidR="009757A9" w:rsidRDefault="00083242">
      <w:pPr>
        <w:spacing w:line="199" w:lineRule="exact"/>
        <w:ind w:left="1080" w:right="2304" w:hanging="216"/>
        <w:textAlignment w:val="baseline"/>
        <w:rPr>
          <w:rFonts w:ascii="Tahoma" w:eastAsia="Tahoma" w:hAnsi="Tahoma"/>
          <w:color w:val="404042"/>
          <w:sz w:val="14"/>
        </w:rPr>
      </w:pPr>
      <w:r>
        <w:rPr>
          <w:rFonts w:ascii="Tahoma" w:eastAsia="Tahoma" w:hAnsi="Tahoma"/>
          <w:color w:val="404042"/>
          <w:sz w:val="14"/>
        </w:rPr>
        <w:t xml:space="preserve">16 Deloitte Australia (2019), </w:t>
      </w:r>
      <w:r>
        <w:rPr>
          <w:rFonts w:ascii="Arial" w:eastAsia="Arial" w:hAnsi="Arial"/>
          <w:i/>
          <w:color w:val="404042"/>
          <w:sz w:val="14"/>
        </w:rPr>
        <w:t>The Path to Prosperity: Why the future of work is human</w:t>
      </w:r>
      <w:r>
        <w:rPr>
          <w:rFonts w:ascii="Tahoma" w:eastAsia="Tahoma" w:hAnsi="Tahoma"/>
          <w:color w:val="404042"/>
          <w:sz w:val="14"/>
        </w:rPr>
        <w:t xml:space="preserve">, p. 21, </w:t>
      </w:r>
      <w:hyperlink r:id="rId60">
        <w:r>
          <w:rPr>
            <w:rFonts w:ascii="Tahoma" w:eastAsia="Tahoma" w:hAnsi="Tahoma"/>
            <w:color w:val="0000FF"/>
            <w:sz w:val="14"/>
            <w:u w:val="single"/>
          </w:rPr>
          <w:t>https://www2.deloitte.com/au/en/pages/ building-lucky-country/articles/path-prosperity-future-work.html</w:t>
        </w:r>
      </w:hyperlink>
      <w:r>
        <w:rPr>
          <w:rFonts w:ascii="Tahoma" w:eastAsia="Tahoma" w:hAnsi="Tahoma"/>
          <w:color w:val="404042"/>
          <w:sz w:val="14"/>
        </w:rPr>
        <w:t>.</w:t>
      </w:r>
    </w:p>
    <w:p w14:paraId="47956467" w14:textId="77777777" w:rsidR="009757A9" w:rsidRDefault="00083242">
      <w:pPr>
        <w:spacing w:line="199" w:lineRule="exact"/>
        <w:ind w:left="1080" w:right="1152" w:hanging="216"/>
        <w:jc w:val="both"/>
        <w:textAlignment w:val="baseline"/>
        <w:rPr>
          <w:rFonts w:ascii="Tahoma" w:eastAsia="Tahoma" w:hAnsi="Tahoma"/>
          <w:color w:val="404042"/>
          <w:sz w:val="14"/>
        </w:rPr>
      </w:pPr>
      <w:r>
        <w:rPr>
          <w:rFonts w:ascii="Tahoma" w:eastAsia="Tahoma" w:hAnsi="Tahoma"/>
          <w:color w:val="404042"/>
          <w:sz w:val="14"/>
        </w:rPr>
        <w:t xml:space="preserve">17 Commonwealth Department of Employment, Skills, Small and Family Business (2019a), </w:t>
      </w:r>
      <w:r>
        <w:rPr>
          <w:rFonts w:ascii="Arial" w:eastAsia="Arial" w:hAnsi="Arial"/>
          <w:i/>
          <w:color w:val="404042"/>
          <w:sz w:val="14"/>
        </w:rPr>
        <w:t>Employment Outlook to May 2024</w:t>
      </w:r>
      <w:r>
        <w:rPr>
          <w:rFonts w:ascii="Tahoma" w:eastAsia="Tahoma" w:hAnsi="Tahoma"/>
          <w:color w:val="404042"/>
          <w:sz w:val="14"/>
        </w:rPr>
        <w:t xml:space="preserve">, p. 9, </w:t>
      </w:r>
      <w:hyperlink r:id="rId61">
        <w:r>
          <w:rPr>
            <w:rFonts w:ascii="Tahoma" w:eastAsia="Tahoma" w:hAnsi="Tahoma"/>
            <w:color w:val="0000FF"/>
            <w:sz w:val="14"/>
            <w:u w:val="single"/>
          </w:rPr>
          <w:t>https://cica.org.au/ wp-content/uploads/Employment-Outlook-to-May-2024.pdf</w:t>
        </w:r>
      </w:hyperlink>
      <w:r>
        <w:rPr>
          <w:rFonts w:ascii="Tahoma" w:eastAsia="Tahoma" w:hAnsi="Tahoma"/>
          <w:color w:val="404042"/>
          <w:sz w:val="14"/>
        </w:rPr>
        <w:t>.</w:t>
      </w:r>
    </w:p>
    <w:p w14:paraId="49399C95" w14:textId="77EC8BD0" w:rsidR="009757A9" w:rsidRDefault="001F0D6E">
      <w:pPr>
        <w:tabs>
          <w:tab w:val="left" w:pos="10872"/>
        </w:tabs>
        <w:spacing w:before="738" w:after="636" w:line="200" w:lineRule="exact"/>
        <w:ind w:left="9720"/>
        <w:textAlignment w:val="baseline"/>
        <w:rPr>
          <w:rFonts w:ascii="Tahoma" w:eastAsia="Tahoma" w:hAnsi="Tahoma"/>
          <w:color w:val="404042"/>
          <w:sz w:val="14"/>
        </w:rPr>
      </w:pPr>
      <w:r>
        <w:rPr>
          <w:noProof/>
          <w:lang w:val="en-AU" w:eastAsia="en-AU"/>
        </w:rPr>
        <w:drawing>
          <wp:anchor distT="0" distB="0" distL="114300" distR="114300" simplePos="0" relativeHeight="252122624" behindDoc="1" locked="0" layoutInCell="1" allowOverlap="1" wp14:anchorId="48BCA419" wp14:editId="76214ED5">
            <wp:simplePos x="0" y="0"/>
            <wp:positionH relativeFrom="page">
              <wp:align>right</wp:align>
            </wp:positionH>
            <wp:positionV relativeFrom="paragraph">
              <wp:posOffset>685800</wp:posOffset>
            </wp:positionV>
            <wp:extent cx="7562215" cy="462915"/>
            <wp:effectExtent l="0" t="0" r="635" b="0"/>
            <wp:wrapNone/>
            <wp:docPr id="1075" name="Picture"/>
            <wp:cNvGraphicFramePr/>
            <a:graphic xmlns:a="http://schemas.openxmlformats.org/drawingml/2006/main">
              <a:graphicData uri="http://schemas.openxmlformats.org/drawingml/2006/picture">
                <pic:pic xmlns:pic="http://schemas.openxmlformats.org/drawingml/2006/picture">
                  <pic:nvPicPr>
                    <pic:cNvPr id="47"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Introduction</w:t>
      </w:r>
      <w:r w:rsidR="00083242">
        <w:rPr>
          <w:rFonts w:ascii="Arial" w:eastAsia="Arial" w:hAnsi="Arial"/>
          <w:b/>
          <w:color w:val="5556A1"/>
          <w:sz w:val="19"/>
        </w:rPr>
        <w:tab/>
        <w:t>27</w:t>
      </w:r>
    </w:p>
    <w:p w14:paraId="4238DFD0" w14:textId="705467FD" w:rsidR="009757A9" w:rsidRDefault="009757A9">
      <w:pPr>
        <w:textAlignment w:val="baseline"/>
      </w:pPr>
    </w:p>
    <w:p w14:paraId="1AEF06AE" w14:textId="77777777" w:rsidR="009757A9" w:rsidRDefault="009757A9">
      <w:pPr>
        <w:sectPr w:rsidR="009757A9">
          <w:type w:val="continuous"/>
          <w:pgSz w:w="11909" w:h="16838"/>
          <w:pgMar w:top="1080" w:right="0" w:bottom="0" w:left="0" w:header="720" w:footer="720" w:gutter="0"/>
          <w:cols w:space="720"/>
        </w:sectPr>
      </w:pPr>
    </w:p>
    <w:p w14:paraId="0EB09F1E" w14:textId="37AC0CB4" w:rsidR="00F32F47" w:rsidRDefault="00083242" w:rsidP="00F32F47">
      <w:pPr>
        <w:spacing w:before="6" w:after="344" w:line="240" w:lineRule="exact"/>
        <w:ind w:left="864"/>
        <w:textAlignment w:val="baseline"/>
        <w:rPr>
          <w:rFonts w:ascii="Arial" w:eastAsia="Arial" w:hAnsi="Arial"/>
          <w:b/>
          <w:color w:val="404042"/>
          <w:spacing w:val="4"/>
          <w:sz w:val="19"/>
        </w:rPr>
      </w:pPr>
      <w:r>
        <w:rPr>
          <w:rFonts w:ascii="Arial" w:eastAsia="Arial" w:hAnsi="Arial"/>
          <w:b/>
          <w:color w:val="404042"/>
          <w:spacing w:val="4"/>
          <w:sz w:val="19"/>
        </w:rPr>
        <w:lastRenderedPageBreak/>
        <w:t xml:space="preserve">Figure 4: </w:t>
      </w:r>
      <w:r>
        <w:rPr>
          <w:rFonts w:ascii="Tahoma" w:eastAsia="Tahoma" w:hAnsi="Tahoma"/>
          <w:color w:val="404042"/>
          <w:spacing w:val="4"/>
          <w:sz w:val="18"/>
        </w:rPr>
        <w:t>Projected employment growth to May 2024, by skill level and occupation</w:t>
      </w:r>
    </w:p>
    <w:p w14:paraId="1D4DFBA2" w14:textId="7349B7BD" w:rsidR="009757A9" w:rsidRPr="00F32F47" w:rsidRDefault="00F32F47" w:rsidP="00F32F47">
      <w:pPr>
        <w:spacing w:before="6" w:after="344" w:line="240" w:lineRule="exact"/>
        <w:ind w:left="864"/>
        <w:textAlignment w:val="baseline"/>
        <w:rPr>
          <w:rFonts w:ascii="Arial" w:eastAsia="Arial" w:hAnsi="Arial"/>
          <w:b/>
          <w:color w:val="404042"/>
          <w:spacing w:val="4"/>
          <w:sz w:val="19"/>
        </w:rPr>
      </w:pPr>
      <w:r w:rsidRPr="00302BCB">
        <w:rPr>
          <w:noProof/>
          <w:lang w:eastAsia="en-AU"/>
        </w:rPr>
        <w:drawing>
          <wp:anchor distT="0" distB="0" distL="114300" distR="114300" simplePos="0" relativeHeight="252037632" behindDoc="0" locked="0" layoutInCell="1" allowOverlap="1" wp14:anchorId="206814CF" wp14:editId="68854A1F">
            <wp:simplePos x="0" y="0"/>
            <wp:positionH relativeFrom="column">
              <wp:posOffset>583565</wp:posOffset>
            </wp:positionH>
            <wp:positionV relativeFrom="paragraph">
              <wp:posOffset>63500</wp:posOffset>
            </wp:positionV>
            <wp:extent cx="6049010" cy="2082800"/>
            <wp:effectExtent l="0" t="0" r="8890" b="0"/>
            <wp:wrapThrough wrapText="bothSides">
              <wp:wrapPolygon edited="0">
                <wp:start x="0" y="0"/>
                <wp:lineTo x="0" y="21337"/>
                <wp:lineTo x="21564" y="21337"/>
                <wp:lineTo x="21564" y="0"/>
                <wp:lineTo x="0" y="0"/>
              </wp:wrapPolygon>
            </wp:wrapThrough>
            <wp:docPr id="62" name="Picture 62" descr="Shows Projected employment growth to May 2024, by skill level and occupation. Projected employment growth is strongest in skill level 1 and skill level 4 occupations. Skill level 1 occupations (bachelor degree or higher qualification) are projected to grow by 484,600 or 11.8 per cent, and skill level 4 occupations (Certificate II or III) are projected to grow by 276,000 or 8.1 per cent over the five years to May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hows Projected employment growth to May 2024, by skill level and occupation. Projected employment growth is strongest in skill level 1 and skill level 4 occupations. Skill level 1 occupations (bachelor degree or higher qualification) are projected to grow by 484,600 or 11.8 per cent, and skill level 4 occupations (Certificate II or III) are projected to grow by 276,000 or 8.1 per cent over the five years to May 2024.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9010" cy="208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2E34">
        <w:rPr>
          <w:noProof/>
          <w:lang w:val="en-AU" w:eastAsia="en-AU"/>
        </w:rPr>
        <mc:AlternateContent>
          <mc:Choice Requires="wps">
            <w:drawing>
              <wp:anchor distT="0" distB="0" distL="114300" distR="114300" simplePos="0" relativeHeight="251807232" behindDoc="0" locked="0" layoutInCell="1" allowOverlap="1" wp14:anchorId="7A3E2418" wp14:editId="13DE5ADA">
                <wp:simplePos x="0" y="0"/>
                <wp:positionH relativeFrom="page">
                  <wp:posOffset>1264920</wp:posOffset>
                </wp:positionH>
                <wp:positionV relativeFrom="page">
                  <wp:posOffset>2709545</wp:posOffset>
                </wp:positionV>
                <wp:extent cx="3954145" cy="0"/>
                <wp:effectExtent l="0" t="0" r="0" b="0"/>
                <wp:wrapNone/>
                <wp:docPr id="975"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4145" cy="0"/>
                        </a:xfrm>
                        <a:prstGeom prst="line">
                          <a:avLst/>
                        </a:prstGeom>
                        <a:noFill/>
                        <a:ln w="3175">
                          <a:solidFill>
                            <a:srgbClr val="DCDDD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4EA90" id="Line 696" o:spid="_x0000_s1026" style="position:absolute;z-index:25180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9.6pt,213.35pt" to="410.95pt,2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r9zgEAAIYDAAAOAAAAZHJzL2Uyb0RvYy54bWysU8Fu2zAMvQ/YPwi6L066NluMOD3Eyy7Z&#10;FqDtBzCSHAuTRUFSYufvR8lJtnW3YhdBFMnHx0dq+Th0hp2UDxptxWeTKWfKCpTaHir+8rz58Jmz&#10;EMFKMGhVxc8q8MfV+3fL3pXqDls0UnlGIDaUvat4G6MriyKIVnUQJuiUJWeDvoNIpj8U0kNP6J0p&#10;7qbTedGjl86jUCHQaz06+SrjN40S8UfTBBWZqThxi/n0+dyns1gtoTx4cK0WFxrwBhYdaEtFb1A1&#10;RGBHr/+B6rTwGLCJE4FdgU2jhco9UDez6atunlpwKvdC4gR3kyn8P1jx/bTzTMuKLz49cGahoyFt&#10;tVVsvpgndXoXSgpa251P/YnBPrktip+BWVy3YA8qs3w+O0qcpYzir5RkBEc19v03lBQDx4hZqqHx&#10;XYIkEdiQJ3K+TUQNkQl6/Lh4uJ/dEzFx9RVQXhOdD/Grwo6lS8UNsc7AcNqGmIhAeQ1JdSxutDF5&#10;4MaynsBn1HLyBDRaJmc2/GG/Np6dgFamXtd1vcldvQpLyDWEdozLCOMyeTxamau0CuSXyz2CNuOd&#10;WBl7USkJM0q8R3ne+at6NOxM/7KYaZv+tHP27++z+gUAAP//AwBQSwMEFAAGAAgAAAAhABUWK+ng&#10;AAAACwEAAA8AAABkcnMvZG93bnJldi54bWxMj8FOwkAQhu8kvsNmTLzBlqpIa7fEmMhB4wHkwm3b&#10;HdtCd7Z2F6g+vWNCgsd/5ss/32SLwbbiiL1vHCmYTiIQSKUzDVUKNh8v4zkIHzQZ3TpCBd/oYZFf&#10;jTKdGneiFR7XoRJcQj7VCuoQulRKX9ZotZ+4Dol3n663OnDsK2l6feJy28o4imbS6ob4Qq07fK6x&#10;3K8PVsHrar/DzXa3vX+TX5HD22Xx875U6uZ6eHoEEXAIFxj+9FkdcnYq3IGMFy3nJIkZVXAXzx5A&#10;MDGPpwmI4jyReSb//5D/AgAA//8DAFBLAQItABQABgAIAAAAIQC2gziS/gAAAOEBAAATAAAAAAAA&#10;AAAAAAAAAAAAAABbQ29udGVudF9UeXBlc10ueG1sUEsBAi0AFAAGAAgAAAAhADj9If/WAAAAlAEA&#10;AAsAAAAAAAAAAAAAAAAALwEAAF9yZWxzLy5yZWxzUEsBAi0AFAAGAAgAAAAhAE3xSv3OAQAAhgMA&#10;AA4AAAAAAAAAAAAAAAAALgIAAGRycy9lMm9Eb2MueG1sUEsBAi0AFAAGAAgAAAAhABUWK+ngAAAA&#10;CwEAAA8AAAAAAAAAAAAAAAAAKAQAAGRycy9kb3ducmV2LnhtbFBLBQYAAAAABAAEAPMAAAA1BQAA&#10;AAA=&#10;" strokecolor="#dcdddf" strokeweight=".25pt">
                <w10:wrap anchorx="page" anchory="page"/>
              </v:line>
            </w:pict>
          </mc:Fallback>
        </mc:AlternateContent>
      </w:r>
    </w:p>
    <w:p w14:paraId="6A5BD0F5" w14:textId="77777777" w:rsidR="00F32F47" w:rsidRDefault="00F32F47">
      <w:pPr>
        <w:spacing w:before="491" w:line="176" w:lineRule="exact"/>
        <w:ind w:left="864"/>
        <w:textAlignment w:val="baseline"/>
        <w:rPr>
          <w:rFonts w:ascii="Tahoma" w:eastAsia="Tahoma" w:hAnsi="Tahoma"/>
          <w:color w:val="000000"/>
          <w:spacing w:val="4"/>
          <w:sz w:val="14"/>
        </w:rPr>
      </w:pPr>
    </w:p>
    <w:p w14:paraId="532EE4E3" w14:textId="77777777" w:rsidR="00F32F47" w:rsidRDefault="00F32F47">
      <w:pPr>
        <w:spacing w:before="491" w:line="176" w:lineRule="exact"/>
        <w:ind w:left="864"/>
        <w:textAlignment w:val="baseline"/>
        <w:rPr>
          <w:rFonts w:ascii="Tahoma" w:eastAsia="Tahoma" w:hAnsi="Tahoma"/>
          <w:color w:val="000000"/>
          <w:spacing w:val="4"/>
          <w:sz w:val="14"/>
        </w:rPr>
      </w:pPr>
    </w:p>
    <w:p w14:paraId="7DE9E175" w14:textId="77777777" w:rsidR="00F32F47" w:rsidRDefault="00F32F47">
      <w:pPr>
        <w:spacing w:before="491" w:line="176" w:lineRule="exact"/>
        <w:ind w:left="864"/>
        <w:textAlignment w:val="baseline"/>
        <w:rPr>
          <w:rFonts w:ascii="Tahoma" w:eastAsia="Tahoma" w:hAnsi="Tahoma"/>
          <w:color w:val="000000"/>
          <w:spacing w:val="4"/>
          <w:sz w:val="14"/>
        </w:rPr>
      </w:pPr>
    </w:p>
    <w:p w14:paraId="6225B9FB" w14:textId="77777777" w:rsidR="00F32F47" w:rsidRDefault="00F32F47">
      <w:pPr>
        <w:spacing w:before="491" w:line="176" w:lineRule="exact"/>
        <w:ind w:left="864"/>
        <w:textAlignment w:val="baseline"/>
        <w:rPr>
          <w:rFonts w:ascii="Tahoma" w:eastAsia="Tahoma" w:hAnsi="Tahoma"/>
          <w:color w:val="000000"/>
          <w:spacing w:val="4"/>
          <w:sz w:val="14"/>
        </w:rPr>
      </w:pPr>
    </w:p>
    <w:p w14:paraId="53BB401B" w14:textId="107B3826" w:rsidR="009757A9" w:rsidRDefault="00083242">
      <w:pPr>
        <w:spacing w:before="491" w:line="176" w:lineRule="exact"/>
        <w:ind w:left="864"/>
        <w:textAlignment w:val="baseline"/>
        <w:rPr>
          <w:rFonts w:ascii="Tahoma" w:eastAsia="Tahoma" w:hAnsi="Tahoma"/>
          <w:color w:val="000000"/>
          <w:spacing w:val="4"/>
          <w:sz w:val="14"/>
        </w:rPr>
      </w:pPr>
      <w:r>
        <w:rPr>
          <w:rFonts w:ascii="Tahoma" w:eastAsia="Tahoma" w:hAnsi="Tahoma"/>
          <w:color w:val="000000"/>
          <w:spacing w:val="4"/>
          <w:sz w:val="14"/>
        </w:rPr>
        <w:t xml:space="preserve">Source: Commonwealth Department of Employment, Skills, Small and Family Business (2019a), </w:t>
      </w:r>
      <w:r>
        <w:rPr>
          <w:rFonts w:ascii="Arial" w:eastAsia="Arial" w:hAnsi="Arial"/>
          <w:i/>
          <w:color w:val="000000"/>
          <w:spacing w:val="4"/>
          <w:sz w:val="14"/>
        </w:rPr>
        <w:t>Employment Outlook to May 2024</w:t>
      </w:r>
      <w:r>
        <w:rPr>
          <w:rFonts w:ascii="Tahoma" w:eastAsia="Tahoma" w:hAnsi="Tahoma"/>
          <w:color w:val="000000"/>
          <w:spacing w:val="4"/>
          <w:sz w:val="14"/>
        </w:rPr>
        <w:t>, p. 10.</w:t>
      </w:r>
    </w:p>
    <w:p w14:paraId="519725DF" w14:textId="58B25FEB" w:rsidR="009757A9" w:rsidRDefault="00083242">
      <w:pPr>
        <w:spacing w:before="643" w:line="240" w:lineRule="exact"/>
        <w:ind w:left="864" w:right="936"/>
        <w:textAlignment w:val="baseline"/>
        <w:rPr>
          <w:rFonts w:ascii="Tahoma" w:eastAsia="Tahoma" w:hAnsi="Tahoma"/>
          <w:color w:val="404042"/>
          <w:sz w:val="18"/>
        </w:rPr>
      </w:pPr>
      <w:r>
        <w:rPr>
          <w:rFonts w:ascii="Tahoma" w:eastAsia="Tahoma" w:hAnsi="Tahoma"/>
          <w:color w:val="404042"/>
          <w:sz w:val="18"/>
        </w:rPr>
        <w:t>Given the considerable uncertainty around the changing world of education, training and work, it is clear that students will need to be able to apply their knowledge in unknown and evolving circumstances. They will be required to navigate increasingly complex pathways and unclear futures. Young people will need a broad base of skills, values and knowledge to become successful lifelong learners.</w:t>
      </w:r>
    </w:p>
    <w:p w14:paraId="2E94C297" w14:textId="77777777" w:rsidR="009757A9" w:rsidRDefault="00083242">
      <w:pPr>
        <w:spacing w:before="188" w:after="7680"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Our senior secondary schooling system must continue to adapt to fulfil this modern role.</w:t>
      </w:r>
    </w:p>
    <w:p w14:paraId="1BF9E7E2" w14:textId="7D947700" w:rsidR="009757A9" w:rsidRDefault="00B841BB">
      <w:pPr>
        <w:tabs>
          <w:tab w:val="left" w:pos="1368"/>
        </w:tabs>
        <w:spacing w:after="628" w:line="207"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126720" behindDoc="1" locked="0" layoutInCell="1" allowOverlap="1" wp14:anchorId="0FA35CE5" wp14:editId="43A63B34">
            <wp:simplePos x="0" y="0"/>
            <wp:positionH relativeFrom="margin">
              <wp:align>right</wp:align>
            </wp:positionH>
            <wp:positionV relativeFrom="paragraph">
              <wp:posOffset>396875</wp:posOffset>
            </wp:positionV>
            <wp:extent cx="7562215" cy="462915"/>
            <wp:effectExtent l="0" t="0" r="635" b="0"/>
            <wp:wrapNone/>
            <wp:docPr id="1077" name="Picture"/>
            <wp:cNvGraphicFramePr/>
            <a:graphic xmlns:a="http://schemas.openxmlformats.org/drawingml/2006/main">
              <a:graphicData uri="http://schemas.openxmlformats.org/drawingml/2006/picture">
                <pic:pic xmlns:pic="http://schemas.openxmlformats.org/drawingml/2006/picture">
                  <pic:nvPicPr>
                    <pic:cNvPr id="50" name="Picture"/>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28</w:t>
      </w:r>
      <w:r w:rsidR="00083242">
        <w:rPr>
          <w:rFonts w:ascii="Tahoma" w:eastAsia="Tahoma" w:hAnsi="Tahoma"/>
          <w:color w:val="404042"/>
          <w:spacing w:val="4"/>
          <w:sz w:val="14"/>
        </w:rPr>
        <w:tab/>
        <w:t>Looking to the future</w:t>
      </w:r>
    </w:p>
    <w:p w14:paraId="5D419873" w14:textId="36683845" w:rsidR="009757A9" w:rsidRDefault="009757A9">
      <w:pPr>
        <w:textAlignment w:val="baseline"/>
      </w:pPr>
    </w:p>
    <w:p w14:paraId="38825B54" w14:textId="173C40F3" w:rsidR="009757A9" w:rsidRDefault="009757A9">
      <w:pPr>
        <w:sectPr w:rsidR="009757A9">
          <w:pgSz w:w="11909" w:h="16838"/>
          <w:pgMar w:top="1080" w:right="0" w:bottom="0" w:left="0" w:header="720" w:footer="720" w:gutter="0"/>
          <w:cols w:space="720"/>
        </w:sectPr>
      </w:pPr>
    </w:p>
    <w:p w14:paraId="7BF68066" w14:textId="77777777" w:rsidR="009757A9" w:rsidRPr="009E47D4" w:rsidRDefault="000D2E34">
      <w:pPr>
        <w:spacing w:before="2" w:after="4248" w:line="474" w:lineRule="exact"/>
        <w:textAlignment w:val="baseline"/>
        <w:rPr>
          <w:rStyle w:val="Heading1Char"/>
        </w:rPr>
      </w:pPr>
      <w:r w:rsidRPr="009E47D4">
        <w:rPr>
          <w:rStyle w:val="Heading1Char"/>
          <w:noProof/>
          <w:lang w:val="en-AU" w:eastAsia="en-AU"/>
        </w:rPr>
        <w:lastRenderedPageBreak/>
        <mc:AlternateContent>
          <mc:Choice Requires="wps">
            <w:drawing>
              <wp:anchor distT="0" distB="0" distL="0" distR="0" simplePos="0" relativeHeight="251299328" behindDoc="1" locked="0" layoutInCell="1" allowOverlap="1" wp14:anchorId="1B96DF0B" wp14:editId="05F76159">
                <wp:simplePos x="0" y="0"/>
                <wp:positionH relativeFrom="page">
                  <wp:posOffset>804545</wp:posOffset>
                </wp:positionH>
                <wp:positionV relativeFrom="page">
                  <wp:posOffset>0</wp:posOffset>
                </wp:positionV>
                <wp:extent cx="6757670" cy="6692900"/>
                <wp:effectExtent l="0" t="0" r="0" b="0"/>
                <wp:wrapSquare wrapText="bothSides"/>
                <wp:docPr id="974"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9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8D576" w14:textId="77777777" w:rsidR="00490F33" w:rsidRDefault="00490F33">
                            <w:pPr>
                              <w:spacing w:after="1828"/>
                              <w:textAlignment w:val="baseline"/>
                            </w:pPr>
                            <w:r>
                              <w:rPr>
                                <w:noProof/>
                                <w:lang w:val="en-AU" w:eastAsia="en-AU"/>
                              </w:rPr>
                              <w:drawing>
                                <wp:inline distT="0" distB="0" distL="0" distR="0" wp14:anchorId="55DE4AF5" wp14:editId="2C11B7F7">
                                  <wp:extent cx="6757670" cy="5532120"/>
                                  <wp:effectExtent l="0" t="0" r="0" b="0"/>
                                  <wp:docPr id="100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01" name="Picture">
                                            <a:extLst>
                                              <a:ext uri="{C183D7F6-B498-43B3-948B-1728B52AA6E4}">
                                                <adec:decorative xmlns:adec="http://schemas.microsoft.com/office/drawing/2017/decorative" val="1"/>
                                              </a:ext>
                                            </a:extLst>
                                          </pic:cNvPr>
                                          <pic:cNvPicPr preferRelativeResize="0"/>
                                        </pic:nvPicPr>
                                        <pic:blipFill>
                                          <a:blip r:embed="rId64"/>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6DF0B" id="Text Box 695" o:spid="_x0000_s1033" type="#_x0000_t202" style="position:absolute;margin-left:63.35pt;margin-top:0;width:532.1pt;height:527pt;z-index:-252017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0p8AEAAMIDAAAOAAAAZHJzL2Uyb0RvYy54bWysU9uO0zAQfUfiHyy/07QVm9Ko6WrZ1SKk&#10;hUXa5QOmjtNYJB4zdpuUr2fsNGWBN8SLNZ7L8Zkz48310LXiqMkbtKVczOZSaKuwMnZfyq/P92/e&#10;SeED2ApatLqUJ+3l9fb1q03vCr3EBttKk2AQ64velbIJwRVZ5lWjO/AzdNpysEbqIPCV9llF0DN6&#10;12bL+TzPeqTKESrtPXvvxqDcJvy61io81rXXQbSlZG4hnZTOXTyz7QaKPYFrjDrTgH9g0YGx/OgF&#10;6g4CiAOZv6A6owg91mGmsMuwro3SqQfuZjH/o5unBpxOvbA43l1k8v8PVn0+fiFhqlKuV2+lsNDx&#10;kJ71EMR7HES+vooK9c4XnPjkODUMHOBJp269e0D1zQuLtw3Yvb4hwr7RUDHDRazMXpSOOD6C7PpP&#10;WPFDcAiYgIaauigfCyIYnSd1ukwnklHszFdXq3zFIcWxPF8v1/M0vwyKqdyRDx80diIapSQef4KH&#10;44MPkQ4UU0p8zeK9adu0Aq39zcGJ0ZPoR8Yj9zDshqTValJlh9WJ+yEcF4s/AhsN0g8pel6qUvrv&#10;ByAtRfvRsiZxAyeDJmM3GWAVl5YySDGat2Hc1IMjs28YeVTd4g3rVpvUURR4ZHGmy4uSGj0vddzE&#10;l/eU9evrbX8CAAD//wMAUEsDBBQABgAIAAAAIQA0dVMv3gAAAAoBAAAPAAAAZHJzL2Rvd25yZXYu&#10;eG1sTI/BTsMwEETvSPyDtUjcqN0KAglxqgrBCQmRhgNHJ9kmVuN1iN02/D3bE73taEazb/L17AZx&#10;xClYTxqWCwUCqfGtpU7DV/V29wQiREOtGTyhhl8MsC6ur3KTtf5EJR63sRNcQiEzGvoYx0zK0PTo&#10;TFj4EYm9nZ+ciSynTraTOXG5G+RKqUQ6Y4k/9GbElx6b/fbgNGy+qXy1Px/1Z7krbVWlit6Tvda3&#10;N/PmGUTEOf6H4YzP6FAwU+0P1AYxsF4ljxzVwIvO9jJVKYiaL/Vwr0AWubycUPwBAAD//wMAUEsB&#10;Ai0AFAAGAAgAAAAhALaDOJL+AAAA4QEAABMAAAAAAAAAAAAAAAAAAAAAAFtDb250ZW50X1R5cGVz&#10;XS54bWxQSwECLQAUAAYACAAAACEAOP0h/9YAAACUAQAACwAAAAAAAAAAAAAAAAAvAQAAX3JlbHMv&#10;LnJlbHNQSwECLQAUAAYACAAAACEAqme9KfABAADCAwAADgAAAAAAAAAAAAAAAAAuAgAAZHJzL2Uy&#10;b0RvYy54bWxQSwECLQAUAAYACAAAACEANHVTL94AAAAKAQAADwAAAAAAAAAAAAAAAABKBAAAZHJz&#10;L2Rvd25yZXYueG1sUEsFBgAAAAAEAAQA8wAAAFUFAAAAAA==&#10;" filled="f" stroked="f">
                <v:textbox inset="0,0,0,0">
                  <w:txbxContent>
                    <w:p w14:paraId="67B8D576" w14:textId="77777777" w:rsidR="00490F33" w:rsidRDefault="00490F33">
                      <w:pPr>
                        <w:spacing w:after="1828"/>
                        <w:textAlignment w:val="baseline"/>
                      </w:pPr>
                      <w:r>
                        <w:rPr>
                          <w:noProof/>
                          <w:lang w:val="en-AU" w:eastAsia="en-AU"/>
                        </w:rPr>
                        <w:drawing>
                          <wp:inline distT="0" distB="0" distL="0" distR="0" wp14:anchorId="55DE4AF5" wp14:editId="2C11B7F7">
                            <wp:extent cx="6757670" cy="5532120"/>
                            <wp:effectExtent l="0" t="0" r="0" b="0"/>
                            <wp:docPr id="100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01" name="Picture">
                                      <a:extLst>
                                        <a:ext uri="{C183D7F6-B498-43B3-948B-1728B52AA6E4}">
                                          <adec:decorative xmlns:adec="http://schemas.microsoft.com/office/drawing/2017/decorative" val="1"/>
                                        </a:ext>
                                      </a:extLst>
                                    </pic:cNvPr>
                                    <pic:cNvPicPr preferRelativeResize="0"/>
                                  </pic:nvPicPr>
                                  <pic:blipFill>
                                    <a:blip r:embed="rId64"/>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sidRPr="009E47D4">
        <w:rPr>
          <w:rStyle w:val="Heading1Char"/>
        </w:rPr>
        <w:t xml:space="preserve">CHAPTER 1: </w:t>
      </w:r>
      <w:r w:rsidR="00083242" w:rsidRPr="009E19CD">
        <w:rPr>
          <w:rStyle w:val="Heading1Char"/>
          <w:b w:val="0"/>
          <w:bCs/>
        </w:rPr>
        <w:t>ESSENTIAL SKILLS</w:t>
      </w:r>
    </w:p>
    <w:p w14:paraId="3AA8D5EC" w14:textId="77777777" w:rsidR="009757A9" w:rsidRDefault="009757A9">
      <w:pPr>
        <w:spacing w:before="2" w:after="4248" w:line="474" w:lineRule="exact"/>
        <w:sectPr w:rsidR="009757A9" w:rsidSect="009E47D4">
          <w:pgSz w:w="11909" w:h="16838"/>
          <w:pgMar w:top="0" w:right="4254" w:bottom="0" w:left="869" w:header="720" w:footer="720" w:gutter="0"/>
          <w:cols w:space="720"/>
        </w:sectPr>
      </w:pPr>
    </w:p>
    <w:p w14:paraId="7A2384CA" w14:textId="77777777" w:rsidR="009757A9" w:rsidRDefault="00083242">
      <w:pPr>
        <w:spacing w:before="9" w:after="607" w:line="209" w:lineRule="exact"/>
        <w:ind w:left="10800"/>
        <w:textAlignment w:val="baseline"/>
        <w:rPr>
          <w:rFonts w:ascii="Arial" w:eastAsia="Arial" w:hAnsi="Arial"/>
          <w:color w:val="5556A1"/>
          <w:spacing w:val="36"/>
          <w:sz w:val="19"/>
        </w:rPr>
      </w:pPr>
      <w:r>
        <w:rPr>
          <w:rFonts w:ascii="Arial" w:eastAsia="Arial" w:hAnsi="Arial"/>
          <w:color w:val="5556A1"/>
          <w:spacing w:val="36"/>
          <w:sz w:val="19"/>
        </w:rPr>
        <w:t>29</w:t>
      </w:r>
    </w:p>
    <w:p w14:paraId="3FAA3337" w14:textId="77777777" w:rsidR="009757A9" w:rsidRDefault="00083242">
      <w:pPr>
        <w:textAlignment w:val="baseline"/>
      </w:pPr>
      <w:r>
        <w:rPr>
          <w:noProof/>
          <w:lang w:val="en-AU" w:eastAsia="en-AU"/>
        </w:rPr>
        <w:drawing>
          <wp:anchor distT="0" distB="0" distL="114300" distR="114300" simplePos="0" relativeHeight="252120576" behindDoc="1" locked="0" layoutInCell="1" allowOverlap="1" wp14:anchorId="6ADFB949" wp14:editId="6E5A3A2C">
            <wp:simplePos x="0" y="0"/>
            <wp:positionH relativeFrom="column">
              <wp:posOffset>0</wp:posOffset>
            </wp:positionH>
            <wp:positionV relativeFrom="paragraph">
              <wp:posOffset>3810</wp:posOffset>
            </wp:positionV>
            <wp:extent cx="7562215" cy="462915"/>
            <wp:effectExtent l="0" t="0" r="635" b="0"/>
            <wp:wrapNone/>
            <wp:docPr id="47" name="Picture"/>
            <wp:cNvGraphicFramePr/>
            <a:graphic xmlns:a="http://schemas.openxmlformats.org/drawingml/2006/main">
              <a:graphicData uri="http://schemas.openxmlformats.org/drawingml/2006/picture">
                <pic:pic xmlns:pic="http://schemas.openxmlformats.org/drawingml/2006/picture">
                  <pic:nvPicPr>
                    <pic:cNvPr id="47"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7F7BAC4E" w14:textId="77777777" w:rsidR="009757A9" w:rsidRDefault="009757A9">
      <w:pPr>
        <w:sectPr w:rsidR="009757A9">
          <w:type w:val="continuous"/>
          <w:pgSz w:w="11909" w:h="16838"/>
          <w:pgMar w:top="0" w:right="0" w:bottom="0" w:left="0" w:header="720" w:footer="720" w:gutter="0"/>
          <w:cols w:space="720"/>
        </w:sectPr>
      </w:pPr>
    </w:p>
    <w:tbl>
      <w:tblPr>
        <w:tblStyle w:val="TableGrid"/>
        <w:tblpPr w:leftFromText="180" w:rightFromText="180" w:vertAnchor="page" w:horzAnchor="margin" w:tblpXSpec="center" w:tblpY="841"/>
        <w:tblW w:w="0" w:type="auto"/>
        <w:shd w:val="clear" w:color="auto" w:fill="DEEAF6" w:themeFill="accent1" w:themeFillTint="33"/>
        <w:tblLook w:val="04A0" w:firstRow="1" w:lastRow="0" w:firstColumn="1" w:lastColumn="0" w:noHBand="0" w:noVBand="1"/>
      </w:tblPr>
      <w:tblGrid>
        <w:gridCol w:w="10201"/>
      </w:tblGrid>
      <w:tr w:rsidR="00AF20B6" w14:paraId="43A5734F" w14:textId="77777777" w:rsidTr="00AF20B6">
        <w:trPr>
          <w:trHeight w:val="10904"/>
        </w:trPr>
        <w:tc>
          <w:tcPr>
            <w:tcW w:w="10201" w:type="dxa"/>
            <w:tcBorders>
              <w:top w:val="single" w:sz="4" w:space="0" w:color="auto"/>
              <w:left w:val="single" w:sz="4" w:space="0" w:color="auto"/>
              <w:bottom w:val="single" w:sz="4" w:space="0" w:color="auto"/>
              <w:right w:val="single" w:sz="4" w:space="0" w:color="auto"/>
            </w:tcBorders>
            <w:shd w:val="clear" w:color="auto" w:fill="ECF3FA"/>
          </w:tcPr>
          <w:p w14:paraId="151E2445" w14:textId="77777777" w:rsidR="00AF20B6" w:rsidRDefault="00AF20B6" w:rsidP="00AF20B6">
            <w:pPr>
              <w:pStyle w:val="Heading2"/>
              <w:ind w:left="579"/>
              <w:rPr>
                <w:rFonts w:eastAsia="Calibri"/>
              </w:rPr>
            </w:pPr>
            <w:r>
              <w:rPr>
                <w:rFonts w:eastAsia="Calibri"/>
              </w:rPr>
              <w:lastRenderedPageBreak/>
              <w:t>CHAPTER FINDINGS</w:t>
            </w:r>
          </w:p>
          <w:p w14:paraId="40622117" w14:textId="77777777" w:rsidR="00AF20B6" w:rsidRPr="00AF20B6" w:rsidRDefault="00AF20B6" w:rsidP="00AF20B6">
            <w:pPr>
              <w:pStyle w:val="ListParagraph"/>
              <w:numPr>
                <w:ilvl w:val="1"/>
                <w:numId w:val="28"/>
              </w:numPr>
              <w:spacing w:before="235" w:line="240" w:lineRule="exact"/>
              <w:ind w:right="504"/>
              <w:textAlignment w:val="baseline"/>
              <w:rPr>
                <w:rFonts w:ascii="Calibri" w:eastAsia="Calibri" w:hAnsi="Calibri"/>
                <w:color w:val="404042"/>
                <w:sz w:val="20"/>
              </w:rPr>
            </w:pPr>
            <w:r w:rsidRPr="00414BA6">
              <w:rPr>
                <w:rFonts w:ascii="Tahoma" w:eastAsia="Tahoma" w:hAnsi="Tahoma"/>
                <w:color w:val="404042"/>
                <w:sz w:val="18"/>
              </w:rPr>
              <w:t>All young Australians should be given equitable access and opportunity to become confident and creative individuals, successful lifelong learners, and active and informed members of the community.</w:t>
            </w:r>
          </w:p>
          <w:p w14:paraId="0F9C47C6" w14:textId="77777777" w:rsidR="00AF20B6" w:rsidRPr="00414BA6" w:rsidRDefault="00AF20B6" w:rsidP="00AF20B6">
            <w:pPr>
              <w:pStyle w:val="ListParagraph"/>
              <w:spacing w:before="235" w:line="240" w:lineRule="exact"/>
              <w:ind w:left="668" w:right="504"/>
              <w:textAlignment w:val="baseline"/>
              <w:rPr>
                <w:rFonts w:ascii="Calibri" w:eastAsia="Calibri" w:hAnsi="Calibri"/>
                <w:color w:val="404042"/>
                <w:sz w:val="20"/>
              </w:rPr>
            </w:pPr>
          </w:p>
          <w:p w14:paraId="797A374A" w14:textId="77777777" w:rsidR="00AF20B6" w:rsidRPr="00AF20B6" w:rsidRDefault="00AF20B6" w:rsidP="00AF20B6">
            <w:pPr>
              <w:pStyle w:val="ListParagraph"/>
              <w:numPr>
                <w:ilvl w:val="1"/>
                <w:numId w:val="28"/>
              </w:numPr>
              <w:spacing w:before="174" w:line="240" w:lineRule="exact"/>
              <w:textAlignment w:val="baseline"/>
              <w:rPr>
                <w:rFonts w:ascii="Calibri" w:eastAsia="Calibri" w:hAnsi="Calibri"/>
                <w:color w:val="404042"/>
                <w:spacing w:val="6"/>
                <w:sz w:val="20"/>
              </w:rPr>
            </w:pPr>
            <w:r w:rsidRPr="00AF20B6">
              <w:rPr>
                <w:rFonts w:ascii="Tahoma" w:eastAsia="Tahoma" w:hAnsi="Tahoma"/>
                <w:color w:val="404042"/>
                <w:spacing w:val="6"/>
                <w:sz w:val="18"/>
              </w:rPr>
              <w:t>Literacy and numeracy remain essential competencies: all students should leave school with sufficient</w:t>
            </w:r>
            <w:r>
              <w:rPr>
                <w:rFonts w:ascii="Tahoma" w:eastAsia="Tahoma" w:hAnsi="Tahoma"/>
                <w:color w:val="404042"/>
                <w:spacing w:val="6"/>
                <w:sz w:val="18"/>
              </w:rPr>
              <w:t xml:space="preserve"> </w:t>
            </w:r>
            <w:r w:rsidRPr="00AF20B6">
              <w:rPr>
                <w:rFonts w:ascii="Tahoma" w:eastAsia="Tahoma" w:hAnsi="Tahoma"/>
                <w:color w:val="404042"/>
                <w:spacing w:val="5"/>
                <w:sz w:val="18"/>
              </w:rPr>
              <w:t>proficiency in English and mathematics to allow them to fully participate in the labour market and</w:t>
            </w:r>
            <w:r>
              <w:rPr>
                <w:rFonts w:ascii="Tahoma" w:eastAsia="Tahoma" w:hAnsi="Tahoma"/>
                <w:color w:val="404042"/>
                <w:spacing w:val="5"/>
                <w:sz w:val="18"/>
              </w:rPr>
              <w:t xml:space="preserve"> </w:t>
            </w:r>
            <w:r w:rsidRPr="00AF20B6">
              <w:rPr>
                <w:rFonts w:ascii="Tahoma" w:eastAsia="Tahoma" w:hAnsi="Tahoma"/>
                <w:color w:val="404042"/>
                <w:spacing w:val="6"/>
                <w:sz w:val="18"/>
              </w:rPr>
              <w:t>the community.</w:t>
            </w:r>
          </w:p>
          <w:p w14:paraId="60A81335" w14:textId="77777777" w:rsidR="00AF20B6" w:rsidRPr="00AF20B6" w:rsidRDefault="00AF20B6" w:rsidP="00AF20B6">
            <w:pPr>
              <w:pStyle w:val="ListParagraph"/>
              <w:spacing w:before="174" w:line="240" w:lineRule="exact"/>
              <w:ind w:left="668"/>
              <w:textAlignment w:val="baseline"/>
              <w:rPr>
                <w:rFonts w:ascii="Calibri" w:eastAsia="Calibri" w:hAnsi="Calibri"/>
                <w:color w:val="404042"/>
                <w:spacing w:val="6"/>
                <w:sz w:val="20"/>
              </w:rPr>
            </w:pPr>
          </w:p>
          <w:p w14:paraId="2AF5C5E0" w14:textId="77777777" w:rsidR="00AF20B6" w:rsidRPr="00AF20B6" w:rsidRDefault="00AF20B6" w:rsidP="00AF20B6">
            <w:pPr>
              <w:pStyle w:val="ListParagraph"/>
              <w:numPr>
                <w:ilvl w:val="1"/>
                <w:numId w:val="28"/>
              </w:numPr>
              <w:spacing w:before="173" w:line="240" w:lineRule="exact"/>
              <w:ind w:right="864"/>
              <w:textAlignment w:val="baseline"/>
              <w:rPr>
                <w:rFonts w:ascii="Calibri" w:eastAsia="Calibri" w:hAnsi="Calibri"/>
                <w:color w:val="404042"/>
                <w:spacing w:val="5"/>
                <w:sz w:val="20"/>
              </w:rPr>
            </w:pPr>
            <w:r w:rsidRPr="00AF20B6">
              <w:rPr>
                <w:rFonts w:ascii="Tahoma" w:eastAsia="Tahoma" w:hAnsi="Tahoma"/>
                <w:color w:val="404042"/>
                <w:spacing w:val="5"/>
                <w:sz w:val="18"/>
              </w:rPr>
              <w:t>Digital literacy should be considered alongside literacy and numeracy as a new essential competency. Digital literacy includes not just an ability to use social media, but a capacity to use hardware and software effectively in the workplace, an awareness of cybersecurity issues, and the ability to use and evaluate digital information.</w:t>
            </w:r>
          </w:p>
          <w:p w14:paraId="31B4F240" w14:textId="77777777" w:rsidR="00AF20B6" w:rsidRPr="00AF20B6" w:rsidRDefault="00AF20B6" w:rsidP="00AF20B6">
            <w:pPr>
              <w:pStyle w:val="ListParagraph"/>
              <w:spacing w:before="173" w:line="240" w:lineRule="exact"/>
              <w:ind w:left="668" w:right="864"/>
              <w:textAlignment w:val="baseline"/>
              <w:rPr>
                <w:rFonts w:ascii="Calibri" w:eastAsia="Calibri" w:hAnsi="Calibri"/>
                <w:color w:val="404042"/>
                <w:spacing w:val="5"/>
                <w:sz w:val="20"/>
              </w:rPr>
            </w:pPr>
          </w:p>
          <w:p w14:paraId="05BE4CDB" w14:textId="77777777" w:rsidR="00AF20B6" w:rsidRPr="00AF20B6" w:rsidRDefault="00AF20B6" w:rsidP="00AF20B6">
            <w:pPr>
              <w:pStyle w:val="ListParagraph"/>
              <w:numPr>
                <w:ilvl w:val="1"/>
                <w:numId w:val="28"/>
              </w:numPr>
              <w:spacing w:before="168" w:line="240" w:lineRule="exact"/>
              <w:ind w:right="1080"/>
              <w:textAlignment w:val="baseline"/>
              <w:rPr>
                <w:rFonts w:ascii="Calibri" w:eastAsia="Calibri" w:hAnsi="Calibri"/>
                <w:color w:val="404042"/>
                <w:spacing w:val="5"/>
                <w:sz w:val="20"/>
              </w:rPr>
            </w:pPr>
            <w:r w:rsidRPr="00AF20B6">
              <w:rPr>
                <w:rFonts w:ascii="Tahoma" w:eastAsia="Tahoma" w:hAnsi="Tahoma"/>
                <w:color w:val="404042"/>
                <w:spacing w:val="5"/>
                <w:sz w:val="18"/>
              </w:rPr>
              <w:t>Young people will need a broad base of skills, values and knowledge to become successful lifelong learners. Students also need to leave school with the essential life attributes to become productive members of the community. These include employability skills, creativity and entrepreneurial capabilities, financial literacy, interpersonal skills and civic understanding. Our senior secondary schooling system must continue to adapt to fulfil this modern role.</w:t>
            </w:r>
          </w:p>
          <w:p w14:paraId="70972B99" w14:textId="77777777" w:rsidR="00AF20B6" w:rsidRPr="00AF20B6" w:rsidRDefault="00AF20B6" w:rsidP="00AF20B6">
            <w:pPr>
              <w:pStyle w:val="ListParagraph"/>
              <w:spacing w:before="168" w:line="240" w:lineRule="exact"/>
              <w:ind w:left="668" w:right="1080"/>
              <w:textAlignment w:val="baseline"/>
              <w:rPr>
                <w:rFonts w:ascii="Calibri" w:eastAsia="Calibri" w:hAnsi="Calibri"/>
                <w:color w:val="404042"/>
                <w:spacing w:val="5"/>
                <w:sz w:val="20"/>
              </w:rPr>
            </w:pPr>
          </w:p>
          <w:p w14:paraId="727075B4" w14:textId="77777777" w:rsidR="00AF20B6" w:rsidRPr="00AF20B6" w:rsidRDefault="00AF20B6" w:rsidP="00AF20B6">
            <w:pPr>
              <w:pStyle w:val="ListParagraph"/>
              <w:numPr>
                <w:ilvl w:val="1"/>
                <w:numId w:val="28"/>
              </w:numPr>
              <w:spacing w:before="168" w:line="240" w:lineRule="exact"/>
              <w:ind w:right="1080"/>
              <w:textAlignment w:val="baseline"/>
              <w:rPr>
                <w:rFonts w:ascii="Calibri" w:eastAsia="Calibri" w:hAnsi="Calibri"/>
                <w:color w:val="404042"/>
                <w:sz w:val="20"/>
              </w:rPr>
            </w:pPr>
            <w:r w:rsidRPr="00AF20B6">
              <w:rPr>
                <w:rFonts w:ascii="Tahoma" w:eastAsia="Tahoma" w:hAnsi="Tahoma"/>
                <w:color w:val="404042"/>
                <w:sz w:val="18"/>
              </w:rPr>
              <w:t>It is likely that, for the foreseeable future, many universities will continue to use the ATAR as one mechanism to rank students for entry. It will therefore continue to be a focus of senior secondary students who wish to pursue higher education. But it cannot continue to dominate the educational experience of senior secondary students.</w:t>
            </w:r>
          </w:p>
          <w:p w14:paraId="5F607499" w14:textId="77777777" w:rsidR="00AF20B6" w:rsidRPr="00AF20B6" w:rsidRDefault="00AF20B6" w:rsidP="00AF20B6">
            <w:pPr>
              <w:pStyle w:val="ListParagraph"/>
              <w:spacing w:before="168" w:line="240" w:lineRule="exact"/>
              <w:ind w:left="668" w:right="1080"/>
              <w:textAlignment w:val="baseline"/>
              <w:rPr>
                <w:rFonts w:ascii="Calibri" w:eastAsia="Calibri" w:hAnsi="Calibri"/>
                <w:color w:val="404042"/>
                <w:sz w:val="20"/>
              </w:rPr>
            </w:pPr>
          </w:p>
          <w:p w14:paraId="1265F551" w14:textId="77777777" w:rsidR="00AF20B6" w:rsidRPr="00AF20B6" w:rsidRDefault="00AF20B6" w:rsidP="00AF20B6">
            <w:pPr>
              <w:pStyle w:val="ListParagraph"/>
              <w:numPr>
                <w:ilvl w:val="1"/>
                <w:numId w:val="28"/>
              </w:numPr>
              <w:spacing w:before="179" w:line="240" w:lineRule="exact"/>
              <w:textAlignment w:val="baseline"/>
              <w:rPr>
                <w:rFonts w:ascii="Calibri" w:eastAsia="Calibri" w:hAnsi="Calibri"/>
                <w:color w:val="404042"/>
                <w:spacing w:val="6"/>
                <w:sz w:val="20"/>
              </w:rPr>
            </w:pPr>
            <w:r w:rsidRPr="00AF20B6">
              <w:rPr>
                <w:rFonts w:ascii="Tahoma" w:eastAsia="Tahoma" w:hAnsi="Tahoma"/>
                <w:color w:val="404042"/>
                <w:spacing w:val="6"/>
                <w:sz w:val="18"/>
              </w:rPr>
              <w:t>While some level of stress is important in preparing students for the realities of life and supporting them</w:t>
            </w:r>
            <w:r>
              <w:rPr>
                <w:rFonts w:ascii="Tahoma" w:eastAsia="Tahoma" w:hAnsi="Tahoma"/>
                <w:color w:val="404042"/>
                <w:spacing w:val="6"/>
                <w:sz w:val="18"/>
              </w:rPr>
              <w:t xml:space="preserve"> </w:t>
            </w:r>
            <w:r w:rsidRPr="00AF20B6">
              <w:rPr>
                <w:rFonts w:ascii="Tahoma" w:eastAsia="Tahoma" w:hAnsi="Tahoma"/>
                <w:color w:val="404042"/>
                <w:sz w:val="18"/>
              </w:rPr>
              <w:t>to develop motivation, resilience and time management skills, the design of the senior secondary school system, and its focus on the ATAR, should not place unnecessary mental pressure on young people.</w:t>
            </w:r>
          </w:p>
          <w:p w14:paraId="6C80CED5" w14:textId="77777777" w:rsidR="00AF20B6" w:rsidRPr="00AF20B6" w:rsidRDefault="00AF20B6" w:rsidP="00AF20B6">
            <w:pPr>
              <w:pStyle w:val="ListParagraph"/>
              <w:spacing w:before="179" w:line="240" w:lineRule="exact"/>
              <w:ind w:left="668"/>
              <w:textAlignment w:val="baseline"/>
              <w:rPr>
                <w:rFonts w:ascii="Calibri" w:eastAsia="Calibri" w:hAnsi="Calibri"/>
                <w:color w:val="404042"/>
                <w:spacing w:val="6"/>
                <w:sz w:val="20"/>
              </w:rPr>
            </w:pPr>
          </w:p>
          <w:p w14:paraId="248BBA3E" w14:textId="77777777" w:rsidR="00AF20B6" w:rsidRPr="00AF20B6" w:rsidRDefault="00AF20B6" w:rsidP="00AF20B6">
            <w:pPr>
              <w:pStyle w:val="ListParagraph"/>
              <w:numPr>
                <w:ilvl w:val="1"/>
                <w:numId w:val="28"/>
              </w:numPr>
              <w:spacing w:before="168" w:line="240" w:lineRule="exact"/>
              <w:ind w:right="1152"/>
              <w:textAlignment w:val="baseline"/>
              <w:rPr>
                <w:rFonts w:ascii="Calibri" w:eastAsia="Calibri" w:hAnsi="Calibri"/>
                <w:color w:val="404042"/>
                <w:sz w:val="20"/>
              </w:rPr>
            </w:pPr>
            <w:r w:rsidRPr="00AF20B6">
              <w:rPr>
                <w:rFonts w:ascii="Tahoma" w:eastAsia="Tahoma" w:hAnsi="Tahoma"/>
                <w:color w:val="404042"/>
                <w:sz w:val="18"/>
              </w:rPr>
              <w:t>Many of the attributes that young people need can be acquired not just from academic study or vocational education but also from experiences outside the classroom. They can learn much from part-time work, volunteering, hobbies or sport.</w:t>
            </w:r>
          </w:p>
          <w:p w14:paraId="1F748F8D" w14:textId="77777777" w:rsidR="00AF20B6" w:rsidRPr="00AF20B6" w:rsidRDefault="00AF20B6" w:rsidP="00AF20B6">
            <w:pPr>
              <w:pStyle w:val="ListParagraph"/>
              <w:spacing w:before="168" w:line="240" w:lineRule="exact"/>
              <w:ind w:left="668" w:right="1152"/>
              <w:textAlignment w:val="baseline"/>
              <w:rPr>
                <w:rFonts w:ascii="Calibri" w:eastAsia="Calibri" w:hAnsi="Calibri"/>
                <w:color w:val="404042"/>
                <w:sz w:val="20"/>
              </w:rPr>
            </w:pPr>
          </w:p>
          <w:p w14:paraId="55B3E272" w14:textId="77777777" w:rsidR="00AF20B6" w:rsidRPr="00AF20B6" w:rsidRDefault="00AF20B6" w:rsidP="00AF20B6">
            <w:pPr>
              <w:pStyle w:val="ListParagraph"/>
              <w:numPr>
                <w:ilvl w:val="1"/>
                <w:numId w:val="28"/>
              </w:numPr>
              <w:spacing w:before="173" w:line="240" w:lineRule="exact"/>
              <w:ind w:right="792"/>
              <w:jc w:val="both"/>
              <w:textAlignment w:val="baseline"/>
              <w:rPr>
                <w:rFonts w:ascii="Calibri" w:eastAsia="Calibri" w:hAnsi="Calibri"/>
                <w:color w:val="404042"/>
                <w:sz w:val="20"/>
              </w:rPr>
            </w:pPr>
            <w:r w:rsidRPr="00AF20B6">
              <w:rPr>
                <w:rFonts w:ascii="Tahoma" w:eastAsia="Tahoma" w:hAnsi="Tahoma"/>
                <w:color w:val="404042"/>
                <w:sz w:val="18"/>
              </w:rPr>
              <w:t>Changing the outcomes we measure and value in senior secondary school will help to level the playing field for all students. The challenges faced by disadvantaged students should not be seen just through the lens of social deprivation: rather, their capacity to overcome the barriers should be recognised as a positive attribute when assessing their learning capabilities.</w:t>
            </w:r>
          </w:p>
          <w:p w14:paraId="71032187" w14:textId="77777777" w:rsidR="00AF20B6" w:rsidRPr="00AF20B6" w:rsidRDefault="00AF20B6" w:rsidP="00AF20B6">
            <w:pPr>
              <w:pStyle w:val="ListParagraph"/>
              <w:spacing w:before="173" w:line="240" w:lineRule="exact"/>
              <w:ind w:left="668" w:right="792"/>
              <w:jc w:val="both"/>
              <w:textAlignment w:val="baseline"/>
              <w:rPr>
                <w:rFonts w:ascii="Calibri" w:eastAsia="Calibri" w:hAnsi="Calibri"/>
                <w:color w:val="404042"/>
                <w:sz w:val="20"/>
              </w:rPr>
            </w:pPr>
          </w:p>
          <w:p w14:paraId="0CA8D2A3" w14:textId="3C874C63" w:rsidR="00AF20B6" w:rsidRPr="00AF20B6" w:rsidRDefault="00AF20B6" w:rsidP="00AF20B6">
            <w:pPr>
              <w:pStyle w:val="ListParagraph"/>
              <w:numPr>
                <w:ilvl w:val="1"/>
                <w:numId w:val="28"/>
              </w:numPr>
              <w:spacing w:before="168" w:after="359" w:line="240" w:lineRule="exact"/>
              <w:ind w:right="720"/>
              <w:textAlignment w:val="baseline"/>
              <w:rPr>
                <w:rFonts w:ascii="Calibri" w:eastAsia="Calibri" w:hAnsi="Calibri"/>
                <w:color w:val="404042"/>
                <w:spacing w:val="6"/>
                <w:sz w:val="20"/>
              </w:rPr>
            </w:pPr>
            <w:r w:rsidRPr="00AF20B6">
              <w:rPr>
                <w:rFonts w:ascii="Tahoma" w:eastAsia="Tahoma" w:hAnsi="Tahoma"/>
                <w:color w:val="404042"/>
                <w:spacing w:val="6"/>
                <w:sz w:val="18"/>
              </w:rPr>
              <w:t>The certificate of achievement with which students leave school should record and verify the full range of their knowledge and attributes, including academic and non-academic skills, to provide a more wide-ranging view of student achievement, and a more reliable measure of the whole person.</w:t>
            </w:r>
          </w:p>
        </w:tc>
      </w:tr>
    </w:tbl>
    <w:p w14:paraId="468E18AF" w14:textId="1FBA7709" w:rsidR="00396927" w:rsidRDefault="00396927" w:rsidP="00396927">
      <w:pPr>
        <w:pStyle w:val="Heading2"/>
        <w:rPr>
          <w:rFonts w:eastAsia="Arial"/>
          <w:w w:val="95"/>
        </w:rPr>
      </w:pPr>
    </w:p>
    <w:p w14:paraId="1E4C443B" w14:textId="77777777" w:rsidR="00396927" w:rsidRDefault="00396927" w:rsidP="00396927">
      <w:pPr>
        <w:spacing w:before="235" w:line="240" w:lineRule="exact"/>
        <w:ind w:left="993" w:right="504"/>
        <w:textAlignment w:val="baseline"/>
        <w:rPr>
          <w:rFonts w:ascii="Calibri" w:eastAsia="Calibri" w:hAnsi="Calibri"/>
          <w:color w:val="404042"/>
          <w:sz w:val="20"/>
        </w:rPr>
      </w:pPr>
    </w:p>
    <w:p w14:paraId="2F203D46" w14:textId="77777777" w:rsidR="00AF20B6" w:rsidRDefault="00AF20B6" w:rsidP="00396927">
      <w:pPr>
        <w:spacing w:after="456" w:line="240" w:lineRule="exact"/>
        <w:ind w:left="1134" w:right="936"/>
        <w:textAlignment w:val="baseline"/>
        <w:rPr>
          <w:rFonts w:ascii="Tahoma" w:eastAsia="Tahoma" w:hAnsi="Tahoma"/>
          <w:color w:val="404042"/>
          <w:spacing w:val="5"/>
          <w:sz w:val="18"/>
        </w:rPr>
      </w:pPr>
    </w:p>
    <w:p w14:paraId="6EE2401B" w14:textId="29AFCF73" w:rsidR="009757A9" w:rsidRDefault="00083242" w:rsidP="00396927">
      <w:pPr>
        <w:spacing w:after="456" w:line="240" w:lineRule="exact"/>
        <w:ind w:left="1134" w:right="936"/>
        <w:textAlignment w:val="baseline"/>
        <w:rPr>
          <w:rFonts w:ascii="Tahoma" w:eastAsia="Tahoma" w:hAnsi="Tahoma"/>
          <w:color w:val="404042"/>
          <w:spacing w:val="5"/>
          <w:sz w:val="18"/>
        </w:rPr>
      </w:pPr>
      <w:r>
        <w:rPr>
          <w:rFonts w:ascii="Tahoma" w:eastAsia="Tahoma" w:hAnsi="Tahoma"/>
          <w:color w:val="404042"/>
          <w:spacing w:val="5"/>
          <w:sz w:val="18"/>
        </w:rPr>
        <w:t>In a world in which change is occurring rapidly and the future of education and work remains uncertain, one thing that is clear is the ongoing importance of literacy and numeracy skills. Yet, disconcertingly, the results of Australian young people in literacy and numeracy are stagnating. The National Assessment Program – Literacy and Numeracy (NAPLAN) 2019 national results revealed that Year 9 reading achievement has been static from 2008 to 2019, while numeracy mean achievement has shown no improvement over the same period.</w:t>
      </w:r>
      <w:r>
        <w:rPr>
          <w:rFonts w:ascii="Tahoma" w:eastAsia="Tahoma" w:hAnsi="Tahoma"/>
          <w:color w:val="404042"/>
          <w:spacing w:val="5"/>
          <w:sz w:val="18"/>
          <w:vertAlign w:val="superscript"/>
        </w:rPr>
        <w:t>18</w:t>
      </w:r>
      <w:r>
        <w:rPr>
          <w:rFonts w:ascii="Tahoma" w:eastAsia="Tahoma" w:hAnsi="Tahoma"/>
          <w:color w:val="404042"/>
          <w:spacing w:val="5"/>
          <w:sz w:val="9"/>
        </w:rPr>
        <w:t xml:space="preserve"> </w:t>
      </w:r>
    </w:p>
    <w:p w14:paraId="78C2403E" w14:textId="58B6489D" w:rsidR="009757A9" w:rsidRDefault="00367CD5">
      <w:pPr>
        <w:spacing w:before="53" w:line="199" w:lineRule="exact"/>
        <w:ind w:left="1080" w:right="936" w:hanging="288"/>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2040704" behindDoc="0" locked="0" layoutInCell="1" allowOverlap="1" wp14:anchorId="100694F0" wp14:editId="3CB216B0">
                <wp:simplePos x="0" y="0"/>
                <wp:positionH relativeFrom="page">
                  <wp:posOffset>485775</wp:posOffset>
                </wp:positionH>
                <wp:positionV relativeFrom="page">
                  <wp:posOffset>8971280</wp:posOffset>
                </wp:positionV>
                <wp:extent cx="917575" cy="0"/>
                <wp:effectExtent l="0" t="0" r="0" b="0"/>
                <wp:wrapNone/>
                <wp:docPr id="17" name="Line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CB411" id="Line 684" o:spid="_x0000_s1026" style="position:absolute;z-index:25204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25pt,706.4pt" to="110.5pt,7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IMzAEAAIUDAAAOAAAAZHJzL2Uyb0RvYy54bWysU8GO2jAQvVfqP1i+lwRUYBsR9gDdXmiL&#10;tNsPGGwnsep4LNsQ+PuOHWC37a1qDpbHM/PmzZvJ6vHcG3ZSPmi0NZ9OSs6UFSi1bWv+4+XpwwNn&#10;IYKVYNCqml9U4I/r9+9Wg6vUDDs0UnlGIDZUg6t5F6OriiKITvUQJuiUJWeDvodIpm8L6WEg9N4U&#10;s7JcFAN66TwKFQK9bkcnX2f8plEifm+aoCIzNSduMZ8+n4d0FusVVK0H12lxpQH/wKIHbanoHWoL&#10;EdjR67+gei08BmziRGBfYNNooXIP1M20/KOb5w6cyr2QOMHdZQr/D1Z8O+0905Jmt+TMQk8z2mmr&#10;2OLhYxJncKGimI3d+9SeONtnt0PxMzCLmw5sqzLJl4ujxGnKKH5LSUZwVOIwfEVJMXCMmJU6N75P&#10;kKQBO+eBXO4DUefIBD1+mi7nyzln4uYqoLrlOR/iF4U9S5eaGyKdceG0CzHxgOoWkspYfNLG5HEb&#10;ywYiOysX85wR0GiZvCku+PawMZ6dIG1M/nJX5HkblqC3ELoxLrvGXfJ4tDKX6RTIz9d7BG3GO9Ey&#10;9qpSEmaU+IDysvc39WjWmf91L9MyvbVz9uvfs/4FAAD//wMAUEsDBBQABgAIAAAAIQApZIAV3gAA&#10;AAwBAAAPAAAAZHJzL2Rvd25yZXYueG1sTI9NS8NAEIbvQv/DMgUv0m4SYg0xmyIFvSlaLfa4zU6T&#10;0OxsyG6b+O8dD6LHeefh/SjWk+3EBQffOlIQLyMQSJUzLdUKPt4fFxkIHzQZ3TlCBV/oYV3Orgqd&#10;GzfSG162oRZsQj7XCpoQ+lxKXzVotV+6Hol/RzdYHfgcamkGPbK57WQSRStpdUuc0OgeNw1Wp+3Z&#10;KpAyytJp9zk+pzc+a/ebev/08qrU9Xx6uAcRcAp/MPzU5+pQcqeDO5PxolNwt7plkvU0TngDE0kS&#10;87rDryTLQv4fUX4DAAD//wMAUEsBAi0AFAAGAAgAAAAhALaDOJL+AAAA4QEAABMAAAAAAAAAAAAA&#10;AAAAAAAAAFtDb250ZW50X1R5cGVzXS54bWxQSwECLQAUAAYACAAAACEAOP0h/9YAAACUAQAACwAA&#10;AAAAAAAAAAAAAAAvAQAAX3JlbHMvLnJlbHNQSwECLQAUAAYACAAAACEAK1KSDMwBAACFAwAADgAA&#10;AAAAAAAAAAAAAAAuAgAAZHJzL2Uyb0RvYy54bWxQSwECLQAUAAYACAAAACEAKWSAFd4AAAAMAQAA&#10;DwAAAAAAAAAAAAAAAAAmBAAAZHJzL2Rvd25yZXYueG1sUEsFBgAAAAAEAAQA8wAAADEFAAAAAA==&#10;" strokeweight=".95pt">
                <w10:wrap anchorx="page" anchory="page"/>
              </v:line>
            </w:pict>
          </mc:Fallback>
        </mc:AlternateContent>
      </w:r>
      <w:r w:rsidR="00083242">
        <w:rPr>
          <w:rFonts w:ascii="Tahoma" w:eastAsia="Tahoma" w:hAnsi="Tahoma"/>
          <w:color w:val="404042"/>
          <w:spacing w:val="4"/>
          <w:sz w:val="14"/>
        </w:rPr>
        <w:t xml:space="preserve">18 Australian Curriculum, Assessment and Reporting Authority (2019b), </w:t>
      </w:r>
      <w:r w:rsidR="00083242">
        <w:rPr>
          <w:rFonts w:ascii="Arial" w:eastAsia="Arial" w:hAnsi="Arial"/>
          <w:i/>
          <w:color w:val="404042"/>
          <w:spacing w:val="4"/>
          <w:sz w:val="14"/>
        </w:rPr>
        <w:t>National Assessment Program – Literacy and Numeracy: Achievement in Reading, Writing, Language Conventions and Numeracy: National report for 2019</w:t>
      </w:r>
      <w:r w:rsidR="00083242">
        <w:rPr>
          <w:rFonts w:ascii="Tahoma" w:eastAsia="Tahoma" w:hAnsi="Tahoma"/>
          <w:color w:val="404042"/>
          <w:spacing w:val="4"/>
          <w:sz w:val="14"/>
        </w:rPr>
        <w:t xml:space="preserve">, pp. 302–303, </w:t>
      </w:r>
      <w:hyperlink r:id="rId65">
        <w:r w:rsidR="00083242">
          <w:rPr>
            <w:rFonts w:ascii="Tahoma" w:eastAsia="Tahoma" w:hAnsi="Tahoma"/>
            <w:color w:val="0000FF"/>
            <w:spacing w:val="4"/>
            <w:sz w:val="14"/>
            <w:u w:val="single"/>
          </w:rPr>
          <w:t>https://nap.edu.au/docs/default-source/resources/naplan-2019-national-report. pdf</w:t>
        </w:r>
      </w:hyperlink>
      <w:r w:rsidR="00083242">
        <w:rPr>
          <w:rFonts w:ascii="Tahoma" w:eastAsia="Tahoma" w:hAnsi="Tahoma"/>
          <w:color w:val="404042"/>
          <w:spacing w:val="4"/>
          <w:sz w:val="14"/>
        </w:rPr>
        <w:t>.</w:t>
      </w:r>
    </w:p>
    <w:p w14:paraId="4F279537" w14:textId="45EB25C7" w:rsidR="009757A9" w:rsidRDefault="00AF20B6" w:rsidP="00AF20B6">
      <w:pPr>
        <w:tabs>
          <w:tab w:val="left" w:pos="1485"/>
        </w:tabs>
        <w:spacing w:before="729" w:after="636" w:line="209" w:lineRule="exact"/>
        <w:ind w:left="792"/>
        <w:textAlignment w:val="baseline"/>
        <w:rPr>
          <w:rFonts w:ascii="Arial" w:eastAsia="Arial" w:hAnsi="Arial"/>
          <w:b/>
          <w:color w:val="5556A1"/>
          <w:spacing w:val="1"/>
          <w:sz w:val="19"/>
        </w:rPr>
      </w:pPr>
      <w:r>
        <w:rPr>
          <w:noProof/>
          <w:lang w:val="en-AU" w:eastAsia="en-AU"/>
        </w:rPr>
        <w:drawing>
          <wp:anchor distT="0" distB="0" distL="114300" distR="114300" simplePos="0" relativeHeight="252026368" behindDoc="1" locked="0" layoutInCell="1" allowOverlap="1" wp14:anchorId="283B914C" wp14:editId="20FBD8B2">
            <wp:simplePos x="0" y="0"/>
            <wp:positionH relativeFrom="margin">
              <wp:align>right</wp:align>
            </wp:positionH>
            <wp:positionV relativeFrom="paragraph">
              <wp:posOffset>819785</wp:posOffset>
            </wp:positionV>
            <wp:extent cx="7562215" cy="462915"/>
            <wp:effectExtent l="0" t="0" r="635" b="0"/>
            <wp:wrapNone/>
            <wp:docPr id="50" name="Picture"/>
            <wp:cNvGraphicFramePr/>
            <a:graphic xmlns:a="http://schemas.openxmlformats.org/drawingml/2006/main">
              <a:graphicData uri="http://schemas.openxmlformats.org/drawingml/2006/picture">
                <pic:pic xmlns:pic="http://schemas.openxmlformats.org/drawingml/2006/picture">
                  <pic:nvPicPr>
                    <pic:cNvPr id="50" name="Picture"/>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b/>
          <w:color w:val="5556A1"/>
          <w:spacing w:val="1"/>
          <w:sz w:val="19"/>
        </w:rPr>
        <w:t>30</w:t>
      </w:r>
      <w:r>
        <w:rPr>
          <w:rFonts w:ascii="Tahoma" w:eastAsia="Tahoma" w:hAnsi="Tahoma"/>
          <w:color w:val="404042"/>
          <w:spacing w:val="1"/>
          <w:sz w:val="14"/>
        </w:rPr>
        <w:tab/>
        <w:t>Looking to the future</w:t>
      </w:r>
      <w:r>
        <w:rPr>
          <w:noProof/>
          <w:lang w:val="en-AU" w:eastAsia="en-AU"/>
        </w:rPr>
        <w:t xml:space="preserve"> </w:t>
      </w:r>
      <w:r>
        <w:rPr>
          <w:rFonts w:ascii="Arial" w:eastAsia="Arial" w:hAnsi="Arial"/>
          <w:b/>
          <w:color w:val="5556A1"/>
          <w:spacing w:val="1"/>
          <w:sz w:val="19"/>
        </w:rPr>
        <w:tab/>
      </w:r>
    </w:p>
    <w:p w14:paraId="3C944136" w14:textId="60D382BC" w:rsidR="009757A9" w:rsidRDefault="009757A9">
      <w:pPr>
        <w:textAlignment w:val="baseline"/>
      </w:pPr>
    </w:p>
    <w:p w14:paraId="1E96937B" w14:textId="77777777" w:rsidR="009757A9" w:rsidRDefault="00083242">
      <w:pPr>
        <w:spacing w:before="12" w:after="480" w:line="241" w:lineRule="exact"/>
        <w:ind w:left="864" w:right="1368"/>
        <w:textAlignment w:val="baseline"/>
        <w:rPr>
          <w:rFonts w:ascii="Tahoma" w:eastAsia="Tahoma" w:hAnsi="Tahoma"/>
          <w:color w:val="404042"/>
          <w:sz w:val="18"/>
        </w:rPr>
      </w:pPr>
      <w:r>
        <w:rPr>
          <w:rFonts w:ascii="Tahoma" w:eastAsia="Tahoma" w:hAnsi="Tahoma"/>
          <w:color w:val="404042"/>
          <w:sz w:val="18"/>
        </w:rPr>
        <w:lastRenderedPageBreak/>
        <w:t>The importance of developing non-academic skills through education has also been gaining more attention from policymakers in recent years.</w:t>
      </w:r>
      <w:r>
        <w:rPr>
          <w:rFonts w:ascii="Tahoma" w:eastAsia="Tahoma" w:hAnsi="Tahoma"/>
          <w:color w:val="404042"/>
          <w:sz w:val="18"/>
          <w:vertAlign w:val="superscript"/>
        </w:rPr>
        <w:t>19</w:t>
      </w:r>
      <w:r>
        <w:rPr>
          <w:rFonts w:ascii="Tahoma" w:eastAsia="Tahoma" w:hAnsi="Tahoma"/>
          <w:color w:val="404042"/>
          <w:sz w:val="18"/>
        </w:rPr>
        <w:t xml:space="preserve"> COAG Education Council has led the way. In Australia, the Alice Springs (Mparntwe) Education Declaration, agreed by all education ministers in December 2019, emphasises that:</w:t>
      </w:r>
    </w:p>
    <w:p w14:paraId="11A48784" w14:textId="77777777" w:rsidR="009757A9" w:rsidRDefault="006B3019">
      <w:pPr>
        <w:spacing w:before="110" w:after="210" w:line="300" w:lineRule="exact"/>
        <w:ind w:left="1296" w:right="1440"/>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10304" behindDoc="0" locked="0" layoutInCell="1" allowOverlap="1" wp14:anchorId="4BDA6ECD" wp14:editId="15D9999F">
                <wp:simplePos x="0" y="0"/>
                <wp:positionH relativeFrom="page">
                  <wp:posOffset>775335</wp:posOffset>
                </wp:positionH>
                <wp:positionV relativeFrom="page">
                  <wp:posOffset>2710180</wp:posOffset>
                </wp:positionV>
                <wp:extent cx="5907405" cy="0"/>
                <wp:effectExtent l="0" t="0" r="0" b="0"/>
                <wp:wrapNone/>
                <wp:docPr id="966"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26842" id="Line 687" o:spid="_x0000_s1026" style="position:absolute;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05pt,213.4pt" to="526.2pt,2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H10gEAAIYDAAAOAAAAZHJzL2Uyb0RvYy54bWysU01v2zAMvQ/YfxB0X+x0jdMYcXpI1l2y&#10;LUDbH8BIsi1MEgVJiZ1/P0n5WLfdil0ESiQfHx+p5eOoFTkK5yWahk4nJSXCMOTSdA19fXn69ECJ&#10;D2A4KDSioSfh6ePq44flYGtxhz0qLhyJIMbXg21oH4Kti8KzXmjwE7TCRGeLTkOIV9cV3MEQ0bUq&#10;7sqyKgZ03Dpkwvv4ujk76Srjt61g4UfbehGIamjkFvLp8rlPZ7FaQt05sL1kFxrwDhYapIlFb1Ab&#10;CEAOTv4DpSVz6LENE4a6wLaVTOQeYjfT8q9unnuwIvcSxfH2JpP/f7Ds+3HniOQNXVQVJQZ0HNJW&#10;GkGqh3lSZ7C+jkFrs3OpPzaaZ7tF9tMTg+seTCcyy5eTjYnTlFH8kZIu3sYa++Eb8hgDh4BZqrF1&#10;OkFGEciYJ3K6TUSMgbD4OFuU8/tyRgm7+gqor4nW+fBVoCbJaKiKrDMwHLc+JCJQX0NSHYNPUqk8&#10;cGXI0NDq86zMCR6V5MmZwrzr9mvlyBHSypTzxeI+dxU9b8MS8gZ8f47LrvMyOTwYnqv0AviXix1A&#10;qrMdWSlzUSkJc5Z4j/y0c1f14rAz/ctipm16e8/Zv7/P6hcAAAD//wMAUEsDBBQABgAIAAAAIQCq&#10;2ixP3AAAAAwBAAAPAAAAZHJzL2Rvd25yZXYueG1sTI9BS8NAEIXvgv9hGcGb3W1oi8RsilR66kVb&#10;wes0OybR7GzIbtP03zsFQY/vzceb94r15Ds10hDbwBbmMwOKuAqu5drC+2H78AgqJmSHXWCycKEI&#10;6/L2psDchTO/0bhPtZIQjjlaaFLqc61j1ZDHOAs9sdw+w+AxiRxq7QY8S7jvdGbMSntsWT402NOm&#10;oep7f/IWtmgOr263C1/xY3nZYNLuhUZr7++m5ydQiab0B8O1vlSHUjodw4ldVJ3oLJsLamGRrWTD&#10;lTDLbAHq+GvpstD/R5Q/AAAA//8DAFBLAQItABQABgAIAAAAIQC2gziS/gAAAOEBAAATAAAAAAAA&#10;AAAAAAAAAAAAAABbQ29udGVudF9UeXBlc10ueG1sUEsBAi0AFAAGAAgAAAAhADj9If/WAAAAlAEA&#10;AAsAAAAAAAAAAAAAAAAALwEAAF9yZWxzLy5yZWxzUEsBAi0AFAAGAAgAAAAhACYgIfXSAQAAhgMA&#10;AA4AAAAAAAAAAAAAAAAALgIAAGRycy9lMm9Eb2MueG1sUEsBAi0AFAAGAAgAAAAhAKraLE/cAAAA&#10;DAEAAA8AAAAAAAAAAAAAAAAALAQAAGRycy9kb3ducmV2LnhtbFBLBQYAAAAABAAEAPMAAAA1BQAA&#10;AAA=&#10;" strokecolor="#007994" strokeweight=".5pt">
                <w10:wrap anchorx="page" anchory="page"/>
              </v:line>
            </w:pict>
          </mc:Fallback>
        </mc:AlternateContent>
      </w:r>
      <w:r w:rsidR="000D2E34">
        <w:rPr>
          <w:noProof/>
          <w:lang w:val="en-AU" w:eastAsia="en-AU"/>
        </w:rPr>
        <mc:AlternateContent>
          <mc:Choice Requires="wps">
            <w:drawing>
              <wp:anchor distT="0" distB="0" distL="114300" distR="114300" simplePos="0" relativeHeight="251809280" behindDoc="0" locked="0" layoutInCell="1" allowOverlap="1" wp14:anchorId="57E738DC" wp14:editId="5C7D306E">
                <wp:simplePos x="0" y="0"/>
                <wp:positionH relativeFrom="page">
                  <wp:posOffset>826135</wp:posOffset>
                </wp:positionH>
                <wp:positionV relativeFrom="page">
                  <wp:posOffset>1454150</wp:posOffset>
                </wp:positionV>
                <wp:extent cx="5907405" cy="0"/>
                <wp:effectExtent l="0" t="0" r="0" b="0"/>
                <wp:wrapNone/>
                <wp:docPr id="967" name="Line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4AF4E" id="Line 688" o:spid="_x0000_s1026" style="position:absolute;z-index:25180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14.5pt" to="530.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3vb0QEAAIYDAAAOAAAAZHJzL2Uyb0RvYy54bWysU02P2yAQvVfqf0DcGzvbzZcVZw9Jt5e0&#10;jbTbHzABbKMCg4DEzr8v4CTdtreqFzQwM2/evBnWT4NW5Cycl2hqOp2UlAjDkEvT1vT76/OHJSU+&#10;gOGg0IiaXoSnT5v379a9rcQDdqi4cCSCGF/1tqZdCLYqCs86ocFP0AoTnQ06DSFeXVtwB31E16p4&#10;KMt50aPj1iET3sfX3eikm4zfNIKFb03jRSCqppFbyKfL5zGdxWYNVevAdpJdacA/sNAgTSx6h9pB&#10;AHJy8i8oLZlDj02YMNQFNo1kIvcQu5mWf3Tz0oEVuZcojrd3mfz/g2VfzwdHJK/par6gxICOQ9pL&#10;I8h8uUzq9NZXMWhrDi71xwbzYvfIfnhicNuBaUVm+XqxMXGaMorfUtLF21jj2H9BHmPgFDBLNTRO&#10;J8goAhnyRC73iYghEBYfZ6ty8VjOKGE3XwHVLdE6Hz4L1CQZNVWRdQaG896HRASqW0iqY/BZKpUH&#10;rgzpazr/OCtzgkcleXKmMO/a41Y5coa0MuVitXrMXUXP27CEvAPfjXHZNS6Tw5PhuUongH+62gGk&#10;Gu3ISpmrSkmYUeIj8svB3dSLw870r4uZtuntPWf/+j6bnwAAAP//AwBQSwMEFAAGAAgAAAAhAHN8&#10;4L/cAAAADAEAAA8AAABkcnMvZG93bnJldi54bWxMj8FOwzAQRO9I/IO1SNyo3QAVhDgVKuqpF2iR&#10;uG7jJQnE6yh20/Tv2UpIcJzZp9mZYjn5To00xDawhfnMgCKugmu5tvC+W988gIoJ2WEXmCycKMKy&#10;vLwoMHfhyG80blOtJIRjjhaalPpc61g15DHOQk8st88weEwih1q7AY8S7judGbPQHluWDw32tGqo&#10;+t4evIU1mt2r22zCV/y4P60wafdCo7XXV9PzE6hEU/qD4VxfqkMpnfbhwC6qTvStmQtqIcseZdSZ&#10;MAtzB2r/a+my0P9HlD8AAAD//wMAUEsBAi0AFAAGAAgAAAAhALaDOJL+AAAA4QEAABMAAAAAAAAA&#10;AAAAAAAAAAAAAFtDb250ZW50X1R5cGVzXS54bWxQSwECLQAUAAYACAAAACEAOP0h/9YAAACUAQAA&#10;CwAAAAAAAAAAAAAAAAAvAQAAX3JlbHMvLnJlbHNQSwECLQAUAAYACAAAACEARt9729EBAACGAwAA&#10;DgAAAAAAAAAAAAAAAAAuAgAAZHJzL2Uyb0RvYy54bWxQSwECLQAUAAYACAAAACEAc3zgv9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As a foundation for further learning and adult life, the curriculum includes practical skills development in areas such as [information and communications technology], critical and creative thinking, intercultural understanding and problem solving. These skills support imagination, discovery, innovation, empathy and developing creative solutions to complex problems. They are central to contributing to Australia’s knowledge-based economy.</w:t>
      </w:r>
      <w:r w:rsidR="00083242">
        <w:rPr>
          <w:rFonts w:ascii="Tahoma" w:eastAsia="Tahoma" w:hAnsi="Tahoma"/>
          <w:i/>
          <w:color w:val="007994"/>
          <w:sz w:val="21"/>
          <w:vertAlign w:val="superscript"/>
        </w:rPr>
        <w:t>20</w:t>
      </w:r>
      <w:r w:rsidR="00083242">
        <w:rPr>
          <w:rFonts w:ascii="Tahoma" w:eastAsia="Tahoma" w:hAnsi="Tahoma"/>
          <w:i/>
          <w:color w:val="007994"/>
          <w:sz w:val="12"/>
        </w:rPr>
        <w:t xml:space="preserve"> </w:t>
      </w:r>
    </w:p>
    <w:p w14:paraId="6FEF7E69" w14:textId="77777777" w:rsidR="009757A9" w:rsidRPr="006B3B28" w:rsidRDefault="00083242" w:rsidP="006B3019">
      <w:pPr>
        <w:pStyle w:val="Heading2"/>
        <w:rPr>
          <w:rFonts w:eastAsia="Arial"/>
          <w:sz w:val="25"/>
          <w:szCs w:val="25"/>
        </w:rPr>
      </w:pPr>
      <w:r w:rsidRPr="006B3B28">
        <w:rPr>
          <w:rFonts w:eastAsia="Arial"/>
          <w:sz w:val="25"/>
          <w:szCs w:val="25"/>
        </w:rPr>
        <w:t>Literacy, numeracy and digital literacy</w:t>
      </w:r>
    </w:p>
    <w:p w14:paraId="51D16978" w14:textId="77777777" w:rsidR="009757A9" w:rsidRDefault="00083242">
      <w:pPr>
        <w:spacing w:before="145" w:line="241" w:lineRule="exact"/>
        <w:ind w:left="864" w:right="1008"/>
        <w:textAlignment w:val="baseline"/>
        <w:rPr>
          <w:rFonts w:ascii="Tahoma" w:eastAsia="Tahoma" w:hAnsi="Tahoma"/>
          <w:color w:val="404042"/>
          <w:sz w:val="18"/>
        </w:rPr>
      </w:pPr>
      <w:r>
        <w:rPr>
          <w:rFonts w:ascii="Tahoma" w:eastAsia="Tahoma" w:hAnsi="Tahoma"/>
          <w:color w:val="404042"/>
          <w:sz w:val="18"/>
        </w:rPr>
        <w:t>In Victorian times, the ability to read, write and do arithmetic was seen as an essential skill set that should be taught and learned at school. Today, in a digital age, those skills remain the foundation of educational success. What students learn in mathematics, reading and writing is essential. It will underpin their success in both learning and work.</w:t>
      </w:r>
      <w:r>
        <w:rPr>
          <w:rFonts w:ascii="Tahoma" w:eastAsia="Tahoma" w:hAnsi="Tahoma"/>
          <w:color w:val="404042"/>
          <w:sz w:val="18"/>
          <w:vertAlign w:val="superscript"/>
        </w:rPr>
        <w:t>21</w:t>
      </w:r>
      <w:r>
        <w:rPr>
          <w:rFonts w:ascii="Tahoma" w:eastAsia="Tahoma" w:hAnsi="Tahoma"/>
          <w:color w:val="404042"/>
          <w:sz w:val="18"/>
        </w:rPr>
        <w:t xml:space="preserve"> It is therefore vital to our future prosperity and productivity that no young person should enter the workforce without </w:t>
      </w:r>
      <w:r>
        <w:rPr>
          <w:rFonts w:ascii="Verdana" w:eastAsia="Verdana" w:hAnsi="Verdana"/>
          <w:color w:val="404042"/>
          <w:sz w:val="18"/>
        </w:rPr>
        <w:t xml:space="preserve">attaining proficiency in these critical areas. That some young people still leave school without these basic skills is an </w:t>
      </w:r>
      <w:r>
        <w:rPr>
          <w:rFonts w:ascii="Tahoma" w:eastAsia="Tahoma" w:hAnsi="Tahoma"/>
          <w:color w:val="404042"/>
          <w:sz w:val="18"/>
        </w:rPr>
        <w:t>indictment of society. We need to prevent this occurring.</w:t>
      </w:r>
    </w:p>
    <w:p w14:paraId="69C80D03" w14:textId="77777777" w:rsidR="009757A9" w:rsidRDefault="00083242">
      <w:pPr>
        <w:spacing w:before="170" w:after="547" w:line="241" w:lineRule="exact"/>
        <w:ind w:left="864" w:right="1008"/>
        <w:textAlignment w:val="baseline"/>
        <w:rPr>
          <w:rFonts w:ascii="Tahoma" w:eastAsia="Tahoma" w:hAnsi="Tahoma"/>
          <w:color w:val="404042"/>
          <w:spacing w:val="-1"/>
          <w:sz w:val="18"/>
        </w:rPr>
      </w:pPr>
      <w:r>
        <w:rPr>
          <w:rFonts w:ascii="Tahoma" w:eastAsia="Tahoma" w:hAnsi="Tahoma"/>
          <w:color w:val="404042"/>
          <w:spacing w:val="-1"/>
          <w:sz w:val="18"/>
        </w:rPr>
        <w:t xml:space="preserve">While the truth of this is generally recognised in society, it is employers who have argued most strongly that students are leaving senior secondary school without the literacy and numeracy skills they need to engage successfully in the </w:t>
      </w:r>
      <w:r>
        <w:rPr>
          <w:rFonts w:ascii="Verdana" w:eastAsia="Verdana" w:hAnsi="Verdana"/>
          <w:color w:val="404042"/>
          <w:spacing w:val="-1"/>
          <w:sz w:val="18"/>
        </w:rPr>
        <w:t>workplace. There is no doubt that some employers are dissatisfied with the capacity of the students that they employ.</w:t>
      </w:r>
    </w:p>
    <w:p w14:paraId="3AA825ED" w14:textId="77777777" w:rsidR="009757A9" w:rsidRDefault="000D2E34">
      <w:pPr>
        <w:spacing w:before="153" w:line="247" w:lineRule="exact"/>
        <w:ind w:left="1296"/>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811328" behindDoc="0" locked="0" layoutInCell="1" allowOverlap="1" wp14:anchorId="49B7C400" wp14:editId="29E71E40">
                <wp:simplePos x="0" y="0"/>
                <wp:positionH relativeFrom="page">
                  <wp:posOffset>826135</wp:posOffset>
                </wp:positionH>
                <wp:positionV relativeFrom="page">
                  <wp:posOffset>5083810</wp:posOffset>
                </wp:positionV>
                <wp:extent cx="5907405" cy="0"/>
                <wp:effectExtent l="0" t="0" r="0" b="0"/>
                <wp:wrapNone/>
                <wp:docPr id="965" name="Lin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E58EB" id="Line 686" o:spid="_x0000_s1026" style="position:absolute;z-index:25181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00.3pt" to="530.2pt,4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ko0QEAAIYDAAAOAAAAZHJzL2Uyb0RvYy54bWysU8Fu2zAMvQ/YPwi6L3a6xm2MOD0k6y7Z&#10;FqDdBzCSHAuTRUFS4uTvR8lJ1m23YReBEsnHx0dq8XTqDTsqHzTahk8nJWfKCpTa7hv+/fX5wyNn&#10;IYKVYNCqhp9V4E/L9+8Wg6vVHXZopPKMQGyoB9fwLkZXF0UQneohTNApS84WfQ+Rrn5fSA8Dofem&#10;uCvLqhjQS+dRqBDodT06+TLjt60S8VvbBhWZaThxi/n0+dyls1guoN57cJ0WFxrwDyx60JaK3qDW&#10;EIEdvP4LqtfCY8A2TgT2BbatFir3QN1Myz+6eenAqdwLiRPcTabw/2DF1+PWMy0bPq9mnFnoaUgb&#10;bRWrHqukzuBCTUEru/WpP3GyL26D4kdgFlcd2L3KLF/PjhKnKaP4LSVdgqMau+ELSoqBQ8Qs1an1&#10;fYIkEdgpT+R8m4g6RSbocTYvH+5LIiauvgLqa6LzIX5W2LNkNNwQ6wwMx02IiQjU15BUx+KzNiYP&#10;3Fg2NLz6OCtzQkCjZXKmsOD3u5Xx7AhpZcqH+fw+d0Wet2EJeQ2hG+Oya1wmjwcrc5VOgfx0sSNo&#10;M9rEytiLSkmYUeIdyvPWX9WjYWf6l8VM2/T2nrN/fZ/lTwAAAP//AwBQSwMEFAAGAAgAAAAhAEWx&#10;C8bbAAAADAEAAA8AAABkcnMvZG93bnJldi54bWxMj01rwkAQhu+F/odlCr3VXfshkmYjxeLJS6uF&#10;XsfsNIlmZ0N2jfHfd4RCPb4zD+9Hvhh9qwbqYxPYwnRiQBGXwTVcWfjarh7moGJCdtgGJgtnirAo&#10;bm9yzFw48ScNm1QpMeGYoYU6pS7TOpY1eYyT0BHL7yf0HpPIvtKux5OY+1Y/GjPTHhuWhBo7WtZU&#10;HjZHb2GFZvvh1uuwj98v5yUm7d5psPb+bnx7BZVoTP8wXOpLdSik0y4c2UXVin4yU0EtzCUG1IUw&#10;M/MMavd30kWur0cUvwAAAP//AwBQSwECLQAUAAYACAAAACEAtoM4kv4AAADhAQAAEwAAAAAAAAAA&#10;AAAAAAAAAAAAW0NvbnRlbnRfVHlwZXNdLnhtbFBLAQItABQABgAIAAAAIQA4/SH/1gAAAJQBAAAL&#10;AAAAAAAAAAAAAAAAAC8BAABfcmVscy8ucmVsc1BLAQItABQABgAIAAAAIQCAX1ko0QEAAIYDAAAO&#10;AAAAAAAAAAAAAAAAAC4CAABkcnMvZTJvRG9jLnhtbFBLAQItABQABgAIAAAAIQBFsQvG2wAAAAwB&#10;AAAPAAAAAAAAAAAAAAAAACsEAABkcnMvZG93bnJldi54bWxQSwUGAAAAAAQABADzAAAAMwUAAAAA&#10;" strokecolor="#007994" strokeweight=".5pt">
                <w10:wrap anchorx="page" anchory="page"/>
              </v:line>
            </w:pict>
          </mc:Fallback>
        </mc:AlternateContent>
      </w:r>
      <w:r w:rsidR="00083242">
        <w:rPr>
          <w:rFonts w:ascii="Tahoma" w:eastAsia="Tahoma" w:hAnsi="Tahoma"/>
          <w:i/>
          <w:color w:val="007994"/>
          <w:spacing w:val="1"/>
          <w:sz w:val="21"/>
        </w:rPr>
        <w:t>“Twenty-nine per cent of employers report low satisfaction with school leavers’ numeracy; and</w:t>
      </w:r>
    </w:p>
    <w:p w14:paraId="5FC3B5E9" w14:textId="77777777" w:rsidR="009757A9" w:rsidRDefault="00083242">
      <w:pPr>
        <w:spacing w:before="62" w:line="240" w:lineRule="exact"/>
        <w:ind w:left="1296"/>
        <w:textAlignment w:val="baseline"/>
        <w:rPr>
          <w:rFonts w:ascii="Verdana" w:eastAsia="Verdana" w:hAnsi="Verdana"/>
          <w:i/>
          <w:color w:val="007994"/>
          <w:spacing w:val="3"/>
          <w:sz w:val="18"/>
        </w:rPr>
      </w:pPr>
      <w:r>
        <w:rPr>
          <w:rFonts w:ascii="Verdana" w:eastAsia="Verdana" w:hAnsi="Verdana"/>
          <w:i/>
          <w:color w:val="007994"/>
          <w:spacing w:val="3"/>
          <w:sz w:val="18"/>
        </w:rPr>
        <w:t>22 per cent expressed low satisfaction with school leavers’ literacy.”</w:t>
      </w:r>
    </w:p>
    <w:p w14:paraId="72268A0D" w14:textId="317D9746" w:rsidR="009757A9" w:rsidRDefault="00367CD5">
      <w:pPr>
        <w:spacing w:before="51" w:after="221" w:line="242" w:lineRule="exact"/>
        <w:ind w:left="6984"/>
        <w:textAlignment w:val="baseline"/>
        <w:rPr>
          <w:rFonts w:ascii="Tahoma" w:eastAsia="Tahoma" w:hAnsi="Tahoma"/>
          <w:i/>
          <w:color w:val="007994"/>
          <w:spacing w:val="3"/>
          <w:sz w:val="21"/>
        </w:rPr>
      </w:pPr>
      <w:r>
        <w:rPr>
          <w:noProof/>
          <w:lang w:val="en-AU" w:eastAsia="en-AU"/>
        </w:rPr>
        <mc:AlternateContent>
          <mc:Choice Requires="wps">
            <w:drawing>
              <wp:anchor distT="0" distB="0" distL="114300" distR="114300" simplePos="0" relativeHeight="251812352" behindDoc="0" locked="0" layoutInCell="1" allowOverlap="1" wp14:anchorId="22804675" wp14:editId="04AECF02">
                <wp:simplePos x="0" y="0"/>
                <wp:positionH relativeFrom="page">
                  <wp:posOffset>845185</wp:posOffset>
                </wp:positionH>
                <wp:positionV relativeFrom="page">
                  <wp:posOffset>5794375</wp:posOffset>
                </wp:positionV>
                <wp:extent cx="5907405" cy="0"/>
                <wp:effectExtent l="0" t="0" r="0" b="0"/>
                <wp:wrapNone/>
                <wp:docPr id="964"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9B8ED" id="Line 68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5pt,456.25pt" to="531.7pt,4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5WX0QEAAIYDAAAOAAAAZHJzL2Uyb0RvYy54bWysU8Fu2zAMvQ/YPwi6L3a6JG2MOD0k6y7Z&#10;FqDtBzCSbAuTREFSYufvJ8lJ1m23YheBEsnHx0dq9ThoRU7CeYmmptNJSYkwDLk0bU1fX54+PVDi&#10;AxgOCo2o6Vl4+rj++GHV20rcYYeKC0ciiPFVb2vahWCrovCsExr8BK0w0dmg0xDi1bUFd9BHdK2K&#10;u7JcFD06bh0y4X183Y5Ous74TSNY+NE0XgSiahq5hXy6fB7SWaxXULUObCfZhQa8g4UGaWLRG9QW&#10;ApCjk/9AackcemzChKEusGkkE7mH2M20/Kub5w6syL1Ecby9yeT/Hyz7fto7InlNl4sZJQZ0HNJO&#10;GkEWD/OkTm99FYM2Zu9Sf2wwz3aH7KcnBjcdmFZkli9nGxOnKaP4IyVdvI01Dv035DEGjgGzVEPj&#10;dIKMIpAhT+R8m4gYAmHxcb4s72flnBJ29RVQXROt8+GrQE2SUVMVWWdgOO18SESguoakOgafpFJ5&#10;4MqQvqaLz/MyJ3hUkidnCvOuPWyUIydIK1PeL5ez3FX0vA1LyFvw3RiXXeMyOTwanqt0AviXix1A&#10;qtGOrJS5qJSEGSU+ID/v3VW9OOxM/7KYaZve3nP27++z/gUAAP//AwBQSwMEFAAGAAgAAAAhAOXt&#10;ElPdAAAADAEAAA8AAABkcnMvZG93bnJldi54bWxMj8FuwjAMhu+T9g6RJ+02ktKBtq4pQiBOXAZM&#10;2tU0XtutcaomlPL2CxLSdvztT78/54vRtmKg3jeONSQTBYK4dKbhSsPHYfP0AsIHZIOtY9JwIQ+L&#10;4v4ux8y4M+9o2IdKxBL2GWqoQ+gyKX1Zk0U/cR1x3H253mKIsa+k6fEcy20rp0rNpcWG44UaO1rV&#10;VP7sT1bDBtXh3Wy37tt/zi4rDNKsadD68WFcvoEINIY/GK76UR2K6HR0JzZetDGnaRJRDa/JdAbi&#10;Sqh5+gzieBvJIpf/nyh+AQAA//8DAFBLAQItABQABgAIAAAAIQC2gziS/gAAAOEBAAATAAAAAAAA&#10;AAAAAAAAAAAAAABbQ29udGVudF9UeXBlc10ueG1sUEsBAi0AFAAGAAgAAAAhADj9If/WAAAAlAEA&#10;AAsAAAAAAAAAAAAAAAAALwEAAF9yZWxzLy5yZWxzUEsBAi0AFAAGAAgAAAAhAEJDlZfRAQAAhgMA&#10;AA4AAAAAAAAAAAAAAAAALgIAAGRycy9lMm9Eb2MueG1sUEsBAi0AFAAGAAgAAAAhAOXtElPdAAAA&#10;DAEAAA8AAAAAAAAAAAAAAAAAKwQAAGRycy9kb3ducmV2LnhtbFBLBQYAAAAABAAEAPMAAAA1BQAA&#10;AAA=&#10;" strokecolor="#007994" strokeweight=".5pt">
                <w10:wrap anchorx="page" anchory="page"/>
              </v:line>
            </w:pict>
          </mc:Fallback>
        </mc:AlternateContent>
      </w:r>
      <w:r w:rsidR="00083242">
        <w:rPr>
          <w:rFonts w:ascii="Tahoma" w:eastAsia="Tahoma" w:hAnsi="Tahoma"/>
          <w:i/>
          <w:color w:val="007994"/>
          <w:spacing w:val="3"/>
          <w:sz w:val="21"/>
        </w:rPr>
        <w:t>Australian Industry Group submission</w:t>
      </w:r>
    </w:p>
    <w:p w14:paraId="4B8B0FD4" w14:textId="70380DFD" w:rsidR="009757A9" w:rsidRDefault="00083242">
      <w:pPr>
        <w:spacing w:before="410" w:after="2457" w:line="241" w:lineRule="exact"/>
        <w:ind w:left="864" w:right="864"/>
        <w:textAlignment w:val="baseline"/>
        <w:rPr>
          <w:rFonts w:ascii="Tahoma" w:eastAsia="Tahoma" w:hAnsi="Tahoma"/>
          <w:color w:val="404042"/>
          <w:sz w:val="18"/>
        </w:rPr>
      </w:pPr>
      <w:r>
        <w:rPr>
          <w:rFonts w:ascii="Tahoma" w:eastAsia="Tahoma" w:hAnsi="Tahoma"/>
          <w:color w:val="404042"/>
          <w:sz w:val="18"/>
        </w:rPr>
        <w:t xml:space="preserve">Minimum standards of literacy and numeracy are already in place as a condition of qualifying for a Senior Secondary </w:t>
      </w:r>
      <w:r>
        <w:rPr>
          <w:rFonts w:ascii="Verdana" w:eastAsia="Verdana" w:hAnsi="Verdana"/>
          <w:color w:val="404042"/>
          <w:sz w:val="18"/>
        </w:rPr>
        <w:t xml:space="preserve">Certificate of Education (SSCE). However, these standards vary across the country. Some states and territories allow the </w:t>
      </w:r>
      <w:r>
        <w:rPr>
          <w:rFonts w:ascii="Tahoma" w:eastAsia="Tahoma" w:hAnsi="Tahoma"/>
          <w:color w:val="404042"/>
          <w:sz w:val="18"/>
        </w:rPr>
        <w:t>requirements to be met through subject choice, while in other jurisdictions, such as Western Australia, students must pass an online test.</w:t>
      </w:r>
    </w:p>
    <w:p w14:paraId="19CDA169" w14:textId="1F74BC4B" w:rsidR="00367CD5" w:rsidRDefault="00367CD5" w:rsidP="00367CD5">
      <w:pPr>
        <w:spacing w:before="78" w:line="174" w:lineRule="exact"/>
        <w:ind w:left="144" w:firstLine="720"/>
        <w:textAlignment w:val="baseline"/>
        <w:rPr>
          <w:rFonts w:ascii="Tahoma" w:eastAsia="Tahoma" w:hAnsi="Tahoma"/>
          <w:color w:val="404042"/>
          <w:spacing w:val="2"/>
          <w:sz w:val="14"/>
        </w:rPr>
      </w:pPr>
    </w:p>
    <w:p w14:paraId="30EB22A4" w14:textId="5C683D78" w:rsidR="009757A9" w:rsidRDefault="00367CD5" w:rsidP="00367CD5">
      <w:pPr>
        <w:spacing w:before="78" w:line="174" w:lineRule="exact"/>
        <w:ind w:left="144" w:firstLine="720"/>
        <w:textAlignment w:val="baseline"/>
        <w:rPr>
          <w:rFonts w:ascii="Tahoma" w:eastAsia="Tahoma" w:hAnsi="Tahoma"/>
          <w:color w:val="404042"/>
          <w:spacing w:val="2"/>
          <w:sz w:val="14"/>
        </w:rPr>
      </w:pPr>
      <w:r>
        <w:rPr>
          <w:noProof/>
          <w:lang w:val="en-AU" w:eastAsia="en-AU"/>
        </w:rPr>
        <mc:AlternateContent>
          <mc:Choice Requires="wps">
            <w:drawing>
              <wp:anchor distT="0" distB="0" distL="114300" distR="114300" simplePos="0" relativeHeight="251813376" behindDoc="0" locked="0" layoutInCell="1" allowOverlap="1" wp14:anchorId="78FE1534" wp14:editId="7888E6F5">
                <wp:simplePos x="0" y="0"/>
                <wp:positionH relativeFrom="page">
                  <wp:posOffset>492125</wp:posOffset>
                </wp:positionH>
                <wp:positionV relativeFrom="page">
                  <wp:posOffset>8404225</wp:posOffset>
                </wp:positionV>
                <wp:extent cx="917575" cy="0"/>
                <wp:effectExtent l="0" t="0" r="0" b="0"/>
                <wp:wrapNone/>
                <wp:docPr id="963" name="Line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918CA" id="Line 684" o:spid="_x0000_s1026" style="position:absolute;z-index:25181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75pt,661.75pt" to="111pt,6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FlzwEAAIYDAAAOAAAAZHJzL2Uyb0RvYy54bWysU01v2zAMvQ/YfxB0X+xkS9oacXpI1l2y&#10;LUC7H8BIsi1MFgVJiZ1/P0r5aLfdhvkgiCL5+PhILx/H3rCj8kGjrfl0UnKmrECpbVvzHy9PH+45&#10;CxGsBINW1fykAn9cvX+3HFylZtihkcozArGhGlzNuxhdVRRBdKqHMEGnLDkb9D1EMn1bSA8Dofem&#10;mJXlohjQS+dRqBDodXN28lXGbxol4vemCSoyU3PiFvPp87lPZ7FaQtV6cJ0WFxrwDyx60JaK3qA2&#10;EIEdvP4LqtfCY8AmTgT2BTaNFir3QN1Myz+6ee7AqdwLiRPcTabw/2DFt+POMy1r/rD4yJmFnoa0&#10;1Vaxxf2npM7gQkVBa7vzqT8x2me3RfEzMIvrDmyrMsuXk6PEacoofktJRnBUYz98RUkxcIiYpRob&#10;3ydIEoGNeSKn20TUGJmgx4fp3fxuzpm4ugqornnOh/hFYc/SpeaGSGdcOG5DTDyguoakMhaftDF5&#10;3saygcjOysU8ZwQ0WiZvigu+3a+NZ0dIK5O/3BV53oYl6A2E7hyXXedl8niwMpfpFMjPl3sEbc53&#10;omXsRaUkzFniPcrTzl/Vo2Fn/pfFTNv01s7Zr7/P6hcAAAD//wMAUEsDBBQABgAIAAAAIQBCwWti&#10;3wAAAAwBAAAPAAAAZHJzL2Rvd25yZXYueG1sTI9BT8MwDIXvSPyHyJO4IJaSDVaVphOaBDfQGCB2&#10;zBqvrWicqsnW7t/jHRDc7Oen5+/ly9G14oh9aDxpuJ0mIJBKbxuqNHy8P92kIEI0ZE3rCTWcMMCy&#10;uLzITWb9QG943MRKcAiFzGioY+wyKUNZozNh6jskvu1970zkta+k7c3A4a6VKknupTMN8YfadLiq&#10;sfzeHJwGKZN0Pn5+DS/z65A221W1fX5da301GR8fQEQc458ZzviMDgUz7fyBbBCthsXijp2sz9SM&#10;J3Yopbjd7leSRS7/lyh+AAAA//8DAFBLAQItABQABgAIAAAAIQC2gziS/gAAAOEBAAATAAAAAAAA&#10;AAAAAAAAAAAAAABbQ29udGVudF9UeXBlc10ueG1sUEsBAi0AFAAGAAgAAAAhADj9If/WAAAAlAEA&#10;AAsAAAAAAAAAAAAAAAAALwEAAF9yZWxzLy5yZWxzUEsBAi0AFAAGAAgAAAAhAISGUWXPAQAAhgMA&#10;AA4AAAAAAAAAAAAAAAAALgIAAGRycy9lMm9Eb2MueG1sUEsBAi0AFAAGAAgAAAAhAELBa2LfAAAA&#10;DAEAAA8AAAAAAAAAAAAAAAAAKQQAAGRycy9kb3ducmV2LnhtbFBLBQYAAAAABAAEAPMAAAA1BQAA&#10;AAA=&#10;" strokeweight=".95pt">
                <w10:wrap anchorx="page" anchory="page"/>
              </v:line>
            </w:pict>
          </mc:Fallback>
        </mc:AlternateContent>
      </w:r>
      <w:r w:rsidR="00083242">
        <w:rPr>
          <w:rFonts w:ascii="Tahoma" w:eastAsia="Tahoma" w:hAnsi="Tahoma"/>
          <w:color w:val="404042"/>
          <w:spacing w:val="2"/>
          <w:sz w:val="14"/>
        </w:rPr>
        <w:t xml:space="preserve">19 Organisation for Economic Co-operation and Development (2017), </w:t>
      </w:r>
      <w:r w:rsidR="00083242">
        <w:rPr>
          <w:rFonts w:ascii="Arial" w:eastAsia="Arial" w:hAnsi="Arial"/>
          <w:i/>
          <w:color w:val="404042"/>
          <w:spacing w:val="2"/>
          <w:sz w:val="14"/>
        </w:rPr>
        <w:t>Social and Emotional Skills: Well-being, connectedness and success</w:t>
      </w:r>
      <w:r w:rsidR="00083242">
        <w:rPr>
          <w:rFonts w:ascii="Verdana" w:eastAsia="Verdana" w:hAnsi="Verdana"/>
          <w:color w:val="404042"/>
          <w:spacing w:val="2"/>
          <w:sz w:val="14"/>
        </w:rPr>
        <w:t xml:space="preserve">, p. 3, </w:t>
      </w:r>
      <w:hyperlink r:id="rId66">
        <w:r w:rsidR="00083242">
          <w:rPr>
            <w:rFonts w:ascii="Tahoma" w:eastAsia="Tahoma" w:hAnsi="Tahoma"/>
            <w:color w:val="0000FF"/>
            <w:spacing w:val="2"/>
            <w:sz w:val="14"/>
            <w:u w:val="single"/>
          </w:rPr>
          <w:t>https://</w:t>
        </w:r>
      </w:hyperlink>
      <w:r w:rsidR="00083242">
        <w:rPr>
          <w:rFonts w:ascii="Tahoma" w:eastAsia="Tahoma" w:hAnsi="Tahoma"/>
          <w:color w:val="404042"/>
          <w:spacing w:val="2"/>
          <w:sz w:val="14"/>
        </w:rPr>
        <w:t xml:space="preserve"> </w:t>
      </w:r>
    </w:p>
    <w:p w14:paraId="479CB343" w14:textId="77777777" w:rsidR="009757A9" w:rsidRDefault="00837BFF">
      <w:pPr>
        <w:spacing w:line="196" w:lineRule="exact"/>
        <w:ind w:left="1080" w:right="1008"/>
        <w:jc w:val="both"/>
        <w:textAlignment w:val="baseline"/>
        <w:rPr>
          <w:rFonts w:ascii="Tahoma" w:eastAsia="Tahoma" w:hAnsi="Tahoma"/>
          <w:color w:val="404042"/>
          <w:sz w:val="14"/>
        </w:rPr>
      </w:pPr>
      <w:hyperlink r:id="rId67">
        <w:r w:rsidR="00083242">
          <w:rPr>
            <w:rFonts w:ascii="Tahoma" w:eastAsia="Tahoma" w:hAnsi="Tahoma"/>
            <w:color w:val="0000FF"/>
            <w:sz w:val="14"/>
            <w:u w:val="single"/>
          </w:rPr>
          <w:t>www.oecd.org/education/school/UPDATED%20Social%20and%20Emotional%20Skills%20-%20Well-being,%20connectedness%20and%20success. pdf%20(website).pdf</w:t>
        </w:r>
      </w:hyperlink>
      <w:r w:rsidR="00083242">
        <w:rPr>
          <w:rFonts w:ascii="Tahoma" w:eastAsia="Tahoma" w:hAnsi="Tahoma"/>
          <w:color w:val="404042"/>
          <w:sz w:val="14"/>
        </w:rPr>
        <w:t>.</w:t>
      </w:r>
    </w:p>
    <w:p w14:paraId="6195E854" w14:textId="77777777" w:rsidR="009757A9" w:rsidRDefault="00083242">
      <w:pPr>
        <w:spacing w:line="204" w:lineRule="exact"/>
        <w:ind w:left="1080" w:right="1224" w:hanging="216"/>
        <w:jc w:val="both"/>
        <w:textAlignment w:val="baseline"/>
        <w:rPr>
          <w:rFonts w:ascii="Tahoma" w:eastAsia="Tahoma" w:hAnsi="Tahoma"/>
          <w:color w:val="404042"/>
          <w:sz w:val="14"/>
        </w:rPr>
      </w:pPr>
      <w:r>
        <w:rPr>
          <w:rFonts w:ascii="Tahoma" w:eastAsia="Tahoma" w:hAnsi="Tahoma"/>
          <w:color w:val="404042"/>
          <w:sz w:val="14"/>
        </w:rPr>
        <w:t xml:space="preserve">20 Council of Australian Governments Education Council (2019), </w:t>
      </w:r>
      <w:r>
        <w:rPr>
          <w:rFonts w:ascii="Arial" w:eastAsia="Arial" w:hAnsi="Arial"/>
          <w:i/>
          <w:color w:val="404042"/>
          <w:sz w:val="14"/>
        </w:rPr>
        <w:t>Alice Springs (Mparntwe) Education Declaration</w:t>
      </w:r>
      <w:r>
        <w:rPr>
          <w:rFonts w:ascii="Verdana" w:eastAsia="Verdana" w:hAnsi="Verdana"/>
          <w:color w:val="404042"/>
          <w:sz w:val="14"/>
        </w:rPr>
        <w:t xml:space="preserve">, December 2019, p. 15, </w:t>
      </w:r>
      <w:hyperlink r:id="rId68">
        <w:r>
          <w:rPr>
            <w:rFonts w:ascii="Tahoma" w:eastAsia="Tahoma" w:hAnsi="Tahoma"/>
            <w:color w:val="0000FF"/>
            <w:sz w:val="14"/>
            <w:u w:val="single"/>
          </w:rPr>
          <w:t xml:space="preserve">https://docs. </w:t>
        </w:r>
      </w:hyperlink>
      <w:r>
        <w:rPr>
          <w:rFonts w:ascii="Verdana" w:eastAsia="Verdana" w:hAnsi="Verdana"/>
          <w:color w:val="0000FF"/>
          <w:sz w:val="14"/>
          <w:u w:val="single"/>
        </w:rPr>
        <w:t>education.gov.au/system/files/doc/other/final_-_alice_springs_declaration_-_17_february_2020_security_removed.pdf</w:t>
      </w:r>
      <w:r>
        <w:rPr>
          <w:rFonts w:ascii="Tahoma" w:eastAsia="Tahoma" w:hAnsi="Tahoma"/>
          <w:color w:val="404042"/>
          <w:sz w:val="14"/>
        </w:rPr>
        <w:t>.</w:t>
      </w:r>
    </w:p>
    <w:p w14:paraId="4EFEDA4C" w14:textId="77777777" w:rsidR="009757A9" w:rsidRDefault="00083242">
      <w:pPr>
        <w:spacing w:before="4" w:line="201" w:lineRule="exact"/>
        <w:ind w:left="1080" w:right="1008" w:hanging="216"/>
        <w:jc w:val="both"/>
        <w:textAlignment w:val="baseline"/>
        <w:rPr>
          <w:rFonts w:ascii="Tahoma" w:eastAsia="Tahoma" w:hAnsi="Tahoma"/>
          <w:color w:val="404042"/>
          <w:sz w:val="14"/>
        </w:rPr>
      </w:pPr>
      <w:r>
        <w:rPr>
          <w:rFonts w:ascii="Tahoma" w:eastAsia="Tahoma" w:hAnsi="Tahoma"/>
          <w:color w:val="404042"/>
          <w:sz w:val="14"/>
        </w:rPr>
        <w:t xml:space="preserve">21 Ithaca Group (2016), </w:t>
      </w:r>
      <w:r>
        <w:rPr>
          <w:rFonts w:ascii="Arial" w:eastAsia="Arial" w:hAnsi="Arial"/>
          <w:i/>
          <w:color w:val="404042"/>
          <w:sz w:val="14"/>
        </w:rPr>
        <w:t>Everybody’s Core Business: Research into the non-technical capabilities needed for successful participation in work or further study: Final report</w:t>
      </w:r>
      <w:r>
        <w:rPr>
          <w:rFonts w:ascii="Verdana" w:eastAsia="Verdana" w:hAnsi="Verdana"/>
          <w:color w:val="404042"/>
          <w:sz w:val="14"/>
        </w:rPr>
        <w:t xml:space="preserve">, August 2016, p. 6, </w:t>
      </w:r>
      <w:hyperlink r:id="rId69">
        <w:r>
          <w:rPr>
            <w:rFonts w:ascii="Verdana" w:eastAsia="Verdana" w:hAnsi="Verdana"/>
            <w:color w:val="0000FF"/>
            <w:sz w:val="14"/>
            <w:u w:val="single"/>
          </w:rPr>
          <w:t>https://docs.education.gov.au/system/files/doc/other/everybodys_core_business_-_research_report.pd</w:t>
        </w:r>
      </w:hyperlink>
      <w:r>
        <w:rPr>
          <w:rFonts w:ascii="Tahoma" w:eastAsia="Tahoma" w:hAnsi="Tahoma"/>
          <w:color w:val="0000FF"/>
          <w:sz w:val="18"/>
          <w:u w:val="single"/>
        </w:rPr>
        <w:t>f</w:t>
      </w:r>
      <w:r>
        <w:rPr>
          <w:rFonts w:ascii="Tahoma" w:eastAsia="Tahoma" w:hAnsi="Tahoma"/>
          <w:color w:val="404042"/>
          <w:sz w:val="14"/>
        </w:rPr>
        <w:t>.</w:t>
      </w:r>
    </w:p>
    <w:p w14:paraId="22097226" w14:textId="77777777" w:rsidR="009757A9" w:rsidRDefault="006B3019">
      <w:pPr>
        <w:tabs>
          <w:tab w:val="left" w:pos="10872"/>
        </w:tabs>
        <w:spacing w:before="727" w:after="640" w:line="200" w:lineRule="exact"/>
        <w:ind w:left="8856"/>
        <w:textAlignment w:val="baseline"/>
        <w:rPr>
          <w:rFonts w:ascii="Tahoma" w:eastAsia="Tahoma" w:hAnsi="Tahoma"/>
          <w:color w:val="404042"/>
          <w:sz w:val="14"/>
        </w:rPr>
      </w:pPr>
      <w:r>
        <w:rPr>
          <w:noProof/>
          <w:lang w:val="en-AU" w:eastAsia="en-AU"/>
        </w:rPr>
        <w:drawing>
          <wp:anchor distT="0" distB="0" distL="114300" distR="114300" simplePos="0" relativeHeight="252029440" behindDoc="1" locked="0" layoutInCell="1" allowOverlap="1" wp14:anchorId="049F6AFD" wp14:editId="00857945">
            <wp:simplePos x="0" y="0"/>
            <wp:positionH relativeFrom="margin">
              <wp:align>right</wp:align>
            </wp:positionH>
            <wp:positionV relativeFrom="paragraph">
              <wp:posOffset>887095</wp:posOffset>
            </wp:positionV>
            <wp:extent cx="7562215" cy="462915"/>
            <wp:effectExtent l="0" t="0" r="635" b="0"/>
            <wp:wrapNone/>
            <wp:docPr id="1006" name="Picture"/>
            <wp:cNvGraphicFramePr/>
            <a:graphic xmlns:a="http://schemas.openxmlformats.org/drawingml/2006/main">
              <a:graphicData uri="http://schemas.openxmlformats.org/drawingml/2006/picture">
                <pic:pic xmlns:pic="http://schemas.openxmlformats.org/drawingml/2006/picture">
                  <pic:nvPicPr>
                    <pic:cNvPr id="51" name="Picture"/>
                    <pic:cNvPicPr preferRelativeResize="0"/>
                  </pic:nvPicPr>
                  <pic:blipFill>
                    <a:blip r:embed="rId7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1: Essential skills</w:t>
      </w:r>
      <w:r w:rsidR="00083242">
        <w:rPr>
          <w:rFonts w:ascii="Arial" w:eastAsia="Arial" w:hAnsi="Arial"/>
          <w:b/>
          <w:color w:val="5556A1"/>
          <w:sz w:val="18"/>
        </w:rPr>
        <w:tab/>
        <w:t>31</w:t>
      </w:r>
    </w:p>
    <w:p w14:paraId="5F6CDBCB" w14:textId="77777777" w:rsidR="009757A9" w:rsidRDefault="009757A9">
      <w:pPr>
        <w:textAlignment w:val="baseline"/>
      </w:pPr>
    </w:p>
    <w:p w14:paraId="6E38D93A" w14:textId="77777777" w:rsidR="009757A9" w:rsidRDefault="009757A9">
      <w:pPr>
        <w:sectPr w:rsidR="009757A9">
          <w:pgSz w:w="11909" w:h="16838"/>
          <w:pgMar w:top="1060" w:right="0" w:bottom="0" w:left="0" w:header="720" w:footer="720" w:gutter="0"/>
          <w:cols w:space="720"/>
        </w:sectPr>
      </w:pPr>
    </w:p>
    <w:p w14:paraId="15F28826" w14:textId="77777777" w:rsidR="009757A9" w:rsidRDefault="00083242">
      <w:pPr>
        <w:spacing w:after="549" w:line="239"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lastRenderedPageBreak/>
        <w:t>While literacy and numeracy have always been important, the value of digital literacy is also becoming increasingly recognised. Sometimes a crisis reveals starkly what is already becoming evident. The changes implemented at speed by education providers and businesses in response to the COVID-19 pandemic have amplified the need for digital literacy. Yet, even before coronavirus took hold around the world, there was a growing acknowledgement that digital literacy was an essential skill for students to develop in their senior secondary years. It was a matter highlighted in around one-third of the 200 submissions we received.</w:t>
      </w:r>
    </w:p>
    <w:p w14:paraId="145DD9DF" w14:textId="77777777" w:rsidR="009757A9" w:rsidRPr="00E539CA" w:rsidRDefault="000D2E34">
      <w:pPr>
        <w:spacing w:before="102" w:line="300" w:lineRule="exact"/>
        <w:ind w:left="1296" w:right="1512"/>
        <w:textAlignment w:val="baseline"/>
        <w:rPr>
          <w:rFonts w:ascii="Tahoma" w:eastAsia="Tahoma" w:hAnsi="Tahoma" w:cs="Tahoma"/>
          <w:i/>
          <w:color w:val="007994"/>
          <w:sz w:val="21"/>
          <w:szCs w:val="21"/>
        </w:rPr>
      </w:pPr>
      <w:r w:rsidRPr="00E539CA">
        <w:rPr>
          <w:rFonts w:ascii="Tahoma" w:hAnsi="Tahoma" w:cs="Tahoma"/>
          <w:noProof/>
          <w:sz w:val="21"/>
          <w:szCs w:val="21"/>
          <w:lang w:val="en-AU" w:eastAsia="en-AU"/>
        </w:rPr>
        <mc:AlternateContent>
          <mc:Choice Requires="wps">
            <w:drawing>
              <wp:anchor distT="0" distB="0" distL="114300" distR="114300" simplePos="0" relativeHeight="251814400" behindDoc="0" locked="0" layoutInCell="1" allowOverlap="1" wp14:anchorId="274BBBBA" wp14:editId="1F6DA112">
                <wp:simplePos x="0" y="0"/>
                <wp:positionH relativeFrom="page">
                  <wp:posOffset>826135</wp:posOffset>
                </wp:positionH>
                <wp:positionV relativeFrom="page">
                  <wp:posOffset>1953895</wp:posOffset>
                </wp:positionV>
                <wp:extent cx="5907405" cy="0"/>
                <wp:effectExtent l="0" t="0" r="0" b="0"/>
                <wp:wrapNone/>
                <wp:docPr id="962" name="Lin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E130C" id="Line 683"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53.85pt" to="530.2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kkw0QEAAIYDAAAOAAAAZHJzL2Uyb0RvYy54bWysU8Fu2zAMvQ/YPwi6L3bSJm2MOD0k6y7Z&#10;FqDdBzCSbAuTREFSYufvJ8lJ2m23YReBEsnHx0dq9TRoRU7CeYmmptNJSYkwDLk0bU1/vD5/eqTE&#10;BzAcFBpR07Pw9Gn98cOqt5WYYYeKC0ciiPFVb2vahWCrovCsExr8BK0w0dmg0xDi1bUFd9BHdK2K&#10;WVkuih4dtw6Z8D6+bkcnXWf8phEsfG8aLwJRNY3cQj5dPg/pLNYrqFoHtpPsQgP+gYUGaWLRG9QW&#10;ApCjk39BackcemzChKEusGkkE7mH2M20/KOblw6syL1Ecby9yeT/Hyz7dto7InlNl4sZJQZ0HNJO&#10;GkEWj3dJnd76KgZtzN6l/thgXuwO2U9PDG46MK3ILF/PNiZOU0bxW0q6eBtrHPqvyGMMHANmqYbG&#10;6QQZRSBDnsj5NhExBMLi43xZPtyXc0rY1VdAdU20zocvAjVJRk1VZJ2B4bTzIRGB6hqS6hh8lkrl&#10;gStD+pou7uZlTvCoJE/OFOZde9goR06QVqZ8WC7vc1fR8z4sIW/Bd2Ncdo3L5PBoeK7SCeCfL3YA&#10;qUY7slLmolISZpT4gPy8d1f14rAz/ctipm16f8/Zb99n/QsAAP//AwBQSwMEFAAGAAgAAAAhAJz+&#10;4QHcAAAADAEAAA8AAABkcnMvZG93bnJldi54bWxMj8FOwzAMhu9IvENkJG4sGYMNlaYTGtppF9iQ&#10;uHqNaQuNUzVZ1709noQ0jr/96ffnfDn6Vg3UxyawhenEgCIug2u4svCxW989gYoJ2WEbmCycKMKy&#10;uL7KMXPhyO80bFOlpIRjhhbqlLpM61jW5DFOQkcsu6/Qe0wS+0q7Ho9S7lt9b8xce2xYLtTY0aqm&#10;8md78BbWaHZvbrMJ3/Hz8bTCpN0rDdbe3owvz6ASjekCw1lf1KEQp304sIuqlTwzU0EtzMxiAepM&#10;mLl5ALX/G+ki1/+fKH4BAAD//wMAUEsBAi0AFAAGAAgAAAAhALaDOJL+AAAA4QEAABMAAAAAAAAA&#10;AAAAAAAAAAAAAFtDb250ZW50X1R5cGVzXS54bWxQSwECLQAUAAYACAAAACEAOP0h/9YAAACUAQAA&#10;CwAAAAAAAAAAAAAAAAAvAQAAX3JlbHMvLnJlbHNQSwECLQAUAAYACAAAACEA7uZJMNEBAACGAwAA&#10;DgAAAAAAAAAAAAAAAAAuAgAAZHJzL2Uyb0RvYy54bWxQSwECLQAUAAYACAAAACEAnP7hAdwAAAAM&#10;AQAADwAAAAAAAAAAAAAAAAArBAAAZHJzL2Rvd25yZXYueG1sUEsFBgAAAAAEAAQA8wAAADQFAAAA&#10;AA==&#10;" strokecolor="#007994" strokeweight=".5pt">
                <w10:wrap anchorx="page" anchory="page"/>
              </v:line>
            </w:pict>
          </mc:Fallback>
        </mc:AlternateContent>
      </w:r>
      <w:r w:rsidR="00083242" w:rsidRPr="00E539CA">
        <w:rPr>
          <w:rFonts w:ascii="Tahoma" w:eastAsia="Tahoma" w:hAnsi="Tahoma" w:cs="Tahoma"/>
          <w:i/>
          <w:color w:val="007994"/>
          <w:sz w:val="21"/>
          <w:szCs w:val="21"/>
        </w:rPr>
        <w:t xml:space="preserve">“Beyond language, literacy and numeracy skills, senior secondary schools should provide students with strong digital literacy skills. Advances in technology are going to require students to understand the concepts of coding, if not a particular coding language, logic, as well as quality </w:t>
      </w:r>
      <w:r w:rsidR="00083242" w:rsidRPr="00E539CA">
        <w:rPr>
          <w:rFonts w:ascii="Tahoma" w:eastAsia="Verdana" w:hAnsi="Tahoma" w:cs="Tahoma"/>
          <w:i/>
          <w:color w:val="007994"/>
          <w:sz w:val="21"/>
          <w:szCs w:val="21"/>
        </w:rPr>
        <w:t>assurance and fault finding.”</w:t>
      </w:r>
    </w:p>
    <w:p w14:paraId="6F7BFF19" w14:textId="77777777" w:rsidR="009757A9" w:rsidRPr="00E539CA" w:rsidRDefault="00083242">
      <w:pPr>
        <w:spacing w:before="53" w:after="221" w:line="249" w:lineRule="exact"/>
        <w:ind w:left="6840"/>
        <w:textAlignment w:val="baseline"/>
        <w:rPr>
          <w:rFonts w:ascii="Tahoma" w:eastAsia="Tahoma" w:hAnsi="Tahoma" w:cs="Tahoma"/>
          <w:i/>
          <w:color w:val="007994"/>
          <w:spacing w:val="-2"/>
          <w:sz w:val="21"/>
          <w:szCs w:val="21"/>
        </w:rPr>
      </w:pPr>
      <w:r w:rsidRPr="00E539CA">
        <w:rPr>
          <w:rFonts w:ascii="Tahoma" w:eastAsia="Tahoma" w:hAnsi="Tahoma" w:cs="Tahoma"/>
          <w:i/>
          <w:color w:val="007994"/>
          <w:spacing w:val="-2"/>
          <w:sz w:val="21"/>
          <w:szCs w:val="21"/>
        </w:rPr>
        <w:t>Naval Shipbuilding College submission</w:t>
      </w:r>
    </w:p>
    <w:p w14:paraId="02F6600A" w14:textId="77777777" w:rsidR="009757A9" w:rsidRDefault="000D2E34">
      <w:pPr>
        <w:spacing w:before="412" w:line="240" w:lineRule="exact"/>
        <w:ind w:left="864" w:right="1584"/>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15424" behindDoc="0" locked="0" layoutInCell="1" allowOverlap="1" wp14:anchorId="4BC8E27D" wp14:editId="74A5C307">
                <wp:simplePos x="0" y="0"/>
                <wp:positionH relativeFrom="page">
                  <wp:posOffset>826135</wp:posOffset>
                </wp:positionH>
                <wp:positionV relativeFrom="page">
                  <wp:posOffset>3117850</wp:posOffset>
                </wp:positionV>
                <wp:extent cx="5907405" cy="0"/>
                <wp:effectExtent l="0" t="0" r="0" b="0"/>
                <wp:wrapNone/>
                <wp:docPr id="961" name="Lin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459E4" id="Line 682" o:spid="_x0000_s1026" style="position:absolute;z-index:2518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45.5pt" to="530.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Ht0QEAAIYDAAAOAAAAZHJzL2Uyb0RvYy54bWysU8Fu2zAMvQ/YPwi6L3ayJm2MOD0k6y7Z&#10;FqDtBzCSbAuTREFSYufvJ8lJ1m23YheBEsnHx0dq9ThoRU7CeYmmptNJSYkwDLk0bU1fX54+PVDi&#10;AxgOCo2o6Vl4+rj++GHV20rMsEPFhSMRxPiqtzXtQrBVUXjWCQ1+glaY6GzQaQjx6tqCO+gjulbF&#10;rCwXRY+OW4dMeB9ft6OTrjN+0wgWfjSNF4GomkZuIZ8un4d0FusVVK0D20l2oQHvYKFBmlj0BrWF&#10;AOTo5D9QWjKHHpswYagLbBrJRO4hdjMt/+rmuQMrci9RHG9vMvn/B8u+n/aOSF7T5WJKiQEdh7ST&#10;RpDFwyyp01tfxaCN2bvUHxvMs90h++mJwU0HphWZ5cvZxsRpyij+SEkXb2ONQ/8NeYyBY8As1dA4&#10;nSCjCGTIEznfJiKGQFh8nC/L+7tyTgm7+gqoronW+fBVoCbJqKmKrDMwnHY+JCJQXUNSHYNPUqk8&#10;cGVIX9PF53mZEzwqyZMzhXnXHjbKkROklSnvl8u73FX0vA1LyFvw3RiXXeMyOTwanqt0AviXix1A&#10;qtGOrJS5qJSEGSU+ID/v3VW9OOxM/7KYaZve3nP27++z/gUAAP//AwBQSwMEFAAGAAgAAAAhAC10&#10;0FrcAAAADAEAAA8AAABkcnMvZG93bnJldi54bWxMj8FOwzAQRO9I/IO1SNyoHSgVhDgVKuqpF2iR&#10;uG7jJQnE6yh20/Tv2UpIcJzZp9mZYjn5To00xDawhWxmQBFXwbVcW3jfrW8eQMWE7LALTBZOFGFZ&#10;Xl4UmLtw5Dcat6lWEsIxRwtNSn2udawa8hhnoSeW22cYPCaRQ63dgEcJ952+NWahPbYsHxrsadVQ&#10;9b09eAtrNLtXt9mEr/hxf1ph0u6FRmuvr6bnJ1CJpvQHw7m+VIdSOu3DgV1Uneg7kwlqYf6Yyagz&#10;YRZmDmr/a+my0P9HlD8AAAD//wMAUEsBAi0AFAAGAAgAAAAhALaDOJL+AAAA4QEAABMAAAAAAAAA&#10;AAAAAAAAAAAAAFtDb250ZW50X1R5cGVzXS54bWxQSwECLQAUAAYACAAAACEAOP0h/9YAAACUAQAA&#10;CwAAAAAAAAAAAAAAAAAvAQAAX3JlbHMvLnJlbHNQSwECLQAUAAYACAAAACEASJkx7dEBAACGAwAA&#10;DgAAAAAAAAAAAAAAAAAuAgAAZHJzL2Uyb0RvYy54bWxQSwECLQAUAAYACAAAACEALXTQWt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z w:val="18"/>
        </w:rPr>
        <w:t>According to the Business Council of Australia, the five digital capabilities that people will require in the modern workforce include:</w:t>
      </w:r>
    </w:p>
    <w:p w14:paraId="40CF2025" w14:textId="77777777" w:rsidR="009757A9" w:rsidRDefault="00083242">
      <w:pPr>
        <w:numPr>
          <w:ilvl w:val="0"/>
          <w:numId w:val="6"/>
        </w:numPr>
        <w:tabs>
          <w:tab w:val="clear" w:pos="216"/>
          <w:tab w:val="left" w:pos="1080"/>
        </w:tabs>
        <w:spacing w:before="108"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Digital operation: using hardware, digital devices, software (including apps) and platforms to carry out digital tasks</w:t>
      </w:r>
    </w:p>
    <w:p w14:paraId="65111457" w14:textId="77777777" w:rsidR="009757A9" w:rsidRDefault="00083242">
      <w:pPr>
        <w:numPr>
          <w:ilvl w:val="0"/>
          <w:numId w:val="6"/>
        </w:numPr>
        <w:tabs>
          <w:tab w:val="clear" w:pos="216"/>
          <w:tab w:val="left" w:pos="1080"/>
        </w:tabs>
        <w:spacing w:before="86" w:line="240" w:lineRule="exact"/>
        <w:ind w:left="1080" w:right="1512" w:hanging="216"/>
        <w:textAlignment w:val="baseline"/>
        <w:rPr>
          <w:rFonts w:ascii="Tahoma" w:eastAsia="Tahoma" w:hAnsi="Tahoma"/>
          <w:color w:val="404042"/>
          <w:sz w:val="18"/>
        </w:rPr>
      </w:pPr>
      <w:r>
        <w:rPr>
          <w:rFonts w:ascii="Tahoma" w:eastAsia="Tahoma" w:hAnsi="Tahoma"/>
          <w:color w:val="404042"/>
          <w:sz w:val="18"/>
        </w:rPr>
        <w:t>Digital identity and development: awareness of cybersecurity issues and developing and maintaining a digital identity and a commitment to learning and development</w:t>
      </w:r>
    </w:p>
    <w:p w14:paraId="5B4649D6" w14:textId="77777777"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Digital information and analysis: using technology to access, manage and evaluate digital information, including data</w:t>
      </w:r>
    </w:p>
    <w:p w14:paraId="328B76BA" w14:textId="77777777" w:rsidR="009757A9" w:rsidRDefault="00083242">
      <w:pPr>
        <w:numPr>
          <w:ilvl w:val="0"/>
          <w:numId w:val="6"/>
        </w:numPr>
        <w:tabs>
          <w:tab w:val="clear" w:pos="216"/>
          <w:tab w:val="left" w:pos="1080"/>
        </w:tabs>
        <w:spacing w:before="100"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Digital communication: communicating effectively through a variety of digital technology channels</w:t>
      </w:r>
    </w:p>
    <w:p w14:paraId="2B568B33" w14:textId="77777777" w:rsidR="009757A9" w:rsidRDefault="00083242">
      <w:pPr>
        <w:numPr>
          <w:ilvl w:val="0"/>
          <w:numId w:val="6"/>
        </w:numPr>
        <w:tabs>
          <w:tab w:val="clear" w:pos="216"/>
          <w:tab w:val="left" w:pos="1080"/>
        </w:tabs>
        <w:spacing w:before="93" w:line="237" w:lineRule="exact"/>
        <w:ind w:left="1080" w:right="1512" w:hanging="216"/>
        <w:textAlignment w:val="baseline"/>
        <w:rPr>
          <w:rFonts w:ascii="Tahoma" w:eastAsia="Tahoma" w:hAnsi="Tahoma"/>
          <w:color w:val="404042"/>
          <w:sz w:val="18"/>
        </w:rPr>
      </w:pPr>
      <w:r>
        <w:rPr>
          <w:rFonts w:ascii="Tahoma" w:eastAsia="Tahoma" w:hAnsi="Tahoma"/>
          <w:color w:val="404042"/>
          <w:sz w:val="18"/>
        </w:rPr>
        <w:t>Digital innovation and creation: using technology to identify new ideas, solutions and opportunities (including process improvements) and creating new digital products.</w:t>
      </w:r>
      <w:r>
        <w:rPr>
          <w:rFonts w:ascii="Tahoma" w:eastAsia="Tahoma" w:hAnsi="Tahoma"/>
          <w:color w:val="404042"/>
          <w:sz w:val="18"/>
          <w:vertAlign w:val="superscript"/>
        </w:rPr>
        <w:t>22</w:t>
      </w:r>
      <w:r>
        <w:rPr>
          <w:rFonts w:ascii="Tahoma" w:eastAsia="Tahoma" w:hAnsi="Tahoma"/>
          <w:color w:val="404042"/>
          <w:sz w:val="10"/>
        </w:rPr>
        <w:t xml:space="preserve"> </w:t>
      </w:r>
    </w:p>
    <w:p w14:paraId="3226DDE6" w14:textId="77777777" w:rsidR="009757A9" w:rsidRDefault="00083242">
      <w:pPr>
        <w:spacing w:before="171" w:line="239" w:lineRule="exact"/>
        <w:ind w:left="864" w:right="864"/>
        <w:textAlignment w:val="baseline"/>
        <w:rPr>
          <w:rFonts w:ascii="Tahoma" w:eastAsia="Tahoma" w:hAnsi="Tahoma"/>
          <w:color w:val="404042"/>
          <w:sz w:val="18"/>
        </w:rPr>
      </w:pPr>
      <w:r>
        <w:rPr>
          <w:rFonts w:ascii="Tahoma" w:eastAsia="Tahoma" w:hAnsi="Tahoma"/>
          <w:color w:val="404042"/>
          <w:sz w:val="18"/>
        </w:rPr>
        <w:t>Schools and systems will need to meet this demand, and consider how the attainment of these skills can be prioritised and measured. The increased dependence of schools on remote learning during the COVID-19 crisis has highlighted the disadvantage experienced by students less able to show their digital competence.</w:t>
      </w:r>
      <w:r>
        <w:rPr>
          <w:rFonts w:ascii="Tahoma" w:eastAsia="Tahoma" w:hAnsi="Tahoma"/>
          <w:color w:val="404042"/>
          <w:sz w:val="18"/>
          <w:vertAlign w:val="superscript"/>
        </w:rPr>
        <w:t>23</w:t>
      </w:r>
      <w:r>
        <w:rPr>
          <w:rFonts w:ascii="Tahoma" w:eastAsia="Tahoma" w:hAnsi="Tahoma"/>
          <w:color w:val="404042"/>
          <w:sz w:val="10"/>
        </w:rPr>
        <w:t xml:space="preserve"> </w:t>
      </w:r>
    </w:p>
    <w:p w14:paraId="181B8724" w14:textId="77777777" w:rsidR="009757A9" w:rsidRDefault="00083242">
      <w:pPr>
        <w:spacing w:before="172" w:after="3941" w:line="240" w:lineRule="exact"/>
        <w:ind w:left="864" w:right="864"/>
        <w:textAlignment w:val="baseline"/>
        <w:rPr>
          <w:rFonts w:ascii="Tahoma" w:eastAsia="Tahoma" w:hAnsi="Tahoma"/>
          <w:color w:val="404042"/>
          <w:sz w:val="18"/>
        </w:rPr>
      </w:pPr>
      <w:r>
        <w:rPr>
          <w:rFonts w:ascii="Tahoma" w:eastAsia="Tahoma" w:hAnsi="Tahoma"/>
          <w:color w:val="404042"/>
          <w:sz w:val="18"/>
        </w:rPr>
        <w:t>It is hoped that digital capabilities will not just be taught to students to prepare them for their future workplace, but will increasingly be incorporated into the means by which they access information, undertake assignments, and assess their capabilities while at school. COVID-19 has provided schools and systems with the capability to make digital literacy a natural part of students’ learning.</w:t>
      </w:r>
    </w:p>
    <w:p w14:paraId="731C2799" w14:textId="77777777" w:rsidR="009757A9" w:rsidRDefault="009757A9">
      <w:pPr>
        <w:spacing w:before="172" w:after="3941" w:line="240" w:lineRule="exact"/>
        <w:sectPr w:rsidR="009757A9">
          <w:pgSz w:w="11909" w:h="16838"/>
          <w:pgMar w:top="1080" w:right="0" w:bottom="0" w:left="0" w:header="720" w:footer="720" w:gutter="0"/>
          <w:cols w:space="720"/>
        </w:sectPr>
      </w:pPr>
    </w:p>
    <w:p w14:paraId="1A280947" w14:textId="77777777" w:rsidR="009757A9" w:rsidRDefault="000D2E34">
      <w:pPr>
        <w:spacing w:before="80" w:line="176" w:lineRule="exact"/>
        <w:ind w:left="864"/>
        <w:textAlignment w:val="baseline"/>
        <w:rPr>
          <w:rFonts w:ascii="Tahoma" w:eastAsia="Tahoma" w:hAnsi="Tahoma"/>
          <w:color w:val="404042"/>
          <w:spacing w:val="2"/>
          <w:sz w:val="14"/>
        </w:rPr>
      </w:pPr>
      <w:r>
        <w:rPr>
          <w:noProof/>
          <w:lang w:val="en-AU" w:eastAsia="en-AU"/>
        </w:rPr>
        <mc:AlternateContent>
          <mc:Choice Requires="wps">
            <w:drawing>
              <wp:anchor distT="0" distB="0" distL="114300" distR="114300" simplePos="0" relativeHeight="251816448" behindDoc="0" locked="0" layoutInCell="1" allowOverlap="1" wp14:anchorId="1637D9C8" wp14:editId="77AA9968">
                <wp:simplePos x="0" y="0"/>
                <wp:positionH relativeFrom="page">
                  <wp:posOffset>539750</wp:posOffset>
                </wp:positionH>
                <wp:positionV relativeFrom="page">
                  <wp:posOffset>8817610</wp:posOffset>
                </wp:positionV>
                <wp:extent cx="917575" cy="0"/>
                <wp:effectExtent l="0" t="0" r="0" b="0"/>
                <wp:wrapNone/>
                <wp:docPr id="960"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F07B5" id="Line 681" o:spid="_x0000_s1026" style="position:absolute;z-index:25181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94.3pt" to="114.75pt,6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R+zQEAAIYDAAAOAAAAZHJzL2Uyb0RvYy54bWysU8Fu2zAMvQ/YPwi6L3YCJG2NOD0k6y7Z&#10;FqDdBzCSbAuTRUFS4uTvR8lJum63oj4Iovj4SD7Sy8dTb9hR+aDR1nw6KTlTVqDUtq35r5enL/ec&#10;hQhWgkGran5WgT+uPn9aDq5SM+zQSOUZkdhQDa7mXYyuKoogOtVDmKBTlpwN+h4imb4tpIeB2HtT&#10;zMpyUQzopfMoVAj0uhmdfJX5m0aJ+LNpgorM1Jxqi/n0+dyns1gtoWo9uE6LSxnwjip60JaS3qg2&#10;EIEdvP6PqtfCY8AmTgT2BTaNFir3QN1My3+6ee7AqdwLiRPcTabwcbTix3HnmZY1f1iQPhZ6GtJW&#10;W8UW99OkzuBCRaC13fnUnzjZZ7dF8Tswi+sObKtylS9nR4E5ongTkozgKMd++I6SMHCImKU6Nb5P&#10;lCQCO+WJnG8TUafIBD0+TO/md3POxNVVQHWNcz7Ebwp7li41N1R05oXjNkSqnKBXSEpj8Ukbk+dt&#10;LBuo2Fm5mOeIgEbL5E244Nv92nh2hLQy+Us6ENsbWKLeQOhGXHaNy+TxYGVO0ymQXy/3CNqMdyIy&#10;lviuwowS71Gedz7lSe807Jzxsphpm/62M+r191n9AQAA//8DAFBLAwQUAAYACAAAACEAwyCI3N8A&#10;AAAMAQAADwAAAGRycy9kb3ducmV2LnhtbEyPwU7DMBBE70j8g7WVuCDqENrKhDgVqgQ3qlJA9OjG&#10;2yQiXkex24S/73JAcNzZ0cybfDm6VpywD40nDbfTBARS6W1DlYb3t6cbBSJEQ9a0nlDDNwZYFpcX&#10;ucmsH+gVT9tYCQ6hkBkNdYxdJmUoa3QmTH2HxL+D752JfPaVtL0ZONy1Mk2ShXSmIW6oTYerGsuv&#10;7dFpkDJRs/Hjc3iZXQfV7FbV7nm90fpqMj4+gIg4xj8z/OAzOhTMtPdHskG0GtScp0TW75RagGBH&#10;mt7PQex/JVnk8v+I4gwAAP//AwBQSwECLQAUAAYACAAAACEAtoM4kv4AAADhAQAAEwAAAAAAAAAA&#10;AAAAAAAAAAAAW0NvbnRlbnRfVHlwZXNdLnhtbFBLAQItABQABgAIAAAAIQA4/SH/1gAAAJQBAAAL&#10;AAAAAAAAAAAAAAAAAC8BAABfcmVscy8ucmVsc1BLAQItABQABgAIAAAAIQCDpXR+zQEAAIYDAAAO&#10;AAAAAAAAAAAAAAAAAC4CAABkcnMvZTJvRG9jLnhtbFBLAQItABQABgAIAAAAIQDDIIjc3wAAAAwB&#10;AAAPAAAAAAAAAAAAAAAAACcEAABkcnMvZG93bnJldi54bWxQSwUGAAAAAAQABADzAAAAMwUAAAAA&#10;" strokeweight=".95pt">
                <w10:wrap anchorx="page" anchory="page"/>
              </v:line>
            </w:pict>
          </mc:Fallback>
        </mc:AlternateContent>
      </w:r>
      <w:r w:rsidR="00083242">
        <w:rPr>
          <w:rFonts w:ascii="Tahoma" w:eastAsia="Tahoma" w:hAnsi="Tahoma"/>
          <w:color w:val="404042"/>
          <w:spacing w:val="2"/>
          <w:sz w:val="14"/>
        </w:rPr>
        <w:t xml:space="preserve">22 Business Council of Australia (2020), </w:t>
      </w:r>
      <w:r w:rsidR="00083242">
        <w:rPr>
          <w:rFonts w:ascii="Arial" w:eastAsia="Arial" w:hAnsi="Arial"/>
          <w:i/>
          <w:color w:val="404042"/>
          <w:spacing w:val="2"/>
          <w:sz w:val="14"/>
        </w:rPr>
        <w:t>The Modern Worker: A guide to what employers want</w:t>
      </w:r>
      <w:r w:rsidR="00083242">
        <w:rPr>
          <w:rFonts w:ascii="Tahoma" w:eastAsia="Tahoma" w:hAnsi="Tahoma"/>
          <w:color w:val="404042"/>
          <w:spacing w:val="2"/>
          <w:sz w:val="14"/>
        </w:rPr>
        <w:t>, pp. 9–11.</w:t>
      </w:r>
    </w:p>
    <w:p w14:paraId="0CF8A377" w14:textId="77777777" w:rsidR="009757A9" w:rsidRDefault="00083242">
      <w:pPr>
        <w:spacing w:line="197" w:lineRule="exact"/>
        <w:ind w:left="1080" w:right="1224" w:hanging="216"/>
        <w:textAlignment w:val="baseline"/>
        <w:rPr>
          <w:rFonts w:ascii="Tahoma" w:eastAsia="Tahoma" w:hAnsi="Tahoma"/>
          <w:color w:val="404042"/>
          <w:sz w:val="14"/>
        </w:rPr>
      </w:pPr>
      <w:r>
        <w:rPr>
          <w:rFonts w:ascii="Tahoma" w:eastAsia="Tahoma" w:hAnsi="Tahoma"/>
          <w:color w:val="404042"/>
          <w:sz w:val="14"/>
        </w:rPr>
        <w:t xml:space="preserve">23 Rapid Research Information Forum (2020), ‘Differential learning outcomes for online versus in-class education’, brief, 1 May 2020, </w:t>
      </w:r>
      <w:hyperlink r:id="rId71">
        <w:r>
          <w:rPr>
            <w:rFonts w:ascii="Tahoma" w:eastAsia="Tahoma" w:hAnsi="Tahoma"/>
            <w:color w:val="0000FF"/>
            <w:sz w:val="14"/>
            <w:u w:val="single"/>
          </w:rPr>
          <w:t xml:space="preserve">https://www. </w:t>
        </w:r>
      </w:hyperlink>
      <w:r>
        <w:rPr>
          <w:rFonts w:ascii="Tahoma" w:eastAsia="Tahoma" w:hAnsi="Tahoma"/>
          <w:color w:val="0000FF"/>
          <w:sz w:val="14"/>
          <w:u w:val="single"/>
        </w:rPr>
        <w:t>chiefscientist.gov.au/sites/default/files/2020-05/COVID-19%20online%20learning.pdf</w:t>
      </w:r>
      <w:r>
        <w:rPr>
          <w:rFonts w:ascii="Tahoma" w:eastAsia="Tahoma" w:hAnsi="Tahoma"/>
          <w:color w:val="404042"/>
          <w:sz w:val="14"/>
        </w:rPr>
        <w:t>.</w:t>
      </w:r>
    </w:p>
    <w:p w14:paraId="39A3C853" w14:textId="77777777" w:rsidR="009757A9" w:rsidRDefault="00083242">
      <w:pPr>
        <w:tabs>
          <w:tab w:val="left" w:pos="1368"/>
        </w:tabs>
        <w:spacing w:before="731" w:after="638"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32</w:t>
      </w:r>
      <w:r>
        <w:rPr>
          <w:rFonts w:ascii="Tahoma" w:eastAsia="Tahoma" w:hAnsi="Tahoma"/>
          <w:color w:val="404042"/>
          <w:spacing w:val="4"/>
          <w:sz w:val="14"/>
        </w:rPr>
        <w:tab/>
        <w:t>Looking to the future</w:t>
      </w:r>
    </w:p>
    <w:p w14:paraId="5B48E58D" w14:textId="77777777" w:rsidR="009757A9" w:rsidRDefault="00083242">
      <w:pPr>
        <w:textAlignment w:val="baseline"/>
      </w:pPr>
      <w:r>
        <w:rPr>
          <w:noProof/>
          <w:lang w:val="en-AU" w:eastAsia="en-AU"/>
        </w:rPr>
        <w:drawing>
          <wp:inline distT="0" distB="0" distL="0" distR="0" wp14:anchorId="66CC1D1F" wp14:editId="3F860F4B">
            <wp:extent cx="7562215" cy="462915"/>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52"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169B446B" w14:textId="77777777" w:rsidR="009757A9" w:rsidRDefault="009757A9">
      <w:pPr>
        <w:sectPr w:rsidR="009757A9">
          <w:type w:val="continuous"/>
          <w:pgSz w:w="11909" w:h="16838"/>
          <w:pgMar w:top="1080" w:right="0" w:bottom="0" w:left="0" w:header="720" w:footer="720" w:gutter="0"/>
          <w:cols w:space="720"/>
        </w:sectPr>
      </w:pPr>
    </w:p>
    <w:tbl>
      <w:tblPr>
        <w:tblStyle w:val="TableGrid"/>
        <w:tblW w:w="0" w:type="auto"/>
        <w:tblInd w:w="864" w:type="dxa"/>
        <w:shd w:val="clear" w:color="auto" w:fill="ECF3FA"/>
        <w:tblLook w:val="04A0" w:firstRow="1" w:lastRow="0" w:firstColumn="1" w:lastColumn="0" w:noHBand="0" w:noVBand="1"/>
      </w:tblPr>
      <w:tblGrid>
        <w:gridCol w:w="10148"/>
      </w:tblGrid>
      <w:tr w:rsidR="006B3B28" w14:paraId="298A4EB4" w14:textId="77777777" w:rsidTr="005F6D79">
        <w:tc>
          <w:tcPr>
            <w:tcW w:w="10148" w:type="dxa"/>
            <w:tcBorders>
              <w:top w:val="single" w:sz="4" w:space="0" w:color="auto"/>
              <w:left w:val="single" w:sz="4" w:space="0" w:color="auto"/>
              <w:bottom w:val="single" w:sz="4" w:space="0" w:color="auto"/>
              <w:right w:val="single" w:sz="4" w:space="0" w:color="auto"/>
            </w:tcBorders>
            <w:shd w:val="clear" w:color="auto" w:fill="ECF3FA"/>
          </w:tcPr>
          <w:p w14:paraId="5B267B9A" w14:textId="77777777" w:rsidR="005F6D79" w:rsidRDefault="005F6D79" w:rsidP="006B3B28">
            <w:pPr>
              <w:spacing w:before="10" w:line="277" w:lineRule="exact"/>
              <w:ind w:left="648"/>
              <w:textAlignment w:val="baseline"/>
              <w:rPr>
                <w:rFonts w:ascii="Arial" w:eastAsia="Arial" w:hAnsi="Arial"/>
                <w:b/>
                <w:color w:val="00708E"/>
                <w:spacing w:val="-4"/>
                <w:sz w:val="25"/>
              </w:rPr>
            </w:pPr>
          </w:p>
          <w:p w14:paraId="39FA25DC" w14:textId="17F6339B" w:rsidR="006B3B28" w:rsidRDefault="006B3B28" w:rsidP="006B3B28">
            <w:pPr>
              <w:spacing w:before="10" w:line="277" w:lineRule="exact"/>
              <w:ind w:left="648"/>
              <w:textAlignment w:val="baseline"/>
              <w:rPr>
                <w:rFonts w:ascii="Arial" w:eastAsia="Arial" w:hAnsi="Arial"/>
                <w:b/>
                <w:color w:val="00708E"/>
                <w:spacing w:val="-4"/>
                <w:sz w:val="25"/>
              </w:rPr>
            </w:pPr>
            <w:r>
              <w:rPr>
                <w:rFonts w:ascii="Arial" w:eastAsia="Arial" w:hAnsi="Arial"/>
                <w:b/>
                <w:color w:val="00708E"/>
                <w:spacing w:val="-4"/>
                <w:sz w:val="25"/>
              </w:rPr>
              <w:t>Recommendation 1</w:t>
            </w:r>
          </w:p>
          <w:p w14:paraId="295715A1" w14:textId="77777777" w:rsidR="006B3B28" w:rsidRDefault="006B3B28" w:rsidP="006B3B28">
            <w:pPr>
              <w:spacing w:before="160" w:line="240" w:lineRule="exact"/>
              <w:ind w:left="648" w:right="1080"/>
              <w:textAlignment w:val="baseline"/>
              <w:rPr>
                <w:rFonts w:ascii="Tahoma" w:eastAsia="Tahoma" w:hAnsi="Tahoma"/>
                <w:color w:val="404042"/>
                <w:sz w:val="18"/>
              </w:rPr>
            </w:pPr>
            <w:r>
              <w:rPr>
                <w:rFonts w:ascii="Tahoma" w:eastAsia="Tahoma" w:hAnsi="Tahoma"/>
                <w:color w:val="404042"/>
                <w:sz w:val="18"/>
              </w:rPr>
              <w:t>All students should expect that they will be supported to meet the minimum literacy, numeracy and digital literacy proficiency standards, which are the foundation for success beyond school.</w:t>
            </w:r>
          </w:p>
          <w:p w14:paraId="7B9B5DB6" w14:textId="77777777" w:rsidR="006B3B28" w:rsidRPr="00862024" w:rsidRDefault="006B3B28" w:rsidP="00862024">
            <w:pPr>
              <w:pStyle w:val="ListParagraph"/>
              <w:numPr>
                <w:ilvl w:val="0"/>
                <w:numId w:val="26"/>
              </w:numPr>
              <w:spacing w:before="160" w:after="240" w:line="240" w:lineRule="exact"/>
              <w:ind w:right="1080"/>
              <w:textAlignment w:val="baseline"/>
              <w:rPr>
                <w:rFonts w:ascii="Tahoma" w:eastAsia="Tahoma" w:hAnsi="Tahoma"/>
                <w:color w:val="404042"/>
                <w:sz w:val="18"/>
              </w:rPr>
            </w:pPr>
            <w:r w:rsidRPr="00862024">
              <w:rPr>
                <w:rFonts w:ascii="Tahoma" w:eastAsia="Tahoma" w:hAnsi="Tahoma"/>
                <w:color w:val="404042"/>
                <w:spacing w:val="3"/>
                <w:sz w:val="18"/>
              </w:rPr>
              <w:t>Students should be supported to meet the requirements and have them recognised by the end of Year 10.</w:t>
            </w:r>
          </w:p>
          <w:p w14:paraId="1A58E9CD" w14:textId="77777777" w:rsidR="006B3B28" w:rsidRPr="00862024" w:rsidRDefault="006B3B28" w:rsidP="00862024">
            <w:pPr>
              <w:pStyle w:val="ListParagraph"/>
              <w:numPr>
                <w:ilvl w:val="0"/>
                <w:numId w:val="26"/>
              </w:numPr>
              <w:spacing w:before="160" w:after="240" w:line="240" w:lineRule="exact"/>
              <w:ind w:right="1080"/>
              <w:textAlignment w:val="baseline"/>
              <w:rPr>
                <w:rFonts w:ascii="Tahoma" w:eastAsia="Tahoma" w:hAnsi="Tahoma"/>
                <w:color w:val="404042"/>
                <w:sz w:val="18"/>
              </w:rPr>
            </w:pPr>
            <w:r w:rsidRPr="00862024">
              <w:rPr>
                <w:rFonts w:ascii="Tahoma" w:eastAsia="Tahoma" w:hAnsi="Tahoma"/>
                <w:color w:val="404042"/>
                <w:sz w:val="18"/>
              </w:rPr>
              <w:t>Students still requiring additional assistance to meet those standards should be provided with targeted interventions in Years 11 and 12.</w:t>
            </w:r>
          </w:p>
          <w:p w14:paraId="53ACDC3F" w14:textId="45B3B5F9" w:rsidR="006B3B28" w:rsidRPr="00862024" w:rsidRDefault="006B3B28" w:rsidP="00862024">
            <w:pPr>
              <w:pStyle w:val="ListParagraph"/>
              <w:numPr>
                <w:ilvl w:val="0"/>
                <w:numId w:val="26"/>
              </w:numPr>
              <w:spacing w:before="160" w:after="240" w:line="240" w:lineRule="exact"/>
              <w:ind w:right="1080"/>
              <w:textAlignment w:val="baseline"/>
              <w:rPr>
                <w:rFonts w:ascii="Tahoma" w:eastAsia="Tahoma" w:hAnsi="Tahoma"/>
                <w:color w:val="404042"/>
                <w:sz w:val="18"/>
              </w:rPr>
            </w:pPr>
            <w:r w:rsidRPr="00862024">
              <w:rPr>
                <w:rFonts w:ascii="Tahoma" w:eastAsia="Tahoma" w:hAnsi="Tahoma"/>
                <w:color w:val="404042"/>
                <w:sz w:val="18"/>
              </w:rPr>
              <w:t>If, despite this supplementary support, students leave school without meeting these standards, they should be given ample opportunity and support to achieve these proficiency standards later.</w:t>
            </w:r>
          </w:p>
        </w:tc>
      </w:tr>
    </w:tbl>
    <w:p w14:paraId="24FC8AC4" w14:textId="77777777" w:rsidR="006B3B28" w:rsidRDefault="006B3B28">
      <w:pPr>
        <w:spacing w:before="2" w:line="215" w:lineRule="exact"/>
        <w:ind w:left="864"/>
        <w:textAlignment w:val="baseline"/>
        <w:rPr>
          <w:rFonts w:ascii="Arial" w:eastAsia="Arial" w:hAnsi="Arial"/>
          <w:i/>
          <w:color w:val="007896"/>
          <w:spacing w:val="1"/>
          <w:sz w:val="18"/>
        </w:rPr>
      </w:pPr>
    </w:p>
    <w:p w14:paraId="2A5FA7B8" w14:textId="77777777" w:rsidR="006B3B28" w:rsidRDefault="006B3B28">
      <w:pPr>
        <w:spacing w:before="2" w:line="215" w:lineRule="exact"/>
        <w:ind w:left="864"/>
        <w:textAlignment w:val="baseline"/>
        <w:rPr>
          <w:rFonts w:ascii="Arial" w:eastAsia="Arial" w:hAnsi="Arial"/>
          <w:i/>
          <w:color w:val="007896"/>
          <w:spacing w:val="1"/>
          <w:sz w:val="18"/>
        </w:rPr>
      </w:pPr>
    </w:p>
    <w:p w14:paraId="756304D2" w14:textId="77777777" w:rsidR="006B3B28" w:rsidRDefault="006B3B28">
      <w:pPr>
        <w:spacing w:before="2" w:line="215" w:lineRule="exact"/>
        <w:ind w:left="864"/>
        <w:textAlignment w:val="baseline"/>
        <w:rPr>
          <w:rFonts w:ascii="Arial" w:eastAsia="Arial" w:hAnsi="Arial"/>
          <w:i/>
          <w:color w:val="007896"/>
          <w:spacing w:val="1"/>
          <w:sz w:val="18"/>
        </w:rPr>
      </w:pPr>
    </w:p>
    <w:p w14:paraId="5D9C6974" w14:textId="3AA8BEFE"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mc:AlternateContent>
          <mc:Choice Requires="wps">
            <w:drawing>
              <wp:anchor distT="0" distB="0" distL="0" distR="0" simplePos="0" relativeHeight="251306496" behindDoc="1" locked="0" layoutInCell="1" allowOverlap="1" wp14:anchorId="6C2BC792" wp14:editId="76B3EB9D">
                <wp:simplePos x="0" y="0"/>
                <wp:positionH relativeFrom="page">
                  <wp:posOffset>0</wp:posOffset>
                </wp:positionH>
                <wp:positionV relativeFrom="page">
                  <wp:posOffset>7101840</wp:posOffset>
                </wp:positionV>
                <wp:extent cx="7562215" cy="3590290"/>
                <wp:effectExtent l="0" t="0" r="0" b="0"/>
                <wp:wrapSquare wrapText="bothSides"/>
                <wp:docPr id="958"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359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576C5" w14:textId="77777777" w:rsidR="00490F33" w:rsidRDefault="00490F33">
                            <w:pPr>
                              <w:textAlignment w:val="baseline"/>
                            </w:pPr>
                            <w:r>
                              <w:rPr>
                                <w:noProof/>
                                <w:lang w:val="en-AU" w:eastAsia="en-AU"/>
                              </w:rPr>
                              <w:drawing>
                                <wp:inline distT="0" distB="0" distL="0" distR="0" wp14:anchorId="3E39F426" wp14:editId="3ECB423E">
                                  <wp:extent cx="7562215" cy="3590290"/>
                                  <wp:effectExtent l="0" t="0" r="0" b="0"/>
                                  <wp:docPr id="5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5" name="Picture">
                                            <a:extLst>
                                              <a:ext uri="{C183D7F6-B498-43B3-948B-1728B52AA6E4}">
                                                <adec:decorative xmlns:adec="http://schemas.microsoft.com/office/drawing/2017/decorative" val="1"/>
                                              </a:ext>
                                            </a:extLst>
                                          </pic:cNvPr>
                                          <pic:cNvPicPr preferRelativeResize="0"/>
                                        </pic:nvPicPr>
                                        <pic:blipFill>
                                          <a:blip r:embed="rId73"/>
                                          <a:stretch>
                                            <a:fillRect/>
                                          </a:stretch>
                                        </pic:blipFill>
                                        <pic:spPr>
                                          <a:xfrm>
                                            <a:off x="0" y="0"/>
                                            <a:ext cx="7562215" cy="35902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C792" id="Text Box 679" o:spid="_x0000_s1034" type="#_x0000_t202" style="position:absolute;left:0;text-align:left;margin-left:0;margin-top:559.2pt;width:595.45pt;height:282.7pt;z-index:-25200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y8QEAAMIDAAAOAAAAZHJzL2Uyb0RvYy54bWysU9tu2zAMfR+wfxD0vjjJkLQx4hRdiw4D&#10;ugvQ7gNoWY6F2aJGKbGzrx8lx1m3vQ17EShejg4Pqe3N0LXiqMkbtIVczOZSaKuwMnZfyK/PD2+u&#10;pfABbAUtWl3Ik/byZvf61bZ3uV5ig22lSTCI9XnvCtmE4PIs86rRHfgZOm05WCN1EPhK+6wi6Bm9&#10;a7PlfL7OeqTKESrtPXvvx6DcJfy61ip8rmuvg2gLydxCOimdZTyz3RbyPYFrjDrTgH9g0YGx/OgF&#10;6h4CiAOZv6A6owg91mGmsMuwro3SqQfuZjH/o5unBpxOvbA43l1k8v8PVn06fiFhqkJuVjwqCx0P&#10;6VkPQbzDQayvNlGh3vmcE58cp4aBAzzp1K13j6i+eWHxrgG717dE2DcaKma4iJXZi9IRx0eQsv+I&#10;FT8Eh4AJaKipi/KxIILReVKny3QiGcXOq9V6uVyspFAce7vazJebNL8M8qnckQ/vNXYiGoUkHn+C&#10;h+OjD5EO5FNKfM3ig2nbtAKt/c3BidGT6EfGI/cwlEPS6npSpcTqxP0QjovFH4GNBumHFD0vVSH9&#10;9wOQlqL9YFmTuIGTQZNRTgZYxaWFDFKM5l0YN/XgyOwbRh5Vt3jLutUmdRQFHlmc6fKipEbPSx03&#10;8eU9Zf36erufAAAA//8DAFBLAwQUAAYACAAAACEAC2HRouAAAAALAQAADwAAAGRycy9kb3ducmV2&#10;LnhtbEyPwU7DMBBE70j9B2srcaN2AEVJiFNVCE5IiDQcODqxm1iN1yF22/D3bE9w290Zzb4pt4sb&#10;2dnMwXqUkGwEMIOd1xZ7CZ/N610GLESFWo0ejYQfE2BbrW5KVWh/wdqc97FnFIKhUBKGGKeC89AN&#10;xqmw8ZNB0g5+dirSOvdcz+pC4W7k90Kk3CmL9GFQk3keTHfcn5yE3RfWL/b7vf2oD7VtmlzgW3qU&#10;8na97J6ARbPEPzNc8QkdKmJq/Ql1YKMEKhLpmiTZI7CrnuQiB9bSlGYPGfCq5P87VL8AAAD//wMA&#10;UEsBAi0AFAAGAAgAAAAhALaDOJL+AAAA4QEAABMAAAAAAAAAAAAAAAAAAAAAAFtDb250ZW50X1R5&#10;cGVzXS54bWxQSwECLQAUAAYACAAAACEAOP0h/9YAAACUAQAACwAAAAAAAAAAAAAAAAAvAQAAX3Jl&#10;bHMvLnJlbHNQSwECLQAUAAYACAAAACEAnfi68vEBAADCAwAADgAAAAAAAAAAAAAAAAAuAgAAZHJz&#10;L2Uyb0RvYy54bWxQSwECLQAUAAYACAAAACEAC2HRouAAAAALAQAADwAAAAAAAAAAAAAAAABLBAAA&#10;ZHJzL2Rvd25yZXYueG1sUEsFBgAAAAAEAAQA8wAAAFgFAAAAAA==&#10;" filled="f" stroked="f">
                <v:textbox inset="0,0,0,0">
                  <w:txbxContent>
                    <w:p w14:paraId="17A576C5" w14:textId="77777777" w:rsidR="00490F33" w:rsidRDefault="00490F33">
                      <w:pPr>
                        <w:textAlignment w:val="baseline"/>
                      </w:pPr>
                      <w:r>
                        <w:rPr>
                          <w:noProof/>
                          <w:lang w:val="en-AU" w:eastAsia="en-AU"/>
                        </w:rPr>
                        <w:drawing>
                          <wp:inline distT="0" distB="0" distL="0" distR="0" wp14:anchorId="3E39F426" wp14:editId="3ECB423E">
                            <wp:extent cx="7562215" cy="3590290"/>
                            <wp:effectExtent l="0" t="0" r="0" b="0"/>
                            <wp:docPr id="5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5" name="Picture">
                                      <a:extLst>
                                        <a:ext uri="{C183D7F6-B498-43B3-948B-1728B52AA6E4}">
                                          <adec:decorative xmlns:adec="http://schemas.microsoft.com/office/drawing/2017/decorative" val="1"/>
                                        </a:ext>
                                      </a:extLst>
                                    </pic:cNvPr>
                                    <pic:cNvPicPr preferRelativeResize="0"/>
                                  </pic:nvPicPr>
                                  <pic:blipFill>
                                    <a:blip r:embed="rId73"/>
                                    <a:stretch>
                                      <a:fillRect/>
                                    </a:stretch>
                                  </pic:blipFill>
                                  <pic:spPr>
                                    <a:xfrm>
                                      <a:off x="0" y="0"/>
                                      <a:ext cx="7562215" cy="359029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07520" behindDoc="1" locked="0" layoutInCell="1" allowOverlap="1" wp14:anchorId="5C69A42B" wp14:editId="5BCBE17B">
                <wp:simplePos x="0" y="0"/>
                <wp:positionH relativeFrom="page">
                  <wp:posOffset>5626735</wp:posOffset>
                </wp:positionH>
                <wp:positionV relativeFrom="page">
                  <wp:posOffset>9692640</wp:posOffset>
                </wp:positionV>
                <wp:extent cx="1392555" cy="137795"/>
                <wp:effectExtent l="0" t="0" r="0" b="0"/>
                <wp:wrapSquare wrapText="bothSides"/>
                <wp:docPr id="957"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AE55A" w14:textId="77777777" w:rsidR="00490F33" w:rsidRDefault="00490F33">
                            <w:pPr>
                              <w:tabs>
                                <w:tab w:val="right" w:pos="2232"/>
                              </w:tabs>
                              <w:spacing w:after="21" w:line="195" w:lineRule="exact"/>
                              <w:textAlignment w:val="baseline"/>
                              <w:rPr>
                                <w:rFonts w:ascii="Tahoma" w:eastAsia="Tahoma" w:hAnsi="Tahoma"/>
                                <w:color w:val="404042"/>
                                <w:sz w:val="14"/>
                              </w:rPr>
                            </w:pPr>
                            <w:r>
                              <w:rPr>
                                <w:rFonts w:ascii="Tahoma" w:eastAsia="Tahoma" w:hAnsi="Tahoma"/>
                                <w:color w:val="404042"/>
                                <w:sz w:val="14"/>
                              </w:rPr>
                              <w:t>Chapter 1: Essential skills</w:t>
                            </w:r>
                            <w:r>
                              <w:rPr>
                                <w:rFonts w:ascii="Arial" w:eastAsia="Arial" w:hAnsi="Arial"/>
                                <w:b/>
                                <w:color w:val="5556A1"/>
                                <w:sz w:val="18"/>
                              </w:rPr>
                              <w:tab/>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A42B" id="Text Box 678" o:spid="_x0000_s1035" type="#_x0000_t202" style="position:absolute;left:0;text-align:left;margin-left:443.05pt;margin-top:763.2pt;width:109.65pt;height:10.85pt;z-index:-252008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8b7wEAAMEDAAAOAAAAZHJzL2Uyb0RvYy54bWysU8Fu2zAMvQ/YPwi6L05SpGmMOEXXosOA&#10;bh3Q7gMYWY6F2aJGKbGzrx8lx1m33YpeBEokHx8fqfV13zbioMkbtIWcTaZSaKuwNHZXyO/P9x+u&#10;pPABbAkNWl3Io/byevP+3bpzuZ5jjU2pSTCI9XnnClmH4PIs86rWLfgJOm3ZWSG1EPhKu6wk6Bi9&#10;bbL5dHqZdUilI1Tae369G5xyk/CrSqvwWFVeB9EUkrmFdFI6t/HMNmvIdwSuNupEA17BogVjuegZ&#10;6g4CiD2Z/6Baowg9VmGisM2wqozSqQfuZjb9p5unGpxOvbA43p1l8m8Hq74evpEwZSFXi6UUFloe&#10;0rPug/iIvbhcXkWFOudzDnxyHBp6dvCkU7fePaD64YXF2xrsTt8QYVdrKJnhLGZmL1IHHB9Btt0X&#10;LLkQ7AMmoL6iNsrHgghG50kdz9OJZFQsebGaLxYLKRT7ZhfL5WqRSkA+Zjvy4ZPGVkSjkMTTT+hw&#10;ePAhsoF8DInFLN6bpkkb0Ni/HjgwviT2kfBAPfTbfpBqFGWL5ZHbIRz2iv8BGzXSLyk63qlC+p97&#10;IC1F89myJHEBR4NGYzsaYBWnFjJIMZi3YVjUvSOzqxl5EN3iDctWmdRR1HdgcaLLe5IaPe10XMSX&#10;9xT15+dtfgMAAP//AwBQSwMEFAAGAAgAAAAhAFckx8ThAAAADgEAAA8AAABkcnMvZG93bnJldi54&#10;bWxMj8FOwzAQRO9I/IO1SNyonaqNQohTVQhOSIg0HDg68TaxGq9D7Lbh73FOcNvdGc2+KXazHdgF&#10;J28cSUhWAhhS67ShTsJn/fqQAfNBkVaDI5Twgx525e1NoXLtrlTh5RA6FkPI50pCH8KYc+7bHq3y&#10;KzciRe3oJqtCXKeO60ldY7gd+FqIlFtlKH7o1YjPPbanw9lK2H9R9WK+35uP6liZun4U9JaepLy/&#10;m/dPwALO4c8MC35EhzIyNe5M2rNBQpalSbRGYbtON8AWSyK2cWqW2yZLgJcF/1+j/AUAAP//AwBQ&#10;SwECLQAUAAYACAAAACEAtoM4kv4AAADhAQAAEwAAAAAAAAAAAAAAAAAAAAAAW0NvbnRlbnRfVHlw&#10;ZXNdLnhtbFBLAQItABQABgAIAAAAIQA4/SH/1gAAAJQBAAALAAAAAAAAAAAAAAAAAC8BAABfcmVs&#10;cy8ucmVsc1BLAQItABQABgAIAAAAIQDZpr8b7wEAAMEDAAAOAAAAAAAAAAAAAAAAAC4CAABkcnMv&#10;ZTJvRG9jLnhtbFBLAQItABQABgAIAAAAIQBXJMfE4QAAAA4BAAAPAAAAAAAAAAAAAAAAAEkEAABk&#10;cnMvZG93bnJldi54bWxQSwUGAAAAAAQABADzAAAAVwUAAAAA&#10;" filled="f" stroked="f">
                <v:textbox inset="0,0,0,0">
                  <w:txbxContent>
                    <w:p w14:paraId="020AE55A" w14:textId="77777777" w:rsidR="00490F33" w:rsidRDefault="00490F33">
                      <w:pPr>
                        <w:tabs>
                          <w:tab w:val="right" w:pos="2232"/>
                        </w:tabs>
                        <w:spacing w:after="21" w:line="195" w:lineRule="exact"/>
                        <w:textAlignment w:val="baseline"/>
                        <w:rPr>
                          <w:rFonts w:ascii="Tahoma" w:eastAsia="Tahoma" w:hAnsi="Tahoma"/>
                          <w:color w:val="404042"/>
                          <w:sz w:val="14"/>
                        </w:rPr>
                      </w:pPr>
                      <w:r>
                        <w:rPr>
                          <w:rFonts w:ascii="Tahoma" w:eastAsia="Tahoma" w:hAnsi="Tahoma"/>
                          <w:color w:val="404042"/>
                          <w:sz w:val="14"/>
                        </w:rPr>
                        <w:t>Chapter 1: Essential skills</w:t>
                      </w:r>
                      <w:r>
                        <w:rPr>
                          <w:rFonts w:ascii="Arial" w:eastAsia="Arial" w:hAnsi="Arial"/>
                          <w:b/>
                          <w:color w:val="5556A1"/>
                          <w:sz w:val="18"/>
                        </w:rPr>
                        <w:tab/>
                        <w:t>33</w:t>
                      </w:r>
                    </w:p>
                  </w:txbxContent>
                </v:textbox>
                <w10:wrap type="square" anchorx="page" anchory="page"/>
              </v:shape>
            </w:pict>
          </mc:Fallback>
        </mc:AlternateContent>
      </w:r>
      <w:r w:rsidR="00083242">
        <w:rPr>
          <w:rFonts w:ascii="Arial" w:eastAsia="Arial" w:hAnsi="Arial"/>
          <w:i/>
          <w:color w:val="007896"/>
          <w:spacing w:val="1"/>
          <w:sz w:val="18"/>
        </w:rPr>
        <w:t>Implementation guidance</w:t>
      </w:r>
    </w:p>
    <w:p w14:paraId="548663E7" w14:textId="77777777" w:rsidR="009757A9" w:rsidRDefault="00083242">
      <w:pPr>
        <w:spacing w:before="167" w:line="240" w:lineRule="exact"/>
        <w:ind w:left="864" w:right="1080"/>
        <w:textAlignment w:val="baseline"/>
        <w:rPr>
          <w:rFonts w:ascii="Tahoma" w:eastAsia="Tahoma" w:hAnsi="Tahoma"/>
          <w:color w:val="404042"/>
          <w:sz w:val="18"/>
        </w:rPr>
      </w:pPr>
      <w:r>
        <w:rPr>
          <w:rFonts w:ascii="Tahoma" w:eastAsia="Tahoma" w:hAnsi="Tahoma"/>
          <w:color w:val="404042"/>
          <w:sz w:val="18"/>
        </w:rPr>
        <w:t>All states and territories already set their own literacy and numeracy standards. These could be used as the basis for measuring proficiency, although there needs to be a focus not just on minimum standards, but on helping students aspire to excellence.</w:t>
      </w:r>
    </w:p>
    <w:p w14:paraId="42B369D0" w14:textId="77777777" w:rsidR="009757A9" w:rsidRDefault="00083242">
      <w:pPr>
        <w:spacing w:before="168" w:line="240" w:lineRule="exact"/>
        <w:ind w:left="864" w:right="864"/>
        <w:textAlignment w:val="baseline"/>
        <w:rPr>
          <w:rFonts w:ascii="Tahoma" w:eastAsia="Tahoma" w:hAnsi="Tahoma"/>
          <w:color w:val="404042"/>
          <w:sz w:val="18"/>
        </w:rPr>
      </w:pPr>
      <w:r>
        <w:rPr>
          <w:rFonts w:ascii="Tahoma" w:eastAsia="Tahoma" w:hAnsi="Tahoma"/>
          <w:color w:val="404042"/>
          <w:sz w:val="18"/>
        </w:rPr>
        <w:t>Jurisdictions should develop minimum digital literacy standards. Education Council may wish to consider whether there would be value in moving toward a national approach to digital literacy proficiency.</w:t>
      </w:r>
    </w:p>
    <w:p w14:paraId="77EF22AE"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The achievement of minimum standards in the three foundational skills should not be left until the final months, if they represent an end-of-schooling qualifying hurdle. By then, it is too late to remediate and offer support to those students who require it. Rather, students should be provided with the opportunity to meet minimum standards in literacy, numeracy and digital literacy during Years 9 and 10.</w:t>
      </w:r>
    </w:p>
    <w:p w14:paraId="2C127069"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There are a variety of reasons students may not reach these standards prior to the completion of Year 10. Whatever the reason, specialist support strategies and targeted interventions should be put in place to ensure students are able to reach the standard prior to completing Year 12 or equivalent. If not, they are likely to find it far more difficult to find permanent work, access training or undertake further education.</w:t>
      </w:r>
    </w:p>
    <w:p w14:paraId="5A6F4815" w14:textId="77777777" w:rsidR="009757A9" w:rsidRDefault="00083242">
      <w:pPr>
        <w:spacing w:before="169" w:line="240" w:lineRule="exact"/>
        <w:ind w:left="864" w:right="864"/>
        <w:textAlignment w:val="baseline"/>
        <w:rPr>
          <w:rFonts w:ascii="Tahoma" w:eastAsia="Tahoma" w:hAnsi="Tahoma"/>
          <w:color w:val="404042"/>
          <w:sz w:val="18"/>
        </w:rPr>
      </w:pPr>
      <w:r>
        <w:rPr>
          <w:rFonts w:ascii="Tahoma" w:eastAsia="Tahoma" w:hAnsi="Tahoma"/>
          <w:color w:val="404042"/>
          <w:sz w:val="18"/>
        </w:rPr>
        <w:t>In the unfortunate circumstance that students do leave school without having met those standards, it is important that no financial barriers or disincentives stand in the way of them achieving the standards in the future. All efforts should be spent on helping them get back on track and allowing them to benefit from the multiple pathways into the workforce that are available to others.</w:t>
      </w:r>
    </w:p>
    <w:p w14:paraId="7A2D2298" w14:textId="77777777" w:rsidR="009757A9" w:rsidRDefault="009757A9">
      <w:pPr>
        <w:sectPr w:rsidR="009757A9" w:rsidSect="00862024">
          <w:pgSz w:w="11909" w:h="16838"/>
          <w:pgMar w:top="1276" w:right="0" w:bottom="5258" w:left="0" w:header="720" w:footer="720" w:gutter="0"/>
          <w:cols w:space="720"/>
        </w:sectPr>
      </w:pPr>
    </w:p>
    <w:p w14:paraId="309520AC"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308544" behindDoc="1" locked="0" layoutInCell="1" allowOverlap="1" wp14:anchorId="3796200C" wp14:editId="15584993">
                <wp:simplePos x="0" y="0"/>
                <wp:positionH relativeFrom="page">
                  <wp:posOffset>0</wp:posOffset>
                </wp:positionH>
                <wp:positionV relativeFrom="page">
                  <wp:posOffset>0</wp:posOffset>
                </wp:positionV>
                <wp:extent cx="7562215" cy="10692130"/>
                <wp:effectExtent l="0" t="0" r="0" b="0"/>
                <wp:wrapSquare wrapText="bothSides"/>
                <wp:docPr id="956"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58BB4" w14:textId="77777777" w:rsidR="00490F33" w:rsidRDefault="00490F33">
                            <w:pPr>
                              <w:textAlignment w:val="baseline"/>
                            </w:pPr>
                            <w:r>
                              <w:rPr>
                                <w:noProof/>
                                <w:lang w:val="en-AU" w:eastAsia="en-AU"/>
                              </w:rPr>
                              <w:drawing>
                                <wp:inline distT="0" distB="0" distL="0" distR="0" wp14:anchorId="61EF2133" wp14:editId="16B91141">
                                  <wp:extent cx="7562215" cy="10692130"/>
                                  <wp:effectExtent l="0" t="0" r="0" b="0"/>
                                  <wp:docPr id="5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 name="Picture">
                                            <a:extLst>
                                              <a:ext uri="{C183D7F6-B498-43B3-948B-1728B52AA6E4}">
                                                <adec:decorative xmlns:adec="http://schemas.microsoft.com/office/drawing/2017/decorative" val="1"/>
                                              </a:ext>
                                            </a:extLst>
                                          </pic:cNvPr>
                                          <pic:cNvPicPr preferRelativeResize="0"/>
                                        </pic:nvPicPr>
                                        <pic:blipFill>
                                          <a:blip r:embed="rId74"/>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6200C" id="Text Box 677" o:spid="_x0000_s1036" type="#_x0000_t202" style="position:absolute;margin-left:0;margin-top:0;width:595.45pt;height:841.9pt;z-index:-252007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T8gEAAMQDAAAOAAAAZHJzL2Uyb0RvYy54bWysU9tu2zAMfR+wfxD0vtjOkGQ14hRdiw4D&#10;ugvQ7gMYWY6F2aJGKbGzrx8lJ2m3vQ17ESiJOjznkFpfj30nDpq8QVvJYpZLoa3C2thdJb893b95&#10;J4UPYGvo0OpKHrWX15vXr9aDK/UcW+xqTYJBrC8HV8k2BFdmmVet7sHP0GnLlw1SD4G3tMtqgoHR&#10;+y6b5/kyG5BqR6i093x6N13KTcJvGq3Cl6bxOoiukswtpJXSuo1rtllDuSNwrVEnGvAPLHowlote&#10;oO4ggNiT+QuqN4rQYxNmCvsMm8YonTSwmiL/Q81jC04nLWyOdxeb/P+DVZ8PX0mYupJXi6UUFnpu&#10;0pMeg3iPo1iuVtGhwfmSEx8dp4aRL7jTSa13D6i+e2HxtgW70zdEOLQaamZYxJfZi6cTjo8g2+ET&#10;1lwI9gET0NhQH+1jQwSjc6eOl+5EMooPV4vlfF4spFB8V+TLq3nxNjUwg/L83pEPHzT2IgaVJO5/&#10;wofDgw+RD5TnlFjO4r3pujQDnf3tgBPjSeIfKU/kw7gdk1lFKhzFbbE+siLCabT4K3DQIv2UYuCx&#10;qqT/sQfSUnQfLbsSZ/Ac0DnYngOwip9WMkgxhbdhmtW9I7NrGXny3eINO9eYJOmZxYkvj0pSehrr&#10;OIsv9ynr+fNtfgE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ArH+9PyAQAAxAMAAA4AAAAAAAAAAAAAAAAALgIAAGRycy9l&#10;Mm9Eb2MueG1sUEsBAi0AFAAGAAgAAAAhAHsiySLdAAAABwEAAA8AAAAAAAAAAAAAAAAATAQAAGRy&#10;cy9kb3ducmV2LnhtbFBLBQYAAAAABAAEAPMAAABWBQAAAAA=&#10;" filled="f" stroked="f">
                <v:textbox inset="0,0,0,0">
                  <w:txbxContent>
                    <w:p w14:paraId="56E58BB4" w14:textId="77777777" w:rsidR="00490F33" w:rsidRDefault="00490F33">
                      <w:pPr>
                        <w:textAlignment w:val="baseline"/>
                      </w:pPr>
                      <w:r>
                        <w:rPr>
                          <w:noProof/>
                          <w:lang w:val="en-AU" w:eastAsia="en-AU"/>
                        </w:rPr>
                        <w:drawing>
                          <wp:inline distT="0" distB="0" distL="0" distR="0" wp14:anchorId="61EF2133" wp14:editId="16B91141">
                            <wp:extent cx="7562215" cy="10692130"/>
                            <wp:effectExtent l="0" t="0" r="0" b="0"/>
                            <wp:docPr id="5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 name="Picture">
                                      <a:extLst>
                                        <a:ext uri="{C183D7F6-B498-43B3-948B-1728B52AA6E4}">
                                          <adec:decorative xmlns:adec="http://schemas.microsoft.com/office/drawing/2017/decorative" val="1"/>
                                        </a:ext>
                                      </a:extLst>
                                    </pic:cNvPr>
                                    <pic:cNvPicPr preferRelativeResize="0"/>
                                  </pic:nvPicPr>
                                  <pic:blipFill>
                                    <a:blip r:embed="rId74"/>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09568" behindDoc="1" locked="0" layoutInCell="1" allowOverlap="1" wp14:anchorId="770B3E60" wp14:editId="0564EF00">
                <wp:simplePos x="0" y="0"/>
                <wp:positionH relativeFrom="page">
                  <wp:posOffset>4182110</wp:posOffset>
                </wp:positionH>
                <wp:positionV relativeFrom="page">
                  <wp:posOffset>953135</wp:posOffset>
                </wp:positionV>
                <wp:extent cx="2401570" cy="914400"/>
                <wp:effectExtent l="0" t="0" r="0" b="0"/>
                <wp:wrapSquare wrapText="bothSides"/>
                <wp:docPr id="955"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0C1D9" w14:textId="77777777" w:rsidR="00490F33" w:rsidRDefault="00490F33">
                            <w:pPr>
                              <w:spacing w:line="239" w:lineRule="exact"/>
                              <w:textAlignment w:val="baseline"/>
                              <w:rPr>
                                <w:rFonts w:ascii="Tahoma" w:eastAsia="Tahoma" w:hAnsi="Tahoma"/>
                                <w:color w:val="404042"/>
                                <w:spacing w:val="5"/>
                                <w:sz w:val="18"/>
                              </w:rPr>
                            </w:pPr>
                            <w:r>
                              <w:rPr>
                                <w:rFonts w:ascii="Tahoma" w:eastAsia="Tahoma" w:hAnsi="Tahoma"/>
                                <w:color w:val="404042"/>
                                <w:spacing w:val="5"/>
                                <w:sz w:val="18"/>
                              </w:rPr>
                              <w:t>can enrol in</w:t>
                            </w:r>
                            <w:r>
                              <w:rPr>
                                <w:rFonts w:ascii="Tahoma" w:eastAsia="Tahoma" w:hAnsi="Tahoma"/>
                                <w:color w:val="464140"/>
                                <w:spacing w:val="5"/>
                                <w:sz w:val="18"/>
                              </w:rPr>
                              <w:t xml:space="preserve"> foundation courses in Years 11 </w:t>
                            </w:r>
                            <w:r>
                              <w:rPr>
                                <w:rFonts w:ascii="Tahoma" w:eastAsia="Tahoma" w:hAnsi="Tahoma"/>
                                <w:color w:val="404042"/>
                                <w:spacing w:val="5"/>
                                <w:sz w:val="18"/>
                              </w:rPr>
                              <w:t>and 12. Foundation</w:t>
                            </w:r>
                            <w:r>
                              <w:rPr>
                                <w:rFonts w:ascii="Tahoma" w:eastAsia="Tahoma" w:hAnsi="Tahoma"/>
                                <w:color w:val="464140"/>
                                <w:spacing w:val="5"/>
                                <w:sz w:val="18"/>
                              </w:rPr>
                              <w:t xml:space="preserve"> courses are designed </w:t>
                            </w:r>
                            <w:r>
                              <w:rPr>
                                <w:rFonts w:ascii="Tahoma" w:eastAsia="Tahoma" w:hAnsi="Tahoma"/>
                                <w:color w:val="404042"/>
                                <w:spacing w:val="5"/>
                                <w:sz w:val="18"/>
                              </w:rPr>
                              <w:t>to assist</w:t>
                            </w:r>
                            <w:r>
                              <w:rPr>
                                <w:rFonts w:ascii="Tahoma" w:eastAsia="Tahoma" w:hAnsi="Tahoma"/>
                                <w:color w:val="464140"/>
                                <w:spacing w:val="5"/>
                                <w:sz w:val="18"/>
                              </w:rPr>
                              <w:t xml:space="preserve"> students to meet the minimum </w:t>
                            </w:r>
                            <w:r>
                              <w:rPr>
                                <w:rFonts w:ascii="Tahoma" w:eastAsia="Tahoma" w:hAnsi="Tahoma"/>
                                <w:color w:val="404042"/>
                                <w:spacing w:val="5"/>
                                <w:sz w:val="18"/>
                              </w:rPr>
                              <w:t>standard in</w:t>
                            </w:r>
                            <w:r>
                              <w:rPr>
                                <w:rFonts w:ascii="Tahoma" w:eastAsia="Tahoma" w:hAnsi="Tahoma"/>
                                <w:color w:val="464140"/>
                                <w:spacing w:val="5"/>
                                <w:sz w:val="18"/>
                              </w:rPr>
                              <w:t xml:space="preserve"> literacy and numeracy. Teachers </w:t>
                            </w:r>
                            <w:r>
                              <w:rPr>
                                <w:rFonts w:ascii="Tahoma" w:eastAsia="Tahoma" w:hAnsi="Tahoma"/>
                                <w:color w:val="404042"/>
                                <w:spacing w:val="5"/>
                                <w:sz w:val="18"/>
                              </w:rPr>
                              <w:t>will focus</w:t>
                            </w:r>
                            <w:r>
                              <w:rPr>
                                <w:rFonts w:ascii="Tahoma" w:eastAsia="Tahoma" w:hAnsi="Tahoma"/>
                                <w:color w:val="464140"/>
                                <w:spacing w:val="5"/>
                                <w:sz w:val="18"/>
                              </w:rPr>
                              <w:t xml:space="preserve"> learning on those skills needed by the</w:t>
                            </w:r>
                            <w:r>
                              <w:rPr>
                                <w:rFonts w:ascii="Tahoma" w:eastAsia="Tahoma" w:hAnsi="Tahoma"/>
                                <w:color w:val="404042"/>
                                <w:spacing w:val="5"/>
                                <w:sz w:val="18"/>
                              </w:rPr>
                              <w:t xml:space="preserve"> student</w:t>
                            </w:r>
                            <w:r>
                              <w:rPr>
                                <w:rFonts w:ascii="Tahoma" w:eastAsia="Tahoma" w:hAnsi="Tahoma"/>
                                <w:color w:val="464140"/>
                                <w:spacing w:val="5"/>
                                <w:sz w:val="18"/>
                              </w:rPr>
                              <w:t xml:space="preserve"> to achieve the standard.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3E60" id="Text Box 676" o:spid="_x0000_s1037" type="#_x0000_t202" style="position:absolute;margin-left:329.3pt;margin-top:75.05pt;width:189.1pt;height:1in;z-index:-25200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Tv7wEAAMIDAAAOAAAAZHJzL2Uyb0RvYy54bWysU8Fu2zAMvQ/YPwi6L7aDJF2NOEXXosOA&#10;bh3Q7gMYWY6F2aJGKbG7rx8lJ2m33YZdBEqknt57pNZXY9+JgyZv0FaymOVSaKuwNnZXyW9Pd+/e&#10;S+ED2Bo6tLqSz9rLq83bN+vBlXqOLXa1JsEg1peDq2QbgiuzzKtW9+Bn6LTlZIPUQ+At7bKaYGD0&#10;vsvmeb7KBqTaESrtPZ/eTkm5SfhNo1V4aBqvg+gqydxCWimt27hmmzWUOwLXGnWkAf/Aogdj+dEz&#10;1C0EEHsyf0H1RhF6bMJMYZ9h0xilkwZWU+R/qHlswemkhc3x7myT/3+w6svhKwlTV/JyuZTCQs9N&#10;etJjEB9wFKuLVXRocL7kwkfHpWHkBHc6qfXuHtV3LyzetGB3+poIh1ZDzQyLeDN7dXXC8RFkO3zG&#10;mh+CfcAENDbUR/vYEMHo3Knnc3ciGcWH80VeLC84pTh3WSwWeWpfBuXptiMfPmrsRQwqSdz9hA6H&#10;ex8iGyhPJfExi3em69IEdPa3Ay6MJ4l9JDxRD+N2TFYVSVuUtsX6mfUQToPFH4GDFumnFAMPVSX9&#10;jz2QlqL7ZNmTOIGngE7B9hSAVXy1kkGKKbwJ06TuHZldy8iT6xav2bfGJEkvLI58eVCS0uNQx0l8&#10;vU9VL19v8wsAAP//AwBQSwMEFAAGAAgAAAAhAAvMLezhAAAADAEAAA8AAABkcnMvZG93bnJldi54&#10;bWxMj8FOwzAQRO9I/QdrK3Gjdgq12hCnqhCckBBpOHB0YjeJGq9D7Lbh79meynE1T7Nvsu3kena2&#10;Y+g8KkgWApjF2psOGwVf5dvDGliIGo3uPVoFvzbANp/dZTo1/oKFPe9jw6gEQ6oVtDEOKeehbq3T&#10;YeEHi5Qd/Oh0pHNsuBn1hcpdz5dCSO50h/Sh1YN9aW193J+cgt03Fq/dz0f1WRyKriw3At/lUan7&#10;+bR7BhbtFG8wXPVJHXJyqvwJTWC9ArlaS0IpWIkE2JUQj5LWVAqWm6cEeJ7x/yPyPwAAAP//AwBQ&#10;SwECLQAUAAYACAAAACEAtoM4kv4AAADhAQAAEwAAAAAAAAAAAAAAAAAAAAAAW0NvbnRlbnRfVHlw&#10;ZXNdLnhtbFBLAQItABQABgAIAAAAIQA4/SH/1gAAAJQBAAALAAAAAAAAAAAAAAAAAC8BAABfcmVs&#10;cy8ucmVsc1BLAQItABQABgAIAAAAIQCkQlTv7wEAAMIDAAAOAAAAAAAAAAAAAAAAAC4CAABkcnMv&#10;ZTJvRG9jLnhtbFBLAQItABQABgAIAAAAIQALzC3s4QAAAAwBAAAPAAAAAAAAAAAAAAAAAEkEAABk&#10;cnMvZG93bnJldi54bWxQSwUGAAAAAAQABADzAAAAVwUAAAAA&#10;" filled="f" stroked="f">
                <v:textbox inset="0,0,0,0">
                  <w:txbxContent>
                    <w:p w14:paraId="4770C1D9" w14:textId="77777777" w:rsidR="00490F33" w:rsidRDefault="00490F33">
                      <w:pPr>
                        <w:spacing w:line="239" w:lineRule="exact"/>
                        <w:textAlignment w:val="baseline"/>
                        <w:rPr>
                          <w:rFonts w:ascii="Tahoma" w:eastAsia="Tahoma" w:hAnsi="Tahoma"/>
                          <w:color w:val="404042"/>
                          <w:spacing w:val="5"/>
                          <w:sz w:val="18"/>
                        </w:rPr>
                      </w:pPr>
                      <w:r>
                        <w:rPr>
                          <w:rFonts w:ascii="Tahoma" w:eastAsia="Tahoma" w:hAnsi="Tahoma"/>
                          <w:color w:val="404042"/>
                          <w:spacing w:val="5"/>
                          <w:sz w:val="18"/>
                        </w:rPr>
                        <w:t>can enrol in</w:t>
                      </w:r>
                      <w:r>
                        <w:rPr>
                          <w:rFonts w:ascii="Tahoma" w:eastAsia="Tahoma" w:hAnsi="Tahoma"/>
                          <w:color w:val="464140"/>
                          <w:spacing w:val="5"/>
                          <w:sz w:val="18"/>
                        </w:rPr>
                        <w:t xml:space="preserve"> foundation courses in Years 11 </w:t>
                      </w:r>
                      <w:r>
                        <w:rPr>
                          <w:rFonts w:ascii="Tahoma" w:eastAsia="Tahoma" w:hAnsi="Tahoma"/>
                          <w:color w:val="404042"/>
                          <w:spacing w:val="5"/>
                          <w:sz w:val="18"/>
                        </w:rPr>
                        <w:t>and 12. Foundation</w:t>
                      </w:r>
                      <w:r>
                        <w:rPr>
                          <w:rFonts w:ascii="Tahoma" w:eastAsia="Tahoma" w:hAnsi="Tahoma"/>
                          <w:color w:val="464140"/>
                          <w:spacing w:val="5"/>
                          <w:sz w:val="18"/>
                        </w:rPr>
                        <w:t xml:space="preserve"> courses are designed </w:t>
                      </w:r>
                      <w:r>
                        <w:rPr>
                          <w:rFonts w:ascii="Tahoma" w:eastAsia="Tahoma" w:hAnsi="Tahoma"/>
                          <w:color w:val="404042"/>
                          <w:spacing w:val="5"/>
                          <w:sz w:val="18"/>
                        </w:rPr>
                        <w:t>to assist</w:t>
                      </w:r>
                      <w:r>
                        <w:rPr>
                          <w:rFonts w:ascii="Tahoma" w:eastAsia="Tahoma" w:hAnsi="Tahoma"/>
                          <w:color w:val="464140"/>
                          <w:spacing w:val="5"/>
                          <w:sz w:val="18"/>
                        </w:rPr>
                        <w:t xml:space="preserve"> students to meet the minimum </w:t>
                      </w:r>
                      <w:r>
                        <w:rPr>
                          <w:rFonts w:ascii="Tahoma" w:eastAsia="Tahoma" w:hAnsi="Tahoma"/>
                          <w:color w:val="404042"/>
                          <w:spacing w:val="5"/>
                          <w:sz w:val="18"/>
                        </w:rPr>
                        <w:t>standard in</w:t>
                      </w:r>
                      <w:r>
                        <w:rPr>
                          <w:rFonts w:ascii="Tahoma" w:eastAsia="Tahoma" w:hAnsi="Tahoma"/>
                          <w:color w:val="464140"/>
                          <w:spacing w:val="5"/>
                          <w:sz w:val="18"/>
                        </w:rPr>
                        <w:t xml:space="preserve"> literacy and numeracy. Teachers </w:t>
                      </w:r>
                      <w:r>
                        <w:rPr>
                          <w:rFonts w:ascii="Tahoma" w:eastAsia="Tahoma" w:hAnsi="Tahoma"/>
                          <w:color w:val="404042"/>
                          <w:spacing w:val="5"/>
                          <w:sz w:val="18"/>
                        </w:rPr>
                        <w:t>will focus</w:t>
                      </w:r>
                      <w:r>
                        <w:rPr>
                          <w:rFonts w:ascii="Tahoma" w:eastAsia="Tahoma" w:hAnsi="Tahoma"/>
                          <w:color w:val="464140"/>
                          <w:spacing w:val="5"/>
                          <w:sz w:val="18"/>
                        </w:rPr>
                        <w:t xml:space="preserve"> learning on those skills needed by the</w:t>
                      </w:r>
                      <w:r>
                        <w:rPr>
                          <w:rFonts w:ascii="Tahoma" w:eastAsia="Tahoma" w:hAnsi="Tahoma"/>
                          <w:color w:val="404042"/>
                          <w:spacing w:val="5"/>
                          <w:sz w:val="18"/>
                        </w:rPr>
                        <w:t xml:space="preserve"> student</w:t>
                      </w:r>
                      <w:r>
                        <w:rPr>
                          <w:rFonts w:ascii="Tahoma" w:eastAsia="Tahoma" w:hAnsi="Tahoma"/>
                          <w:color w:val="464140"/>
                          <w:spacing w:val="5"/>
                          <w:sz w:val="18"/>
                        </w:rPr>
                        <w:t xml:space="preserve"> to achieve the standard.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0592" behindDoc="1" locked="0" layoutInCell="1" allowOverlap="1" wp14:anchorId="0C318BE0" wp14:editId="63CFBEAE">
                <wp:simplePos x="0" y="0"/>
                <wp:positionH relativeFrom="page">
                  <wp:posOffset>835025</wp:posOffset>
                </wp:positionH>
                <wp:positionV relativeFrom="page">
                  <wp:posOffset>982980</wp:posOffset>
                </wp:positionV>
                <wp:extent cx="2456815" cy="1428115"/>
                <wp:effectExtent l="0" t="0" r="0" b="0"/>
                <wp:wrapSquare wrapText="bothSides"/>
                <wp:docPr id="954"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337A4"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69AA45CC" w14:textId="77777777" w:rsidR="00490F33" w:rsidRDefault="00490F33">
                            <w:pPr>
                              <w:spacing w:line="425" w:lineRule="exact"/>
                              <w:textAlignment w:val="baseline"/>
                              <w:rPr>
                                <w:rFonts w:ascii="Tahoma" w:eastAsia="Tahoma" w:hAnsi="Tahoma"/>
                                <w:color w:val="BF5B1F"/>
                                <w:spacing w:val="13"/>
                                <w:w w:val="95"/>
                                <w:sz w:val="38"/>
                              </w:rPr>
                            </w:pPr>
                            <w:r>
                              <w:rPr>
                                <w:rFonts w:ascii="Tahoma" w:eastAsia="Tahoma" w:hAnsi="Tahoma"/>
                                <w:color w:val="BF5B1F"/>
                                <w:spacing w:val="13"/>
                                <w:w w:val="95"/>
                                <w:sz w:val="38"/>
                              </w:rPr>
                              <w:t>ONLINE LITERACY</w:t>
                            </w:r>
                          </w:p>
                          <w:p w14:paraId="44449E4B" w14:textId="77777777" w:rsidR="00490F33" w:rsidRDefault="00490F33">
                            <w:pPr>
                              <w:spacing w:line="460" w:lineRule="exact"/>
                              <w:textAlignment w:val="baseline"/>
                              <w:rPr>
                                <w:rFonts w:ascii="Tahoma" w:eastAsia="Tahoma" w:hAnsi="Tahoma"/>
                                <w:color w:val="BF5B1F"/>
                                <w:spacing w:val="28"/>
                                <w:w w:val="95"/>
                                <w:sz w:val="38"/>
                              </w:rPr>
                            </w:pPr>
                            <w:r>
                              <w:rPr>
                                <w:rFonts w:ascii="Tahoma" w:eastAsia="Tahoma" w:hAnsi="Tahoma"/>
                                <w:color w:val="BF5B1F"/>
                                <w:spacing w:val="28"/>
                                <w:w w:val="95"/>
                                <w:sz w:val="38"/>
                              </w:rPr>
                              <w:t>AND NUMERACY</w:t>
                            </w:r>
                          </w:p>
                          <w:p w14:paraId="17796E67" w14:textId="77777777" w:rsidR="00490F33" w:rsidRDefault="00490F33">
                            <w:pPr>
                              <w:spacing w:before="1" w:line="46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ASSESSMENT,</w:t>
                            </w:r>
                          </w:p>
                          <w:p w14:paraId="288D2003" w14:textId="77777777" w:rsidR="00490F33" w:rsidRDefault="00490F33">
                            <w:pPr>
                              <w:spacing w:before="1" w:line="45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WESTERN AUSTRALIA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18BE0" id="Text Box 675" o:spid="_x0000_s1038" type="#_x0000_t202" style="position:absolute;margin-left:65.75pt;margin-top:77.4pt;width:193.45pt;height:112.45pt;z-index:-25200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NyU8AEAAMMDAAAOAAAAZHJzL2Uyb0RvYy54bWysU1GP0zAMfkfiP0R5Z12nbRzVutNxp0NI&#10;B4d0xw/w0nSNaOPgZGvHr8dJ13HAG+Ilcmzn8+fPzuZ66Fpx1OQN2lLms7kU2iqsjN2X8uvz/Zsr&#10;KXwAW0GLVpfypL283r5+teldoRfYYFtpEgxifdG7UjYhuCLLvGp0B36GTlsO1kgdBL7SPqsIekbv&#10;2mwxn6+zHqlyhEp7z967MSi3Cb+utQqPde11EG0pmVtIJ6VzF89su4FiT+Aao8404B9YdGAsF71A&#10;3UEAcSDzF1RnFKHHOswUdhnWtVE69cDd5PM/unlqwOnUC4vj3UUm//9g1efjFxKmKuW71VIKCx0P&#10;6VkPQbzHQazfrqJCvfMFJz45Tg0DB3jSqVvvHlB988LibQN2r2+IsG80VMwwjy+zF09HHB9Bdv0n&#10;rLgQHAImoKGmLsrHgghG50mdLtOJZBQ7F8vV+ipfSaE4li8XVzlfYg0opueOfPigsRPRKCXx+BM8&#10;HB98GFOnlFjN4r1pW/ZD0drfHIwZPYl+ZDxyD8NuSFrli0mWHVYnbohw3Cz+CWw0SD+k6HmrSum/&#10;H4C0FO1Hy6LEFZwMmozdZIBV/LSUQYrRvA3jqh4cmX3DyKPsFm9YuNqklqLCI4szX96UJMp5q+Mq&#10;vrynrF9/b/sTAAD//wMAUEsDBBQABgAIAAAAIQAyJy3g4AAAAAsBAAAPAAAAZHJzL2Rvd25yZXYu&#10;eG1sTI9NT4NAEIbvJv6HzZh4swu29ANZmsboycRI8eBxYadAys4iu23x3zue6m3ezJP3I9tOthdn&#10;HH3nSEE8i0Ag1c501Cj4LF8f1iB80GR07wgV/KCHbX57k+nUuAsVeN6HRrAJ+VQraEMYUil93aLV&#10;fuYGJP4d3Gh1YDk20oz6wua2l49RtJRWd8QJrR7wucX6uD9ZBbsvKl667/fqozgUXVluInpbHpW6&#10;v5t2TyACTuEKw199rg45d6rciYwXPet5nDDKR7LgDUwk8XoBolIwX21WIPNM/t+Q/wIAAP//AwBQ&#10;SwECLQAUAAYACAAAACEAtoM4kv4AAADhAQAAEwAAAAAAAAAAAAAAAAAAAAAAW0NvbnRlbnRfVHlw&#10;ZXNdLnhtbFBLAQItABQABgAIAAAAIQA4/SH/1gAAAJQBAAALAAAAAAAAAAAAAAAAAC8BAABfcmVs&#10;cy8ucmVsc1BLAQItABQABgAIAAAAIQC8cNyU8AEAAMMDAAAOAAAAAAAAAAAAAAAAAC4CAABkcnMv&#10;ZTJvRG9jLnhtbFBLAQItABQABgAIAAAAIQAyJy3g4AAAAAsBAAAPAAAAAAAAAAAAAAAAAEoEAABk&#10;cnMvZG93bnJldi54bWxQSwUGAAAAAAQABADzAAAAVwUAAAAA&#10;" filled="f" stroked="f">
                <v:textbox inset="0,0,0,0">
                  <w:txbxContent>
                    <w:p w14:paraId="0CF337A4"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69AA45CC" w14:textId="77777777" w:rsidR="00490F33" w:rsidRDefault="00490F33">
                      <w:pPr>
                        <w:spacing w:line="425" w:lineRule="exact"/>
                        <w:textAlignment w:val="baseline"/>
                        <w:rPr>
                          <w:rFonts w:ascii="Tahoma" w:eastAsia="Tahoma" w:hAnsi="Tahoma"/>
                          <w:color w:val="BF5B1F"/>
                          <w:spacing w:val="13"/>
                          <w:w w:val="95"/>
                          <w:sz w:val="38"/>
                        </w:rPr>
                      </w:pPr>
                      <w:r>
                        <w:rPr>
                          <w:rFonts w:ascii="Tahoma" w:eastAsia="Tahoma" w:hAnsi="Tahoma"/>
                          <w:color w:val="BF5B1F"/>
                          <w:spacing w:val="13"/>
                          <w:w w:val="95"/>
                          <w:sz w:val="38"/>
                        </w:rPr>
                        <w:t>ONLINE LITERACY</w:t>
                      </w:r>
                    </w:p>
                    <w:p w14:paraId="44449E4B" w14:textId="77777777" w:rsidR="00490F33" w:rsidRDefault="00490F33">
                      <w:pPr>
                        <w:spacing w:line="460" w:lineRule="exact"/>
                        <w:textAlignment w:val="baseline"/>
                        <w:rPr>
                          <w:rFonts w:ascii="Tahoma" w:eastAsia="Tahoma" w:hAnsi="Tahoma"/>
                          <w:color w:val="BF5B1F"/>
                          <w:spacing w:val="28"/>
                          <w:w w:val="95"/>
                          <w:sz w:val="38"/>
                        </w:rPr>
                      </w:pPr>
                      <w:r>
                        <w:rPr>
                          <w:rFonts w:ascii="Tahoma" w:eastAsia="Tahoma" w:hAnsi="Tahoma"/>
                          <w:color w:val="BF5B1F"/>
                          <w:spacing w:val="28"/>
                          <w:w w:val="95"/>
                          <w:sz w:val="38"/>
                        </w:rPr>
                        <w:t>AND NUMERACY</w:t>
                      </w:r>
                    </w:p>
                    <w:p w14:paraId="17796E67" w14:textId="77777777" w:rsidR="00490F33" w:rsidRDefault="00490F33">
                      <w:pPr>
                        <w:spacing w:before="1" w:line="46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ASSESSMENT,</w:t>
                      </w:r>
                    </w:p>
                    <w:p w14:paraId="288D2003" w14:textId="77777777" w:rsidR="00490F33" w:rsidRDefault="00490F33">
                      <w:pPr>
                        <w:spacing w:before="1" w:line="45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WESTERN AUSTRALIA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1616" behindDoc="1" locked="0" layoutInCell="1" allowOverlap="1" wp14:anchorId="33D2FCCB" wp14:editId="4038BA95">
                <wp:simplePos x="0" y="0"/>
                <wp:positionH relativeFrom="page">
                  <wp:posOffset>4182110</wp:posOffset>
                </wp:positionH>
                <wp:positionV relativeFrom="page">
                  <wp:posOffset>1974215</wp:posOffset>
                </wp:positionV>
                <wp:extent cx="2465705" cy="2133600"/>
                <wp:effectExtent l="0" t="0" r="0" b="0"/>
                <wp:wrapSquare wrapText="bothSides"/>
                <wp:docPr id="953"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A7549" w14:textId="77777777" w:rsidR="00490F33" w:rsidRDefault="00490F33">
                            <w:pPr>
                              <w:spacing w:line="239" w:lineRule="exact"/>
                              <w:textAlignment w:val="baseline"/>
                              <w:rPr>
                                <w:rFonts w:ascii="Tahoma" w:eastAsia="Tahoma" w:hAnsi="Tahoma"/>
                                <w:color w:val="404042"/>
                                <w:spacing w:val="4"/>
                                <w:sz w:val="18"/>
                              </w:rPr>
                            </w:pPr>
                            <w:r>
                              <w:rPr>
                                <w:rFonts w:ascii="Tahoma" w:eastAsia="Tahoma" w:hAnsi="Tahoma"/>
                                <w:color w:val="404042"/>
                                <w:spacing w:val="4"/>
                                <w:sz w:val="18"/>
                              </w:rPr>
                              <w:t>Students who</w:t>
                            </w:r>
                            <w:r>
                              <w:rPr>
                                <w:rFonts w:ascii="Tahoma" w:eastAsia="Tahoma" w:hAnsi="Tahoma"/>
                                <w:color w:val="464140"/>
                                <w:spacing w:val="4"/>
                                <w:sz w:val="18"/>
                              </w:rPr>
                              <w:t xml:space="preserve"> do not meet the required standard</w:t>
                            </w:r>
                            <w:r>
                              <w:rPr>
                                <w:rFonts w:ascii="Tahoma" w:eastAsia="Tahoma" w:hAnsi="Tahoma"/>
                                <w:color w:val="404042"/>
                                <w:spacing w:val="4"/>
                                <w:sz w:val="18"/>
                              </w:rPr>
                              <w:t xml:space="preserve"> before</w:t>
                            </w:r>
                            <w:r>
                              <w:rPr>
                                <w:rFonts w:ascii="Tahoma" w:eastAsia="Tahoma" w:hAnsi="Tahoma"/>
                                <w:color w:val="464140"/>
                                <w:spacing w:val="4"/>
                                <w:sz w:val="18"/>
                              </w:rPr>
                              <w:t xml:space="preserve"> they leave Year 12 will still receive</w:t>
                            </w:r>
                            <w:r>
                              <w:rPr>
                                <w:rFonts w:ascii="Tahoma" w:eastAsia="Tahoma" w:hAnsi="Tahoma"/>
                                <w:color w:val="404042"/>
                                <w:spacing w:val="4"/>
                                <w:sz w:val="18"/>
                              </w:rPr>
                              <w:t xml:space="preserve"> a Western</w:t>
                            </w:r>
                            <w:r>
                              <w:rPr>
                                <w:rFonts w:ascii="Tahoma" w:eastAsia="Tahoma" w:hAnsi="Tahoma"/>
                                <w:color w:val="464140"/>
                                <w:spacing w:val="4"/>
                                <w:sz w:val="18"/>
                              </w:rPr>
                              <w:t xml:space="preserve"> Australian Statement of Student</w:t>
                            </w:r>
                            <w:r>
                              <w:rPr>
                                <w:rFonts w:ascii="Tahoma" w:eastAsia="Tahoma" w:hAnsi="Tahoma"/>
                                <w:color w:val="404042"/>
                                <w:spacing w:val="4"/>
                                <w:sz w:val="18"/>
                              </w:rPr>
                              <w:t xml:space="preserve"> Achievement</w:t>
                            </w:r>
                            <w:r>
                              <w:rPr>
                                <w:rFonts w:ascii="Tahoma" w:eastAsia="Tahoma" w:hAnsi="Tahoma"/>
                                <w:color w:val="464140"/>
                                <w:spacing w:val="4"/>
                                <w:sz w:val="18"/>
                              </w:rPr>
                              <w:t xml:space="preserve"> (WASSA), which provides a</w:t>
                            </w:r>
                            <w:r>
                              <w:rPr>
                                <w:rFonts w:ascii="Tahoma" w:eastAsia="Tahoma" w:hAnsi="Tahoma"/>
                                <w:color w:val="404042"/>
                                <w:spacing w:val="4"/>
                                <w:sz w:val="18"/>
                              </w:rPr>
                              <w:t xml:space="preserve"> formal</w:t>
                            </w:r>
                            <w:r>
                              <w:rPr>
                                <w:rFonts w:ascii="Tahoma" w:eastAsia="Tahoma" w:hAnsi="Tahoma"/>
                                <w:color w:val="464140"/>
                                <w:spacing w:val="4"/>
                                <w:sz w:val="18"/>
                              </w:rPr>
                              <w:t xml:space="preserve"> r</w:t>
                            </w:r>
                            <w:r>
                              <w:rPr>
                                <w:rFonts w:ascii="Tahoma" w:eastAsia="Tahoma" w:hAnsi="Tahoma"/>
                                <w:color w:val="464140"/>
                                <w:spacing w:val="4"/>
                                <w:sz w:val="18"/>
                                <w:u w:val="single"/>
                              </w:rPr>
                              <w:t>ecord of what they ha</w:t>
                            </w:r>
                            <w:r>
                              <w:rPr>
                                <w:rFonts w:ascii="Tahoma" w:eastAsia="Tahoma" w:hAnsi="Tahoma"/>
                                <w:color w:val="464140"/>
                                <w:spacing w:val="4"/>
                                <w:sz w:val="18"/>
                              </w:rPr>
                              <w:t>ve</w:t>
                            </w:r>
                            <w:r>
                              <w:rPr>
                                <w:rFonts w:ascii="Tahoma" w:eastAsia="Tahoma" w:hAnsi="Tahoma"/>
                                <w:color w:val="464140"/>
                                <w:spacing w:val="4"/>
                                <w:sz w:val="18"/>
                                <w:u w:val="single"/>
                              </w:rPr>
                              <w:t xml:space="preserve"> </w:t>
                            </w:r>
                            <w:r>
                              <w:rPr>
                                <w:rFonts w:ascii="Tahoma" w:eastAsia="Tahoma" w:hAnsi="Tahoma"/>
                                <w:color w:val="464140"/>
                                <w:spacing w:val="4"/>
                                <w:sz w:val="18"/>
                              </w:rPr>
                              <w:t>achieved</w:t>
                            </w:r>
                            <w:r>
                              <w:rPr>
                                <w:rFonts w:ascii="Tahoma" w:eastAsia="Tahoma" w:hAnsi="Tahoma"/>
                                <w:color w:val="404042"/>
                                <w:spacing w:val="4"/>
                                <w:sz w:val="18"/>
                              </w:rPr>
                              <w:t xml:space="preserve"> during their secondary schooling. </w:t>
                            </w:r>
                            <w:r>
                              <w:rPr>
                                <w:rFonts w:ascii="Tahoma" w:eastAsia="Tahoma" w:hAnsi="Tahoma"/>
                                <w:color w:val="464140"/>
                                <w:spacing w:val="4"/>
                                <w:sz w:val="18"/>
                              </w:rPr>
                              <w:t>The WA</w:t>
                            </w:r>
                            <w:r>
                              <w:rPr>
                                <w:rFonts w:ascii="Tahoma" w:eastAsia="Tahoma" w:hAnsi="Tahoma"/>
                                <w:color w:val="404042"/>
                                <w:spacing w:val="4"/>
                                <w:sz w:val="18"/>
                              </w:rPr>
                              <w:t xml:space="preserve"> School Curriculum and Standards </w:t>
                            </w:r>
                            <w:r>
                              <w:rPr>
                                <w:rFonts w:ascii="Tahoma" w:eastAsia="Tahoma" w:hAnsi="Tahoma"/>
                                <w:color w:val="464140"/>
                                <w:spacing w:val="4"/>
                                <w:sz w:val="18"/>
                              </w:rPr>
                              <w:t>Authority</w:t>
                            </w:r>
                            <w:r>
                              <w:rPr>
                                <w:rFonts w:ascii="Tahoma" w:eastAsia="Tahoma" w:hAnsi="Tahoma"/>
                                <w:color w:val="404042"/>
                                <w:spacing w:val="4"/>
                                <w:sz w:val="18"/>
                              </w:rPr>
                              <w:t xml:space="preserve"> will</w:t>
                            </w:r>
                            <w:r>
                              <w:rPr>
                                <w:rFonts w:ascii="Tahoma" w:eastAsia="Tahoma" w:hAnsi="Tahoma"/>
                                <w:color w:val="464140"/>
                                <w:spacing w:val="4"/>
                                <w:sz w:val="18"/>
                              </w:rPr>
                              <w:t xml:space="preserve"> provide opportunities for</w:t>
                            </w:r>
                            <w:r>
                              <w:rPr>
                                <w:rFonts w:ascii="Tahoma" w:eastAsia="Tahoma" w:hAnsi="Tahoma"/>
                                <w:color w:val="404042"/>
                                <w:spacing w:val="4"/>
                                <w:sz w:val="18"/>
                              </w:rPr>
                              <w:t xml:space="preserve"> these </w:t>
                            </w:r>
                            <w:r>
                              <w:rPr>
                                <w:rFonts w:ascii="Tahoma" w:eastAsia="Tahoma" w:hAnsi="Tahoma"/>
                                <w:color w:val="464140"/>
                                <w:spacing w:val="4"/>
                                <w:sz w:val="18"/>
                              </w:rPr>
                              <w:t>students</w:t>
                            </w:r>
                            <w:r>
                              <w:rPr>
                                <w:rFonts w:ascii="Tahoma" w:eastAsia="Tahoma" w:hAnsi="Tahoma"/>
                                <w:color w:val="404042"/>
                                <w:spacing w:val="4"/>
                                <w:sz w:val="18"/>
                              </w:rPr>
                              <w:t xml:space="preserve"> to sit</w:t>
                            </w:r>
                            <w:r>
                              <w:rPr>
                                <w:rFonts w:ascii="Tahoma" w:eastAsia="Tahoma" w:hAnsi="Tahoma"/>
                                <w:color w:val="464140"/>
                                <w:spacing w:val="4"/>
                                <w:sz w:val="18"/>
                              </w:rPr>
                              <w:t xml:space="preserve"> the relevant components during</w:t>
                            </w:r>
                            <w:r>
                              <w:rPr>
                                <w:rFonts w:ascii="Tahoma" w:eastAsia="Tahoma" w:hAnsi="Tahoma"/>
                                <w:color w:val="404042"/>
                                <w:spacing w:val="4"/>
                                <w:sz w:val="18"/>
                              </w:rPr>
                              <w:t xml:space="preserve"> any</w:t>
                            </w:r>
                            <w:r>
                              <w:rPr>
                                <w:rFonts w:ascii="Tahoma" w:eastAsia="Tahoma" w:hAnsi="Tahoma"/>
                                <w:color w:val="464140"/>
                                <w:spacing w:val="4"/>
                                <w:sz w:val="18"/>
                              </w:rPr>
                              <w:t xml:space="preserve"> future rounds of the OLNA. When </w:t>
                            </w:r>
                            <w:r>
                              <w:rPr>
                                <w:rFonts w:ascii="Tahoma" w:eastAsia="Tahoma" w:hAnsi="Tahoma"/>
                                <w:color w:val="404042"/>
                                <w:spacing w:val="4"/>
                                <w:sz w:val="18"/>
                              </w:rPr>
                              <w:t>students have</w:t>
                            </w:r>
                            <w:r>
                              <w:rPr>
                                <w:rFonts w:ascii="Tahoma" w:eastAsia="Tahoma" w:hAnsi="Tahoma"/>
                                <w:color w:val="464140"/>
                                <w:spacing w:val="4"/>
                                <w:sz w:val="18"/>
                              </w:rPr>
                              <w:t xml:space="preserve"> demonstrated the standards and</w:t>
                            </w:r>
                            <w:r>
                              <w:rPr>
                                <w:rFonts w:ascii="Tahoma" w:eastAsia="Tahoma" w:hAnsi="Tahoma"/>
                                <w:color w:val="404042"/>
                                <w:spacing w:val="4"/>
                                <w:sz w:val="18"/>
                              </w:rPr>
                              <w:t xml:space="preserve"> they</w:t>
                            </w:r>
                            <w:r>
                              <w:rPr>
                                <w:rFonts w:ascii="Tahoma" w:eastAsia="Tahoma" w:hAnsi="Tahoma"/>
                                <w:color w:val="464140"/>
                                <w:spacing w:val="4"/>
                                <w:sz w:val="18"/>
                              </w:rPr>
                              <w:t xml:space="preserve"> have met all the other requirements </w:t>
                            </w:r>
                            <w:r>
                              <w:rPr>
                                <w:rFonts w:ascii="Tahoma" w:eastAsia="Tahoma" w:hAnsi="Tahoma"/>
                                <w:color w:val="404042"/>
                                <w:spacing w:val="4"/>
                                <w:sz w:val="18"/>
                              </w:rPr>
                              <w:t>of the</w:t>
                            </w:r>
                            <w:r>
                              <w:rPr>
                                <w:rFonts w:ascii="Tahoma" w:eastAsia="Tahoma" w:hAnsi="Tahoma"/>
                                <w:color w:val="464140"/>
                                <w:spacing w:val="4"/>
                                <w:sz w:val="18"/>
                              </w:rPr>
                              <w:t xml:space="preserve"> WACE in that year, they will be awarded </w:t>
                            </w:r>
                            <w:r>
                              <w:rPr>
                                <w:rFonts w:ascii="Tahoma" w:eastAsia="Tahoma" w:hAnsi="Tahoma"/>
                                <w:color w:val="404042"/>
                                <w:spacing w:val="4"/>
                                <w:sz w:val="18"/>
                              </w:rPr>
                              <w:t>a WACE.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2FCCB" id="Text Box 674" o:spid="_x0000_s1039" type="#_x0000_t202" style="position:absolute;margin-left:329.3pt;margin-top:155.45pt;width:194.15pt;height:168pt;z-index:-25200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46B8gEAAMMDAAAOAAAAZHJzL2Uyb0RvYy54bWysU21v0zAQ/o7Ef7D8nSZt1w6iptPYNIQ0&#10;BtLGD7g6TmOR+MzZbTJ+PWenKQO+Ib5Y53t5/Nxz583V0LXiqMkbtKWcz3IptFVYGbsv5denuzdv&#10;pfABbAUtWl3KZ+3l1fb1q03vCr3ABttKk2AQ64velbIJwRVZ5lWjO/AzdNpysEbqIPCV9llF0DN6&#10;12aLPF9nPVLlCJX2nr23Y1BuE35daxU+17XXQbSlZG4hnZTOXTyz7QaKPYFrjDrRgH9g0YGx/OgZ&#10;6hYCiAOZv6A6owg91mGmsMuwro3SqQfuZp7/0c1jA06nXlgc784y+f8Hqx6OX0iYqpTvVkspLHQ8&#10;pCc9BPEeB7G+vIgK9c4XnPjoODUMHOBJp269u0f1zQuLNw3Yvb4mwr7RUDHDeazMXpSOOD6C7PpP&#10;WPFDcAiYgIaauigfCyIYnSf1fJ5OJKPYubhYry7zlRSKY4v5crnO0/wyKKZyRz580NiJaJSSePwJ&#10;Ho73PkQ6UEwp8TWLd6Zt0wq09jcHJ0ZPoh8Zj9zDsBuSVvPlJMsOq2duiHDcLP4JbDRIP6ToeatK&#10;6b8fgLQU7UfLosQVnAyajN1kgFVcWsogxWjehHFVD47MvmHkUXaL1yxcbVJLUeGRxYkvb0rq9LTV&#10;cRVf3lPWr7+3/QkAAP//AwBQSwMEFAAGAAgAAAAhAD5wGwPfAAAADAEAAA8AAABkcnMvZG93bnJl&#10;di54bWxMj81OwzAQhO9IvIO1SNyoXX6sNsSpKgQnJEQaDhydeJtYjdchdtvw9jincpvVfJqdyTeT&#10;69kJx2A9KVguBDCkxhtLrYKv6u1uBSxETUb3nlDBLwbYFNdXuc6MP1OJp11sWQqhkGkFXYxDxnlo&#10;OnQ6LPyAlLy9H52O6RxbbkZ9TuGu5/dCSO60pfSh0wO+dNgcdkenYPtN5av9+ag/y31pq2ot6F0e&#10;lLq9mbbPwCJO8QLDXD9VhyJ1qv2RTGC9Avm0kglV8LAUa2AzIR5lUnXyZsGLnP8fUfwBAAD//wMA&#10;UEsBAi0AFAAGAAgAAAAhALaDOJL+AAAA4QEAABMAAAAAAAAAAAAAAAAAAAAAAFtDb250ZW50X1R5&#10;cGVzXS54bWxQSwECLQAUAAYACAAAACEAOP0h/9YAAACUAQAACwAAAAAAAAAAAAAAAAAvAQAAX3Jl&#10;bHMvLnJlbHNQSwECLQAUAAYACAAAACEA43+OgfIBAADDAwAADgAAAAAAAAAAAAAAAAAuAgAAZHJz&#10;L2Uyb0RvYy54bWxQSwECLQAUAAYACAAAACEAPnAbA98AAAAMAQAADwAAAAAAAAAAAAAAAABMBAAA&#10;ZHJzL2Rvd25yZXYueG1sUEsFBgAAAAAEAAQA8wAAAFgFAAAAAA==&#10;" filled="f" stroked="f">
                <v:textbox inset="0,0,0,0">
                  <w:txbxContent>
                    <w:p w14:paraId="4FFA7549" w14:textId="77777777" w:rsidR="00490F33" w:rsidRDefault="00490F33">
                      <w:pPr>
                        <w:spacing w:line="239" w:lineRule="exact"/>
                        <w:textAlignment w:val="baseline"/>
                        <w:rPr>
                          <w:rFonts w:ascii="Tahoma" w:eastAsia="Tahoma" w:hAnsi="Tahoma"/>
                          <w:color w:val="404042"/>
                          <w:spacing w:val="4"/>
                          <w:sz w:val="18"/>
                        </w:rPr>
                      </w:pPr>
                      <w:r>
                        <w:rPr>
                          <w:rFonts w:ascii="Tahoma" w:eastAsia="Tahoma" w:hAnsi="Tahoma"/>
                          <w:color w:val="404042"/>
                          <w:spacing w:val="4"/>
                          <w:sz w:val="18"/>
                        </w:rPr>
                        <w:t>Students who</w:t>
                      </w:r>
                      <w:r>
                        <w:rPr>
                          <w:rFonts w:ascii="Tahoma" w:eastAsia="Tahoma" w:hAnsi="Tahoma"/>
                          <w:color w:val="464140"/>
                          <w:spacing w:val="4"/>
                          <w:sz w:val="18"/>
                        </w:rPr>
                        <w:t xml:space="preserve"> do not meet the required standard</w:t>
                      </w:r>
                      <w:r>
                        <w:rPr>
                          <w:rFonts w:ascii="Tahoma" w:eastAsia="Tahoma" w:hAnsi="Tahoma"/>
                          <w:color w:val="404042"/>
                          <w:spacing w:val="4"/>
                          <w:sz w:val="18"/>
                        </w:rPr>
                        <w:t xml:space="preserve"> before</w:t>
                      </w:r>
                      <w:r>
                        <w:rPr>
                          <w:rFonts w:ascii="Tahoma" w:eastAsia="Tahoma" w:hAnsi="Tahoma"/>
                          <w:color w:val="464140"/>
                          <w:spacing w:val="4"/>
                          <w:sz w:val="18"/>
                        </w:rPr>
                        <w:t xml:space="preserve"> they leave Year 12 will still receive</w:t>
                      </w:r>
                      <w:r>
                        <w:rPr>
                          <w:rFonts w:ascii="Tahoma" w:eastAsia="Tahoma" w:hAnsi="Tahoma"/>
                          <w:color w:val="404042"/>
                          <w:spacing w:val="4"/>
                          <w:sz w:val="18"/>
                        </w:rPr>
                        <w:t xml:space="preserve"> a Western</w:t>
                      </w:r>
                      <w:r>
                        <w:rPr>
                          <w:rFonts w:ascii="Tahoma" w:eastAsia="Tahoma" w:hAnsi="Tahoma"/>
                          <w:color w:val="464140"/>
                          <w:spacing w:val="4"/>
                          <w:sz w:val="18"/>
                        </w:rPr>
                        <w:t xml:space="preserve"> Australian Statement of Student</w:t>
                      </w:r>
                      <w:r>
                        <w:rPr>
                          <w:rFonts w:ascii="Tahoma" w:eastAsia="Tahoma" w:hAnsi="Tahoma"/>
                          <w:color w:val="404042"/>
                          <w:spacing w:val="4"/>
                          <w:sz w:val="18"/>
                        </w:rPr>
                        <w:t xml:space="preserve"> Achievement</w:t>
                      </w:r>
                      <w:r>
                        <w:rPr>
                          <w:rFonts w:ascii="Tahoma" w:eastAsia="Tahoma" w:hAnsi="Tahoma"/>
                          <w:color w:val="464140"/>
                          <w:spacing w:val="4"/>
                          <w:sz w:val="18"/>
                        </w:rPr>
                        <w:t xml:space="preserve"> (WASSA), which provides a</w:t>
                      </w:r>
                      <w:r>
                        <w:rPr>
                          <w:rFonts w:ascii="Tahoma" w:eastAsia="Tahoma" w:hAnsi="Tahoma"/>
                          <w:color w:val="404042"/>
                          <w:spacing w:val="4"/>
                          <w:sz w:val="18"/>
                        </w:rPr>
                        <w:t xml:space="preserve"> formal</w:t>
                      </w:r>
                      <w:r>
                        <w:rPr>
                          <w:rFonts w:ascii="Tahoma" w:eastAsia="Tahoma" w:hAnsi="Tahoma"/>
                          <w:color w:val="464140"/>
                          <w:spacing w:val="4"/>
                          <w:sz w:val="18"/>
                        </w:rPr>
                        <w:t xml:space="preserve"> r</w:t>
                      </w:r>
                      <w:r>
                        <w:rPr>
                          <w:rFonts w:ascii="Tahoma" w:eastAsia="Tahoma" w:hAnsi="Tahoma"/>
                          <w:color w:val="464140"/>
                          <w:spacing w:val="4"/>
                          <w:sz w:val="18"/>
                          <w:u w:val="single"/>
                        </w:rPr>
                        <w:t>ecord of what they ha</w:t>
                      </w:r>
                      <w:r>
                        <w:rPr>
                          <w:rFonts w:ascii="Tahoma" w:eastAsia="Tahoma" w:hAnsi="Tahoma"/>
                          <w:color w:val="464140"/>
                          <w:spacing w:val="4"/>
                          <w:sz w:val="18"/>
                        </w:rPr>
                        <w:t>ve</w:t>
                      </w:r>
                      <w:r>
                        <w:rPr>
                          <w:rFonts w:ascii="Tahoma" w:eastAsia="Tahoma" w:hAnsi="Tahoma"/>
                          <w:color w:val="464140"/>
                          <w:spacing w:val="4"/>
                          <w:sz w:val="18"/>
                          <w:u w:val="single"/>
                        </w:rPr>
                        <w:t xml:space="preserve"> </w:t>
                      </w:r>
                      <w:r>
                        <w:rPr>
                          <w:rFonts w:ascii="Tahoma" w:eastAsia="Tahoma" w:hAnsi="Tahoma"/>
                          <w:color w:val="464140"/>
                          <w:spacing w:val="4"/>
                          <w:sz w:val="18"/>
                        </w:rPr>
                        <w:t>achieved</w:t>
                      </w:r>
                      <w:r>
                        <w:rPr>
                          <w:rFonts w:ascii="Tahoma" w:eastAsia="Tahoma" w:hAnsi="Tahoma"/>
                          <w:color w:val="404042"/>
                          <w:spacing w:val="4"/>
                          <w:sz w:val="18"/>
                        </w:rPr>
                        <w:t xml:space="preserve"> during their secondary schooling. </w:t>
                      </w:r>
                      <w:r>
                        <w:rPr>
                          <w:rFonts w:ascii="Tahoma" w:eastAsia="Tahoma" w:hAnsi="Tahoma"/>
                          <w:color w:val="464140"/>
                          <w:spacing w:val="4"/>
                          <w:sz w:val="18"/>
                        </w:rPr>
                        <w:t>The WA</w:t>
                      </w:r>
                      <w:r>
                        <w:rPr>
                          <w:rFonts w:ascii="Tahoma" w:eastAsia="Tahoma" w:hAnsi="Tahoma"/>
                          <w:color w:val="404042"/>
                          <w:spacing w:val="4"/>
                          <w:sz w:val="18"/>
                        </w:rPr>
                        <w:t xml:space="preserve"> School Curriculum and Standards </w:t>
                      </w:r>
                      <w:r>
                        <w:rPr>
                          <w:rFonts w:ascii="Tahoma" w:eastAsia="Tahoma" w:hAnsi="Tahoma"/>
                          <w:color w:val="464140"/>
                          <w:spacing w:val="4"/>
                          <w:sz w:val="18"/>
                        </w:rPr>
                        <w:t>Authority</w:t>
                      </w:r>
                      <w:r>
                        <w:rPr>
                          <w:rFonts w:ascii="Tahoma" w:eastAsia="Tahoma" w:hAnsi="Tahoma"/>
                          <w:color w:val="404042"/>
                          <w:spacing w:val="4"/>
                          <w:sz w:val="18"/>
                        </w:rPr>
                        <w:t xml:space="preserve"> will</w:t>
                      </w:r>
                      <w:r>
                        <w:rPr>
                          <w:rFonts w:ascii="Tahoma" w:eastAsia="Tahoma" w:hAnsi="Tahoma"/>
                          <w:color w:val="464140"/>
                          <w:spacing w:val="4"/>
                          <w:sz w:val="18"/>
                        </w:rPr>
                        <w:t xml:space="preserve"> provide opportunities for</w:t>
                      </w:r>
                      <w:r>
                        <w:rPr>
                          <w:rFonts w:ascii="Tahoma" w:eastAsia="Tahoma" w:hAnsi="Tahoma"/>
                          <w:color w:val="404042"/>
                          <w:spacing w:val="4"/>
                          <w:sz w:val="18"/>
                        </w:rPr>
                        <w:t xml:space="preserve"> these </w:t>
                      </w:r>
                      <w:r>
                        <w:rPr>
                          <w:rFonts w:ascii="Tahoma" w:eastAsia="Tahoma" w:hAnsi="Tahoma"/>
                          <w:color w:val="464140"/>
                          <w:spacing w:val="4"/>
                          <w:sz w:val="18"/>
                        </w:rPr>
                        <w:t>students</w:t>
                      </w:r>
                      <w:r>
                        <w:rPr>
                          <w:rFonts w:ascii="Tahoma" w:eastAsia="Tahoma" w:hAnsi="Tahoma"/>
                          <w:color w:val="404042"/>
                          <w:spacing w:val="4"/>
                          <w:sz w:val="18"/>
                        </w:rPr>
                        <w:t xml:space="preserve"> to sit</w:t>
                      </w:r>
                      <w:r>
                        <w:rPr>
                          <w:rFonts w:ascii="Tahoma" w:eastAsia="Tahoma" w:hAnsi="Tahoma"/>
                          <w:color w:val="464140"/>
                          <w:spacing w:val="4"/>
                          <w:sz w:val="18"/>
                        </w:rPr>
                        <w:t xml:space="preserve"> the relevant components during</w:t>
                      </w:r>
                      <w:r>
                        <w:rPr>
                          <w:rFonts w:ascii="Tahoma" w:eastAsia="Tahoma" w:hAnsi="Tahoma"/>
                          <w:color w:val="404042"/>
                          <w:spacing w:val="4"/>
                          <w:sz w:val="18"/>
                        </w:rPr>
                        <w:t xml:space="preserve"> any</w:t>
                      </w:r>
                      <w:r>
                        <w:rPr>
                          <w:rFonts w:ascii="Tahoma" w:eastAsia="Tahoma" w:hAnsi="Tahoma"/>
                          <w:color w:val="464140"/>
                          <w:spacing w:val="4"/>
                          <w:sz w:val="18"/>
                        </w:rPr>
                        <w:t xml:space="preserve"> future rounds of the OLNA. When </w:t>
                      </w:r>
                      <w:r>
                        <w:rPr>
                          <w:rFonts w:ascii="Tahoma" w:eastAsia="Tahoma" w:hAnsi="Tahoma"/>
                          <w:color w:val="404042"/>
                          <w:spacing w:val="4"/>
                          <w:sz w:val="18"/>
                        </w:rPr>
                        <w:t>students have</w:t>
                      </w:r>
                      <w:r>
                        <w:rPr>
                          <w:rFonts w:ascii="Tahoma" w:eastAsia="Tahoma" w:hAnsi="Tahoma"/>
                          <w:color w:val="464140"/>
                          <w:spacing w:val="4"/>
                          <w:sz w:val="18"/>
                        </w:rPr>
                        <w:t xml:space="preserve"> demonstrated the standards and</w:t>
                      </w:r>
                      <w:r>
                        <w:rPr>
                          <w:rFonts w:ascii="Tahoma" w:eastAsia="Tahoma" w:hAnsi="Tahoma"/>
                          <w:color w:val="404042"/>
                          <w:spacing w:val="4"/>
                          <w:sz w:val="18"/>
                        </w:rPr>
                        <w:t xml:space="preserve"> they</w:t>
                      </w:r>
                      <w:r>
                        <w:rPr>
                          <w:rFonts w:ascii="Tahoma" w:eastAsia="Tahoma" w:hAnsi="Tahoma"/>
                          <w:color w:val="464140"/>
                          <w:spacing w:val="4"/>
                          <w:sz w:val="18"/>
                        </w:rPr>
                        <w:t xml:space="preserve"> have met all the other requirements </w:t>
                      </w:r>
                      <w:r>
                        <w:rPr>
                          <w:rFonts w:ascii="Tahoma" w:eastAsia="Tahoma" w:hAnsi="Tahoma"/>
                          <w:color w:val="404042"/>
                          <w:spacing w:val="4"/>
                          <w:sz w:val="18"/>
                        </w:rPr>
                        <w:t>of the</w:t>
                      </w:r>
                      <w:r>
                        <w:rPr>
                          <w:rFonts w:ascii="Tahoma" w:eastAsia="Tahoma" w:hAnsi="Tahoma"/>
                          <w:color w:val="464140"/>
                          <w:spacing w:val="4"/>
                          <w:sz w:val="18"/>
                        </w:rPr>
                        <w:t xml:space="preserve"> WACE in that year, they will be awarded </w:t>
                      </w:r>
                      <w:r>
                        <w:rPr>
                          <w:rFonts w:ascii="Tahoma" w:eastAsia="Tahoma" w:hAnsi="Tahoma"/>
                          <w:color w:val="404042"/>
                          <w:spacing w:val="4"/>
                          <w:sz w:val="18"/>
                        </w:rPr>
                        <w:t>a WACE.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2640" behindDoc="1" locked="0" layoutInCell="1" allowOverlap="1" wp14:anchorId="5B5AC0DE" wp14:editId="43A5DD37">
                <wp:simplePos x="0" y="0"/>
                <wp:positionH relativeFrom="page">
                  <wp:posOffset>905510</wp:posOffset>
                </wp:positionH>
                <wp:positionV relativeFrom="page">
                  <wp:posOffset>2587625</wp:posOffset>
                </wp:positionV>
                <wp:extent cx="2331720" cy="1523365"/>
                <wp:effectExtent l="0" t="0" r="0" b="0"/>
                <wp:wrapSquare wrapText="bothSides"/>
                <wp:docPr id="952"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152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9B0B5" w14:textId="77777777" w:rsidR="00490F33" w:rsidRDefault="00490F33">
                            <w:pPr>
                              <w:spacing w:line="239" w:lineRule="exact"/>
                              <w:textAlignment w:val="baseline"/>
                              <w:rPr>
                                <w:rFonts w:ascii="Tahoma" w:eastAsia="Tahoma" w:hAnsi="Tahoma"/>
                                <w:color w:val="404042"/>
                                <w:spacing w:val="4"/>
                                <w:sz w:val="18"/>
                              </w:rPr>
                            </w:pPr>
                            <w:r>
                              <w:rPr>
                                <w:rFonts w:ascii="Tahoma" w:eastAsia="Tahoma" w:hAnsi="Tahoma"/>
                                <w:color w:val="404042"/>
                                <w:spacing w:val="4"/>
                                <w:sz w:val="18"/>
                              </w:rPr>
                              <w:t>The Online Literacy and Numeracy Assessment (OLNA) is designed</w:t>
                            </w:r>
                            <w:r>
                              <w:rPr>
                                <w:rFonts w:ascii="Tahoma" w:eastAsia="Tahoma" w:hAnsi="Tahoma"/>
                                <w:color w:val="464140"/>
                                <w:spacing w:val="4"/>
                                <w:sz w:val="18"/>
                              </w:rPr>
                              <w:t xml:space="preserve"> to enable </w:t>
                            </w:r>
                            <w:r>
                              <w:rPr>
                                <w:rFonts w:ascii="Tahoma" w:eastAsia="Tahoma" w:hAnsi="Tahoma"/>
                                <w:color w:val="404042"/>
                                <w:spacing w:val="4"/>
                                <w:sz w:val="18"/>
                              </w:rPr>
                              <w:t>students to successfully demonstrate</w:t>
                            </w:r>
                            <w:r>
                              <w:rPr>
                                <w:rFonts w:ascii="Tahoma" w:eastAsia="Tahoma" w:hAnsi="Tahoma"/>
                                <w:color w:val="464140"/>
                                <w:spacing w:val="4"/>
                                <w:sz w:val="18"/>
                              </w:rPr>
                              <w:t xml:space="preserve"> the </w:t>
                            </w:r>
                            <w:r>
                              <w:rPr>
                                <w:rFonts w:ascii="Tahoma" w:eastAsia="Tahoma" w:hAnsi="Tahoma"/>
                                <w:color w:val="404042"/>
                                <w:spacing w:val="4"/>
                                <w:sz w:val="18"/>
                              </w:rPr>
                              <w:t>Western Australian Certificate of</w:t>
                            </w:r>
                            <w:r>
                              <w:rPr>
                                <w:rFonts w:ascii="Tahoma" w:eastAsia="Tahoma" w:hAnsi="Tahoma"/>
                                <w:color w:val="464140"/>
                                <w:spacing w:val="4"/>
                                <w:sz w:val="18"/>
                              </w:rPr>
                              <w:t xml:space="preserve"> Education </w:t>
                            </w:r>
                            <w:r>
                              <w:rPr>
                                <w:rFonts w:ascii="Tahoma" w:eastAsia="Tahoma" w:hAnsi="Tahoma"/>
                                <w:color w:val="404042"/>
                                <w:spacing w:val="4"/>
                                <w:sz w:val="18"/>
                              </w:rPr>
                              <w:t>(WACE) minimum standard of</w:t>
                            </w:r>
                            <w:r>
                              <w:rPr>
                                <w:rFonts w:ascii="Tahoma" w:eastAsia="Tahoma" w:hAnsi="Tahoma"/>
                                <w:color w:val="464140"/>
                                <w:spacing w:val="4"/>
                                <w:sz w:val="18"/>
                              </w:rPr>
                              <w:t xml:space="preserve"> literacy and </w:t>
                            </w:r>
                            <w:r>
                              <w:rPr>
                                <w:rFonts w:ascii="Tahoma" w:eastAsia="Tahoma" w:hAnsi="Tahoma"/>
                                <w:color w:val="404042"/>
                                <w:spacing w:val="4"/>
                                <w:sz w:val="18"/>
                              </w:rPr>
                              <w:t>numeracy. The standard covers the</w:t>
                            </w:r>
                            <w:r>
                              <w:rPr>
                                <w:rFonts w:ascii="Tahoma" w:eastAsia="Tahoma" w:hAnsi="Tahoma"/>
                                <w:color w:val="464140"/>
                                <w:spacing w:val="4"/>
                                <w:sz w:val="18"/>
                              </w:rPr>
                              <w:t xml:space="preserve"> range </w:t>
                            </w:r>
                            <w:r>
                              <w:rPr>
                                <w:rFonts w:ascii="Tahoma" w:eastAsia="Tahoma" w:hAnsi="Tahoma"/>
                                <w:color w:val="404042"/>
                                <w:spacing w:val="4"/>
                                <w:sz w:val="18"/>
                              </w:rPr>
                              <w:t>of skills regarded as essential to meet the demands of everyday life and work. These skills are described in Level 3 of the Australian Core Skills Framework (ACSF).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C0DE" id="Text Box 673" o:spid="_x0000_s1040" type="#_x0000_t202" style="position:absolute;margin-left:71.3pt;margin-top:203.75pt;width:183.6pt;height:119.95pt;z-index:-25200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v18AEAAMMDAAAOAAAAZHJzL2Uyb0RvYy54bWysU9tu2zAMfR+wfxD0vjhOlnQz4hRdiw4D&#10;ugvQ7gMYWY6F2aJGKbGzrx8lx1m3vQ17ESiSOjw8pDbXQ9eKoyZv0JYyn82l0FZhZey+lF+f7l+9&#10;kcIHsBW0aHUpT9rL6+3LF5veFXqBDbaVJsEg1he9K2UTgiuyzKtGd+Bn6LTlYI3UQeAr7bOKoGf0&#10;rs0W8/k665EqR6i09+y9G4Nym/DrWqvwua69DqItJXML6aR07uKZbTdQ7AlcY9SZBvwDiw6M5aIX&#10;qDsIIA5k/oLqjCL0WIeZwi7DujZKpx64m3z+RzePDTidemFxvLvI5P8frPp0/ELCVKV8u1pIYaHj&#10;IT3pIYh3OIj11TIq1DtfcOKj49QwcIAnnbr17gHVNy8s3jZg9/qGCPtGQ8UM8/gye/Z0xPERZNd/&#10;xIoLwSFgAhpq6qJ8LIhgdJ7U6TKdSEaxc7Fc5lcLDimO5Su+rlepBhTTc0c+vNfYiWiUknj8CR6O&#10;Dz5EOlBMKbGaxXvTtmkFWvubgxOjJ9GPjEfuYdgNSav89STLDqsTN0Q4bhb/BDYapB9S9LxVpfTf&#10;D0BaivaDZVHiCk4GTcZuMsAqflrKIMVo3oZxVQ+OzL5h5FF2izcsXG1SS1HhkcWZL29K6vS81XEV&#10;n99T1q+/t/0JAAD//wMAUEsDBBQABgAIAAAAIQAMkDsa4AAAAAsBAAAPAAAAZHJzL2Rvd25yZXYu&#10;eG1sTI/BTsMwEETvSPyDtUjcqE2VpjTEqSoEJyREGg4cnXibRI3XIXbb8PcsJziO9mn2Tb6d3SDO&#10;OIXek4b7hQKB1HjbU6vho3q5ewARoiFrBk+o4RsDbIvrq9xk1l+oxPM+toJLKGRGQxfjmEkZmg6d&#10;CQs/IvHt4CdnIseplXYyFy53g1wqlUpneuIPnRnxqcPmuD85DbtPKp/7r7f6vTyUfVVtFL2mR61v&#10;b+bdI4iIc/yD4Vef1aFgp9qfyAYxcE6WKaMaErVegWBipTY8ptaQJusEZJHL/xuKHwAAAP//AwBQ&#10;SwECLQAUAAYACAAAACEAtoM4kv4AAADhAQAAEwAAAAAAAAAAAAAAAAAAAAAAW0NvbnRlbnRfVHlw&#10;ZXNdLnhtbFBLAQItABQABgAIAAAAIQA4/SH/1gAAAJQBAAALAAAAAAAAAAAAAAAAAC8BAABfcmVs&#10;cy8ucmVsc1BLAQItABQABgAIAAAAIQDhwdv18AEAAMMDAAAOAAAAAAAAAAAAAAAAAC4CAABkcnMv&#10;ZTJvRG9jLnhtbFBLAQItABQABgAIAAAAIQAMkDsa4AAAAAsBAAAPAAAAAAAAAAAAAAAAAEoEAABk&#10;cnMvZG93bnJldi54bWxQSwUGAAAAAAQABADzAAAAVwUAAAAA&#10;" filled="f" stroked="f">
                <v:textbox inset="0,0,0,0">
                  <w:txbxContent>
                    <w:p w14:paraId="7D59B0B5" w14:textId="77777777" w:rsidR="00490F33" w:rsidRDefault="00490F33">
                      <w:pPr>
                        <w:spacing w:line="239" w:lineRule="exact"/>
                        <w:textAlignment w:val="baseline"/>
                        <w:rPr>
                          <w:rFonts w:ascii="Tahoma" w:eastAsia="Tahoma" w:hAnsi="Tahoma"/>
                          <w:color w:val="404042"/>
                          <w:spacing w:val="4"/>
                          <w:sz w:val="18"/>
                        </w:rPr>
                      </w:pPr>
                      <w:r>
                        <w:rPr>
                          <w:rFonts w:ascii="Tahoma" w:eastAsia="Tahoma" w:hAnsi="Tahoma"/>
                          <w:color w:val="404042"/>
                          <w:spacing w:val="4"/>
                          <w:sz w:val="18"/>
                        </w:rPr>
                        <w:t>The Online Literacy and Numeracy Assessment (OLNA) is designed</w:t>
                      </w:r>
                      <w:r>
                        <w:rPr>
                          <w:rFonts w:ascii="Tahoma" w:eastAsia="Tahoma" w:hAnsi="Tahoma"/>
                          <w:color w:val="464140"/>
                          <w:spacing w:val="4"/>
                          <w:sz w:val="18"/>
                        </w:rPr>
                        <w:t xml:space="preserve"> to enable </w:t>
                      </w:r>
                      <w:r>
                        <w:rPr>
                          <w:rFonts w:ascii="Tahoma" w:eastAsia="Tahoma" w:hAnsi="Tahoma"/>
                          <w:color w:val="404042"/>
                          <w:spacing w:val="4"/>
                          <w:sz w:val="18"/>
                        </w:rPr>
                        <w:t>students to successfully demonstrate</w:t>
                      </w:r>
                      <w:r>
                        <w:rPr>
                          <w:rFonts w:ascii="Tahoma" w:eastAsia="Tahoma" w:hAnsi="Tahoma"/>
                          <w:color w:val="464140"/>
                          <w:spacing w:val="4"/>
                          <w:sz w:val="18"/>
                        </w:rPr>
                        <w:t xml:space="preserve"> the </w:t>
                      </w:r>
                      <w:r>
                        <w:rPr>
                          <w:rFonts w:ascii="Tahoma" w:eastAsia="Tahoma" w:hAnsi="Tahoma"/>
                          <w:color w:val="404042"/>
                          <w:spacing w:val="4"/>
                          <w:sz w:val="18"/>
                        </w:rPr>
                        <w:t>Western Australian Certificate of</w:t>
                      </w:r>
                      <w:r>
                        <w:rPr>
                          <w:rFonts w:ascii="Tahoma" w:eastAsia="Tahoma" w:hAnsi="Tahoma"/>
                          <w:color w:val="464140"/>
                          <w:spacing w:val="4"/>
                          <w:sz w:val="18"/>
                        </w:rPr>
                        <w:t xml:space="preserve"> Education </w:t>
                      </w:r>
                      <w:r>
                        <w:rPr>
                          <w:rFonts w:ascii="Tahoma" w:eastAsia="Tahoma" w:hAnsi="Tahoma"/>
                          <w:color w:val="404042"/>
                          <w:spacing w:val="4"/>
                          <w:sz w:val="18"/>
                        </w:rPr>
                        <w:t>(WACE) minimum standard of</w:t>
                      </w:r>
                      <w:r>
                        <w:rPr>
                          <w:rFonts w:ascii="Tahoma" w:eastAsia="Tahoma" w:hAnsi="Tahoma"/>
                          <w:color w:val="464140"/>
                          <w:spacing w:val="4"/>
                          <w:sz w:val="18"/>
                        </w:rPr>
                        <w:t xml:space="preserve"> literacy and </w:t>
                      </w:r>
                      <w:r>
                        <w:rPr>
                          <w:rFonts w:ascii="Tahoma" w:eastAsia="Tahoma" w:hAnsi="Tahoma"/>
                          <w:color w:val="404042"/>
                          <w:spacing w:val="4"/>
                          <w:sz w:val="18"/>
                        </w:rPr>
                        <w:t>numeracy. The standard covers the</w:t>
                      </w:r>
                      <w:r>
                        <w:rPr>
                          <w:rFonts w:ascii="Tahoma" w:eastAsia="Tahoma" w:hAnsi="Tahoma"/>
                          <w:color w:val="464140"/>
                          <w:spacing w:val="4"/>
                          <w:sz w:val="18"/>
                        </w:rPr>
                        <w:t xml:space="preserve"> range </w:t>
                      </w:r>
                      <w:r>
                        <w:rPr>
                          <w:rFonts w:ascii="Tahoma" w:eastAsia="Tahoma" w:hAnsi="Tahoma"/>
                          <w:color w:val="404042"/>
                          <w:spacing w:val="4"/>
                          <w:sz w:val="18"/>
                        </w:rPr>
                        <w:t>of skills regarded as essential to meet the demands of everyday life and work. These skills are described in Level 3 of the Australian Core Skills Framework (ACSF).</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3664" behindDoc="1" locked="0" layoutInCell="1" allowOverlap="1" wp14:anchorId="4D245548" wp14:editId="05E87DE2">
                <wp:simplePos x="0" y="0"/>
                <wp:positionH relativeFrom="page">
                  <wp:posOffset>905510</wp:posOffset>
                </wp:positionH>
                <wp:positionV relativeFrom="page">
                  <wp:posOffset>4218305</wp:posOffset>
                </wp:positionV>
                <wp:extent cx="2310130" cy="1219200"/>
                <wp:effectExtent l="0" t="0" r="0" b="0"/>
                <wp:wrapSquare wrapText="bothSides"/>
                <wp:docPr id="951"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0D55B" w14:textId="77777777" w:rsidR="00490F33" w:rsidRDefault="00490F33">
                            <w:pPr>
                              <w:spacing w:line="238" w:lineRule="exact"/>
                              <w:textAlignment w:val="baseline"/>
                              <w:rPr>
                                <w:rFonts w:ascii="Tahoma" w:eastAsia="Tahoma" w:hAnsi="Tahoma"/>
                                <w:color w:val="404042"/>
                                <w:spacing w:val="7"/>
                                <w:sz w:val="18"/>
                              </w:rPr>
                            </w:pPr>
                            <w:r>
                              <w:rPr>
                                <w:rFonts w:ascii="Tahoma" w:eastAsia="Tahoma" w:hAnsi="Tahoma"/>
                                <w:color w:val="404042"/>
                                <w:spacing w:val="7"/>
                                <w:sz w:val="18"/>
                              </w:rPr>
                              <w:t>Two opportunities are provided each year – in March and September – for students to sit the OLNA from Year 10, until they have demonstrated the required standard. Students</w:t>
                            </w:r>
                            <w:r>
                              <w:rPr>
                                <w:rFonts w:ascii="Tahoma" w:eastAsia="Tahoma" w:hAnsi="Tahoma"/>
                                <w:color w:val="464140"/>
                                <w:spacing w:val="7"/>
                                <w:sz w:val="18"/>
                              </w:rPr>
                              <w:t xml:space="preserve"> have a total of up to </w:t>
                            </w:r>
                            <w:r>
                              <w:rPr>
                                <w:rFonts w:ascii="Tahoma" w:eastAsia="Tahoma" w:hAnsi="Tahoma"/>
                                <w:color w:val="404042"/>
                                <w:spacing w:val="7"/>
                                <w:sz w:val="18"/>
                              </w:rPr>
                              <w:t>six opportunities</w:t>
                            </w:r>
                            <w:r>
                              <w:rPr>
                                <w:rFonts w:ascii="Tahoma" w:eastAsia="Tahoma" w:hAnsi="Tahoma"/>
                                <w:color w:val="464140"/>
                                <w:spacing w:val="7"/>
                                <w:sz w:val="18"/>
                              </w:rPr>
                              <w:t xml:space="preserve"> before the end of Year 12 </w:t>
                            </w:r>
                            <w:r>
                              <w:rPr>
                                <w:rFonts w:ascii="Tahoma" w:eastAsia="Tahoma" w:hAnsi="Tahoma"/>
                                <w:color w:val="404042"/>
                                <w:spacing w:val="7"/>
                                <w:sz w:val="18"/>
                              </w:rPr>
                              <w:t>to demonstrate</w:t>
                            </w:r>
                            <w:r>
                              <w:rPr>
                                <w:rFonts w:ascii="Tahoma" w:eastAsia="Tahoma" w:hAnsi="Tahoma"/>
                                <w:color w:val="464140"/>
                                <w:spacing w:val="7"/>
                                <w:sz w:val="18"/>
                              </w:rPr>
                              <w:t xml:space="preserve"> the minimum literacy and </w:t>
                            </w:r>
                            <w:r>
                              <w:rPr>
                                <w:rFonts w:ascii="Tahoma" w:eastAsia="Tahoma" w:hAnsi="Tahoma"/>
                                <w:color w:val="404042"/>
                                <w:spacing w:val="7"/>
                                <w:sz w:val="18"/>
                              </w:rPr>
                              <w:t>numeracy</w:t>
                            </w:r>
                            <w:r>
                              <w:rPr>
                                <w:rFonts w:ascii="Tahoma" w:eastAsia="Tahoma" w:hAnsi="Tahoma"/>
                                <w:color w:val="464140"/>
                                <w:spacing w:val="7"/>
                                <w:sz w:val="18"/>
                              </w:rPr>
                              <w:t xml:space="preserve"> requirement.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45548" id="Text Box 672" o:spid="_x0000_s1041" type="#_x0000_t202" style="position:absolute;margin-left:71.3pt;margin-top:332.15pt;width:181.9pt;height:96pt;z-index:-25200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Y5Z8AEAAMMDAAAOAAAAZHJzL2Uyb0RvYy54bWysU8Fu2zAMvQ/YPwi6L45TtFuNOEXXosOA&#10;bh3Q7gNoWY6F2aJGKbGzrx8lx1m33YpeBIqkHh8fqfXV2Hdir8kbtKXMF0sptFVYG7st5fenu3cf&#10;pPABbA0dWl3Kg/byavP2zXpwhV5hi12tSTCI9cXgStmG4Ios86rVPfgFOm052CD1EPhK26wmGBi9&#10;77LVcnmRDUi1I1Tae/beTkG5SfhNo1V4aBqvg+hKydxCOimdVTyzzRqKLYFrjTrSgBew6MFYLnqC&#10;uoUAYkfmP6jeKEKPTVgo7DNsGqN06oG7yZf/dPPYgtOpFxbHu5NM/vVg1df9NxKmLuXleS6FhZ6H&#10;9KTHID7iKC7er6JCg/MFJz46Tg0jB3jSqVvv7lH98MLiTQt2q6+JcGg11Mwwjy+zZ08nHB9BquEL&#10;1lwIdgET0NhQH+VjQQSj86QOp+lEMoqdq7N8mZ9xSHEsX+WXPP9UA4r5uSMfPmnsRTRKSTz+BA/7&#10;ex8iHSjmlFjN4p3purQCnf3LwYnRk+hHxhP3MFZj0io/n2WpsD5wQ4TTZvFPYKNF+iXFwFtVSv9z&#10;B6Sl6D5bFiWu4GzQbFSzAVbx01IGKSbzJkyrunNkti0jT7JbvGbhGpNaigpPLI58eVNSp8etjqv4&#10;/J6y/vy9zW8AAAD//wMAUEsDBBQABgAIAAAAIQBDbF024AAAAAsBAAAPAAAAZHJzL2Rvd25yZXYu&#10;eG1sTI/BTsMwEETvSPyDtUjcqE2bWiXEqSoEJyREGg4cndhNrMbrELtt+HuWExxH+zTzttjOfmBn&#10;O0UXUMH9QgCz2AbjsFPwUb/cbYDFpNHoIaBV8G0jbMvrq0LnJlywsud96hiVYMy1gj6lMec8tr31&#10;Oi7CaJFuhzB5nShOHTeTvlC5H/hSCMm9dkgLvR7tU2/b4/7kFew+sXp2X2/Ne3WoXF0/CHyVR6Vu&#10;b+bdI7Bk5/QHw68+qUNJTk04oYlsoJwtJaEKpMxWwIhYC5kBaxRs1nIFvCz4/x/KHwAAAP//AwBQ&#10;SwECLQAUAAYACAAAACEAtoM4kv4AAADhAQAAEwAAAAAAAAAAAAAAAAAAAAAAW0NvbnRlbnRfVHlw&#10;ZXNdLnhtbFBLAQItABQABgAIAAAAIQA4/SH/1gAAAJQBAAALAAAAAAAAAAAAAAAAAC8BAABfcmVs&#10;cy8ucmVsc1BLAQItABQABgAIAAAAIQA9yY5Z8AEAAMMDAAAOAAAAAAAAAAAAAAAAAC4CAABkcnMv&#10;ZTJvRG9jLnhtbFBLAQItABQABgAIAAAAIQBDbF024AAAAAsBAAAPAAAAAAAAAAAAAAAAAEoEAABk&#10;cnMvZG93bnJldi54bWxQSwUGAAAAAAQABADzAAAAVwUAAAAA&#10;" filled="f" stroked="f">
                <v:textbox inset="0,0,0,0">
                  <w:txbxContent>
                    <w:p w14:paraId="5D80D55B" w14:textId="77777777" w:rsidR="00490F33" w:rsidRDefault="00490F33">
                      <w:pPr>
                        <w:spacing w:line="238" w:lineRule="exact"/>
                        <w:textAlignment w:val="baseline"/>
                        <w:rPr>
                          <w:rFonts w:ascii="Tahoma" w:eastAsia="Tahoma" w:hAnsi="Tahoma"/>
                          <w:color w:val="404042"/>
                          <w:spacing w:val="7"/>
                          <w:sz w:val="18"/>
                        </w:rPr>
                      </w:pPr>
                      <w:r>
                        <w:rPr>
                          <w:rFonts w:ascii="Tahoma" w:eastAsia="Tahoma" w:hAnsi="Tahoma"/>
                          <w:color w:val="404042"/>
                          <w:spacing w:val="7"/>
                          <w:sz w:val="18"/>
                        </w:rPr>
                        <w:t>Two opportunities are provided each year – in March and September – for students to sit the OLNA from Year 10, until they have demonstrated the required standard. Students</w:t>
                      </w:r>
                      <w:r>
                        <w:rPr>
                          <w:rFonts w:ascii="Tahoma" w:eastAsia="Tahoma" w:hAnsi="Tahoma"/>
                          <w:color w:val="464140"/>
                          <w:spacing w:val="7"/>
                          <w:sz w:val="18"/>
                        </w:rPr>
                        <w:t xml:space="preserve"> have a total of up to </w:t>
                      </w:r>
                      <w:r>
                        <w:rPr>
                          <w:rFonts w:ascii="Tahoma" w:eastAsia="Tahoma" w:hAnsi="Tahoma"/>
                          <w:color w:val="404042"/>
                          <w:spacing w:val="7"/>
                          <w:sz w:val="18"/>
                        </w:rPr>
                        <w:t>six opportunities</w:t>
                      </w:r>
                      <w:r>
                        <w:rPr>
                          <w:rFonts w:ascii="Tahoma" w:eastAsia="Tahoma" w:hAnsi="Tahoma"/>
                          <w:color w:val="464140"/>
                          <w:spacing w:val="7"/>
                          <w:sz w:val="18"/>
                        </w:rPr>
                        <w:t xml:space="preserve"> before the end of Year 12 </w:t>
                      </w:r>
                      <w:r>
                        <w:rPr>
                          <w:rFonts w:ascii="Tahoma" w:eastAsia="Tahoma" w:hAnsi="Tahoma"/>
                          <w:color w:val="404042"/>
                          <w:spacing w:val="7"/>
                          <w:sz w:val="18"/>
                        </w:rPr>
                        <w:t>to demonstrate</w:t>
                      </w:r>
                      <w:r>
                        <w:rPr>
                          <w:rFonts w:ascii="Tahoma" w:eastAsia="Tahoma" w:hAnsi="Tahoma"/>
                          <w:color w:val="464140"/>
                          <w:spacing w:val="7"/>
                          <w:sz w:val="18"/>
                        </w:rPr>
                        <w:t xml:space="preserve"> the minimum literacy and </w:t>
                      </w:r>
                      <w:r>
                        <w:rPr>
                          <w:rFonts w:ascii="Tahoma" w:eastAsia="Tahoma" w:hAnsi="Tahoma"/>
                          <w:color w:val="404042"/>
                          <w:spacing w:val="7"/>
                          <w:sz w:val="18"/>
                        </w:rPr>
                        <w:t>numeracy</w:t>
                      </w:r>
                      <w:r>
                        <w:rPr>
                          <w:rFonts w:ascii="Tahoma" w:eastAsia="Tahoma" w:hAnsi="Tahoma"/>
                          <w:color w:val="464140"/>
                          <w:spacing w:val="7"/>
                          <w:sz w:val="18"/>
                        </w:rPr>
                        <w:t xml:space="preserve"> requirement.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4688" behindDoc="1" locked="0" layoutInCell="1" allowOverlap="1" wp14:anchorId="4331E898" wp14:editId="6CB4F079">
                <wp:simplePos x="0" y="0"/>
                <wp:positionH relativeFrom="page">
                  <wp:posOffset>4182110</wp:posOffset>
                </wp:positionH>
                <wp:positionV relativeFrom="page">
                  <wp:posOffset>4214495</wp:posOffset>
                </wp:positionV>
                <wp:extent cx="2398395" cy="1219835"/>
                <wp:effectExtent l="0" t="0" r="0" b="0"/>
                <wp:wrapSquare wrapText="bothSides"/>
                <wp:docPr id="950"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219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834FF" w14:textId="77777777" w:rsidR="00490F33" w:rsidRDefault="00490F33">
                            <w:pPr>
                              <w:spacing w:before="1" w:line="239" w:lineRule="exact"/>
                              <w:textAlignment w:val="baseline"/>
                              <w:rPr>
                                <w:rFonts w:ascii="Tahoma" w:eastAsia="Tahoma" w:hAnsi="Tahoma"/>
                                <w:color w:val="404042"/>
                                <w:spacing w:val="3"/>
                                <w:sz w:val="18"/>
                              </w:rPr>
                            </w:pPr>
                            <w:r>
                              <w:rPr>
                                <w:rFonts w:ascii="Tahoma" w:eastAsia="Tahoma" w:hAnsi="Tahoma"/>
                                <w:color w:val="404042"/>
                                <w:spacing w:val="3"/>
                                <w:sz w:val="18"/>
                              </w:rPr>
                              <w:t>Students</w:t>
                            </w:r>
                            <w:r>
                              <w:rPr>
                                <w:rFonts w:ascii="Tahoma" w:eastAsia="Tahoma" w:hAnsi="Tahoma"/>
                                <w:color w:val="464140"/>
                                <w:spacing w:val="3"/>
                                <w:sz w:val="18"/>
                              </w:rPr>
                              <w:t xml:space="preserve"> may sit the OLNA at TAFE </w:t>
                            </w:r>
                            <w:r>
                              <w:rPr>
                                <w:rFonts w:ascii="Tahoma" w:eastAsia="Tahoma" w:hAnsi="Tahoma"/>
                                <w:color w:val="404042"/>
                                <w:spacing w:val="3"/>
                                <w:sz w:val="18"/>
                              </w:rPr>
                              <w:t>admissions</w:t>
                            </w:r>
                            <w:r>
                              <w:rPr>
                                <w:rFonts w:ascii="Tahoma" w:eastAsia="Tahoma" w:hAnsi="Tahoma"/>
                                <w:color w:val="464140"/>
                                <w:spacing w:val="3"/>
                                <w:sz w:val="18"/>
                              </w:rPr>
                              <w:t xml:space="preserve"> and have their result contribute </w:t>
                            </w:r>
                            <w:r>
                              <w:rPr>
                                <w:rFonts w:ascii="Tahoma" w:eastAsia="Tahoma" w:hAnsi="Tahoma"/>
                                <w:color w:val="404042"/>
                                <w:spacing w:val="3"/>
                                <w:sz w:val="18"/>
                              </w:rPr>
                              <w:t>towards</w:t>
                            </w:r>
                            <w:r>
                              <w:rPr>
                                <w:rFonts w:ascii="Tahoma" w:eastAsia="Tahoma" w:hAnsi="Tahoma"/>
                                <w:color w:val="464140"/>
                                <w:spacing w:val="3"/>
                                <w:sz w:val="18"/>
                              </w:rPr>
                              <w:t xml:space="preserve"> achievement of the literacy and </w:t>
                            </w:r>
                            <w:r>
                              <w:rPr>
                                <w:rFonts w:ascii="Tahoma" w:eastAsia="Tahoma" w:hAnsi="Tahoma"/>
                                <w:color w:val="404042"/>
                                <w:spacing w:val="3"/>
                                <w:sz w:val="18"/>
                              </w:rPr>
                              <w:t>numeracy</w:t>
                            </w:r>
                            <w:r>
                              <w:rPr>
                                <w:rFonts w:ascii="Tahoma" w:eastAsia="Tahoma" w:hAnsi="Tahoma"/>
                                <w:color w:val="464140"/>
                                <w:spacing w:val="3"/>
                                <w:sz w:val="18"/>
                              </w:rPr>
                              <w:t xml:space="preserve"> standard. However, when a </w:t>
                            </w:r>
                            <w:r>
                              <w:rPr>
                                <w:rFonts w:ascii="Tahoma" w:eastAsia="Tahoma" w:hAnsi="Tahoma"/>
                                <w:color w:val="404042"/>
                                <w:spacing w:val="3"/>
                                <w:sz w:val="18"/>
                              </w:rPr>
                              <w:t>student sits the</w:t>
                            </w:r>
                            <w:r>
                              <w:rPr>
                                <w:rFonts w:ascii="Tahoma" w:eastAsia="Tahoma" w:hAnsi="Tahoma"/>
                                <w:color w:val="464140"/>
                                <w:spacing w:val="3"/>
                                <w:sz w:val="18"/>
                              </w:rPr>
                              <w:t xml:space="preserve"> OLNA at TAFE admissions,</w:t>
                            </w:r>
                            <w:r>
                              <w:rPr>
                                <w:rFonts w:ascii="Tahoma" w:eastAsia="Tahoma" w:hAnsi="Tahoma"/>
                                <w:color w:val="404042"/>
                                <w:spacing w:val="3"/>
                                <w:sz w:val="18"/>
                              </w:rPr>
                              <w:t xml:space="preserve"> it counts towards</w:t>
                            </w:r>
                            <w:r>
                              <w:rPr>
                                <w:rFonts w:ascii="Tahoma" w:eastAsia="Tahoma" w:hAnsi="Tahoma"/>
                                <w:color w:val="464140"/>
                                <w:spacing w:val="3"/>
                                <w:sz w:val="18"/>
                              </w:rPr>
                              <w:t xml:space="preserve"> t</w:t>
                            </w:r>
                            <w:r>
                              <w:rPr>
                                <w:rFonts w:ascii="Tahoma" w:eastAsia="Tahoma" w:hAnsi="Tahoma"/>
                                <w:color w:val="464140"/>
                                <w:spacing w:val="3"/>
                                <w:sz w:val="18"/>
                                <w:u w:val="single"/>
                              </w:rPr>
                              <w:t>h</w:t>
                            </w:r>
                            <w:r>
                              <w:rPr>
                                <w:rFonts w:ascii="Tahoma" w:eastAsia="Tahoma" w:hAnsi="Tahoma"/>
                                <w:color w:val="464140"/>
                                <w:spacing w:val="3"/>
                                <w:sz w:val="18"/>
                              </w:rPr>
                              <w:t>e</w:t>
                            </w:r>
                            <w:r>
                              <w:rPr>
                                <w:rFonts w:ascii="Tahoma" w:eastAsia="Tahoma" w:hAnsi="Tahoma"/>
                                <w:color w:val="464140"/>
                                <w:spacing w:val="3"/>
                                <w:sz w:val="18"/>
                                <w:u w:val="single"/>
                              </w:rPr>
                              <w:t xml:space="preserve"> li</w:t>
                            </w:r>
                            <w:r>
                              <w:rPr>
                                <w:rFonts w:ascii="Tahoma" w:eastAsia="Tahoma" w:hAnsi="Tahoma"/>
                                <w:color w:val="464140"/>
                                <w:spacing w:val="3"/>
                                <w:sz w:val="18"/>
                              </w:rPr>
                              <w:t>m</w:t>
                            </w:r>
                            <w:r>
                              <w:rPr>
                                <w:rFonts w:ascii="Tahoma" w:eastAsia="Tahoma" w:hAnsi="Tahoma"/>
                                <w:color w:val="464140"/>
                                <w:spacing w:val="3"/>
                                <w:sz w:val="18"/>
                                <w:u w:val="single"/>
                              </w:rPr>
                              <w:t xml:space="preserve">it </w:t>
                            </w:r>
                            <w:r>
                              <w:rPr>
                                <w:rFonts w:ascii="Tahoma" w:eastAsia="Tahoma" w:hAnsi="Tahoma"/>
                                <w:color w:val="464140"/>
                                <w:spacing w:val="3"/>
                                <w:sz w:val="18"/>
                              </w:rPr>
                              <w:t>o</w:t>
                            </w:r>
                            <w:r>
                              <w:rPr>
                                <w:rFonts w:ascii="Tahoma" w:eastAsia="Tahoma" w:hAnsi="Tahoma"/>
                                <w:color w:val="464140"/>
                                <w:spacing w:val="3"/>
                                <w:sz w:val="18"/>
                                <w:u w:val="single"/>
                              </w:rPr>
                              <w:t xml:space="preserve">f </w:t>
                            </w:r>
                            <w:r>
                              <w:rPr>
                                <w:rFonts w:ascii="Tahoma" w:eastAsia="Tahoma" w:hAnsi="Tahoma"/>
                                <w:color w:val="464140"/>
                                <w:spacing w:val="3"/>
                                <w:sz w:val="18"/>
                              </w:rPr>
                              <w:t>s</w:t>
                            </w:r>
                            <w:r>
                              <w:rPr>
                                <w:rFonts w:ascii="Tahoma" w:eastAsia="Tahoma" w:hAnsi="Tahoma"/>
                                <w:color w:val="464140"/>
                                <w:spacing w:val="3"/>
                                <w:sz w:val="18"/>
                                <w:u w:val="single"/>
                              </w:rPr>
                              <w:t>i</w:t>
                            </w:r>
                            <w:r>
                              <w:rPr>
                                <w:rFonts w:ascii="Tahoma" w:eastAsia="Tahoma" w:hAnsi="Tahoma"/>
                                <w:color w:val="464140"/>
                                <w:spacing w:val="3"/>
                                <w:sz w:val="18"/>
                              </w:rPr>
                              <w:t>x o</w:t>
                            </w:r>
                            <w:r>
                              <w:rPr>
                                <w:rFonts w:ascii="Tahoma" w:eastAsia="Tahoma" w:hAnsi="Tahoma"/>
                                <w:color w:val="464140"/>
                                <w:spacing w:val="3"/>
                                <w:sz w:val="18"/>
                                <w:u w:val="single"/>
                              </w:rPr>
                              <w:t>pp</w:t>
                            </w:r>
                            <w:r>
                              <w:rPr>
                                <w:rFonts w:ascii="Tahoma" w:eastAsia="Tahoma" w:hAnsi="Tahoma"/>
                                <w:color w:val="464140"/>
                                <w:spacing w:val="3"/>
                                <w:sz w:val="18"/>
                              </w:rPr>
                              <w:t>or</w:t>
                            </w:r>
                            <w:r>
                              <w:rPr>
                                <w:rFonts w:ascii="Tahoma" w:eastAsia="Tahoma" w:hAnsi="Tahoma"/>
                                <w:color w:val="464140"/>
                                <w:spacing w:val="3"/>
                                <w:sz w:val="18"/>
                                <w:u w:val="single"/>
                              </w:rPr>
                              <w:t>t</w:t>
                            </w:r>
                            <w:r>
                              <w:rPr>
                                <w:rFonts w:ascii="Tahoma" w:eastAsia="Tahoma" w:hAnsi="Tahoma"/>
                                <w:color w:val="464140"/>
                                <w:spacing w:val="3"/>
                                <w:sz w:val="18"/>
                              </w:rPr>
                              <w:t xml:space="preserve">unities </w:t>
                            </w:r>
                            <w:r>
                              <w:rPr>
                                <w:rFonts w:ascii="Tahoma" w:eastAsia="Tahoma" w:hAnsi="Tahoma"/>
                                <w:color w:val="404042"/>
                                <w:spacing w:val="3"/>
                                <w:sz w:val="18"/>
                              </w:rPr>
                              <w:t>to sit each component that students are permitted to have before the end of Year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E898" id="Text Box 671" o:spid="_x0000_s1042" type="#_x0000_t202" style="position:absolute;margin-left:329.3pt;margin-top:331.85pt;width:188.85pt;height:96.05pt;z-index:-25200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jP17gEAAMMDAAAOAAAAZHJzL2Uyb0RvYy54bWysU9tu2zAMfR+wfxD0vjhOkawx4hRdiw4D&#10;ugvQ7gNkWbKF2aJGKbGzrx8lx1m3vQ17EShejg4Pqd3N2HfsqNAbsCXPF0vOlJVQG9uU/Ovzw5tr&#10;znwQthYdWFXyk/L8Zv/61W5whVpBC12tkBGI9cXgSt6G4Ios87JVvfALcMpSUAP2ItAVm6xGMRB6&#10;32Wr5XKTDYC1Q5DKe/LeT0G+T/haKxk+a+1VYF3JiVtIJ6azime234miQeFaI880xD+w6IWx9OgF&#10;6l4EwQ5o/oLqjUTwoMNCQp+B1kaq1AN1ky//6OapFU6lXkgc7y4y+f8HKz8dvyAzdcm3a9LHip6G&#10;9KzGwN7ByDZv86jQ4HxBiU+OUsNIAZp06ta7R5DfPLNw1wrbqFtEGFolamKYKrMXpROOjyDV8BFq&#10;ekgcAiSgUWMf5SNBGKETk9NlOpGMJOfqant9tV1zJimWr3K6rSO7TBRzuUMf3ivoWTRKjjT+BC+O&#10;jz5MqXNKfM3Cg+m6tAKd/c1BmNGT6EfGE/cwVmPSKt/MslRQn6ghhGmz6CeQ0QL+4GygrSq5/34Q&#10;qDjrPlgSJa7gbOBsVLMhrKTSkgfOJvMuTKt6cGialpAn2S3cknDapJaiwhOLM1/alCTKeavjKr68&#10;p6xff2//EwAA//8DAFBLAwQUAAYACAAAACEACzJib+EAAAAMAQAADwAAAGRycy9kb3ducmV2Lnht&#10;bEyPwU7DMAyG70i8Q2QkbiyFqqGUptOE4ISE6MqBY9p4bbTGKU22lbcnO7GbLX/6/f3lerEjO+Ls&#10;jSMJ96sEGFLntKFewlfzdpcD80GRVqMjlPCLHtbV9VWpCu1OVONxG3oWQ8gXSsIQwlRw7rsBrfIr&#10;NyHF287NVoW4zj3XszrFcDvyhyQR3CpD8cOgJnwZsNtvD1bC5pvqV/Pz0X7Wu9o0zVNC72Iv5e3N&#10;snkGFnAJ/zCc9aM6VNGpdQfSno0SRJaLiMZBpI/AzkSSihRYKyHPshx4VfLLEtUfAAAA//8DAFBL&#10;AQItABQABgAIAAAAIQC2gziS/gAAAOEBAAATAAAAAAAAAAAAAAAAAAAAAABbQ29udGVudF9UeXBl&#10;c10ueG1sUEsBAi0AFAAGAAgAAAAhADj9If/WAAAAlAEAAAsAAAAAAAAAAAAAAAAALwEAAF9yZWxz&#10;Ly5yZWxzUEsBAi0AFAAGAAgAAAAhALXOM/XuAQAAwwMAAA4AAAAAAAAAAAAAAAAALgIAAGRycy9l&#10;Mm9Eb2MueG1sUEsBAi0AFAAGAAgAAAAhAAsyYm/hAAAADAEAAA8AAAAAAAAAAAAAAAAASAQAAGRy&#10;cy9kb3ducmV2LnhtbFBLBQYAAAAABAAEAPMAAABWBQAAAAA=&#10;" filled="f" stroked="f">
                <v:textbox inset="0,0,0,0">
                  <w:txbxContent>
                    <w:p w14:paraId="572834FF" w14:textId="77777777" w:rsidR="00490F33" w:rsidRDefault="00490F33">
                      <w:pPr>
                        <w:spacing w:before="1" w:line="239" w:lineRule="exact"/>
                        <w:textAlignment w:val="baseline"/>
                        <w:rPr>
                          <w:rFonts w:ascii="Tahoma" w:eastAsia="Tahoma" w:hAnsi="Tahoma"/>
                          <w:color w:val="404042"/>
                          <w:spacing w:val="3"/>
                          <w:sz w:val="18"/>
                        </w:rPr>
                      </w:pPr>
                      <w:r>
                        <w:rPr>
                          <w:rFonts w:ascii="Tahoma" w:eastAsia="Tahoma" w:hAnsi="Tahoma"/>
                          <w:color w:val="404042"/>
                          <w:spacing w:val="3"/>
                          <w:sz w:val="18"/>
                        </w:rPr>
                        <w:t>Students</w:t>
                      </w:r>
                      <w:r>
                        <w:rPr>
                          <w:rFonts w:ascii="Tahoma" w:eastAsia="Tahoma" w:hAnsi="Tahoma"/>
                          <w:color w:val="464140"/>
                          <w:spacing w:val="3"/>
                          <w:sz w:val="18"/>
                        </w:rPr>
                        <w:t xml:space="preserve"> may sit the OLNA at TAFE </w:t>
                      </w:r>
                      <w:r>
                        <w:rPr>
                          <w:rFonts w:ascii="Tahoma" w:eastAsia="Tahoma" w:hAnsi="Tahoma"/>
                          <w:color w:val="404042"/>
                          <w:spacing w:val="3"/>
                          <w:sz w:val="18"/>
                        </w:rPr>
                        <w:t>admissions</w:t>
                      </w:r>
                      <w:r>
                        <w:rPr>
                          <w:rFonts w:ascii="Tahoma" w:eastAsia="Tahoma" w:hAnsi="Tahoma"/>
                          <w:color w:val="464140"/>
                          <w:spacing w:val="3"/>
                          <w:sz w:val="18"/>
                        </w:rPr>
                        <w:t xml:space="preserve"> and have their result contribute </w:t>
                      </w:r>
                      <w:r>
                        <w:rPr>
                          <w:rFonts w:ascii="Tahoma" w:eastAsia="Tahoma" w:hAnsi="Tahoma"/>
                          <w:color w:val="404042"/>
                          <w:spacing w:val="3"/>
                          <w:sz w:val="18"/>
                        </w:rPr>
                        <w:t>towards</w:t>
                      </w:r>
                      <w:r>
                        <w:rPr>
                          <w:rFonts w:ascii="Tahoma" w:eastAsia="Tahoma" w:hAnsi="Tahoma"/>
                          <w:color w:val="464140"/>
                          <w:spacing w:val="3"/>
                          <w:sz w:val="18"/>
                        </w:rPr>
                        <w:t xml:space="preserve"> achievement of the literacy and </w:t>
                      </w:r>
                      <w:r>
                        <w:rPr>
                          <w:rFonts w:ascii="Tahoma" w:eastAsia="Tahoma" w:hAnsi="Tahoma"/>
                          <w:color w:val="404042"/>
                          <w:spacing w:val="3"/>
                          <w:sz w:val="18"/>
                        </w:rPr>
                        <w:t>numeracy</w:t>
                      </w:r>
                      <w:r>
                        <w:rPr>
                          <w:rFonts w:ascii="Tahoma" w:eastAsia="Tahoma" w:hAnsi="Tahoma"/>
                          <w:color w:val="464140"/>
                          <w:spacing w:val="3"/>
                          <w:sz w:val="18"/>
                        </w:rPr>
                        <w:t xml:space="preserve"> standard. However, when a </w:t>
                      </w:r>
                      <w:r>
                        <w:rPr>
                          <w:rFonts w:ascii="Tahoma" w:eastAsia="Tahoma" w:hAnsi="Tahoma"/>
                          <w:color w:val="404042"/>
                          <w:spacing w:val="3"/>
                          <w:sz w:val="18"/>
                        </w:rPr>
                        <w:t>student sits the</w:t>
                      </w:r>
                      <w:r>
                        <w:rPr>
                          <w:rFonts w:ascii="Tahoma" w:eastAsia="Tahoma" w:hAnsi="Tahoma"/>
                          <w:color w:val="464140"/>
                          <w:spacing w:val="3"/>
                          <w:sz w:val="18"/>
                        </w:rPr>
                        <w:t xml:space="preserve"> OLNA at TAFE admissions,</w:t>
                      </w:r>
                      <w:r>
                        <w:rPr>
                          <w:rFonts w:ascii="Tahoma" w:eastAsia="Tahoma" w:hAnsi="Tahoma"/>
                          <w:color w:val="404042"/>
                          <w:spacing w:val="3"/>
                          <w:sz w:val="18"/>
                        </w:rPr>
                        <w:t xml:space="preserve"> it counts towards</w:t>
                      </w:r>
                      <w:r>
                        <w:rPr>
                          <w:rFonts w:ascii="Tahoma" w:eastAsia="Tahoma" w:hAnsi="Tahoma"/>
                          <w:color w:val="464140"/>
                          <w:spacing w:val="3"/>
                          <w:sz w:val="18"/>
                        </w:rPr>
                        <w:t xml:space="preserve"> t</w:t>
                      </w:r>
                      <w:r>
                        <w:rPr>
                          <w:rFonts w:ascii="Tahoma" w:eastAsia="Tahoma" w:hAnsi="Tahoma"/>
                          <w:color w:val="464140"/>
                          <w:spacing w:val="3"/>
                          <w:sz w:val="18"/>
                          <w:u w:val="single"/>
                        </w:rPr>
                        <w:t>h</w:t>
                      </w:r>
                      <w:r>
                        <w:rPr>
                          <w:rFonts w:ascii="Tahoma" w:eastAsia="Tahoma" w:hAnsi="Tahoma"/>
                          <w:color w:val="464140"/>
                          <w:spacing w:val="3"/>
                          <w:sz w:val="18"/>
                        </w:rPr>
                        <w:t>e</w:t>
                      </w:r>
                      <w:r>
                        <w:rPr>
                          <w:rFonts w:ascii="Tahoma" w:eastAsia="Tahoma" w:hAnsi="Tahoma"/>
                          <w:color w:val="464140"/>
                          <w:spacing w:val="3"/>
                          <w:sz w:val="18"/>
                          <w:u w:val="single"/>
                        </w:rPr>
                        <w:t xml:space="preserve"> li</w:t>
                      </w:r>
                      <w:r>
                        <w:rPr>
                          <w:rFonts w:ascii="Tahoma" w:eastAsia="Tahoma" w:hAnsi="Tahoma"/>
                          <w:color w:val="464140"/>
                          <w:spacing w:val="3"/>
                          <w:sz w:val="18"/>
                        </w:rPr>
                        <w:t>m</w:t>
                      </w:r>
                      <w:r>
                        <w:rPr>
                          <w:rFonts w:ascii="Tahoma" w:eastAsia="Tahoma" w:hAnsi="Tahoma"/>
                          <w:color w:val="464140"/>
                          <w:spacing w:val="3"/>
                          <w:sz w:val="18"/>
                          <w:u w:val="single"/>
                        </w:rPr>
                        <w:t xml:space="preserve">it </w:t>
                      </w:r>
                      <w:r>
                        <w:rPr>
                          <w:rFonts w:ascii="Tahoma" w:eastAsia="Tahoma" w:hAnsi="Tahoma"/>
                          <w:color w:val="464140"/>
                          <w:spacing w:val="3"/>
                          <w:sz w:val="18"/>
                        </w:rPr>
                        <w:t>o</w:t>
                      </w:r>
                      <w:r>
                        <w:rPr>
                          <w:rFonts w:ascii="Tahoma" w:eastAsia="Tahoma" w:hAnsi="Tahoma"/>
                          <w:color w:val="464140"/>
                          <w:spacing w:val="3"/>
                          <w:sz w:val="18"/>
                          <w:u w:val="single"/>
                        </w:rPr>
                        <w:t xml:space="preserve">f </w:t>
                      </w:r>
                      <w:r>
                        <w:rPr>
                          <w:rFonts w:ascii="Tahoma" w:eastAsia="Tahoma" w:hAnsi="Tahoma"/>
                          <w:color w:val="464140"/>
                          <w:spacing w:val="3"/>
                          <w:sz w:val="18"/>
                        </w:rPr>
                        <w:t>s</w:t>
                      </w:r>
                      <w:r>
                        <w:rPr>
                          <w:rFonts w:ascii="Tahoma" w:eastAsia="Tahoma" w:hAnsi="Tahoma"/>
                          <w:color w:val="464140"/>
                          <w:spacing w:val="3"/>
                          <w:sz w:val="18"/>
                          <w:u w:val="single"/>
                        </w:rPr>
                        <w:t>i</w:t>
                      </w:r>
                      <w:r>
                        <w:rPr>
                          <w:rFonts w:ascii="Tahoma" w:eastAsia="Tahoma" w:hAnsi="Tahoma"/>
                          <w:color w:val="464140"/>
                          <w:spacing w:val="3"/>
                          <w:sz w:val="18"/>
                        </w:rPr>
                        <w:t>x o</w:t>
                      </w:r>
                      <w:r>
                        <w:rPr>
                          <w:rFonts w:ascii="Tahoma" w:eastAsia="Tahoma" w:hAnsi="Tahoma"/>
                          <w:color w:val="464140"/>
                          <w:spacing w:val="3"/>
                          <w:sz w:val="18"/>
                          <w:u w:val="single"/>
                        </w:rPr>
                        <w:t>pp</w:t>
                      </w:r>
                      <w:r>
                        <w:rPr>
                          <w:rFonts w:ascii="Tahoma" w:eastAsia="Tahoma" w:hAnsi="Tahoma"/>
                          <w:color w:val="464140"/>
                          <w:spacing w:val="3"/>
                          <w:sz w:val="18"/>
                        </w:rPr>
                        <w:t>or</w:t>
                      </w:r>
                      <w:r>
                        <w:rPr>
                          <w:rFonts w:ascii="Tahoma" w:eastAsia="Tahoma" w:hAnsi="Tahoma"/>
                          <w:color w:val="464140"/>
                          <w:spacing w:val="3"/>
                          <w:sz w:val="18"/>
                          <w:u w:val="single"/>
                        </w:rPr>
                        <w:t>t</w:t>
                      </w:r>
                      <w:r>
                        <w:rPr>
                          <w:rFonts w:ascii="Tahoma" w:eastAsia="Tahoma" w:hAnsi="Tahoma"/>
                          <w:color w:val="464140"/>
                          <w:spacing w:val="3"/>
                          <w:sz w:val="18"/>
                        </w:rPr>
                        <w:t xml:space="preserve">unities </w:t>
                      </w:r>
                      <w:r>
                        <w:rPr>
                          <w:rFonts w:ascii="Tahoma" w:eastAsia="Tahoma" w:hAnsi="Tahoma"/>
                          <w:color w:val="404042"/>
                          <w:spacing w:val="3"/>
                          <w:sz w:val="18"/>
                        </w:rPr>
                        <w:t>to sit each component that students are permitted to have before the end of Year 12.</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5712" behindDoc="1" locked="0" layoutInCell="1" allowOverlap="1" wp14:anchorId="747A4951" wp14:editId="125B8FE8">
                <wp:simplePos x="0" y="0"/>
                <wp:positionH relativeFrom="page">
                  <wp:posOffset>905510</wp:posOffset>
                </wp:positionH>
                <wp:positionV relativeFrom="page">
                  <wp:posOffset>5543550</wp:posOffset>
                </wp:positionV>
                <wp:extent cx="2480945" cy="1066800"/>
                <wp:effectExtent l="0" t="0" r="0" b="0"/>
                <wp:wrapSquare wrapText="bothSides"/>
                <wp:docPr id="949"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0EEA" w14:textId="77777777" w:rsidR="00490F33" w:rsidRDefault="00490F33">
                            <w:pPr>
                              <w:spacing w:line="238" w:lineRule="exact"/>
                              <w:textAlignment w:val="baseline"/>
                              <w:rPr>
                                <w:rFonts w:ascii="Tahoma" w:eastAsia="Tahoma" w:hAnsi="Tahoma"/>
                                <w:color w:val="404042"/>
                                <w:sz w:val="18"/>
                              </w:rPr>
                            </w:pPr>
                            <w:r>
                              <w:rPr>
                                <w:rFonts w:ascii="Tahoma" w:eastAsia="Tahoma" w:hAnsi="Tahoma"/>
                                <w:color w:val="404042"/>
                                <w:sz w:val="18"/>
                              </w:rPr>
                              <w:t>Students who</w:t>
                            </w:r>
                            <w:r>
                              <w:rPr>
                                <w:rFonts w:ascii="Tahoma" w:eastAsia="Tahoma" w:hAnsi="Tahoma"/>
                                <w:color w:val="464140"/>
                                <w:sz w:val="18"/>
                              </w:rPr>
                              <w:t xml:space="preserve"> have achieved Band 8 or higher </w:t>
                            </w:r>
                            <w:r>
                              <w:rPr>
                                <w:rFonts w:ascii="Tahoma" w:eastAsia="Tahoma" w:hAnsi="Tahoma"/>
                                <w:color w:val="404042"/>
                                <w:sz w:val="18"/>
                              </w:rPr>
                              <w:t>in any of</w:t>
                            </w:r>
                            <w:r>
                              <w:rPr>
                                <w:rFonts w:ascii="Tahoma" w:eastAsia="Tahoma" w:hAnsi="Tahoma"/>
                                <w:color w:val="464140"/>
                                <w:sz w:val="18"/>
                              </w:rPr>
                              <w:t xml:space="preserve"> the three components of reading, </w:t>
                            </w:r>
                            <w:r>
                              <w:rPr>
                                <w:rFonts w:ascii="Tahoma" w:eastAsia="Tahoma" w:hAnsi="Tahoma"/>
                                <w:color w:val="404042"/>
                                <w:sz w:val="18"/>
                              </w:rPr>
                              <w:t>writing and</w:t>
                            </w:r>
                            <w:r>
                              <w:rPr>
                                <w:rFonts w:ascii="Tahoma" w:eastAsia="Tahoma" w:hAnsi="Tahoma"/>
                                <w:color w:val="464140"/>
                                <w:sz w:val="18"/>
                              </w:rPr>
                              <w:t xml:space="preserve"> numeracy in their Year 9 NAPLAN </w:t>
                            </w:r>
                            <w:r>
                              <w:rPr>
                                <w:rFonts w:ascii="Tahoma" w:eastAsia="Tahoma" w:hAnsi="Tahoma"/>
                                <w:color w:val="404042"/>
                                <w:sz w:val="18"/>
                              </w:rPr>
                              <w:t>are acknowledged</w:t>
                            </w:r>
                            <w:r>
                              <w:rPr>
                                <w:rFonts w:ascii="Tahoma" w:eastAsia="Tahoma" w:hAnsi="Tahoma"/>
                                <w:color w:val="464140"/>
                                <w:sz w:val="18"/>
                              </w:rPr>
                              <w:t xml:space="preserve"> as having demonstrated </w:t>
                            </w:r>
                            <w:r>
                              <w:rPr>
                                <w:rFonts w:ascii="Tahoma" w:eastAsia="Tahoma" w:hAnsi="Tahoma"/>
                                <w:color w:val="404042"/>
                                <w:sz w:val="18"/>
                              </w:rPr>
                              <w:t>proficiency in</w:t>
                            </w:r>
                            <w:r>
                              <w:rPr>
                                <w:rFonts w:ascii="Tahoma" w:eastAsia="Tahoma" w:hAnsi="Tahoma"/>
                                <w:color w:val="464140"/>
                                <w:sz w:val="18"/>
                              </w:rPr>
                              <w:t xml:space="preserve"> using a range of ACSF Level 3 </w:t>
                            </w:r>
                            <w:r>
                              <w:rPr>
                                <w:rFonts w:ascii="Tahoma" w:eastAsia="Tahoma" w:hAnsi="Tahoma"/>
                                <w:color w:val="404042"/>
                                <w:sz w:val="18"/>
                              </w:rPr>
                              <w:t>skills in that</w:t>
                            </w:r>
                            <w:r>
                              <w:rPr>
                                <w:rFonts w:ascii="Tahoma" w:eastAsia="Tahoma" w:hAnsi="Tahoma"/>
                                <w:color w:val="464140"/>
                                <w:sz w:val="18"/>
                              </w:rPr>
                              <w:t xml:space="preserve"> component, and are not required </w:t>
                            </w:r>
                            <w:r>
                              <w:rPr>
                                <w:rFonts w:ascii="Tahoma" w:eastAsia="Tahoma" w:hAnsi="Tahoma"/>
                                <w:color w:val="404042"/>
                                <w:sz w:val="18"/>
                              </w:rPr>
                              <w:t>to sit the OLNA.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A4951" id="Text Box 670" o:spid="_x0000_s1043" type="#_x0000_t202" style="position:absolute;margin-left:71.3pt;margin-top:436.5pt;width:195.35pt;height:84pt;z-index:-25200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4Nc8wEAAMMDAAAOAAAAZHJzL2Uyb0RvYy54bWysU8Fu2zAMvQ/YPwi6L3aCLE2MOEXXosOA&#10;bh3Q7gMYWY6F2aJGKbGzrx8lJ2m33YZdBIqint57pNbXQ9eKgyZv0JZyOsml0FZhZeyulN+e798t&#10;pfABbAUtWl3Ko/byevP2zbp3hZ5hg22lSTCI9UXvStmE4Ios86rRHfgJOm35sEbqIPCWdllF0DN6&#10;12azPF9kPVLlCJX2nrN346HcJPy61io81rXXQbSlZG4hrZTWbVyzzRqKHYFrjDrRgH9g0YGx/OgF&#10;6g4CiD2Zv6A6owg91mGisMuwro3SSQOrmeZ/qHlqwOmkhc3x7mKT/3+w6svhKwlTlXI1X0lhoeMm&#10;PeshiA84iMVVcqh3vuDCJ8elYeAD7nRS690Dqu9eWLxtwO70DRH2jYaKGU6jt9mrq7EnvvARZNt/&#10;xoofgn3ABDTU1EX72BDB6Nyp46U7kYzi5Gy+zFfz91IoPpvmi8UyT+wyKM7XHfnwUWMnYlBK4vYn&#10;eDg8+BDpQHEuia9ZvDdtm0agtb8luDBmEv3IeOQehu2QvJpeRXFRzharIwsiHCeLfwIHDdJPKXqe&#10;qlL6H3sgLUX7ybIpcQTPAZ2D7TkAq/hqKYMUY3gbxlHdOzK7hpFH2y3esHG1SZJeWJz48qQkpaep&#10;jqP4ep+qXv7e5hcAAAD//wMAUEsDBBQABgAIAAAAIQDWmqDF4AAAAAwBAAAPAAAAZHJzL2Rvd25y&#10;ZXYueG1sTI8xT8MwFIR3JP6D9ZDYqN2mhDaNU1UIJiTUNAyMTuwmVuPnELtt+Pc8JhhPd7r7Lt9O&#10;rmcXMwbrUcJ8JoAZbLy22Er4qF4fVsBCVKhV79FI+DYBtsXtTa4y7a9YmsshtoxKMGRKQhfjkHEe&#10;ms44FWZ+MEje0Y9ORZJjy/WorlTuer4QIuVOWaSFTg3muTPN6XB2EnafWL7Yr/d6Xx5LW1VrgW/p&#10;Scr7u2m3ARbNFP/C8ItP6FAQU+3PqAPrSS8XKUUlrJ4SOkWJxyRJgNVkieVcAC9y/v9E8QMAAP//&#10;AwBQSwECLQAUAAYACAAAACEAtoM4kv4AAADhAQAAEwAAAAAAAAAAAAAAAAAAAAAAW0NvbnRlbnRf&#10;VHlwZXNdLnhtbFBLAQItABQABgAIAAAAIQA4/SH/1gAAAJQBAAALAAAAAAAAAAAAAAAAAC8BAABf&#10;cmVscy8ucmVsc1BLAQItABQABgAIAAAAIQAh74Nc8wEAAMMDAAAOAAAAAAAAAAAAAAAAAC4CAABk&#10;cnMvZTJvRG9jLnhtbFBLAQItABQABgAIAAAAIQDWmqDF4AAAAAwBAAAPAAAAAAAAAAAAAAAAAE0E&#10;AABkcnMvZG93bnJldi54bWxQSwUGAAAAAAQABADzAAAAWgUAAAAA&#10;" filled="f" stroked="f">
                <v:textbox inset="0,0,0,0">
                  <w:txbxContent>
                    <w:p w14:paraId="7E170EEA" w14:textId="77777777" w:rsidR="00490F33" w:rsidRDefault="00490F33">
                      <w:pPr>
                        <w:spacing w:line="238" w:lineRule="exact"/>
                        <w:textAlignment w:val="baseline"/>
                        <w:rPr>
                          <w:rFonts w:ascii="Tahoma" w:eastAsia="Tahoma" w:hAnsi="Tahoma"/>
                          <w:color w:val="404042"/>
                          <w:sz w:val="18"/>
                        </w:rPr>
                      </w:pPr>
                      <w:r>
                        <w:rPr>
                          <w:rFonts w:ascii="Tahoma" w:eastAsia="Tahoma" w:hAnsi="Tahoma"/>
                          <w:color w:val="404042"/>
                          <w:sz w:val="18"/>
                        </w:rPr>
                        <w:t>Students who</w:t>
                      </w:r>
                      <w:r>
                        <w:rPr>
                          <w:rFonts w:ascii="Tahoma" w:eastAsia="Tahoma" w:hAnsi="Tahoma"/>
                          <w:color w:val="464140"/>
                          <w:sz w:val="18"/>
                        </w:rPr>
                        <w:t xml:space="preserve"> have achieved Band 8 or higher </w:t>
                      </w:r>
                      <w:r>
                        <w:rPr>
                          <w:rFonts w:ascii="Tahoma" w:eastAsia="Tahoma" w:hAnsi="Tahoma"/>
                          <w:color w:val="404042"/>
                          <w:sz w:val="18"/>
                        </w:rPr>
                        <w:t>in any of</w:t>
                      </w:r>
                      <w:r>
                        <w:rPr>
                          <w:rFonts w:ascii="Tahoma" w:eastAsia="Tahoma" w:hAnsi="Tahoma"/>
                          <w:color w:val="464140"/>
                          <w:sz w:val="18"/>
                        </w:rPr>
                        <w:t xml:space="preserve"> the three components of reading, </w:t>
                      </w:r>
                      <w:r>
                        <w:rPr>
                          <w:rFonts w:ascii="Tahoma" w:eastAsia="Tahoma" w:hAnsi="Tahoma"/>
                          <w:color w:val="404042"/>
                          <w:sz w:val="18"/>
                        </w:rPr>
                        <w:t>writing and</w:t>
                      </w:r>
                      <w:r>
                        <w:rPr>
                          <w:rFonts w:ascii="Tahoma" w:eastAsia="Tahoma" w:hAnsi="Tahoma"/>
                          <w:color w:val="464140"/>
                          <w:sz w:val="18"/>
                        </w:rPr>
                        <w:t xml:space="preserve"> numeracy in their Year 9 NAPLAN </w:t>
                      </w:r>
                      <w:r>
                        <w:rPr>
                          <w:rFonts w:ascii="Tahoma" w:eastAsia="Tahoma" w:hAnsi="Tahoma"/>
                          <w:color w:val="404042"/>
                          <w:sz w:val="18"/>
                        </w:rPr>
                        <w:t>are acknowledged</w:t>
                      </w:r>
                      <w:r>
                        <w:rPr>
                          <w:rFonts w:ascii="Tahoma" w:eastAsia="Tahoma" w:hAnsi="Tahoma"/>
                          <w:color w:val="464140"/>
                          <w:sz w:val="18"/>
                        </w:rPr>
                        <w:t xml:space="preserve"> as having demonstrated </w:t>
                      </w:r>
                      <w:r>
                        <w:rPr>
                          <w:rFonts w:ascii="Tahoma" w:eastAsia="Tahoma" w:hAnsi="Tahoma"/>
                          <w:color w:val="404042"/>
                          <w:sz w:val="18"/>
                        </w:rPr>
                        <w:t>proficiency in</w:t>
                      </w:r>
                      <w:r>
                        <w:rPr>
                          <w:rFonts w:ascii="Tahoma" w:eastAsia="Tahoma" w:hAnsi="Tahoma"/>
                          <w:color w:val="464140"/>
                          <w:sz w:val="18"/>
                        </w:rPr>
                        <w:t xml:space="preserve"> using a range of ACSF Level 3 </w:t>
                      </w:r>
                      <w:r>
                        <w:rPr>
                          <w:rFonts w:ascii="Tahoma" w:eastAsia="Tahoma" w:hAnsi="Tahoma"/>
                          <w:color w:val="404042"/>
                          <w:sz w:val="18"/>
                        </w:rPr>
                        <w:t>skills in that</w:t>
                      </w:r>
                      <w:r>
                        <w:rPr>
                          <w:rFonts w:ascii="Tahoma" w:eastAsia="Tahoma" w:hAnsi="Tahoma"/>
                          <w:color w:val="464140"/>
                          <w:sz w:val="18"/>
                        </w:rPr>
                        <w:t xml:space="preserve"> component, and are not required </w:t>
                      </w:r>
                      <w:r>
                        <w:rPr>
                          <w:rFonts w:ascii="Tahoma" w:eastAsia="Tahoma" w:hAnsi="Tahoma"/>
                          <w:color w:val="404042"/>
                          <w:sz w:val="18"/>
                        </w:rPr>
                        <w:t>to sit the OLNA.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6736" behindDoc="1" locked="0" layoutInCell="1" allowOverlap="1" wp14:anchorId="5DAC64E9" wp14:editId="39A8303D">
                <wp:simplePos x="0" y="0"/>
                <wp:positionH relativeFrom="page">
                  <wp:posOffset>4182110</wp:posOffset>
                </wp:positionH>
                <wp:positionV relativeFrom="page">
                  <wp:posOffset>5722620</wp:posOffset>
                </wp:positionV>
                <wp:extent cx="2523490" cy="690245"/>
                <wp:effectExtent l="0" t="0" r="0" b="0"/>
                <wp:wrapSquare wrapText="bothSides"/>
                <wp:docPr id="948"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69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A5BDE" w14:textId="77777777" w:rsidR="00490F33" w:rsidRPr="00862024" w:rsidRDefault="00490F33">
                            <w:pPr>
                              <w:spacing w:before="1" w:line="180" w:lineRule="exact"/>
                              <w:textAlignment w:val="baseline"/>
                              <w:rPr>
                                <w:rFonts w:ascii="Tahoma" w:eastAsia="Tahoma" w:hAnsi="Tahoma"/>
                                <w:sz w:val="13"/>
                              </w:rPr>
                            </w:pPr>
                            <w:r w:rsidRPr="00862024">
                              <w:rPr>
                                <w:rFonts w:ascii="Tahoma" w:eastAsia="Tahoma" w:hAnsi="Tahoma"/>
                                <w:sz w:val="13"/>
                              </w:rPr>
                              <w:t xml:space="preserve">Source: Western Australian School Curriculum and Standards Authority (WA SCSA), ‘OLNA’, webpage (accessed 30 April 2020), </w:t>
                            </w:r>
                            <w:hyperlink r:id="rId75">
                              <w:r w:rsidRPr="00862024">
                                <w:rPr>
                                  <w:rFonts w:ascii="Tahoma" w:eastAsia="Tahoma" w:hAnsi="Tahoma"/>
                                  <w:sz w:val="13"/>
                                  <w:u w:val="single"/>
                                </w:rPr>
                                <w:t>https://senior-secondary.scsa.wa.edu.au/assessment/</w:t>
                              </w:r>
                            </w:hyperlink>
                            <w:r w:rsidRPr="00862024">
                              <w:rPr>
                                <w:rFonts w:ascii="Tahoma" w:eastAsia="Tahoma" w:hAnsi="Tahoma"/>
                                <w:sz w:val="13"/>
                              </w:rPr>
                              <w:t xml:space="preserve"> olna; and WA SCSA, ‘Students, parents and carers’, webpage (accessed 30 April 2020), </w:t>
                            </w:r>
                            <w:hyperlink r:id="rId76">
                              <w:r w:rsidRPr="00862024">
                                <w:rPr>
                                  <w:rFonts w:ascii="Tahoma" w:eastAsia="Tahoma" w:hAnsi="Tahoma"/>
                                  <w:sz w:val="13"/>
                                  <w:u w:val="single"/>
                                </w:rPr>
                                <w:t>https://senior-secondary.scsa. wa.edu.au/assessment/olna/students-parents-carers.</w:t>
                              </w:r>
                            </w:hyperlink>
                            <w:r w:rsidRPr="00862024">
                              <w:rPr>
                                <w:rFonts w:ascii="Tahoma" w:eastAsia="Tahoma" w:hAnsi="Tahoma"/>
                                <w:sz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64E9" id="Text Box 669" o:spid="_x0000_s1044" type="#_x0000_t202" style="position:absolute;margin-left:329.3pt;margin-top:450.6pt;width:198.7pt;height:54.35pt;z-index:-25199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S98AEAAMIDAAAOAAAAZHJzL2Uyb0RvYy54bWysU9tu2zAMfR+wfxD0vjjJ0qAx4hRdiw4D&#10;ugvQ7gNoWY6F2aJGKbGzrx8lx1m3vQ17ESiSOjw8pLY3Q9eKoyZv0BZyMZtLoa3Cyth9Ib8+P7y5&#10;lsIHsBW0aHUhT9rLm93rV9ve5XqJDbaVJsEg1ue9K2QTgsuzzKtGd+Bn6LTlYI3UQeAr7bOKoGf0&#10;rs2W8/k665EqR6i09+y9H4Nyl/DrWqvwua69DqItJHML6aR0lvHMdlvI9wSuMepMA/6BRQfGctEL&#10;1D0EEAcyf0F1RhF6rMNMYZdhXRulUw/czWL+RzdPDTidemFxvLvI5P8frPp0/ELCVIXcrHhUFjoe&#10;0rMegniHg1ivN1Gh3vmcE58cp4aBAzzp1K13j6i+eWHxrgG717dE2DcaKma4iC+zF09HHB9Byv4j&#10;VlwIDgET0FBTF+VjQQSj86ROl+lEMoqdy6vl29WGQ4pj6818ubpKJSCfXjvy4b3GTkSjkMTTT+hw&#10;fPQhsoF8SonFLD6Ytk0b0NrfHJwYPYl9JDxSD0M5JKkW15MqJVYn7odwXCz+CGw0SD+k6HmpCum/&#10;H4C0FO0Hy5rEDZwMmoxyMsAqflrIIMVo3oVxUw+OzL5h5FF1i7esW21SS1HgkcWZLy9K6vS81HET&#10;X95T1q+vt/sJAAD//wMAUEsDBBQABgAIAAAAIQAH4e0F4QAAAA0BAAAPAAAAZHJzL2Rvd25yZXYu&#10;eG1sTI/BasMwDIbvg76DUWG31W6hpsnilDK202AsTQ87OrGahMZyFrtt9vZzTttNQh+/vj/bT7Zn&#10;Nxx950jBeiWAIdXOdNQoOJVvTztgPmgyuneECn7Qwz5fPGQ6Ne5OBd6OoWExhHyqFbQhDCnnvm7R&#10;ar9yA1K8nd1odYjr2HAz6nsMtz3fCCG51R3FD60e8KXF+nK8WgWHLypeu++P6rM4F11ZJoLe5UWp&#10;x+V0eAYWcAp/MMz6UR3y6FS5KxnPegVyu5MRVZCI9QbYTIitjPWqeRJJAjzP+P8W+S8AAAD//wMA&#10;UEsBAi0AFAAGAAgAAAAhALaDOJL+AAAA4QEAABMAAAAAAAAAAAAAAAAAAAAAAFtDb250ZW50X1R5&#10;cGVzXS54bWxQSwECLQAUAAYACAAAACEAOP0h/9YAAACUAQAACwAAAAAAAAAAAAAAAAAvAQAAX3Jl&#10;bHMvLnJlbHNQSwECLQAUAAYACAAAACEA4GfEvfABAADCAwAADgAAAAAAAAAAAAAAAAAuAgAAZHJz&#10;L2Uyb0RvYy54bWxQSwECLQAUAAYACAAAACEAB+HtBeEAAAANAQAADwAAAAAAAAAAAAAAAABKBAAA&#10;ZHJzL2Rvd25yZXYueG1sUEsFBgAAAAAEAAQA8wAAAFgFAAAAAA==&#10;" filled="f" stroked="f">
                <v:textbox inset="0,0,0,0">
                  <w:txbxContent>
                    <w:p w14:paraId="14DA5BDE" w14:textId="77777777" w:rsidR="00490F33" w:rsidRPr="00862024" w:rsidRDefault="00490F33">
                      <w:pPr>
                        <w:spacing w:before="1" w:line="180" w:lineRule="exact"/>
                        <w:textAlignment w:val="baseline"/>
                        <w:rPr>
                          <w:rFonts w:ascii="Tahoma" w:eastAsia="Tahoma" w:hAnsi="Tahoma"/>
                          <w:sz w:val="13"/>
                        </w:rPr>
                      </w:pPr>
                      <w:r w:rsidRPr="00862024">
                        <w:rPr>
                          <w:rFonts w:ascii="Tahoma" w:eastAsia="Tahoma" w:hAnsi="Tahoma"/>
                          <w:sz w:val="13"/>
                        </w:rPr>
                        <w:t xml:space="preserve">Source: Western Australian School Curriculum and Standards Authority (WA SCSA), ‘OLNA’, webpage (accessed 30 April 2020), </w:t>
                      </w:r>
                      <w:hyperlink r:id="rId77">
                        <w:r w:rsidRPr="00862024">
                          <w:rPr>
                            <w:rFonts w:ascii="Tahoma" w:eastAsia="Tahoma" w:hAnsi="Tahoma"/>
                            <w:sz w:val="13"/>
                            <w:u w:val="single"/>
                          </w:rPr>
                          <w:t>https://senior-secondary.scsa.wa.edu.au/assessment/</w:t>
                        </w:r>
                      </w:hyperlink>
                      <w:r w:rsidRPr="00862024">
                        <w:rPr>
                          <w:rFonts w:ascii="Tahoma" w:eastAsia="Tahoma" w:hAnsi="Tahoma"/>
                          <w:sz w:val="13"/>
                        </w:rPr>
                        <w:t xml:space="preserve"> olna; and WA SCSA, ‘Students, parents and carers’, webpage (accessed 30 April 2020), </w:t>
                      </w:r>
                      <w:hyperlink r:id="rId78">
                        <w:r w:rsidRPr="00862024">
                          <w:rPr>
                            <w:rFonts w:ascii="Tahoma" w:eastAsia="Tahoma" w:hAnsi="Tahoma"/>
                            <w:sz w:val="13"/>
                            <w:u w:val="single"/>
                          </w:rPr>
                          <w:t>https://senior-secondary.scsa. wa.edu.au/assessment/olna/students-parents-carers.</w:t>
                        </w:r>
                      </w:hyperlink>
                      <w:r w:rsidRPr="00862024">
                        <w:rPr>
                          <w:rFonts w:ascii="Tahoma" w:eastAsia="Tahoma" w:hAnsi="Tahoma"/>
                          <w:sz w:val="13"/>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7760" behindDoc="1" locked="0" layoutInCell="1" allowOverlap="1" wp14:anchorId="044F55BA" wp14:editId="72987192">
                <wp:simplePos x="0" y="0"/>
                <wp:positionH relativeFrom="page">
                  <wp:posOffset>905510</wp:posOffset>
                </wp:positionH>
                <wp:positionV relativeFrom="page">
                  <wp:posOffset>6720205</wp:posOffset>
                </wp:positionV>
                <wp:extent cx="2477770" cy="762635"/>
                <wp:effectExtent l="0" t="0" r="0" b="0"/>
                <wp:wrapSquare wrapText="bothSides"/>
                <wp:docPr id="947"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762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6DC9" w14:textId="77777777" w:rsidR="00490F33" w:rsidRDefault="00490F33">
                            <w:pPr>
                              <w:spacing w:before="1" w:line="239" w:lineRule="exact"/>
                              <w:textAlignment w:val="baseline"/>
                              <w:rPr>
                                <w:rFonts w:ascii="Tahoma" w:eastAsia="Tahoma" w:hAnsi="Tahoma"/>
                                <w:color w:val="404042"/>
                                <w:spacing w:val="4"/>
                                <w:sz w:val="18"/>
                              </w:rPr>
                            </w:pPr>
                            <w:r>
                              <w:rPr>
                                <w:rFonts w:ascii="Tahoma" w:eastAsia="Tahoma" w:hAnsi="Tahoma"/>
                                <w:color w:val="404042"/>
                                <w:spacing w:val="4"/>
                                <w:sz w:val="18"/>
                              </w:rPr>
                              <w:t>Students who have</w:t>
                            </w:r>
                            <w:r>
                              <w:rPr>
                                <w:rFonts w:ascii="Tahoma" w:eastAsia="Tahoma" w:hAnsi="Tahoma"/>
                                <w:color w:val="464140"/>
                                <w:spacing w:val="4"/>
                                <w:sz w:val="18"/>
                              </w:rPr>
                              <w:t xml:space="preserve"> not been able to </w:t>
                            </w:r>
                            <w:r>
                              <w:rPr>
                                <w:rFonts w:ascii="Tahoma" w:eastAsia="Tahoma" w:hAnsi="Tahoma"/>
                                <w:color w:val="404042"/>
                                <w:spacing w:val="4"/>
                                <w:sz w:val="18"/>
                              </w:rPr>
                              <w:t>demonstrate the minimum standard of literacy and numeracy before Year 11, and are unlikely to do so before the end of Year 12 without significant levels of teacher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F55BA" id="Text Box 668" o:spid="_x0000_s1045" type="#_x0000_t202" style="position:absolute;margin-left:71.3pt;margin-top:529.15pt;width:195.1pt;height:60.05pt;z-index:-25199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z08AEAAMIDAAAOAAAAZHJzL2Uyb0RvYy54bWysU8Fu2zAMvQ/YPwi6L06yLmmNOEXXosOA&#10;rhvQ7gNoWY6F2aJGKbGzrx8lx1m33Yb5INAi+fj4SG2uh64VB03eoC3kYjaXQluFlbG7Qn59vn9z&#10;KYUPYCto0epCHrWX19vXrza9y/USG2wrTYJBrM97V8gmBJdnmVeN7sDP0GnLzhqpg8C/tMsqgp7R&#10;uzZbzuerrEeqHKHS3vPt3eiU24Rf11qFz3XtdRBtIZlbSCels4xntt1AviNwjVEnGvAPLDowloue&#10;oe4ggNiT+QuqM4rQYx1mCrsM69oonXrgbhbzP7p5asDp1AuL491ZJv//YNXj4QsJUxXy6mIthYWO&#10;h/SshyDe4yBWq8uoUO98zoFPjkPDwA6edOrWuwdU37yweNuA3ekbIuwbDRUzXMTM7EXqiOMjSNl/&#10;wooLwT5gAhpq6qJ8LIhgdJ7U8TydSEbx5fJizR+7FPvWq+Xq7btUAvIp25EPHzR2IhqFJJ5+QofD&#10;gw+RDeRTSCxm8d60bdqA1v52wYHxJrGPhEfqYSiHJNXialKlxOrI/RCOi8UPgY0G6YcUPS9VIf33&#10;PZCWov1oWZO4gZNBk1FOBljFqYUMUozmbRg3de/I7BpGHlW3eMO61Sa1FAUeWZz48qKkTk9LHTfx&#10;5X+K+vX0tj8BAAD//wMAUEsDBBQABgAIAAAAIQCQYVE94gAAAA0BAAAPAAAAZHJzL2Rvd25yZXYu&#10;eG1sTI/BTsMwEETvSPyDtUjcqN20DSHEqSoEJyREGg4cndhNrMbrELtt+HuWE9x2dkezb4rt7AZ2&#10;NlOwHiUsFwKYwdZri52Ej/rlLgMWokKtBo9GwrcJsC2vrwqVa3/Bypz3sWMUgiFXEvoYx5zz0PbG&#10;qbDwo0G6HfzkVCQ5dVxP6kLhbuCJECl3yiJ96NVonnrTHvcnJ2H3idWz/Xpr3qtDZev6QeBrepTy&#10;9mbePQKLZo5/ZvjFJ3QoianxJ9SBDaTXSUpWGsQmWwEjy2aVUJuGVsv7bA28LPj/FuUPAAAA//8D&#10;AFBLAQItABQABgAIAAAAIQC2gziS/gAAAOEBAAATAAAAAAAAAAAAAAAAAAAAAABbQ29udGVudF9U&#10;eXBlc10ueG1sUEsBAi0AFAAGAAgAAAAhADj9If/WAAAAlAEAAAsAAAAAAAAAAAAAAAAALwEAAF9y&#10;ZWxzLy5yZWxzUEsBAi0AFAAGAAgAAAAhANAO/PTwAQAAwgMAAA4AAAAAAAAAAAAAAAAALgIAAGRy&#10;cy9lMm9Eb2MueG1sUEsBAi0AFAAGAAgAAAAhAJBhUT3iAAAADQEAAA8AAAAAAAAAAAAAAAAASgQA&#10;AGRycy9kb3ducmV2LnhtbFBLBQYAAAAABAAEAPMAAABZBQAAAAA=&#10;" filled="f" stroked="f">
                <v:textbox inset="0,0,0,0">
                  <w:txbxContent>
                    <w:p w14:paraId="49826DC9" w14:textId="77777777" w:rsidR="00490F33" w:rsidRDefault="00490F33">
                      <w:pPr>
                        <w:spacing w:before="1" w:line="239" w:lineRule="exact"/>
                        <w:textAlignment w:val="baseline"/>
                        <w:rPr>
                          <w:rFonts w:ascii="Tahoma" w:eastAsia="Tahoma" w:hAnsi="Tahoma"/>
                          <w:color w:val="404042"/>
                          <w:spacing w:val="4"/>
                          <w:sz w:val="18"/>
                        </w:rPr>
                      </w:pPr>
                      <w:r>
                        <w:rPr>
                          <w:rFonts w:ascii="Tahoma" w:eastAsia="Tahoma" w:hAnsi="Tahoma"/>
                          <w:color w:val="404042"/>
                          <w:spacing w:val="4"/>
                          <w:sz w:val="18"/>
                        </w:rPr>
                        <w:t>Students who have</w:t>
                      </w:r>
                      <w:r>
                        <w:rPr>
                          <w:rFonts w:ascii="Tahoma" w:eastAsia="Tahoma" w:hAnsi="Tahoma"/>
                          <w:color w:val="464140"/>
                          <w:spacing w:val="4"/>
                          <w:sz w:val="18"/>
                        </w:rPr>
                        <w:t xml:space="preserve"> not been able to </w:t>
                      </w:r>
                      <w:r>
                        <w:rPr>
                          <w:rFonts w:ascii="Tahoma" w:eastAsia="Tahoma" w:hAnsi="Tahoma"/>
                          <w:color w:val="404042"/>
                          <w:spacing w:val="4"/>
                          <w:sz w:val="18"/>
                        </w:rPr>
                        <w:t>demonstrate the minimum standard of literacy and numeracy before Year 11, and are unlikely to do so before the end of Year 12 without significant levels of teacher support,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18784" behindDoc="1" locked="0" layoutInCell="1" allowOverlap="1" wp14:anchorId="5D49E64C" wp14:editId="7714DFFA">
                <wp:simplePos x="0" y="0"/>
                <wp:positionH relativeFrom="page">
                  <wp:posOffset>542290</wp:posOffset>
                </wp:positionH>
                <wp:positionV relativeFrom="page">
                  <wp:posOffset>9698355</wp:posOffset>
                </wp:positionV>
                <wp:extent cx="1222375" cy="137795"/>
                <wp:effectExtent l="0" t="0" r="0" b="0"/>
                <wp:wrapSquare wrapText="bothSides"/>
                <wp:docPr id="946"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998CB" w14:textId="77777777" w:rsidR="00490F33" w:rsidRDefault="00490F33">
                            <w:pPr>
                              <w:tabs>
                                <w:tab w:val="right" w:pos="1944"/>
                              </w:tabs>
                              <w:spacing w:before="7" w:after="19" w:line="181" w:lineRule="exact"/>
                              <w:textAlignment w:val="baseline"/>
                              <w:rPr>
                                <w:rFonts w:ascii="Arial" w:eastAsia="Arial" w:hAnsi="Arial"/>
                                <w:b/>
                                <w:color w:val="5556A1"/>
                                <w:sz w:val="18"/>
                              </w:rPr>
                            </w:pPr>
                            <w:r>
                              <w:rPr>
                                <w:rFonts w:ascii="Arial" w:eastAsia="Arial" w:hAnsi="Arial"/>
                                <w:b/>
                                <w:color w:val="5556A1"/>
                                <w:sz w:val="18"/>
                              </w:rPr>
                              <w:t>34</w:t>
                            </w:r>
                            <w:r>
                              <w:rPr>
                                <w:rFonts w:ascii="Tahoma" w:eastAsia="Tahoma" w:hAnsi="Tahoma"/>
                                <w:color w:val="404042"/>
                                <w:sz w:val="13"/>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9E64C" id="Text Box 667" o:spid="_x0000_s1046" type="#_x0000_t202" style="position:absolute;margin-left:42.7pt;margin-top:763.65pt;width:96.25pt;height:10.85pt;z-index:-25199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1e8QEAAMIDAAAOAAAAZHJzL2Uyb0RvYy54bWysU9tu2zAMfR+wfxD0vjhx12Q14hRdiw4D&#10;ugvQ7gMYWY6F2aJGKbGzrx8lx2m3vQ17ESiJOjyHPFpfD10rDpq8QVvKxWwuhbYKK2N3pfz2dP/m&#10;nRQ+gK2gRatLedReXm9ev1r3rtA5NthWmgSDWF/0rpRNCK7IMq8a3YGfodOWL2ukDgJvaZdVBD2j&#10;d22Wz+fLrEeqHKHS3vPp3XgpNwm/rrUKX+ra6yDaUjK3kFZK6zau2WYNxY7ANUadaMA/sOjAWC56&#10;hrqDAGJP5i+ozihCj3WYKewyrGujdNLAahbzP9Q8NuB00sLN8e7cJv//YNXnw1cSpirl1dulFBY6&#10;HtKTHoJ4j4NYLlexQ73zBSc+Ok4NA1/wpJNa7x5QfffC4m0DdqdviLBvNFTMcBFfZi+ejjg+gmz7&#10;T1hxIdgHTEBDTV1sHzdEMDpP6nieTiSjYsk8zy9Wl1IovltcrFZXl6kEFNNrRz580NiJGJSSePoJ&#10;HQ4PPkQ2UEwpsZjFe9O2yQGt/e2AE+NJYh8Jj9TDsB1Sq/Lkmyhti9WR9RCOxuKPwEGD9FOKnk1V&#10;Sv9jD6SlaD9a7kl04BTQFGynAKzip6UMUozhbRidundkdg0jj123eMN9q02S9MzixJeNkpSeTB2d&#10;+HKfsp6/3uYXAAAA//8DAFBLAwQUAAYACAAAACEA5N3cGOEAAAAMAQAADwAAAGRycy9kb3ducmV2&#10;LnhtbEyPwU7DMAyG70i8Q2Qkbixd2da1azpNCE5IiK4cOKaN10ZrnNJkW3l7stM4+ven35/z7WR6&#10;dsbRaUsC5rMIGFJjlaZWwFf19rQG5rwkJXtLKOAXHWyL+7tcZspeqMTz3rcslJDLpIDO+yHj3DUd&#10;GulmdkAKu4MdjfRhHFuuRnkJ5abncRStuJGawoVODvjSYXPcn4yA3TeVr/rno/4sD6WuqjSi99VR&#10;iMeHabcB5nHyNxiu+kEdiuBU2xMpx3oB6+UikCFfxskzsEDESZICq6/RIo2AFzn//0TxBwAA//8D&#10;AFBLAQItABQABgAIAAAAIQC2gziS/gAAAOEBAAATAAAAAAAAAAAAAAAAAAAAAABbQ29udGVudF9U&#10;eXBlc10ueG1sUEsBAi0AFAAGAAgAAAAhADj9If/WAAAAlAEAAAsAAAAAAAAAAAAAAAAALwEAAF9y&#10;ZWxzLy5yZWxzUEsBAi0AFAAGAAgAAAAhADTTjV7xAQAAwgMAAA4AAAAAAAAAAAAAAAAALgIAAGRy&#10;cy9lMm9Eb2MueG1sUEsBAi0AFAAGAAgAAAAhAOTd3BjhAAAADAEAAA8AAAAAAAAAAAAAAAAASwQA&#10;AGRycy9kb3ducmV2LnhtbFBLBQYAAAAABAAEAPMAAABZBQAAAAA=&#10;" filled="f" stroked="f">
                <v:textbox inset="0,0,0,0">
                  <w:txbxContent>
                    <w:p w14:paraId="2F4998CB" w14:textId="77777777" w:rsidR="00490F33" w:rsidRDefault="00490F33">
                      <w:pPr>
                        <w:tabs>
                          <w:tab w:val="right" w:pos="1944"/>
                        </w:tabs>
                        <w:spacing w:before="7" w:after="19" w:line="181" w:lineRule="exact"/>
                        <w:textAlignment w:val="baseline"/>
                        <w:rPr>
                          <w:rFonts w:ascii="Arial" w:eastAsia="Arial" w:hAnsi="Arial"/>
                          <w:b/>
                          <w:color w:val="5556A1"/>
                          <w:sz w:val="18"/>
                        </w:rPr>
                      </w:pPr>
                      <w:r>
                        <w:rPr>
                          <w:rFonts w:ascii="Arial" w:eastAsia="Arial" w:hAnsi="Arial"/>
                          <w:b/>
                          <w:color w:val="5556A1"/>
                          <w:sz w:val="18"/>
                        </w:rPr>
                        <w:t>34</w:t>
                      </w:r>
                      <w:r>
                        <w:rPr>
                          <w:rFonts w:ascii="Tahoma" w:eastAsia="Tahoma" w:hAnsi="Tahoma"/>
                          <w:color w:val="404042"/>
                          <w:sz w:val="13"/>
                        </w:rPr>
                        <w:tab/>
                        <w:t>Looking to the future</w:t>
                      </w:r>
                    </w:p>
                  </w:txbxContent>
                </v:textbox>
                <w10:wrap type="square" anchorx="page" anchory="page"/>
              </v:shape>
            </w:pict>
          </mc:Fallback>
        </mc:AlternateContent>
      </w:r>
    </w:p>
    <w:p w14:paraId="64133F46" w14:textId="77777777" w:rsidR="009757A9" w:rsidRDefault="009757A9">
      <w:pPr>
        <w:sectPr w:rsidR="009757A9">
          <w:pgSz w:w="11909" w:h="16838"/>
          <w:pgMar w:top="0" w:right="1440" w:bottom="0" w:left="1440" w:header="720" w:footer="720" w:gutter="0"/>
          <w:cols w:space="720"/>
        </w:sectPr>
      </w:pPr>
    </w:p>
    <w:p w14:paraId="516F43A2" w14:textId="77777777" w:rsidR="009757A9" w:rsidRPr="005443BD" w:rsidRDefault="00083242" w:rsidP="006B3019">
      <w:pPr>
        <w:pStyle w:val="Heading2"/>
        <w:rPr>
          <w:rFonts w:eastAsia="Arial"/>
          <w:sz w:val="25"/>
          <w:szCs w:val="25"/>
        </w:rPr>
      </w:pPr>
      <w:r w:rsidRPr="005443BD">
        <w:rPr>
          <w:rFonts w:eastAsia="Arial"/>
          <w:sz w:val="25"/>
          <w:szCs w:val="25"/>
        </w:rPr>
        <w:lastRenderedPageBreak/>
        <w:t>Essential skills</w:t>
      </w:r>
    </w:p>
    <w:p w14:paraId="34828A93" w14:textId="77777777" w:rsidR="009757A9" w:rsidRDefault="00083242">
      <w:pPr>
        <w:spacing w:before="166" w:line="240" w:lineRule="exact"/>
        <w:ind w:left="864" w:right="1080"/>
        <w:textAlignment w:val="baseline"/>
        <w:rPr>
          <w:rFonts w:ascii="Tahoma" w:eastAsia="Tahoma" w:hAnsi="Tahoma"/>
          <w:color w:val="404042"/>
          <w:sz w:val="18"/>
        </w:rPr>
      </w:pPr>
      <w:r>
        <w:rPr>
          <w:rFonts w:ascii="Tahoma" w:eastAsia="Tahoma" w:hAnsi="Tahoma"/>
          <w:color w:val="404042"/>
          <w:sz w:val="18"/>
        </w:rPr>
        <w:t>In 2018, the Gonski report of the Review to Achieve Educational Excellence in Australian Schools noted that the senior secondary education system focuses mainly on academic disciplines. Learning is generally more theoretical than applied, with assessment and reporting geared towards university entrance. This focus on academic disciplines in senior secondary schooling tends to crowd out broader educational outcomes.</w:t>
      </w:r>
      <w:r>
        <w:rPr>
          <w:rFonts w:ascii="Tahoma" w:eastAsia="Tahoma" w:hAnsi="Tahoma"/>
          <w:color w:val="404042"/>
          <w:sz w:val="18"/>
          <w:vertAlign w:val="superscript"/>
        </w:rPr>
        <w:t>24</w:t>
      </w:r>
      <w:r>
        <w:rPr>
          <w:rFonts w:ascii="Tahoma" w:eastAsia="Tahoma" w:hAnsi="Tahoma"/>
          <w:color w:val="404042"/>
          <w:sz w:val="10"/>
        </w:rPr>
        <w:t xml:space="preserve"> </w:t>
      </w:r>
    </w:p>
    <w:p w14:paraId="0F0AF263" w14:textId="01B57C56" w:rsidR="009757A9" w:rsidRDefault="000A70A0">
      <w:pPr>
        <w:spacing w:before="152" w:after="557" w:line="240" w:lineRule="exact"/>
        <w:ind w:left="864" w:right="936"/>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17472" behindDoc="0" locked="0" layoutInCell="1" allowOverlap="1" wp14:anchorId="66EE5982" wp14:editId="0EF911D1">
                <wp:simplePos x="0" y="0"/>
                <wp:positionH relativeFrom="page">
                  <wp:posOffset>762635</wp:posOffset>
                </wp:positionH>
                <wp:positionV relativeFrom="page">
                  <wp:posOffset>2677160</wp:posOffset>
                </wp:positionV>
                <wp:extent cx="5907405" cy="0"/>
                <wp:effectExtent l="0" t="0" r="0" b="0"/>
                <wp:wrapNone/>
                <wp:docPr id="945" name="Lin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371AE" id="Line 666" o:spid="_x0000_s1026" style="position:absolute;z-index:25181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5pt,210.8pt" to="525.2pt,2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1a0QEAAIYDAAAOAAAAZHJzL2Uyb0RvYy54bWysU01v2zAMvQ/YfxB0X+x0SboYcXpI1l2y&#10;LUDbH8BIcixMFgVJiZ1/P0r5aLfdil0ESiQfHx+pxcPQGXZUPmi0NR+PSs6UFSi13df85fnx0xfO&#10;QgQrwaBVNT+pwB+WHz8selepO2zRSOUZgdhQ9a7mbYyuKoogWtVBGKFTlpwN+g4iXf2+kB56Qu9M&#10;cVeWs6JHL51HoUKg1/XZyZcZv2mUiD+bJqjITM2JW8ynz+cuncVyAdXeg2u1uNCAd7DoQFsqeoNa&#10;QwR28PofqE4LjwGbOBLYFdg0WqjcA3UzLv/q5qkFp3IvJE5wN5nC/4MVP45bz7Ss+Xwy5cxCR0Pa&#10;aKvYbDZL6vQuVBS0sluf+hODfXIbFL8Cs7hqwe5VZvl8cpQ4ThnFHynpEhzV2PXfUVIMHCJmqYbG&#10;dwmSRGBDnsjpNhE1RCbocTov7yclERNXXwHVNdH5EL8p7Fgyam6IdQaG4ybERASqa0iqY/FRG5MH&#10;bizraz77PC1zQkCjZXKmsOD3u5Xx7AhpZcr7+XySuyLP27CEvIbQnuOy67xMHg9W5iqtAvn1YkfQ&#10;5mwTK2MvKiVhzhLvUJ62/qoeDTvTvyxm2qa395z9+n2WvwEAAP//AwBQSwMEFAAGAAgAAAAhABnP&#10;BpncAAAADAEAAA8AAABkcnMvZG93bnJldi54bWxMj8FqwkAQhu+FvsMyBW91N0GlpNlIUTx5abXQ&#10;65gdk9jsbMiuMb59Vyjo8Z/5+OebfDnaVgzU+8axhmSqQBCXzjRcafjeb17fQPiAbLB1TBqu5GFZ&#10;PD/lmBl34S8adqESsYR9hhrqELpMSl/WZNFPXUccd0fXWwwx9pU0PV5iuW1lqtRCWmw4Xqixo1VN&#10;5e/ubDVsUO0/zXbrTv5nfl1hkGZNg9aTl/HjHUSgMdxhuOlHdSii08Gd2XjRxpyqJKIaZmmyAHEj&#10;1FzNQBz+R7LI5eMTxR8AAAD//wMAUEsBAi0AFAAGAAgAAAAhALaDOJL+AAAA4QEAABMAAAAAAAAA&#10;AAAAAAAAAAAAAFtDb250ZW50X1R5cGVzXS54bWxQSwECLQAUAAYACAAAACEAOP0h/9YAAACUAQAA&#10;CwAAAAAAAAAAAAAAAAAvAQAAX3JlbHMvLnJlbHNQSwECLQAUAAYACAAAACEAhRqtWtEBAACGAwAA&#10;DgAAAAAAAAAAAAAAAAAuAgAAZHJzL2Uyb0RvYy54bWxQSwECLQAUAAYACAAAACEAGc8Gmd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z w:val="18"/>
        </w:rPr>
        <w:t>The Australian Curriculum currently includes the teaching of a range of important general capabilities from Foundation to Year 10. Yet, ironically, this focus on attributes that are seen as important by employers is not made explicit within the senior secondary years. Rather, the greater focus is on scholastic achievement in the form of subject scores and, most particularly, the Australian Tertiary Admission Rank (ATAR).</w:t>
      </w:r>
    </w:p>
    <w:p w14:paraId="3201704B" w14:textId="66450AA0" w:rsidR="009757A9" w:rsidRDefault="00083242">
      <w:pPr>
        <w:spacing w:before="158" w:line="236" w:lineRule="exact"/>
        <w:ind w:left="1296"/>
        <w:textAlignment w:val="baseline"/>
        <w:rPr>
          <w:rFonts w:ascii="Verdana" w:eastAsia="Verdana" w:hAnsi="Verdana"/>
          <w:i/>
          <w:color w:val="007994"/>
          <w:spacing w:val="3"/>
          <w:sz w:val="18"/>
        </w:rPr>
      </w:pPr>
      <w:r>
        <w:rPr>
          <w:rFonts w:ascii="Verdana" w:eastAsia="Verdana" w:hAnsi="Verdana"/>
          <w:i/>
          <w:color w:val="007994"/>
          <w:spacing w:val="3"/>
          <w:sz w:val="18"/>
        </w:rPr>
        <w:t>“... current senior secondary curriculum assessment and certification systems in Australia do not</w:t>
      </w:r>
    </w:p>
    <w:p w14:paraId="7C3DCD27" w14:textId="77777777" w:rsidR="009757A9" w:rsidRDefault="00083242">
      <w:pPr>
        <w:spacing w:line="299" w:lineRule="exact"/>
        <w:ind w:left="1296" w:right="1512"/>
        <w:textAlignment w:val="baseline"/>
        <w:rPr>
          <w:rFonts w:ascii="Tahoma" w:eastAsia="Tahoma" w:hAnsi="Tahoma"/>
          <w:i/>
          <w:color w:val="007994"/>
          <w:sz w:val="21"/>
        </w:rPr>
      </w:pPr>
      <w:r>
        <w:rPr>
          <w:rFonts w:ascii="Tahoma" w:eastAsia="Tahoma" w:hAnsi="Tahoma"/>
          <w:i/>
          <w:color w:val="007994"/>
          <w:sz w:val="21"/>
        </w:rPr>
        <w:t>support the recording of a broad range of capabilities such as communication, collaboration and creativity. Senior secondary education reform is needed because the measures of success as senior secondary permeate through secondary schooling, resulting in a narrowing to improve Year 12 results.”</w:t>
      </w:r>
    </w:p>
    <w:p w14:paraId="69F43E30" w14:textId="09C61AAD" w:rsidR="009757A9" w:rsidRDefault="000A70A0">
      <w:pPr>
        <w:spacing w:before="57" w:after="211" w:line="266" w:lineRule="exact"/>
        <w:ind w:left="7776"/>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18496" behindDoc="0" locked="0" layoutInCell="1" allowOverlap="1" wp14:anchorId="743F0915" wp14:editId="763458DC">
                <wp:simplePos x="0" y="0"/>
                <wp:positionH relativeFrom="page">
                  <wp:posOffset>762635</wp:posOffset>
                </wp:positionH>
                <wp:positionV relativeFrom="page">
                  <wp:posOffset>4023995</wp:posOffset>
                </wp:positionV>
                <wp:extent cx="5907405" cy="0"/>
                <wp:effectExtent l="0" t="0" r="0" b="0"/>
                <wp:wrapNone/>
                <wp:docPr id="944"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A0169" id="Line 665" o:spid="_x0000_s1026" style="position:absolute;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5pt,316.85pt" to="525.2pt,3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Hl0QEAAIYDAAAOAAAAZHJzL2Uyb0RvYy54bWysU8Fu2zAMvQ/YPwi6L3a6JF2MOD0k6y7Z&#10;FqDtBzCSbAuTREFSYufvJ8lJ2m23YheBEsnHx0dq9TBoRU7CeYmmptNJSYkwDLk0bU1fnh8/faHE&#10;BzAcFBpR07Pw9GH98cOqt5W4ww4VF45EEOOr3ta0C8FWReFZJzT4CVphorNBpyHEq2sL7qCP6FoV&#10;d2W5KHp03Dpkwvv4uh2ddJ3xm0aw8LNpvAhE1TRyC/l0+Tyks1ivoGod2E6yCw14BwsN0sSiN6gt&#10;BCBHJ/+B0pI59NiECUNdYNNIJnIPsZtp+Vc3Tx1YkXuJ4nh7k8n/P1j247R3RPKaLmczSgzoOKSd&#10;NIIsFvOkTm99FYM2Zu9Sf2wwT3aH7JcnBjcdmFZkls9nGxOnKaP4IyVdvI01Dv135DEGjgGzVEPj&#10;dIKMIpAhT+R8m4gYAmHxcb4s72flnBJ29RVQXROt8+GbQE2SUVMVWWdgOO18SESguoakOgYfpVJ5&#10;4MqQvqaLz/MyJ3hUkidnCvOuPWyUIydIK1PeL5ez3FX0vA1LyFvw3RiXXeMyOTwanqt0AvjXix1A&#10;qtGOrJS5qJSEGSU+ID/v3VW9OOxM/7KYaZve3nP26/dZ/wYAAP//AwBQSwMEFAAGAAgAAAAhACcs&#10;IIHcAAAADAEAAA8AAABkcnMvZG93bnJldi54bWxMj8FOwzAMhu9IvENkJG4s2cYGKk0nNLTTLrAh&#10;cfUa0xYap2qyrnt7PAkJjr/96ffnfDX6Vg3UxyawhenEgCIug2u4svC+39w9gooJ2WEbmCycKcKq&#10;uL7KMXPhxG807FKlpIRjhhbqlLpM61jW5DFOQkcsu8/Qe0wS+0q7Hk9S7ls9M2apPTYsF2rsaF1T&#10;+b07egsbNPtXt92Gr/ixOK8xafdCg7W3N+PzE6hEY/qD4aIv6lCI0yEc2UXVSp6ZqaAWlvP5A6gL&#10;YRbmHtThd6SLXP9/ovgBAAD//wMAUEsBAi0AFAAGAAgAAAAhALaDOJL+AAAA4QEAABMAAAAAAAAA&#10;AAAAAAAAAAAAAFtDb250ZW50X1R5cGVzXS54bWxQSwECLQAUAAYACAAAACEAOP0h/9YAAACUAQAA&#10;CwAAAAAAAAAAAAAAAAAvAQAAX3JlbHMvLnJlbHNQSwECLQAUAAYACAAAACEARwZh5dEBAACGAwAA&#10;DgAAAAAAAAAAAAAAAAAuAgAAZHJzL2Uyb0RvYy54bWxQSwECLQAUAAYACAAAACEAJywgg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 xml:space="preserve">Australian Learning Lecture </w:t>
      </w:r>
      <w:r w:rsidR="00083242">
        <w:rPr>
          <w:rFonts w:ascii="Tahoma" w:eastAsia="Tahoma" w:hAnsi="Tahoma"/>
          <w:i/>
          <w:color w:val="007994"/>
          <w:sz w:val="21"/>
          <w:vertAlign w:val="superscript"/>
        </w:rPr>
        <w:t>25</w:t>
      </w:r>
      <w:r w:rsidR="00083242">
        <w:rPr>
          <w:rFonts w:ascii="Tahoma" w:eastAsia="Tahoma" w:hAnsi="Tahoma"/>
          <w:i/>
          <w:color w:val="007994"/>
          <w:sz w:val="13"/>
        </w:rPr>
        <w:t xml:space="preserve"> </w:t>
      </w:r>
    </w:p>
    <w:p w14:paraId="5A029C5D" w14:textId="756786A8" w:rsidR="009757A9" w:rsidRDefault="000A70A0">
      <w:pPr>
        <w:spacing w:before="425" w:after="536" w:line="240" w:lineRule="exact"/>
        <w:ind w:left="864" w:right="1152"/>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19520" behindDoc="0" locked="0" layoutInCell="1" allowOverlap="1" wp14:anchorId="5C23F9B1" wp14:editId="63526C9D">
                <wp:simplePos x="0" y="0"/>
                <wp:positionH relativeFrom="page">
                  <wp:posOffset>762635</wp:posOffset>
                </wp:positionH>
                <wp:positionV relativeFrom="page">
                  <wp:posOffset>5547360</wp:posOffset>
                </wp:positionV>
                <wp:extent cx="5907405" cy="0"/>
                <wp:effectExtent l="0" t="0" r="0" b="0"/>
                <wp:wrapNone/>
                <wp:docPr id="943" name="Lin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0D5B5" id="Line 664" o:spid="_x0000_s1026" style="position:absolute;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5pt,436.8pt" to="525.2pt,4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yw70AEAAIYDAAAOAAAAZHJzL2Uyb0RvYy54bWysU8Fu2zAMvQ/YPwi6L3baJF2MOD0k6y7Z&#10;FqDtBzCSbAuTREFSYufvJ8lJtq63YReBEsnHx0dq9ThoRU7CeYmmptNJSYkwDLk0bU1fX54+fabE&#10;BzAcFBpR07Pw9HH98cOqt5W4ww4VF45EEOOr3ta0C8FWReFZJzT4CVphorNBpyHEq2sL7qCP6FoV&#10;d2W5KHp03Dpkwvv4uh2ddJ3xm0aw8KNpvAhE1TRyC/l0+Tyks1ivoGod2E6yCw34BxYapIlFb1Bb&#10;CECOTr6D0pI59NiECUNdYNNIJnIPsZtp+Vc3zx1YkXuJ4nh7k8n/P1j2/bR3RPKaLmf3lBjQcUg7&#10;aQRZLGZJnd76KgZtzN6l/thgnu0O2U9PDG46MK3ILF/ONiZOU0bxJiVdvI01Dv035DEGjgGzVEPj&#10;dIKMIpAhT+R8m4gYAmHxcb4sH2blnBJ29RVQXROt8+GrQE2SUVMVWWdgOO18SESguoakOgafpFJ5&#10;4MqQvqaL+3mZEzwqyZMzhXnXHjbKkROklSkflsusQwR7E5aQt+C7MS67xmVyeDQ8V+kE8C8XO4BU&#10;ox2BlLmolIQZJT4gP+/dVb047Ez/sphpm/685+zf32f9CwAA//8DAFBLAwQUAAYACAAAACEAcJ8a&#10;4twAAAAMAQAADwAAAGRycy9kb3ducmV2LnhtbEyPwU7DMAyG70i8Q2QkbizZYGMqTSc0tNMusCFx&#10;9RrTFhqnarKue3s8CQmOv/3p9+d8NfpWDdTHJrCF6cSAIi6Da7iy8L7f3C1BxYTssA1MFs4UYVVc&#10;X+WYuXDiNxp2qVJSwjFDC3VKXaZ1LGvyGCehI5bdZ+g9Jol9pV2PJyn3rZ4Zs9AeG5YLNXa0rqn8&#10;3h29hQ2a/avbbsNX/Jif15i0e6HB2tub8fkJVKIx/cFw0Rd1KMTpEI7somolz8xUUAvLx/sFqAth&#10;5uYB1OF3pItc/3+i+AEAAP//AwBQSwECLQAUAAYACAAAACEAtoM4kv4AAADhAQAAEwAAAAAAAAAA&#10;AAAAAAAAAAAAW0NvbnRlbnRfVHlwZXNdLnhtbFBLAQItABQABgAIAAAAIQA4/SH/1gAAAJQBAAAL&#10;AAAAAAAAAAAAAAAAAC8BAABfcmVscy8ucmVsc1BLAQItABQABgAIAAAAIQCI4yw70AEAAIYDAAAO&#10;AAAAAAAAAAAAAAAAAC4CAABkcnMvZTJvRG9jLnhtbFBLAQItABQABgAIAAAAIQBwnxri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z w:val="18"/>
        </w:rPr>
        <w:t xml:space="preserve">While SSCEs in all states and territories embed the teaching of transferable skills (variously described as general capabilities, 21st-century skills and employability skills) within their subject syllabuses, the extent to which individual students acquire these skills in school will vary depending on the subjects they study. The perceived de-emphasis </w:t>
      </w:r>
      <w:r w:rsidR="00083242">
        <w:rPr>
          <w:rFonts w:ascii="Verdana" w:eastAsia="Verdana" w:hAnsi="Verdana"/>
          <w:color w:val="404042"/>
          <w:sz w:val="18"/>
        </w:rPr>
        <w:t xml:space="preserve">of non-academic skills has contributed to 68 per cent of young people believing that high school did not adequately </w:t>
      </w:r>
      <w:r w:rsidR="00083242">
        <w:rPr>
          <w:rFonts w:ascii="Tahoma" w:eastAsia="Tahoma" w:hAnsi="Tahoma"/>
          <w:color w:val="404042"/>
          <w:sz w:val="18"/>
        </w:rPr>
        <w:t>prepare them for success in the ‘real world’.</w:t>
      </w:r>
      <w:r w:rsidR="00083242">
        <w:rPr>
          <w:rFonts w:ascii="Tahoma" w:eastAsia="Tahoma" w:hAnsi="Tahoma"/>
          <w:color w:val="404042"/>
          <w:sz w:val="18"/>
          <w:vertAlign w:val="superscript"/>
        </w:rPr>
        <w:t>26</w:t>
      </w:r>
      <w:r w:rsidR="00083242">
        <w:rPr>
          <w:rFonts w:ascii="Verdana" w:eastAsia="Verdana" w:hAnsi="Verdana"/>
          <w:color w:val="404042"/>
          <w:sz w:val="18"/>
        </w:rPr>
        <w:t xml:space="preserve"> It helps explain why 37 per cent of undergraduate students are unsatisfied with their development of work-related knowledge and skills.</w:t>
      </w:r>
      <w:r w:rsidR="00083242">
        <w:rPr>
          <w:rFonts w:ascii="Tahoma" w:eastAsia="Tahoma" w:hAnsi="Tahoma"/>
          <w:color w:val="404042"/>
          <w:sz w:val="18"/>
          <w:vertAlign w:val="superscript"/>
        </w:rPr>
        <w:t>27</w:t>
      </w:r>
      <w:r w:rsidR="00083242">
        <w:rPr>
          <w:rFonts w:ascii="Tahoma" w:eastAsia="Tahoma" w:hAnsi="Tahoma"/>
          <w:color w:val="404042"/>
          <w:sz w:val="10"/>
        </w:rPr>
        <w:t xml:space="preserve"> </w:t>
      </w:r>
    </w:p>
    <w:p w14:paraId="31358F53" w14:textId="7B2C8141" w:rsidR="009757A9" w:rsidRPr="00E539CA" w:rsidRDefault="00083242">
      <w:pPr>
        <w:spacing w:before="159" w:line="241" w:lineRule="exact"/>
        <w:ind w:left="1296"/>
        <w:textAlignment w:val="baseline"/>
        <w:rPr>
          <w:rFonts w:ascii="Tahoma" w:eastAsia="Verdana" w:hAnsi="Tahoma" w:cs="Tahoma"/>
          <w:i/>
          <w:color w:val="007994"/>
          <w:spacing w:val="1"/>
          <w:sz w:val="21"/>
          <w:szCs w:val="21"/>
        </w:rPr>
      </w:pPr>
      <w:r w:rsidRPr="00E539CA">
        <w:rPr>
          <w:rFonts w:ascii="Tahoma" w:eastAsia="Verdana" w:hAnsi="Tahoma" w:cs="Tahoma"/>
          <w:i/>
          <w:color w:val="007994"/>
          <w:spacing w:val="1"/>
          <w:sz w:val="21"/>
          <w:szCs w:val="21"/>
        </w:rPr>
        <w:t>“I can write an essay in under an hour, but I didn’t understand my first pay slip.”</w:t>
      </w:r>
    </w:p>
    <w:p w14:paraId="6EC8406F" w14:textId="41835BE4" w:rsidR="009757A9" w:rsidRPr="00E539CA" w:rsidRDefault="000A70A0">
      <w:pPr>
        <w:spacing w:before="56" w:after="230" w:line="242" w:lineRule="exact"/>
        <w:ind w:left="7488"/>
        <w:textAlignment w:val="baseline"/>
        <w:rPr>
          <w:rFonts w:ascii="Tahoma" w:eastAsia="Tahoma" w:hAnsi="Tahoma" w:cs="Tahoma"/>
          <w:i/>
          <w:color w:val="007994"/>
          <w:spacing w:val="4"/>
          <w:sz w:val="21"/>
          <w:szCs w:val="21"/>
        </w:rPr>
      </w:pPr>
      <w:r w:rsidRPr="00E539CA">
        <w:rPr>
          <w:rFonts w:ascii="Tahoma" w:hAnsi="Tahoma" w:cs="Tahoma"/>
          <w:noProof/>
          <w:sz w:val="21"/>
          <w:szCs w:val="21"/>
          <w:lang w:val="en-AU" w:eastAsia="en-AU"/>
        </w:rPr>
        <mc:AlternateContent>
          <mc:Choice Requires="wps">
            <w:drawing>
              <wp:anchor distT="0" distB="0" distL="114300" distR="114300" simplePos="0" relativeHeight="251820544" behindDoc="0" locked="0" layoutInCell="1" allowOverlap="1" wp14:anchorId="0B554724" wp14:editId="1D6F6EB9">
                <wp:simplePos x="0" y="0"/>
                <wp:positionH relativeFrom="page">
                  <wp:posOffset>724535</wp:posOffset>
                </wp:positionH>
                <wp:positionV relativeFrom="page">
                  <wp:posOffset>6202680</wp:posOffset>
                </wp:positionV>
                <wp:extent cx="5907405" cy="0"/>
                <wp:effectExtent l="0" t="0" r="0" b="0"/>
                <wp:wrapNone/>
                <wp:docPr id="942" name="Lin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03E6F" id="Line 663" o:spid="_x0000_s1026" style="position:absolute;z-index:25182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05pt,488.4pt" to="522.2pt,4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1C0QEAAIYDAAAOAAAAZHJzL2Uyb0RvYy54bWysU8GO2yAQvVfqPyDujZ1skm2sOHtIur2k&#10;baTdfsAEsI0KDAISO39fwEm6bW9VL2hgZt68eTOsnwatyFk4L9HUdDopKRGGIZemren31+cPHynx&#10;AQwHhUbU9CI8fdq8f7fubSVm2KHiwpEIYnzV25p2IdiqKDzrhAY/QStMdDboNIR4dW3BHfQRXati&#10;VpbLokfHrUMmvI+vu9FJNxm/aQQL35rGi0BUTSO3kE+Xz2M6i80aqtaB7SS70oB/YKFBmlj0DrWD&#10;AOTk5F9QWjKHHpswYagLbBrJRO4hdjMt/+jmpQMrci9RHG/vMvn/B8u+ng+OSF7T1XxGiQEdh7SX&#10;RpDl8iGp01tfxaCtObjUHxvMi90j++GJwW0HphWZ5evFxsRpyih+S0kXb2ONY/8FeYyBU8As1dA4&#10;nSCjCGTIE7ncJyKGQFh8XKzKx3m5oITdfAVUt0TrfPgsUJNk1FRF1hkYznsfEhGobiGpjsFnqVQe&#10;uDKkr+nyYVHmBI9K8uRMYd61x61y5AxpZcrH1Wqeu4qet2EJeQe+G+Oya1wmhyfDc5VOAP90tQNI&#10;NdqRlTJXlZIwo8RH5JeDu6kXh53pXxczbdPbe87+9X02PwEAAP//AwBQSwMEFAAGAAgAAAAhAFEx&#10;7/bcAAAADAEAAA8AAABkcnMvZG93bnJldi54bWxMj0FLw0AQhe+C/2EZwZvdRGJtYzZFKj31oq3g&#10;dZodk2h2NmS3afrvnYKgx/fm4817xWpynRppCK1nA+ksAUVcedtybeB9v7lbgAoR2WLnmQycKcCq&#10;vL4qMLf+xG807mKtJIRDjgaaGPtc61A15DDMfE8st08/OIwih1rbAU8S7jp9nyRz7bBl+dBgT+uG&#10;qu/d0RnYYLJ/tdut/wofD+c1Rm1faDTm9mZ6fgIVaYp/MFzqS3UopdPBH9kG1YlOs1RQA8vHuWy4&#10;EEmWZaAOv5YuC/1/RPkDAAD//wMAUEsBAi0AFAAGAAgAAAAhALaDOJL+AAAA4QEAABMAAAAAAAAA&#10;AAAAAAAAAAAAAFtDb250ZW50X1R5cGVzXS54bWxQSwECLQAUAAYACAAAACEAOP0h/9YAAACUAQAA&#10;CwAAAAAAAAAAAAAAAAAvAQAAX3JlbHMvLnJlbHNQSwECLQAUAAYACAAAACEA66O9QtEBAACGAwAA&#10;DgAAAAAAAAAAAAAAAAAuAgAAZHJzL2Uyb0RvYy54bWxQSwECLQAUAAYACAAAACEAUTHv9twAAAAM&#10;AQAADwAAAAAAAAAAAAAAAAArBAAAZHJzL2Rvd25yZXYueG1sUEsFBgAAAAAEAAQA8wAAADQFAAAA&#10;AA==&#10;" strokecolor="#007994" strokeweight=".5pt">
                <w10:wrap anchorx="page" anchory="page"/>
              </v:line>
            </w:pict>
          </mc:Fallback>
        </mc:AlternateContent>
      </w:r>
      <w:r w:rsidR="00083242" w:rsidRPr="00E539CA">
        <w:rPr>
          <w:rFonts w:ascii="Tahoma" w:eastAsia="Tahoma" w:hAnsi="Tahoma" w:cs="Tahoma"/>
          <w:i/>
          <w:color w:val="007994"/>
          <w:spacing w:val="4"/>
          <w:sz w:val="21"/>
          <w:szCs w:val="21"/>
        </w:rPr>
        <w:t>Anonymous student submission</w:t>
      </w:r>
    </w:p>
    <w:p w14:paraId="135CE800" w14:textId="0B832732" w:rsidR="009757A9" w:rsidRDefault="00083242">
      <w:pPr>
        <w:spacing w:before="424" w:line="240" w:lineRule="exact"/>
        <w:ind w:left="864" w:right="1080"/>
        <w:textAlignment w:val="baseline"/>
        <w:rPr>
          <w:rFonts w:ascii="Tahoma" w:eastAsia="Tahoma" w:hAnsi="Tahoma"/>
          <w:color w:val="404042"/>
          <w:sz w:val="18"/>
        </w:rPr>
      </w:pPr>
      <w:r>
        <w:rPr>
          <w:rFonts w:ascii="Tahoma" w:eastAsia="Tahoma" w:hAnsi="Tahoma"/>
          <w:color w:val="404042"/>
          <w:sz w:val="18"/>
        </w:rPr>
        <w:t>Many employers also have strong concerns about the inadequacy of school leavers’ capabilities, including their lack of self-management, planning and organisational skills (45 per cent of employers); and problem-solving, initiative and enterprise skills (41 per cent of employers).</w:t>
      </w:r>
      <w:r>
        <w:rPr>
          <w:rFonts w:ascii="Tahoma" w:eastAsia="Tahoma" w:hAnsi="Tahoma"/>
          <w:color w:val="404042"/>
          <w:sz w:val="18"/>
          <w:vertAlign w:val="superscript"/>
        </w:rPr>
        <w:t>28</w:t>
      </w:r>
      <w:r>
        <w:rPr>
          <w:rFonts w:ascii="Tahoma" w:eastAsia="Tahoma" w:hAnsi="Tahoma"/>
          <w:color w:val="404042"/>
          <w:sz w:val="10"/>
        </w:rPr>
        <w:t xml:space="preserve"> </w:t>
      </w:r>
    </w:p>
    <w:p w14:paraId="6E3CFD46" w14:textId="77777777" w:rsidR="009757A9" w:rsidRDefault="00083242">
      <w:pPr>
        <w:spacing w:before="158" w:after="114"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There are many variations of the essential skills that are seen to be needed for the workforce of the future. Students, </w:t>
      </w:r>
      <w:r>
        <w:rPr>
          <w:rFonts w:ascii="Verdana" w:eastAsia="Verdana" w:hAnsi="Verdana"/>
          <w:color w:val="404042"/>
          <w:sz w:val="18"/>
        </w:rPr>
        <w:t xml:space="preserve">parents, school systems, jurisdictions, tertiary institutions and employers often have slightly different perspectives. Nevertheless, there are strong common themes concerning capabilities that different groups expect young people to </w:t>
      </w:r>
      <w:r>
        <w:rPr>
          <w:rFonts w:ascii="Tahoma" w:eastAsia="Tahoma" w:hAnsi="Tahoma"/>
          <w:color w:val="404042"/>
          <w:sz w:val="18"/>
        </w:rPr>
        <w:t>gain through their senior secondary schooling, although they are expressed using a variety of terminologies. This can be seen in Figure 5.</w:t>
      </w:r>
    </w:p>
    <w:p w14:paraId="34CD45E4" w14:textId="77777777" w:rsidR="009757A9" w:rsidRDefault="000D2E34">
      <w:pPr>
        <w:spacing w:before="247" w:line="200" w:lineRule="exact"/>
        <w:ind w:left="1080" w:right="1224"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21568" behindDoc="0" locked="0" layoutInCell="1" allowOverlap="1" wp14:anchorId="77988E3E" wp14:editId="3295D69D">
                <wp:simplePos x="0" y="0"/>
                <wp:positionH relativeFrom="page">
                  <wp:posOffset>539750</wp:posOffset>
                </wp:positionH>
                <wp:positionV relativeFrom="page">
                  <wp:posOffset>7799705</wp:posOffset>
                </wp:positionV>
                <wp:extent cx="917575" cy="0"/>
                <wp:effectExtent l="0" t="0" r="0" b="0"/>
                <wp:wrapNone/>
                <wp:docPr id="941" name="Lin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8F732" id="Line 662" o:spid="_x0000_s1026" style="position:absolute;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14.15pt" to="114.75pt,6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6pzQEAAIUDAAAOAAAAZHJzL2Uyb0RvYy54bWysU8GO2yAQvVfqPyDuje2om02sOHtIur2k&#10;baTdfsAEsI0KDAISO39fwEm6bW9VfUAMM/PmzZvx+mnUipyF8xJNQ6tZSYkwDLk0XUO/vz5/WFLi&#10;AxgOCo1o6EV4+rR5/2492FrMsUfFhSMRxPh6sA3tQ7B1UXjWCw1+hlaY6GzRaQjRdF3BHQwRXati&#10;XpaLYkDHrUMmvI+vu8lJNxm/bQUL39rWi0BUQyO3kE+Xz2M6i80a6s6B7SW70oB/YKFBmlj0DrWD&#10;AOTk5F9QWjKHHtswY6gLbFvJRO4hdlOVf3Tz0oMVuZcojrd3mfz/g2VfzwdHJG/o6mNFiQEdh7SX&#10;RpDFYp7UGayvY9DWHFzqj43mxe6R/fDE4LYH04nM8vViY2KVMorfUpLhbaxxHL4gjzFwCpilGlun&#10;E2QUgYx5Ipf7RMQYCIuPq+rx4fGBEnZzFVDf8qzz4bNATdKloSqSzrhw3vuQeEB9C0llDD5LpfK8&#10;lSFDQ5fLVZkTPCrJkzOFedcdt8qRM6SNyV9uKnrehiXkHfh+isuuaZccngzPVXoB/NP1HkCq6R5Z&#10;KXMVKekyKXxEfjm4m3hx1pn+dS/TMr21c/avv2fzEwAA//8DAFBLAwQUAAYACAAAACEAlMMwJd8A&#10;AAAMAQAADwAAAGRycy9kb3ducmV2LnhtbEyPwU7DMBBE70j8g7VIXBB1MGoVQpwqFLjkgERScXbi&#10;JQnE68h22/D3mAOC486OZt7k28VM7IjOj5Yk3KwSYEid1SP1EvbN83UKzAdFWk2WUMIXetgW52e5&#10;yrQ90Sse69CzGEI+UxKGEOaMc98NaJRf2Rkp/t6tMyrE0/VcO3WK4WbiIkk23KiRYsOgZtwN2H3W&#10;ByOhfSo3u6ay+5fmra3cVfVR1g+PUl5eLOU9sIBL+DPDD35EhyIytfZA2rNJQrqOU0LUhUhvgUWH&#10;EHdrYO2vxIuc/x9RfAMAAP//AwBQSwECLQAUAAYACAAAACEAtoM4kv4AAADhAQAAEwAAAAAAAAAA&#10;AAAAAAAAAAAAW0NvbnRlbnRfVHlwZXNdLnhtbFBLAQItABQABgAIAAAAIQA4/SH/1gAAAJQBAAAL&#10;AAAAAAAAAAAAAAAAAC8BAABfcmVscy8ucmVsc1BLAQItABQABgAIAAAAIQBekX6pzQEAAIUDAAAO&#10;AAAAAAAAAAAAAAAAAC4CAABkcnMvZTJvRG9jLnhtbFBLAQItABQABgAIAAAAIQCUwzAl3wAAAAwB&#10;AAAPAAAAAAAAAAAAAAAAACcEAABkcnMvZG93bnJldi54bWxQSwUGAAAAAAQABADzAAAAMwUAAAAA&#10;" strokeweight=".7pt">
                <w10:wrap anchorx="page" anchory="page"/>
              </v:line>
            </w:pict>
          </mc:Fallback>
        </mc:AlternateContent>
      </w:r>
      <w:r w:rsidR="00083242">
        <w:rPr>
          <w:rFonts w:ascii="Tahoma" w:eastAsia="Tahoma" w:hAnsi="Tahoma"/>
          <w:color w:val="404042"/>
          <w:sz w:val="14"/>
        </w:rPr>
        <w:t xml:space="preserve">24 Australian Government (2018), Through Growth to Achievement: Report of the Review to Achieve Educational Excellence in Australian Schools, </w:t>
      </w:r>
      <w:r w:rsidR="00083242">
        <w:rPr>
          <w:rFonts w:ascii="Verdana" w:eastAsia="Verdana" w:hAnsi="Verdana"/>
          <w:color w:val="404042"/>
          <w:sz w:val="14"/>
        </w:rPr>
        <w:t xml:space="preserve">March 2018, p. 49, </w:t>
      </w:r>
      <w:hyperlink r:id="rId79">
        <w:r w:rsidR="00083242">
          <w:rPr>
            <w:rFonts w:ascii="Verdana" w:eastAsia="Verdana" w:hAnsi="Verdana"/>
            <w:color w:val="0000FF"/>
            <w:sz w:val="14"/>
            <w:u w:val="single"/>
          </w:rPr>
          <w:t>https://docs.education.gov.au/system/files/doc/other/662684_tgta_accessible_final_0.pdf</w:t>
        </w:r>
      </w:hyperlink>
      <w:r w:rsidR="00083242">
        <w:rPr>
          <w:rFonts w:ascii="Tahoma" w:eastAsia="Tahoma" w:hAnsi="Tahoma"/>
          <w:color w:val="404042"/>
          <w:sz w:val="14"/>
        </w:rPr>
        <w:t>.</w:t>
      </w:r>
    </w:p>
    <w:p w14:paraId="41FEFF30" w14:textId="77777777" w:rsidR="009757A9" w:rsidRDefault="00083242">
      <w:pPr>
        <w:tabs>
          <w:tab w:val="left" w:pos="1152"/>
        </w:tabs>
        <w:spacing w:before="3" w:line="200" w:lineRule="exact"/>
        <w:ind w:left="1080" w:right="1152" w:hanging="216"/>
        <w:jc w:val="both"/>
        <w:textAlignment w:val="baseline"/>
        <w:rPr>
          <w:rFonts w:ascii="Tahoma" w:eastAsia="Tahoma" w:hAnsi="Tahoma"/>
          <w:color w:val="404042"/>
          <w:sz w:val="14"/>
        </w:rPr>
      </w:pPr>
      <w:r>
        <w:rPr>
          <w:rFonts w:ascii="Tahoma" w:eastAsia="Tahoma" w:hAnsi="Tahoma"/>
          <w:color w:val="404042"/>
          <w:sz w:val="14"/>
        </w:rPr>
        <w:t>25</w:t>
      </w:r>
      <w:r>
        <w:rPr>
          <w:rFonts w:ascii="Tahoma" w:eastAsia="Tahoma" w:hAnsi="Tahoma"/>
          <w:color w:val="404042"/>
          <w:sz w:val="14"/>
        </w:rPr>
        <w:tab/>
        <w:t xml:space="preserve">O’Connell, M., Milligan, S. and Bentley, T. (2019), </w:t>
      </w:r>
      <w:r>
        <w:rPr>
          <w:rFonts w:ascii="Arial" w:eastAsia="Arial" w:hAnsi="Arial"/>
          <w:i/>
          <w:color w:val="404042"/>
          <w:sz w:val="14"/>
        </w:rPr>
        <w:t>Beyond ATAR: A proposal for change</w:t>
      </w:r>
      <w:r>
        <w:rPr>
          <w:rFonts w:ascii="Tahoma" w:eastAsia="Tahoma" w:hAnsi="Tahoma"/>
          <w:color w:val="404042"/>
          <w:sz w:val="14"/>
        </w:rPr>
        <w:t xml:space="preserve">, Australian Learning Lecture position paper, September 2019, </w:t>
      </w:r>
      <w:r>
        <w:rPr>
          <w:rFonts w:ascii="Verdana" w:eastAsia="Verdana" w:hAnsi="Verdana"/>
          <w:color w:val="404042"/>
          <w:sz w:val="14"/>
        </w:rPr>
        <w:t xml:space="preserve">p. 7, </w:t>
      </w:r>
      <w:hyperlink r:id="rId80">
        <w:r>
          <w:rPr>
            <w:rFonts w:ascii="Tahoma" w:eastAsia="Tahoma" w:hAnsi="Tahoma"/>
            <w:color w:val="0000FF"/>
            <w:sz w:val="14"/>
            <w:u w:val="single"/>
          </w:rPr>
          <w:t>https://www.all-l</w:t>
        </w:r>
      </w:hyperlink>
      <w:r>
        <w:rPr>
          <w:rFonts w:ascii="Verdana" w:eastAsia="Verdana" w:hAnsi="Verdana"/>
          <w:color w:val="0000FF"/>
          <w:sz w:val="14"/>
          <w:u w:val="single"/>
        </w:rPr>
        <w:t>earning.org.au/sites/default/files/resources/beyond_atar_proposal_for_change_all.pdf</w:t>
      </w:r>
      <w:r>
        <w:rPr>
          <w:rFonts w:ascii="Tahoma" w:eastAsia="Tahoma" w:hAnsi="Tahoma"/>
          <w:color w:val="404042"/>
          <w:sz w:val="14"/>
        </w:rPr>
        <w:t>.</w:t>
      </w:r>
    </w:p>
    <w:p w14:paraId="6E90B997" w14:textId="77777777" w:rsidR="009757A9" w:rsidRDefault="00083242">
      <w:pPr>
        <w:tabs>
          <w:tab w:val="left" w:pos="1152"/>
        </w:tabs>
        <w:spacing w:line="196" w:lineRule="exact"/>
        <w:ind w:left="1080" w:right="1440" w:hanging="216"/>
        <w:textAlignment w:val="baseline"/>
        <w:rPr>
          <w:rFonts w:ascii="Tahoma" w:eastAsia="Tahoma" w:hAnsi="Tahoma"/>
          <w:color w:val="404042"/>
          <w:sz w:val="14"/>
        </w:rPr>
      </w:pPr>
      <w:r>
        <w:rPr>
          <w:rFonts w:ascii="Tahoma" w:eastAsia="Tahoma" w:hAnsi="Tahoma"/>
          <w:color w:val="404042"/>
          <w:sz w:val="14"/>
        </w:rPr>
        <w:t>26</w:t>
      </w:r>
      <w:r>
        <w:rPr>
          <w:rFonts w:ascii="Tahoma" w:eastAsia="Tahoma" w:hAnsi="Tahoma"/>
          <w:color w:val="404042"/>
          <w:sz w:val="14"/>
        </w:rPr>
        <w:tab/>
        <w:t xml:space="preserve">Shipley, B. and Stubley, W. (2018), </w:t>
      </w:r>
      <w:r>
        <w:rPr>
          <w:rFonts w:ascii="Arial" w:eastAsia="Arial" w:hAnsi="Arial"/>
          <w:i/>
          <w:color w:val="404042"/>
          <w:sz w:val="14"/>
        </w:rPr>
        <w:t>After the ATAR II: Understanding how Gen Z makes decisions about their future</w:t>
      </w:r>
      <w:r>
        <w:rPr>
          <w:rFonts w:ascii="Verdana" w:eastAsia="Verdana" w:hAnsi="Verdana"/>
          <w:color w:val="404042"/>
          <w:sz w:val="14"/>
        </w:rPr>
        <w:t xml:space="preserve">, Year13 and YouthSense, p. 35, </w:t>
      </w:r>
      <w:hyperlink r:id="rId81">
        <w:r>
          <w:rPr>
            <w:rFonts w:ascii="Tahoma" w:eastAsia="Tahoma" w:hAnsi="Tahoma"/>
            <w:color w:val="0000FF"/>
            <w:sz w:val="14"/>
            <w:u w:val="single"/>
          </w:rPr>
          <w:t>https://youthsense.com.au/research/after-the-atar-ii</w:t>
        </w:r>
      </w:hyperlink>
      <w:r>
        <w:rPr>
          <w:rFonts w:ascii="Tahoma" w:eastAsia="Tahoma" w:hAnsi="Tahoma"/>
          <w:color w:val="404042"/>
          <w:sz w:val="14"/>
        </w:rPr>
        <w:t>.</w:t>
      </w:r>
    </w:p>
    <w:p w14:paraId="412CB7F0" w14:textId="77777777" w:rsidR="009757A9" w:rsidRDefault="00083242">
      <w:pPr>
        <w:spacing w:before="4" w:line="200" w:lineRule="exact"/>
        <w:ind w:left="1080" w:right="1152" w:hanging="216"/>
        <w:jc w:val="both"/>
        <w:textAlignment w:val="baseline"/>
        <w:rPr>
          <w:rFonts w:ascii="Tahoma" w:eastAsia="Tahoma" w:hAnsi="Tahoma"/>
          <w:color w:val="404042"/>
          <w:sz w:val="14"/>
        </w:rPr>
      </w:pPr>
      <w:r>
        <w:rPr>
          <w:rFonts w:ascii="Tahoma" w:eastAsia="Tahoma" w:hAnsi="Tahoma"/>
          <w:color w:val="404042"/>
          <w:sz w:val="14"/>
        </w:rPr>
        <w:t xml:space="preserve">27 Quality Indicators for Learning and Teaching (2019a), </w:t>
      </w:r>
      <w:r>
        <w:rPr>
          <w:rFonts w:ascii="Arial" w:eastAsia="Arial" w:hAnsi="Arial"/>
          <w:i/>
          <w:color w:val="404042"/>
          <w:sz w:val="14"/>
        </w:rPr>
        <w:t>2018 Student Experience Survey: National report</w:t>
      </w:r>
      <w:r>
        <w:rPr>
          <w:rFonts w:ascii="Verdana" w:eastAsia="Verdana" w:hAnsi="Verdana"/>
          <w:color w:val="404042"/>
          <w:sz w:val="14"/>
        </w:rPr>
        <w:t xml:space="preserve">, March 2019, p. 94, </w:t>
      </w:r>
      <w:hyperlink r:id="rId82">
        <w:r>
          <w:rPr>
            <w:rFonts w:ascii="Tahoma" w:eastAsia="Tahoma" w:hAnsi="Tahoma"/>
            <w:color w:val="0000FF"/>
            <w:sz w:val="14"/>
            <w:u w:val="single"/>
          </w:rPr>
          <w:t>https://www.qilt.edu.au/ ocs/default-source/default-document-library/2018-ses-national-report.pdf</w:t>
        </w:r>
      </w:hyperlink>
      <w:r>
        <w:rPr>
          <w:rFonts w:ascii="Tahoma" w:eastAsia="Tahoma" w:hAnsi="Tahoma"/>
          <w:color w:val="404042"/>
          <w:sz w:val="14"/>
        </w:rPr>
        <w:t>.</w:t>
      </w:r>
    </w:p>
    <w:p w14:paraId="3C9EDD6D" w14:textId="5E06C62E" w:rsidR="000A70A0" w:rsidRDefault="00083242" w:rsidP="000A70A0">
      <w:pPr>
        <w:spacing w:before="3" w:line="200" w:lineRule="exact"/>
        <w:ind w:left="1080" w:right="1152" w:hanging="216"/>
        <w:jc w:val="both"/>
        <w:textAlignment w:val="baseline"/>
        <w:rPr>
          <w:rFonts w:ascii="Tahoma" w:eastAsia="Tahoma" w:hAnsi="Tahoma"/>
          <w:color w:val="404042"/>
          <w:sz w:val="14"/>
        </w:rPr>
      </w:pPr>
      <w:r>
        <w:rPr>
          <w:rFonts w:ascii="Tahoma" w:eastAsia="Tahoma" w:hAnsi="Tahoma"/>
          <w:color w:val="404042"/>
          <w:sz w:val="14"/>
        </w:rPr>
        <w:t xml:space="preserve">28 Australian Industry Group (2018), </w:t>
      </w:r>
      <w:r>
        <w:rPr>
          <w:rFonts w:ascii="Arial" w:eastAsia="Arial" w:hAnsi="Arial"/>
          <w:i/>
          <w:color w:val="404042"/>
          <w:sz w:val="14"/>
        </w:rPr>
        <w:t>Skilling: A national imperative</w:t>
      </w:r>
      <w:r>
        <w:rPr>
          <w:rFonts w:ascii="Verdana" w:eastAsia="Verdana" w:hAnsi="Verdana"/>
          <w:color w:val="404042"/>
          <w:sz w:val="14"/>
        </w:rPr>
        <w:t xml:space="preserve">, Workforce Development Needs Survey report, p. 19, </w:t>
      </w:r>
      <w:hyperlink r:id="rId83">
        <w:r>
          <w:rPr>
            <w:rFonts w:ascii="Tahoma" w:eastAsia="Tahoma" w:hAnsi="Tahoma"/>
            <w:color w:val="0000FF"/>
            <w:sz w:val="14"/>
            <w:u w:val="single"/>
          </w:rPr>
          <w:t>https://cdn.aigroup.com.au Reports/2018/Survey_Report_WFDNeeds_Skilling_Sept2018.pdf</w:t>
        </w:r>
      </w:hyperlink>
      <w:r>
        <w:rPr>
          <w:rFonts w:ascii="Tahoma" w:eastAsia="Tahoma" w:hAnsi="Tahoma"/>
          <w:color w:val="404042"/>
          <w:sz w:val="14"/>
        </w:rPr>
        <w:t>.</w:t>
      </w:r>
    </w:p>
    <w:p w14:paraId="0B6B96D5" w14:textId="77777777" w:rsidR="000A70A0" w:rsidRDefault="000A70A0" w:rsidP="000A70A0">
      <w:pPr>
        <w:spacing w:before="3" w:line="200" w:lineRule="exact"/>
        <w:ind w:left="1080" w:right="1152" w:hanging="216"/>
        <w:jc w:val="both"/>
        <w:textAlignment w:val="baseline"/>
        <w:rPr>
          <w:rFonts w:ascii="Tahoma" w:eastAsia="Tahoma" w:hAnsi="Tahoma"/>
          <w:color w:val="404042"/>
          <w:sz w:val="14"/>
        </w:rPr>
      </w:pPr>
    </w:p>
    <w:p w14:paraId="6AABBC9B" w14:textId="77777777" w:rsidR="000A70A0" w:rsidRDefault="000A70A0" w:rsidP="000A70A0">
      <w:pPr>
        <w:spacing w:before="3" w:line="200" w:lineRule="exact"/>
        <w:ind w:left="1080" w:right="1152" w:hanging="216"/>
        <w:jc w:val="both"/>
        <w:textAlignment w:val="baseline"/>
        <w:rPr>
          <w:rFonts w:ascii="Tahoma" w:eastAsia="Tahoma" w:hAnsi="Tahoma"/>
          <w:color w:val="404042"/>
          <w:sz w:val="14"/>
        </w:rPr>
      </w:pPr>
    </w:p>
    <w:p w14:paraId="71B34979" w14:textId="44EDB05F" w:rsidR="009757A9" w:rsidRPr="000A70A0" w:rsidRDefault="001C4351" w:rsidP="00DD3786">
      <w:pPr>
        <w:spacing w:before="3" w:line="200" w:lineRule="exact"/>
        <w:ind w:left="8280" w:right="282" w:firstLine="360"/>
        <w:jc w:val="both"/>
        <w:textAlignment w:val="baseline"/>
        <w:rPr>
          <w:rFonts w:ascii="Tahoma" w:eastAsia="Tahoma" w:hAnsi="Tahoma"/>
          <w:color w:val="404042"/>
          <w:sz w:val="14"/>
        </w:rPr>
      </w:pPr>
      <w:r>
        <w:rPr>
          <w:noProof/>
          <w:lang w:val="en-AU" w:eastAsia="en-AU"/>
        </w:rPr>
        <w:drawing>
          <wp:anchor distT="0" distB="0" distL="114300" distR="114300" simplePos="0" relativeHeight="252030464" behindDoc="1" locked="0" layoutInCell="1" allowOverlap="1" wp14:anchorId="027C4C2C" wp14:editId="6D94084C">
            <wp:simplePos x="0" y="0"/>
            <wp:positionH relativeFrom="margin">
              <wp:align>right</wp:align>
            </wp:positionH>
            <wp:positionV relativeFrom="paragraph">
              <wp:posOffset>750570</wp:posOffset>
            </wp:positionV>
            <wp:extent cx="7562215" cy="462915"/>
            <wp:effectExtent l="0" t="0" r="635" b="0"/>
            <wp:wrapNone/>
            <wp:docPr id="57" name="Picture"/>
            <wp:cNvGraphicFramePr/>
            <a:graphic xmlns:a="http://schemas.openxmlformats.org/drawingml/2006/main">
              <a:graphicData uri="http://schemas.openxmlformats.org/drawingml/2006/picture">
                <pic:pic xmlns:pic="http://schemas.openxmlformats.org/drawingml/2006/picture">
                  <pic:nvPicPr>
                    <pic:cNvPr id="57" name="Picture"/>
                    <pic:cNvPicPr preferRelativeResize="0"/>
                  </pic:nvPicPr>
                  <pic:blipFill>
                    <a:blip r:embed="rId8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3"/>
          <w:sz w:val="14"/>
        </w:rPr>
        <w:t>Chapter 1: Essential skills</w:t>
      </w:r>
      <w:r w:rsidR="00083242">
        <w:rPr>
          <w:rFonts w:ascii="Arial" w:eastAsia="Arial" w:hAnsi="Arial"/>
          <w:b/>
          <w:color w:val="5556A1"/>
          <w:spacing w:val="3"/>
          <w:sz w:val="18"/>
        </w:rPr>
        <w:tab/>
        <w:t>35</w:t>
      </w:r>
    </w:p>
    <w:p w14:paraId="50E042FB" w14:textId="77777777" w:rsidR="000A70A0" w:rsidRDefault="000A70A0">
      <w:pPr>
        <w:textAlignment w:val="baseline"/>
        <w:sectPr w:rsidR="000A70A0" w:rsidSect="000A70A0">
          <w:pgSz w:w="11906" w:h="16838" w:code="9"/>
          <w:pgMar w:top="567" w:right="0" w:bottom="1440" w:left="0" w:header="720" w:footer="720" w:gutter="0"/>
          <w:cols w:space="720"/>
          <w:docGrid w:linePitch="299"/>
        </w:sectPr>
      </w:pPr>
    </w:p>
    <w:p w14:paraId="2C2937E3"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319808" behindDoc="1" locked="0" layoutInCell="1" allowOverlap="1" wp14:anchorId="1EBBA3DD" wp14:editId="1F8A09BD">
                <wp:simplePos x="0" y="0"/>
                <wp:positionH relativeFrom="page">
                  <wp:posOffset>0</wp:posOffset>
                </wp:positionH>
                <wp:positionV relativeFrom="page">
                  <wp:posOffset>0</wp:posOffset>
                </wp:positionV>
                <wp:extent cx="15121255" cy="10692130"/>
                <wp:effectExtent l="0" t="0" r="0" b="0"/>
                <wp:wrapSquare wrapText="bothSides"/>
                <wp:docPr id="94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125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8A173" w14:textId="77777777" w:rsidR="00490F33" w:rsidRDefault="00490F33">
                            <w:pPr>
                              <w:textAlignment w:val="baseline"/>
                            </w:pPr>
                            <w:r>
                              <w:rPr>
                                <w:noProof/>
                                <w:lang w:val="en-AU" w:eastAsia="en-AU"/>
                              </w:rPr>
                              <w:drawing>
                                <wp:inline distT="0" distB="0" distL="0" distR="0" wp14:anchorId="0C27CDC5" wp14:editId="3B2FA429">
                                  <wp:extent cx="14839950" cy="10677525"/>
                                  <wp:effectExtent l="0" t="0" r="0" b="9525"/>
                                  <wp:docPr id="969" name="Picture" descr="Capability descriptions across education and employment sectors. This graphic illustrates the commonality of language across the school (Australian Curriculum general capabilities and senior secondary certificate of education), tertiary (higher education undergraduate level and vocational education and training) and employment (Australian industry and global industry) sectors. "/>
                                  <wp:cNvGraphicFramePr/>
                                  <a:graphic xmlns:a="http://schemas.openxmlformats.org/drawingml/2006/main">
                                    <a:graphicData uri="http://schemas.openxmlformats.org/drawingml/2006/picture">
                                      <pic:pic xmlns:pic="http://schemas.openxmlformats.org/drawingml/2006/picture">
                                        <pic:nvPicPr>
                                          <pic:cNvPr id="969" name="Picture" descr="Capability descriptions across education and employment sectors. This graphic illustrates the commonality of language across the school (Australian Curriculum general capabilities and senior secondary certificate of education), tertiary (higher education undergraduate level and vocational education and training) and employment (Australian industry and global industry) sectors. "/>
                                          <pic:cNvPicPr preferRelativeResize="0"/>
                                        </pic:nvPicPr>
                                        <pic:blipFill>
                                          <a:blip r:embed="rId85"/>
                                          <a:stretch>
                                            <a:fillRect/>
                                          </a:stretch>
                                        </pic:blipFill>
                                        <pic:spPr>
                                          <a:xfrm>
                                            <a:off x="0" y="0"/>
                                            <a:ext cx="14839950" cy="106775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BA3DD" id="Text Box 661" o:spid="_x0000_s1047" type="#_x0000_t202" style="position:absolute;margin-left:0;margin-top:0;width:1190.65pt;height:841.9pt;z-index:-25199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hX8AEAAMUDAAAOAAAAZHJzL2Uyb0RvYy54bWysU12P0zAQfEfiP1h+p2kCrbio6em40yGk&#10;40O64wc4jp1YJF6zdpuUX8/aacoBb4gXa2OvZ2fGk931NPTsqNAbsBXPV2vOlJXQGNtW/OvT/au3&#10;nPkgbCN6sKriJ+X59f7li93oSlVAB32jkBGI9eXoKt6F4Mos87JTg/ArcMrSoQYcRKBPbLMGxUjo&#10;Q58V6/U2GwEbhyCV97R7Nx/yfcLXWsnwWWuvAusrTtxCWjGtdVyz/U6ULQrXGXmmIf6BxSCMpaEX&#10;qDsRBDug+QtqMBLBgw4rCUMGWhupkgZSk6//UPPYCaeSFjLHu4tN/v/Byk/HL8hMU/GrN+SPFQM9&#10;0pOaAnsHE9tu8+jQ6HxJjY+OWsNEB/TSSa13DyC/eWbhthO2VTeIMHZKNMQw3cyeXZ1xfASpx4/Q&#10;0CBxCJCAJo1DtI8MYYROTE6X14lkZBy5yYu82Gw4k3SYr7dXRf46vWAmygXAoQ/vFQwsFhVHCkAa&#10;II4PPpAUal1a4jwL96bvUwh6+9sGNcadJCByntmHqZ6SW8XFmBqaE0lCmLNF/wIVHeAPzkbKVcX9&#10;94NAxVn/wZItMYRLgUtRL4Wwkq5WPHA2l7dhDuvBoWk7Qp6Nt3BD1mmTJEWPZxZnvpSVpPSc6xjG&#10;59+p69fft/8JAAD//wMAUEsDBBQABgAIAAAAIQBI4k8b3QAAAAcBAAAPAAAAZHJzL2Rvd25yZXYu&#10;eG1sTI9BS8NAEIXvgv9hGcGb3bSBEGM2pYieBDGNB4+b7DRZmp2N2W0b/72jF708GN7jvW/K7eJG&#10;ccY5WE8K1qsEBFLnjaVewXvzfJeDCFGT0aMnVPCFAbbV9VWpC+MvVON5H3vBJRQKrWCIcSqkDN2A&#10;ToeVn5DYO/jZ6cjn3Esz6wuXu1FukiSTTlvihUFP+Dhgd9yfnILdB9VP9vO1fasPtW2a+4ResqNS&#10;tzfL7gFExCX+heEHn9GhYqbWn8gEMSrgR+KvsrdJ83UKouVUlqc5yKqU//mrbwAAAP//AwBQSwEC&#10;LQAUAAYACAAAACEAtoM4kv4AAADhAQAAEwAAAAAAAAAAAAAAAAAAAAAAW0NvbnRlbnRfVHlwZXNd&#10;LnhtbFBLAQItABQABgAIAAAAIQA4/SH/1gAAAJQBAAALAAAAAAAAAAAAAAAAAC8BAABfcmVscy8u&#10;cmVsc1BLAQItABQABgAIAAAAIQCNwdhX8AEAAMUDAAAOAAAAAAAAAAAAAAAAAC4CAABkcnMvZTJv&#10;RG9jLnhtbFBLAQItABQABgAIAAAAIQBI4k8b3QAAAAcBAAAPAAAAAAAAAAAAAAAAAEoEAABkcnMv&#10;ZG93bnJldi54bWxQSwUGAAAAAAQABADzAAAAVAUAAAAA&#10;" filled="f" stroked="f">
                <v:textbox inset="0,0,0,0">
                  <w:txbxContent>
                    <w:p w14:paraId="4308A173" w14:textId="77777777" w:rsidR="00490F33" w:rsidRDefault="00490F33">
                      <w:pPr>
                        <w:textAlignment w:val="baseline"/>
                      </w:pPr>
                      <w:r>
                        <w:rPr>
                          <w:noProof/>
                          <w:lang w:val="en-AU" w:eastAsia="en-AU"/>
                        </w:rPr>
                        <w:drawing>
                          <wp:inline distT="0" distB="0" distL="0" distR="0" wp14:anchorId="0C27CDC5" wp14:editId="3B2FA429">
                            <wp:extent cx="14839950" cy="10677525"/>
                            <wp:effectExtent l="0" t="0" r="0" b="9525"/>
                            <wp:docPr id="969" name="Picture" descr="Capability descriptions across education and employment sectors. This graphic illustrates the commonality of language across the school (Australian Curriculum general capabilities and senior secondary certificate of education), tertiary (higher education undergraduate level and vocational education and training) and employment (Australian industry and global industry) sectors. "/>
                            <wp:cNvGraphicFramePr/>
                            <a:graphic xmlns:a="http://schemas.openxmlformats.org/drawingml/2006/main">
                              <a:graphicData uri="http://schemas.openxmlformats.org/drawingml/2006/picture">
                                <pic:pic xmlns:pic="http://schemas.openxmlformats.org/drawingml/2006/picture">
                                  <pic:nvPicPr>
                                    <pic:cNvPr id="969" name="Picture" descr="Capability descriptions across education and employment sectors. This graphic illustrates the commonality of language across the school (Australian Curriculum general capabilities and senior secondary certificate of education), tertiary (higher education undergraduate level and vocational education and training) and employment (Australian industry and global industry) sectors. "/>
                                    <pic:cNvPicPr preferRelativeResize="0"/>
                                  </pic:nvPicPr>
                                  <pic:blipFill>
                                    <a:blip r:embed="rId85"/>
                                    <a:stretch>
                                      <a:fillRect/>
                                    </a:stretch>
                                  </pic:blipFill>
                                  <pic:spPr>
                                    <a:xfrm>
                                      <a:off x="0" y="0"/>
                                      <a:ext cx="14839950" cy="1067752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20832" behindDoc="1" locked="0" layoutInCell="1" allowOverlap="1" wp14:anchorId="0DA450D5" wp14:editId="73BDC58E">
                <wp:simplePos x="0" y="0"/>
                <wp:positionH relativeFrom="page">
                  <wp:posOffset>548640</wp:posOffset>
                </wp:positionH>
                <wp:positionV relativeFrom="page">
                  <wp:posOffset>593090</wp:posOffset>
                </wp:positionV>
                <wp:extent cx="4087495" cy="148590"/>
                <wp:effectExtent l="0" t="0" r="0" b="0"/>
                <wp:wrapSquare wrapText="bothSides"/>
                <wp:docPr id="939"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01C45" w14:textId="77777777" w:rsidR="00490F33" w:rsidRDefault="00490F33">
                            <w:pPr>
                              <w:spacing w:before="9" w:line="223" w:lineRule="exact"/>
                              <w:textAlignment w:val="baseline"/>
                              <w:rPr>
                                <w:rFonts w:ascii="Arial" w:eastAsia="Arial" w:hAnsi="Arial"/>
                                <w:b/>
                                <w:color w:val="404042"/>
                                <w:spacing w:val="3"/>
                                <w:sz w:val="19"/>
                              </w:rPr>
                            </w:pPr>
                            <w:r>
                              <w:rPr>
                                <w:rFonts w:ascii="Arial" w:eastAsia="Arial" w:hAnsi="Arial"/>
                                <w:b/>
                                <w:color w:val="404042"/>
                                <w:spacing w:val="3"/>
                                <w:sz w:val="19"/>
                              </w:rPr>
                              <w:t xml:space="preserve">Figure 5: </w:t>
                            </w:r>
                            <w:r>
                              <w:rPr>
                                <w:rFonts w:ascii="Tahoma" w:eastAsia="Tahoma" w:hAnsi="Tahoma"/>
                                <w:color w:val="404042"/>
                                <w:spacing w:val="3"/>
                                <w:sz w:val="18"/>
                              </w:rPr>
                              <w:t>Capability descriptions across education and employment sectors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450D5" id="Text Box 660" o:spid="_x0000_s1048" type="#_x0000_t202" style="position:absolute;margin-left:43.2pt;margin-top:46.7pt;width:321.85pt;height:11.7pt;z-index:-25199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xs8wEAAMIDAAAOAAAAZHJzL2Uyb0RvYy54bWysU9tu2zAMfR+wfxD0vjjJ0iwx4hRdiw4D&#10;ugvQ7gMYWY6F2aJGKbGzrx8lx2m3vQ17ESiKOjrnkNpc920jjpq8QVvI2WQqhbYKS2P3hfz2dP9m&#10;JYUPYEto0OpCnrSX19vXrzady/Uca2xKTYJBrM87V8g6BJdnmVe1bsFP0GnLhxVSC4G3tM9Kgo7R&#10;2yabT6fLrEMqHaHS3nP2bjiU24RfVVqFL1XldRBNIZlbSCuldRfXbLuBfE/gaqPONOAfWLRgLD96&#10;gbqDAOJA5i+o1ihCj1WYKGwzrCqjdNLAambTP9Q81uB00sLmeHexyf8/WPX5+JWEKQu5fruWwkLL&#10;TXrSfRDvsRfLZXKocz7nwkfHpaHnA+50UuvdA6rvXli8rcHu9Q0RdrWGkhnOorfZi6uxJz73EWTX&#10;fcKSH4JDwATUV9RG+9gQwejcqdOlO5GM4uRiunq3WF9JofhstlhdrRO5DPLxtiMfPmhsRQwKSdz9&#10;hA7HBx8iG8jHkviYxXvTNGkCGvtbggtjJrGPhAfqod/1yar5PGqLanZYnlgP4TBY/BE4qJF+StHx&#10;UBXS/zgAaSmaj5Y9iRM4BjQGuzEAq/hqIYMUQ3gbhkk9ODL7mpEH1y3esG+VSZKeWZz58qAkpeeh&#10;jpP4cp+qnr/e9hcAAAD//wMAUEsDBBQABgAIAAAAIQCvFZ883wAAAAkBAAAPAAAAZHJzL2Rvd25y&#10;ZXYueG1sTI/BTsMwDIbvSHuHyJO4saQMla40nSYEJyREVw4c0yZrozVOabKtvD3mxE6W9X/6/bnY&#10;zm5gZzMF61FCshLADLZeW+wkfNavdxmwEBVqNXg0En5MgG25uClUrv0FK3Pex45RCYZcSehjHHPO&#10;Q9sbp8LKjwYpO/jJqUjr1HE9qQuVu4HfC5FypyzShV6N5rk37XF/chJ2X1i92O/35qM6VLauNwLf&#10;0qOUt8t59wQsmjn+w/CnT+pQklPjT6gDGyRk6QOREjZrmpQ/rkUCrCEwSTPgZcGvPyh/AQAA//8D&#10;AFBLAQItABQABgAIAAAAIQC2gziS/gAAAOEBAAATAAAAAAAAAAAAAAAAAAAAAABbQ29udGVudF9U&#10;eXBlc10ueG1sUEsBAi0AFAAGAAgAAAAhADj9If/WAAAAlAEAAAsAAAAAAAAAAAAAAAAALwEAAF9y&#10;ZWxzLy5yZWxzUEsBAi0AFAAGAAgAAAAhAGxhjGzzAQAAwgMAAA4AAAAAAAAAAAAAAAAALgIAAGRy&#10;cy9lMm9Eb2MueG1sUEsBAi0AFAAGAAgAAAAhAK8VnzzfAAAACQEAAA8AAAAAAAAAAAAAAAAATQQA&#10;AGRycy9kb3ducmV2LnhtbFBLBQYAAAAABAAEAPMAAABZBQAAAAA=&#10;" filled="f" stroked="f">
                <v:textbox inset="0,0,0,0">
                  <w:txbxContent>
                    <w:p w14:paraId="0CF01C45" w14:textId="77777777" w:rsidR="00490F33" w:rsidRDefault="00490F33">
                      <w:pPr>
                        <w:spacing w:before="9" w:line="223" w:lineRule="exact"/>
                        <w:textAlignment w:val="baseline"/>
                        <w:rPr>
                          <w:rFonts w:ascii="Arial" w:eastAsia="Arial" w:hAnsi="Arial"/>
                          <w:b/>
                          <w:color w:val="404042"/>
                          <w:spacing w:val="3"/>
                          <w:sz w:val="19"/>
                        </w:rPr>
                      </w:pPr>
                      <w:r>
                        <w:rPr>
                          <w:rFonts w:ascii="Arial" w:eastAsia="Arial" w:hAnsi="Arial"/>
                          <w:b/>
                          <w:color w:val="404042"/>
                          <w:spacing w:val="3"/>
                          <w:sz w:val="19"/>
                        </w:rPr>
                        <w:t xml:space="preserve">Figure 5: </w:t>
                      </w:r>
                      <w:r>
                        <w:rPr>
                          <w:rFonts w:ascii="Tahoma" w:eastAsia="Tahoma" w:hAnsi="Tahoma"/>
                          <w:color w:val="404042"/>
                          <w:spacing w:val="3"/>
                          <w:sz w:val="18"/>
                        </w:rPr>
                        <w:t>Capability descriptions across education and employment sectors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21856" behindDoc="1" locked="0" layoutInCell="1" allowOverlap="1" wp14:anchorId="5250D20B" wp14:editId="0196DAC6">
                <wp:simplePos x="0" y="0"/>
                <wp:positionH relativeFrom="page">
                  <wp:posOffset>497840</wp:posOffset>
                </wp:positionH>
                <wp:positionV relativeFrom="page">
                  <wp:posOffset>7611110</wp:posOffset>
                </wp:positionV>
                <wp:extent cx="421640" cy="97155"/>
                <wp:effectExtent l="0" t="0" r="0" b="0"/>
                <wp:wrapSquare wrapText="bothSides"/>
                <wp:docPr id="938"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68CC3" w14:textId="77777777" w:rsidR="00490F33" w:rsidRDefault="00490F33">
                            <w:pPr>
                              <w:spacing w:before="5" w:line="133" w:lineRule="exact"/>
                              <w:textAlignment w:val="baseline"/>
                              <w:rPr>
                                <w:rFonts w:ascii="Tahoma" w:eastAsia="Tahoma" w:hAnsi="Tahoma"/>
                                <w:color w:val="000000"/>
                                <w:spacing w:val="10"/>
                                <w:sz w:val="12"/>
                              </w:rPr>
                            </w:pPr>
                            <w:r>
                              <w:rPr>
                                <w:rFonts w:ascii="Tahoma" w:eastAsia="Tahoma" w:hAnsi="Tahoma"/>
                                <w:color w:val="000000"/>
                                <w:spacing w:val="10"/>
                                <w:sz w:val="12"/>
                              </w:rPr>
                              <w:t>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0D20B" id="Text Box 659" o:spid="_x0000_s1049" type="#_x0000_t202" style="position:absolute;margin-left:39.2pt;margin-top:599.3pt;width:33.2pt;height:7.65pt;z-index:-25199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H+7wEAAMADAAAOAAAAZHJzL2Uyb0RvYy54bWysU8Fu2zAMvQ/YPwi6L07SJluMOEXXosOA&#10;rhvQ7gMYWY6F2aJGKbGzrx8lx1m73oZdBIqkHh8fqfVV3zbioMkbtIWcTaZSaKuwNHZXyO9Pd+8+&#10;SOED2BIatLqQR+3l1ebtm3Xncj3HGptSk2AQ6/POFbIOweVZ5lWtW/ATdNpysEJqIfCVdllJ0DF6&#10;22Tz6XSZdUilI1Tae/beDkG5SfhVpVX4WlVeB9EUkrmFdFI6t/HMNmvIdwSuNupEA/6BRQvGctEz&#10;1C0EEHsyr6Baowg9VmGisM2wqozSqQfuZjb9q5vHGpxOvbA43p1l8v8PVj0cvpEwZSFXFzwqCy0P&#10;6Un3QXzEXiwXq6hQ53zOiY+OU0PPAZ506ta7e1Q/vLB4U4Pd6Wsi7GoNJTOcxZfZs6cDjo8g2+4L&#10;llwI9gETUF9RG+VjQQSj86SO5+lEMoqdl/PZ8pIjikOr97PFIhWAfHzryIdPGlsRjUISzz5hw+He&#10;h8gF8jEllrJ4Z5omzb+xLxycGD2Je6Q7EA/9tk9CzS9GTbZYHrkbwmGt+BuwUSP9kqLjlSqk/7kH&#10;0lI0ny0rEvdvNGg0tqMBVvHTQgYpBvMmDHu6d2R2NSMPmlu8ZtUqk1qK8g4sTnx5TVKnp5WOe/j8&#10;nrL+fLzNbwAAAP//AwBQSwMEFAAGAAgAAAAhAAbnKJHhAAAADAEAAA8AAABkcnMvZG93bnJldi54&#10;bWxMj0FPg0AQhe8m/ofNmHizC5UgIEvTGD2ZGCkePC7sFjZlZ5HdtvjvnZ7sbWbey5vvlZvFjuyk&#10;Z28cCohXETCNnVMGewFfzdtDBswHiUqODrWAX+1hU93elLJQ7oy1Pu1CzygEfSEFDCFMBee+G7SV&#10;fuUmjaTt3WxloHXuuZrlmcLtyNdRlHIrDdKHQU76ZdDdYXe0ArbfWL+an4/2s97XpmnyCN/TgxD3&#10;d8v2GVjQS/g3wwWf0KEiptYdUXk2CnjKEnLSPc6zFNjFkSRUpqVhHT/mwKuSX5eo/gAAAP//AwBQ&#10;SwECLQAUAAYACAAAACEAtoM4kv4AAADhAQAAEwAAAAAAAAAAAAAAAAAAAAAAW0NvbnRlbnRfVHlw&#10;ZXNdLnhtbFBLAQItABQABgAIAAAAIQA4/SH/1gAAAJQBAAALAAAAAAAAAAAAAAAAAC8BAABfcmVs&#10;cy8ucmVsc1BLAQItABQABgAIAAAAIQA2xfH+7wEAAMADAAAOAAAAAAAAAAAAAAAAAC4CAABkcnMv&#10;ZTJvRG9jLnhtbFBLAQItABQABgAIAAAAIQAG5yiR4QAAAAwBAAAPAAAAAAAAAAAAAAAAAEkEAABk&#10;cnMvZG93bnJldi54bWxQSwUGAAAAAAQABADzAAAAVwUAAAAA&#10;" filled="f" stroked="f">
                <v:textbox inset="0,0,0,0">
                  <w:txbxContent>
                    <w:p w14:paraId="31368CC3" w14:textId="77777777" w:rsidR="00490F33" w:rsidRDefault="00490F33">
                      <w:pPr>
                        <w:spacing w:before="5" w:line="133" w:lineRule="exact"/>
                        <w:textAlignment w:val="baseline"/>
                        <w:rPr>
                          <w:rFonts w:ascii="Tahoma" w:eastAsia="Tahoma" w:hAnsi="Tahoma"/>
                          <w:color w:val="000000"/>
                          <w:spacing w:val="10"/>
                          <w:sz w:val="12"/>
                        </w:rPr>
                      </w:pPr>
                      <w:r>
                        <w:rPr>
                          <w:rFonts w:ascii="Tahoma" w:eastAsia="Tahoma" w:hAnsi="Tahoma"/>
                          <w:color w:val="000000"/>
                          <w:spacing w:val="10"/>
                          <w:sz w:val="12"/>
                        </w:rPr>
                        <w:t>Sources: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22880" behindDoc="1" locked="0" layoutInCell="1" allowOverlap="1" wp14:anchorId="13538B30" wp14:editId="070F7F31">
                <wp:simplePos x="0" y="0"/>
                <wp:positionH relativeFrom="page">
                  <wp:posOffset>557530</wp:posOffset>
                </wp:positionH>
                <wp:positionV relativeFrom="page">
                  <wp:posOffset>7772400</wp:posOffset>
                </wp:positionV>
                <wp:extent cx="3862070" cy="274320"/>
                <wp:effectExtent l="0" t="0" r="0" b="0"/>
                <wp:wrapSquare wrapText="bothSides"/>
                <wp:docPr id="937"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078E4" w14:textId="77777777" w:rsidR="00490F33" w:rsidRDefault="00490F33">
                            <w:pPr>
                              <w:spacing w:before="15" w:line="139" w:lineRule="exact"/>
                              <w:textAlignment w:val="baseline"/>
                              <w:rPr>
                                <w:rFonts w:ascii="Tahoma" w:eastAsia="Tahoma" w:hAnsi="Tahoma"/>
                                <w:color w:val="000000"/>
                                <w:sz w:val="12"/>
                              </w:rPr>
                            </w:pPr>
                            <w:r>
                              <w:rPr>
                                <w:rFonts w:ascii="Tahoma" w:eastAsia="Tahoma" w:hAnsi="Tahoma"/>
                                <w:color w:val="000000"/>
                                <w:sz w:val="12"/>
                              </w:rPr>
                              <w:t xml:space="preserve">Australian Curriculum, Assessment and Reporting Authority, ‘Australian Curriculum: F–10 curriculum: General capabilities’, webpage (accessed 20 November 2019), </w:t>
                            </w:r>
                            <w:hyperlink r:id="rId86">
                              <w:r>
                                <w:rPr>
                                  <w:rFonts w:ascii="Tahoma" w:eastAsia="Tahoma" w:hAnsi="Tahoma"/>
                                  <w:color w:val="0000FF"/>
                                  <w:sz w:val="12"/>
                                  <w:u w:val="single"/>
                                </w:rPr>
                                <w:t>https://www.australiancurriculum.edu.au/f-10-curriculum/general-capabilities.</w:t>
                              </w:r>
                            </w:hyperlink>
                            <w:r>
                              <w:rPr>
                                <w:rFonts w:ascii="Tahoma" w:eastAsia="Tahoma" w:hAnsi="Tahoma"/>
                                <w:color w:val="000000"/>
                                <w:sz w:val="1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38B30" id="Text Box 658" o:spid="_x0000_s1050" type="#_x0000_t202" style="position:absolute;margin-left:43.9pt;margin-top:612pt;width:304.1pt;height:21.6pt;z-index:-25199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BN8QEAAMIDAAAOAAAAZHJzL2Uyb0RvYy54bWysU9uO0zAQfUfiHyy/06Tp0pao6WrZ1SKk&#10;ZUHa5QMcx0ksEo8Zu03K1zN2mrLAG+LFGs/l+MyZ8e567Dt2VOg0mIIvFylnykiotGkK/vX5/s2W&#10;M+eFqUQHRhX8pBy/3r9+tRtsrjJooasUMgIxLh9swVvvbZ4kTraqF24BVhkK1oC98HTFJqlQDITe&#10;d0mWputkAKwsglTOkfduCvJ9xK9rJf3nunbKs67gxM3HE+NZhjPZ70TeoLCtlmca4h9Y9EIbevQC&#10;dSe8YAfUf0H1WiI4qP1CQp9AXWupYg/UzTL9o5unVlgVeyFxnL3I5P4frHw8fkGmq4K/W204M6Kn&#10;IT2r0bP3MLL1221QaLAup8QnS6l+pABNOnbr7APIb44ZuG2FadQNIgytEhUxXIbK5EXphOMCSDl8&#10;gooeEgcPEWissQ/ykSCM0GlSp8t0AhlJztV2naUbCkmKZZurVRbHl4h8rrbo/AcFPQtGwZGmH9HF&#10;8cH5wEbkc0p4zMC97rq4AZ35zUGJwRPZB8ITdT+WY5Qqu5pVKaE6UT8I02LRRyCjBfzB2UBLVXD3&#10;/SBQcdZ9NKRJ2MDZwNkoZ0MYSaUF95xN5q2fNvVgUTctIU+qG7gh3WodWwoCTyzOfGlRYqfnpQ6b&#10;+PIes359vf1PAAAA//8DAFBLAwQUAAYACAAAACEACxCtS+AAAAAMAQAADwAAAGRycy9kb3ducmV2&#10;LnhtbEyPQU/DMAyF70j8h8hI3FhKhbqtNJ0mBCckRFcOHNPGa6M1Tmmyrfx7vBO72c9Pz98rNrMb&#10;xAmnYD0peFwkIJBabyx1Cr7qt4cViBA1GT14QgW/GGBT3t4UOjf+TBWedrETHEIh1wr6GMdcytD2&#10;6HRY+BGJb3s/OR15nTppJn3mcDfINEky6bQl/tDrEV96bA+7o1Ow/abq1f58NJ/VvrJ1vU7oPTso&#10;dX83b59BRJzjvxku+IwOJTM1/kgmiEHBasnkkfU0feJS7MjWGQ/NRcqWKciykNclyj8AAAD//wMA&#10;UEsBAi0AFAAGAAgAAAAhALaDOJL+AAAA4QEAABMAAAAAAAAAAAAAAAAAAAAAAFtDb250ZW50X1R5&#10;cGVzXS54bWxQSwECLQAUAAYACAAAACEAOP0h/9YAAACUAQAACwAAAAAAAAAAAAAAAAAvAQAAX3Jl&#10;bHMvLnJlbHNQSwECLQAUAAYACAAAACEADC5QTfEBAADCAwAADgAAAAAAAAAAAAAAAAAuAgAAZHJz&#10;L2Uyb0RvYy54bWxQSwECLQAUAAYACAAAACEACxCtS+AAAAAMAQAADwAAAAAAAAAAAAAAAABLBAAA&#10;ZHJzL2Rvd25yZXYueG1sUEsFBgAAAAAEAAQA8wAAAFgFAAAAAA==&#10;" filled="f" stroked="f">
                <v:textbox inset="0,0,0,0">
                  <w:txbxContent>
                    <w:p w14:paraId="12B078E4" w14:textId="77777777" w:rsidR="00490F33" w:rsidRDefault="00490F33">
                      <w:pPr>
                        <w:spacing w:before="15" w:line="139" w:lineRule="exact"/>
                        <w:textAlignment w:val="baseline"/>
                        <w:rPr>
                          <w:rFonts w:ascii="Tahoma" w:eastAsia="Tahoma" w:hAnsi="Tahoma"/>
                          <w:color w:val="000000"/>
                          <w:sz w:val="12"/>
                        </w:rPr>
                      </w:pPr>
                      <w:r>
                        <w:rPr>
                          <w:rFonts w:ascii="Tahoma" w:eastAsia="Tahoma" w:hAnsi="Tahoma"/>
                          <w:color w:val="000000"/>
                          <w:sz w:val="12"/>
                        </w:rPr>
                        <w:t xml:space="preserve">Australian Curriculum, Assessment and Reporting Authority, ‘Australian Curriculum: F–10 curriculum: General capabilities’, webpage (accessed 20 November 2019), </w:t>
                      </w:r>
                      <w:hyperlink r:id="rId87">
                        <w:r>
                          <w:rPr>
                            <w:rFonts w:ascii="Tahoma" w:eastAsia="Tahoma" w:hAnsi="Tahoma"/>
                            <w:color w:val="0000FF"/>
                            <w:sz w:val="12"/>
                            <w:u w:val="single"/>
                          </w:rPr>
                          <w:t>https://www.australiancurriculum.edu.au/f-10-curriculum/general-capabilities.</w:t>
                        </w:r>
                      </w:hyperlink>
                      <w:r>
                        <w:rPr>
                          <w:rFonts w:ascii="Tahoma" w:eastAsia="Tahoma" w:hAnsi="Tahoma"/>
                          <w:color w:val="000000"/>
                          <w:sz w:val="12"/>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23904" behindDoc="1" locked="0" layoutInCell="1" allowOverlap="1" wp14:anchorId="788F361A" wp14:editId="291B8DF4">
                <wp:simplePos x="0" y="0"/>
                <wp:positionH relativeFrom="page">
                  <wp:posOffset>548640</wp:posOffset>
                </wp:positionH>
                <wp:positionV relativeFrom="page">
                  <wp:posOffset>8107680</wp:posOffset>
                </wp:positionV>
                <wp:extent cx="3904615" cy="1374775"/>
                <wp:effectExtent l="0" t="0" r="0" b="0"/>
                <wp:wrapSquare wrapText="bothSides"/>
                <wp:docPr id="936"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137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525F4" w14:textId="77777777" w:rsidR="00490F33" w:rsidRDefault="00490F33">
                            <w:pPr>
                              <w:spacing w:before="23" w:line="139" w:lineRule="exact"/>
                              <w:ind w:right="360"/>
                              <w:textAlignment w:val="baseline"/>
                              <w:rPr>
                                <w:rFonts w:ascii="Arial" w:eastAsia="Arial" w:hAnsi="Arial"/>
                                <w:color w:val="000000"/>
                                <w:sz w:val="12"/>
                              </w:rPr>
                            </w:pPr>
                            <w:r>
                              <w:rPr>
                                <w:rFonts w:ascii="Arial" w:eastAsia="Arial" w:hAnsi="Arial"/>
                                <w:color w:val="000000"/>
                                <w:sz w:val="12"/>
                              </w:rPr>
                              <w:t xml:space="preserve">Australian Qualifications Framework Council (2013), </w:t>
                            </w:r>
                            <w:r>
                              <w:rPr>
                                <w:rFonts w:ascii="Arial" w:eastAsia="Arial" w:hAnsi="Arial"/>
                                <w:i/>
                                <w:color w:val="000000"/>
                                <w:sz w:val="12"/>
                              </w:rPr>
                              <w:t>Australian Qualifications Framework</w:t>
                            </w:r>
                            <w:r>
                              <w:rPr>
                                <w:rFonts w:ascii="Tahoma" w:eastAsia="Tahoma" w:hAnsi="Tahoma"/>
                                <w:color w:val="000000"/>
                                <w:sz w:val="12"/>
                              </w:rPr>
                              <w:t xml:space="preserve">, second edition, January 2013, p. 24, </w:t>
                            </w:r>
                            <w:hyperlink r:id="rId88">
                              <w:r>
                                <w:rPr>
                                  <w:rFonts w:ascii="Arial" w:eastAsia="Arial" w:hAnsi="Arial"/>
                                  <w:color w:val="0000FF"/>
                                  <w:sz w:val="12"/>
                                  <w:u w:val="single"/>
                                </w:rPr>
                                <w:t>https://www.aqf.edu.au/sites/aqf/files/aqf-2nd</w:t>
                              </w:r>
                            </w:hyperlink>
                            <w:r>
                              <w:rPr>
                                <w:rFonts w:ascii="Tahoma" w:eastAsia="Tahoma" w:hAnsi="Tahoma"/>
                                <w:color w:val="0000FF"/>
                                <w:sz w:val="12"/>
                                <w:u w:val="single"/>
                              </w:rPr>
                              <w:t>-edition-january-2013.pdf.</w:t>
                            </w:r>
                            <w:r>
                              <w:rPr>
                                <w:rFonts w:ascii="Tahoma" w:eastAsia="Tahoma" w:hAnsi="Tahoma"/>
                                <w:color w:val="000000"/>
                                <w:sz w:val="12"/>
                              </w:rPr>
                              <w:t xml:space="preserve"> </w:t>
                            </w:r>
                          </w:p>
                          <w:p w14:paraId="7C7DFF24" w14:textId="77777777" w:rsidR="00490F33" w:rsidRDefault="00490F33">
                            <w:pPr>
                              <w:spacing w:before="110" w:line="140" w:lineRule="exact"/>
                              <w:ind w:right="144"/>
                              <w:textAlignment w:val="baseline"/>
                              <w:rPr>
                                <w:rFonts w:ascii="Tahoma" w:eastAsia="Tahoma" w:hAnsi="Tahoma"/>
                                <w:color w:val="000000"/>
                                <w:sz w:val="12"/>
                              </w:rPr>
                            </w:pPr>
                            <w:r>
                              <w:rPr>
                                <w:rFonts w:ascii="Tahoma" w:eastAsia="Tahoma" w:hAnsi="Tahoma"/>
                                <w:color w:val="000000"/>
                                <w:sz w:val="12"/>
                              </w:rPr>
                              <w:t xml:space="preserve">Australian Government (2015), Higher Education Standards Framework (Threshold Standards) 2015, Part A, section 1.4, </w:t>
                            </w:r>
                            <w:hyperlink r:id="rId89" w:anchor="_Toc428368847.">
                              <w:r>
                                <w:rPr>
                                  <w:rFonts w:ascii="Tahoma" w:eastAsia="Tahoma" w:hAnsi="Tahoma"/>
                                  <w:color w:val="0000FF"/>
                                  <w:sz w:val="12"/>
                                  <w:u w:val="single"/>
                                </w:rPr>
                                <w:t>https://www.legislation.gov.au/Details/F2015L01639/Html/Text#_Toc428368847.</w:t>
                              </w:r>
                            </w:hyperlink>
                            <w:r>
                              <w:rPr>
                                <w:rFonts w:ascii="Tahoma" w:eastAsia="Tahoma" w:hAnsi="Tahoma"/>
                                <w:color w:val="000000"/>
                                <w:sz w:val="12"/>
                              </w:rPr>
                              <w:t xml:space="preserve"> </w:t>
                            </w:r>
                          </w:p>
                          <w:p w14:paraId="08B211E0" w14:textId="77777777" w:rsidR="00490F33" w:rsidRDefault="00490F33">
                            <w:pPr>
                              <w:spacing w:before="106" w:line="149" w:lineRule="exact"/>
                              <w:textAlignment w:val="baseline"/>
                              <w:rPr>
                                <w:rFonts w:ascii="Tahoma" w:eastAsia="Tahoma" w:hAnsi="Tahoma"/>
                                <w:color w:val="000000"/>
                                <w:spacing w:val="3"/>
                                <w:sz w:val="12"/>
                              </w:rPr>
                            </w:pPr>
                            <w:r>
                              <w:rPr>
                                <w:rFonts w:ascii="Tahoma" w:eastAsia="Tahoma" w:hAnsi="Tahoma"/>
                                <w:color w:val="000000"/>
                                <w:spacing w:val="3"/>
                                <w:sz w:val="12"/>
                              </w:rPr>
                              <w:t>Various Australian universities’ graduate attribute statements (accessed online).</w:t>
                            </w:r>
                          </w:p>
                          <w:p w14:paraId="3264735A" w14:textId="77777777" w:rsidR="00490F33" w:rsidRDefault="00490F33">
                            <w:pPr>
                              <w:spacing w:before="101" w:line="145" w:lineRule="exact"/>
                              <w:textAlignment w:val="baseline"/>
                              <w:rPr>
                                <w:rFonts w:ascii="Tahoma" w:eastAsia="Tahoma" w:hAnsi="Tahoma"/>
                                <w:color w:val="000000"/>
                                <w:sz w:val="12"/>
                              </w:rPr>
                            </w:pPr>
                            <w:r>
                              <w:rPr>
                                <w:rFonts w:ascii="Tahoma" w:eastAsia="Tahoma" w:hAnsi="Tahoma"/>
                                <w:color w:val="000000"/>
                                <w:sz w:val="12"/>
                              </w:rPr>
                              <w:t xml:space="preserve">Snell, D. and Gekara, V. (2016), </w:t>
                            </w:r>
                            <w:r>
                              <w:rPr>
                                <w:rFonts w:ascii="Arial" w:eastAsia="Arial" w:hAnsi="Arial"/>
                                <w:i/>
                                <w:color w:val="000000"/>
                                <w:sz w:val="12"/>
                              </w:rPr>
                              <w:t>Examining the transferability of skills developed within the Australian vocational</w:t>
                            </w:r>
                          </w:p>
                          <w:p w14:paraId="52AA0748" w14:textId="77777777" w:rsidR="00490F33" w:rsidRDefault="00490F33">
                            <w:pPr>
                              <w:spacing w:line="142" w:lineRule="exact"/>
                              <w:textAlignment w:val="baseline"/>
                              <w:rPr>
                                <w:rFonts w:ascii="Arial" w:eastAsia="Arial" w:hAnsi="Arial"/>
                                <w:i/>
                                <w:color w:val="000000"/>
                                <w:spacing w:val="1"/>
                                <w:sz w:val="12"/>
                              </w:rPr>
                            </w:pPr>
                            <w:r>
                              <w:rPr>
                                <w:rFonts w:ascii="Arial" w:eastAsia="Arial" w:hAnsi="Arial"/>
                                <w:i/>
                                <w:color w:val="000000"/>
                                <w:spacing w:val="1"/>
                                <w:sz w:val="12"/>
                              </w:rPr>
                              <w:t>education and training system: Support document 2</w:t>
                            </w:r>
                            <w:r>
                              <w:rPr>
                                <w:rFonts w:ascii="Tahoma" w:eastAsia="Tahoma" w:hAnsi="Tahoma"/>
                                <w:color w:val="000000"/>
                                <w:spacing w:val="1"/>
                                <w:sz w:val="12"/>
                              </w:rPr>
                              <w:t>, National Centre for Vocational Education Research,</w:t>
                            </w:r>
                          </w:p>
                          <w:p w14:paraId="5FE628D9" w14:textId="77777777" w:rsidR="00490F33" w:rsidRDefault="00490F33">
                            <w:pPr>
                              <w:spacing w:line="144" w:lineRule="exact"/>
                              <w:textAlignment w:val="baseline"/>
                              <w:rPr>
                                <w:rFonts w:ascii="Tahoma" w:eastAsia="Tahoma" w:hAnsi="Tahoma"/>
                                <w:color w:val="000000"/>
                                <w:spacing w:val="-2"/>
                                <w:sz w:val="12"/>
                              </w:rPr>
                            </w:pPr>
                            <w:r>
                              <w:rPr>
                                <w:rFonts w:ascii="Tahoma" w:eastAsia="Tahoma" w:hAnsi="Tahoma"/>
                                <w:color w:val="000000"/>
                                <w:spacing w:val="-2"/>
                                <w:sz w:val="12"/>
                              </w:rPr>
                              <w:t>pp. 15–18.</w:t>
                            </w:r>
                          </w:p>
                          <w:p w14:paraId="1BBA08EA" w14:textId="77777777" w:rsidR="00490F33" w:rsidRDefault="00490F33">
                            <w:pPr>
                              <w:spacing w:before="101" w:line="152" w:lineRule="exact"/>
                              <w:textAlignment w:val="baseline"/>
                              <w:rPr>
                                <w:rFonts w:ascii="Tahoma" w:eastAsia="Tahoma" w:hAnsi="Tahoma"/>
                                <w:color w:val="000000"/>
                                <w:sz w:val="12"/>
                              </w:rPr>
                            </w:pPr>
                            <w:r>
                              <w:rPr>
                                <w:rFonts w:ascii="Tahoma" w:eastAsia="Tahoma" w:hAnsi="Tahoma"/>
                                <w:color w:val="000000"/>
                                <w:sz w:val="12"/>
                              </w:rPr>
                              <w:t xml:space="preserve">Business Council of Australia (2020), </w:t>
                            </w:r>
                            <w:r>
                              <w:rPr>
                                <w:rFonts w:ascii="Arial" w:eastAsia="Arial" w:hAnsi="Arial"/>
                                <w:i/>
                                <w:color w:val="000000"/>
                                <w:sz w:val="12"/>
                              </w:rPr>
                              <w:t>The Modern Worker: A guide to what employers wan</w:t>
                            </w:r>
                            <w:r>
                              <w:rPr>
                                <w:rFonts w:ascii="Tahoma" w:eastAsia="Tahoma" w:hAnsi="Tahoma"/>
                                <w:color w:val="000000"/>
                                <w:sz w:val="12"/>
                              </w:rPr>
                              <w:t>t.</w:t>
                            </w:r>
                          </w:p>
                          <w:p w14:paraId="4AF4CB0E" w14:textId="77777777" w:rsidR="00490F33" w:rsidRDefault="00490F33">
                            <w:pPr>
                              <w:spacing w:before="68" w:line="182" w:lineRule="exact"/>
                              <w:textAlignment w:val="baseline"/>
                              <w:rPr>
                                <w:rFonts w:ascii="Tahoma" w:eastAsia="Tahoma" w:hAnsi="Tahoma"/>
                                <w:color w:val="000000"/>
                                <w:sz w:val="12"/>
                              </w:rPr>
                            </w:pPr>
                            <w:r>
                              <w:rPr>
                                <w:rFonts w:ascii="Tahoma" w:eastAsia="Tahoma" w:hAnsi="Tahoma"/>
                                <w:color w:val="000000"/>
                                <w:sz w:val="12"/>
                              </w:rPr>
                              <w:t xml:space="preserve">World Economic Forum (2018), </w:t>
                            </w:r>
                            <w:r>
                              <w:rPr>
                                <w:rFonts w:ascii="Arial" w:eastAsia="Arial" w:hAnsi="Arial"/>
                                <w:i/>
                                <w:color w:val="000000"/>
                                <w:sz w:val="12"/>
                              </w:rPr>
                              <w:t>The Future of Jobs Report 2018</w:t>
                            </w:r>
                            <w:r>
                              <w:rPr>
                                <w:rFonts w:ascii="Tahoma" w:eastAsia="Tahoma" w:hAnsi="Tahoma"/>
                                <w:color w:val="000000"/>
                                <w:sz w:val="12"/>
                              </w:rPr>
                              <w:t xml:space="preserve">, </w:t>
                            </w:r>
                            <w:hyperlink r:id="rId90">
                              <w:r>
                                <w:rPr>
                                  <w:rFonts w:ascii="Tahoma" w:eastAsia="Tahoma" w:hAnsi="Tahoma"/>
                                  <w:color w:val="0000FF"/>
                                  <w:sz w:val="12"/>
                                  <w:u w:val="single"/>
                                </w:rPr>
                                <w:t>http://www3.weforum.org/docs/WEF_Future_of_</w:t>
                              </w:r>
                            </w:hyperlink>
                            <w:r>
                              <w:rPr>
                                <w:rFonts w:ascii="Tahoma" w:eastAsia="Tahoma" w:hAnsi="Tahoma"/>
                                <w:color w:val="000000"/>
                                <w:sz w:val="12"/>
                              </w:rPr>
                              <w:t xml:space="preserve"> Jobs_2018.pdf.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F361A" id="Text Box 657" o:spid="_x0000_s1051" type="#_x0000_t202" style="position:absolute;margin-left:43.2pt;margin-top:638.4pt;width:307.45pt;height:108.25pt;z-index:-25199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QPm8gEAAMMDAAAOAAAAZHJzL2Uyb0RvYy54bWysU9tu2zAMfR+wfxD0vjiXJlmNOEXXosOA&#10;rhvQ9gMYWY6F2aJGKbGzrx8lJ2m3vg17ESiJOjznkFpd9W0j9pq8QVvIyWgshbYKS2O3hXx+uvvw&#10;UQofwJbQoNWFPGgvr9bv3606l+sp1tiUmgSDWJ93rpB1CC7PMq9q3YIfodOWLyukFgJvaZuVBB2j&#10;t002HY8XWYdUOkKlvefT2+FSrhN+VWkVvlWV10E0hWRuIa2U1k1cs/UK8i2Bq4060oB/YNGCsVz0&#10;DHULAcSOzBuo1ihCj1UYKWwzrCqjdNLAaibjv9Q81uB00sLmeHe2yf8/WPWw/07ClIW8nC2ksNBy&#10;k550H8Qn7MVivowOdc7nnPjoODX0fMGdTmq9u0f1wwuLNzXYrb4mwq7WUDLDSXyZvXo64PgIsum+&#10;YsmFYBcwAfUVtdE+NkQwOnfqcO5OJKP4cHY5vlhM5lIovpvMlhfL5TzVgPz03JEPnzW2IgaFJG5/&#10;gof9vQ+RDuSnlFjN4p1pmjQCjf3jgBPjSaIfGQ/cQ7/pk1fTVDhq22B5YEGEw2TxT+CgRvolRcdT&#10;VUj/cwekpWi+WDYljuApoFOwOQVgFT8tZJBiCG/CMKo7R2ZbM/Jgu8VrNq4ySdILiyNfnpSk9DjV&#10;cRRf71PWy99b/wYAAP//AwBQSwMEFAAGAAgAAAAhAJ0HuW7hAAAADAEAAA8AAABkcnMvZG93bnJl&#10;di54bWxMjz1PwzAQhnck/oN1SGzUblOlbYhTVQgmpIo0DIxO7CZW43OI3Tb8+x4TjPfeo/cj306u&#10;ZxczButRwnwmgBlsvLbYSvis3p7WwEJUqFXv0Uj4MQG2xf1drjLtr1iayyG2jEwwZEpCF+OQcR6a&#10;zjgVZn4wSL+jH52KdI4t16O6krnr+UKIlDtlkRI6NZiXzjSnw9lJ2H1h+Wq/9/VHeSxtVW0Evqcn&#10;KR8fpt0zsGim+AfDb32qDgV1qv0ZdWC9hHW6JJL0xSqlDUSsxDwBVpO03CQJ8CLn/0cUNwAAAP//&#10;AwBQSwECLQAUAAYACAAAACEAtoM4kv4AAADhAQAAEwAAAAAAAAAAAAAAAAAAAAAAW0NvbnRlbnRf&#10;VHlwZXNdLnhtbFBLAQItABQABgAIAAAAIQA4/SH/1gAAAJQBAAALAAAAAAAAAAAAAAAAAC8BAABf&#10;cmVscy8ucmVsc1BLAQItABQABgAIAAAAIQA9MQPm8gEAAMMDAAAOAAAAAAAAAAAAAAAAAC4CAABk&#10;cnMvZTJvRG9jLnhtbFBLAQItABQABgAIAAAAIQCdB7lu4QAAAAwBAAAPAAAAAAAAAAAAAAAAAEwE&#10;AABkcnMvZG93bnJldi54bWxQSwUGAAAAAAQABADzAAAAWgUAAAAA&#10;" filled="f" stroked="f">
                <v:textbox inset="0,0,0,0">
                  <w:txbxContent>
                    <w:p w14:paraId="6CB525F4" w14:textId="77777777" w:rsidR="00490F33" w:rsidRDefault="00490F33">
                      <w:pPr>
                        <w:spacing w:before="23" w:line="139" w:lineRule="exact"/>
                        <w:ind w:right="360"/>
                        <w:textAlignment w:val="baseline"/>
                        <w:rPr>
                          <w:rFonts w:ascii="Arial" w:eastAsia="Arial" w:hAnsi="Arial"/>
                          <w:color w:val="000000"/>
                          <w:sz w:val="12"/>
                        </w:rPr>
                      </w:pPr>
                      <w:r>
                        <w:rPr>
                          <w:rFonts w:ascii="Arial" w:eastAsia="Arial" w:hAnsi="Arial"/>
                          <w:color w:val="000000"/>
                          <w:sz w:val="12"/>
                        </w:rPr>
                        <w:t xml:space="preserve">Australian Qualifications Framework Council (2013), </w:t>
                      </w:r>
                      <w:r>
                        <w:rPr>
                          <w:rFonts w:ascii="Arial" w:eastAsia="Arial" w:hAnsi="Arial"/>
                          <w:i/>
                          <w:color w:val="000000"/>
                          <w:sz w:val="12"/>
                        </w:rPr>
                        <w:t>Australian Qualifications Framework</w:t>
                      </w:r>
                      <w:r>
                        <w:rPr>
                          <w:rFonts w:ascii="Tahoma" w:eastAsia="Tahoma" w:hAnsi="Tahoma"/>
                          <w:color w:val="000000"/>
                          <w:sz w:val="12"/>
                        </w:rPr>
                        <w:t xml:space="preserve">, second edition, January 2013, p. 24, </w:t>
                      </w:r>
                      <w:hyperlink r:id="rId91">
                        <w:r>
                          <w:rPr>
                            <w:rFonts w:ascii="Arial" w:eastAsia="Arial" w:hAnsi="Arial"/>
                            <w:color w:val="0000FF"/>
                            <w:sz w:val="12"/>
                            <w:u w:val="single"/>
                          </w:rPr>
                          <w:t>https://www.aqf.edu.au/sites/aqf/files/aqf-2nd</w:t>
                        </w:r>
                      </w:hyperlink>
                      <w:r>
                        <w:rPr>
                          <w:rFonts w:ascii="Tahoma" w:eastAsia="Tahoma" w:hAnsi="Tahoma"/>
                          <w:color w:val="0000FF"/>
                          <w:sz w:val="12"/>
                          <w:u w:val="single"/>
                        </w:rPr>
                        <w:t>-edition-january-2013.pdf.</w:t>
                      </w:r>
                      <w:r>
                        <w:rPr>
                          <w:rFonts w:ascii="Tahoma" w:eastAsia="Tahoma" w:hAnsi="Tahoma"/>
                          <w:color w:val="000000"/>
                          <w:sz w:val="12"/>
                        </w:rPr>
                        <w:t xml:space="preserve"> </w:t>
                      </w:r>
                    </w:p>
                    <w:p w14:paraId="7C7DFF24" w14:textId="77777777" w:rsidR="00490F33" w:rsidRDefault="00490F33">
                      <w:pPr>
                        <w:spacing w:before="110" w:line="140" w:lineRule="exact"/>
                        <w:ind w:right="144"/>
                        <w:textAlignment w:val="baseline"/>
                        <w:rPr>
                          <w:rFonts w:ascii="Tahoma" w:eastAsia="Tahoma" w:hAnsi="Tahoma"/>
                          <w:color w:val="000000"/>
                          <w:sz w:val="12"/>
                        </w:rPr>
                      </w:pPr>
                      <w:r>
                        <w:rPr>
                          <w:rFonts w:ascii="Tahoma" w:eastAsia="Tahoma" w:hAnsi="Tahoma"/>
                          <w:color w:val="000000"/>
                          <w:sz w:val="12"/>
                        </w:rPr>
                        <w:t xml:space="preserve">Australian Government (2015), Higher Education Standards Framework (Threshold Standards) 2015, Part A, section 1.4, </w:t>
                      </w:r>
                      <w:hyperlink r:id="rId92" w:anchor="_Toc428368847.">
                        <w:r>
                          <w:rPr>
                            <w:rFonts w:ascii="Tahoma" w:eastAsia="Tahoma" w:hAnsi="Tahoma"/>
                            <w:color w:val="0000FF"/>
                            <w:sz w:val="12"/>
                            <w:u w:val="single"/>
                          </w:rPr>
                          <w:t>https://www.legislation.gov.au/Details/F2015L01639/Html/Text#_Toc428368847.</w:t>
                        </w:r>
                      </w:hyperlink>
                      <w:r>
                        <w:rPr>
                          <w:rFonts w:ascii="Tahoma" w:eastAsia="Tahoma" w:hAnsi="Tahoma"/>
                          <w:color w:val="000000"/>
                          <w:sz w:val="12"/>
                        </w:rPr>
                        <w:t xml:space="preserve"> </w:t>
                      </w:r>
                    </w:p>
                    <w:p w14:paraId="08B211E0" w14:textId="77777777" w:rsidR="00490F33" w:rsidRDefault="00490F33">
                      <w:pPr>
                        <w:spacing w:before="106" w:line="149" w:lineRule="exact"/>
                        <w:textAlignment w:val="baseline"/>
                        <w:rPr>
                          <w:rFonts w:ascii="Tahoma" w:eastAsia="Tahoma" w:hAnsi="Tahoma"/>
                          <w:color w:val="000000"/>
                          <w:spacing w:val="3"/>
                          <w:sz w:val="12"/>
                        </w:rPr>
                      </w:pPr>
                      <w:r>
                        <w:rPr>
                          <w:rFonts w:ascii="Tahoma" w:eastAsia="Tahoma" w:hAnsi="Tahoma"/>
                          <w:color w:val="000000"/>
                          <w:spacing w:val="3"/>
                          <w:sz w:val="12"/>
                        </w:rPr>
                        <w:t>Various Australian universities’ graduate attribute statements (accessed online).</w:t>
                      </w:r>
                    </w:p>
                    <w:p w14:paraId="3264735A" w14:textId="77777777" w:rsidR="00490F33" w:rsidRDefault="00490F33">
                      <w:pPr>
                        <w:spacing w:before="101" w:line="145" w:lineRule="exact"/>
                        <w:textAlignment w:val="baseline"/>
                        <w:rPr>
                          <w:rFonts w:ascii="Tahoma" w:eastAsia="Tahoma" w:hAnsi="Tahoma"/>
                          <w:color w:val="000000"/>
                          <w:sz w:val="12"/>
                        </w:rPr>
                      </w:pPr>
                      <w:r>
                        <w:rPr>
                          <w:rFonts w:ascii="Tahoma" w:eastAsia="Tahoma" w:hAnsi="Tahoma"/>
                          <w:color w:val="000000"/>
                          <w:sz w:val="12"/>
                        </w:rPr>
                        <w:t xml:space="preserve">Snell, D. and Gekara, V. (2016), </w:t>
                      </w:r>
                      <w:r>
                        <w:rPr>
                          <w:rFonts w:ascii="Arial" w:eastAsia="Arial" w:hAnsi="Arial"/>
                          <w:i/>
                          <w:color w:val="000000"/>
                          <w:sz w:val="12"/>
                        </w:rPr>
                        <w:t>Examining the transferability of skills developed within the Australian vocational</w:t>
                      </w:r>
                    </w:p>
                    <w:p w14:paraId="52AA0748" w14:textId="77777777" w:rsidR="00490F33" w:rsidRDefault="00490F33">
                      <w:pPr>
                        <w:spacing w:line="142" w:lineRule="exact"/>
                        <w:textAlignment w:val="baseline"/>
                        <w:rPr>
                          <w:rFonts w:ascii="Arial" w:eastAsia="Arial" w:hAnsi="Arial"/>
                          <w:i/>
                          <w:color w:val="000000"/>
                          <w:spacing w:val="1"/>
                          <w:sz w:val="12"/>
                        </w:rPr>
                      </w:pPr>
                      <w:r>
                        <w:rPr>
                          <w:rFonts w:ascii="Arial" w:eastAsia="Arial" w:hAnsi="Arial"/>
                          <w:i/>
                          <w:color w:val="000000"/>
                          <w:spacing w:val="1"/>
                          <w:sz w:val="12"/>
                        </w:rPr>
                        <w:t>education and training system: Support document 2</w:t>
                      </w:r>
                      <w:r>
                        <w:rPr>
                          <w:rFonts w:ascii="Tahoma" w:eastAsia="Tahoma" w:hAnsi="Tahoma"/>
                          <w:color w:val="000000"/>
                          <w:spacing w:val="1"/>
                          <w:sz w:val="12"/>
                        </w:rPr>
                        <w:t>, National Centre for Vocational Education Research,</w:t>
                      </w:r>
                    </w:p>
                    <w:p w14:paraId="5FE628D9" w14:textId="77777777" w:rsidR="00490F33" w:rsidRDefault="00490F33">
                      <w:pPr>
                        <w:spacing w:line="144" w:lineRule="exact"/>
                        <w:textAlignment w:val="baseline"/>
                        <w:rPr>
                          <w:rFonts w:ascii="Tahoma" w:eastAsia="Tahoma" w:hAnsi="Tahoma"/>
                          <w:color w:val="000000"/>
                          <w:spacing w:val="-2"/>
                          <w:sz w:val="12"/>
                        </w:rPr>
                      </w:pPr>
                      <w:r>
                        <w:rPr>
                          <w:rFonts w:ascii="Tahoma" w:eastAsia="Tahoma" w:hAnsi="Tahoma"/>
                          <w:color w:val="000000"/>
                          <w:spacing w:val="-2"/>
                          <w:sz w:val="12"/>
                        </w:rPr>
                        <w:t>pp. 15–18.</w:t>
                      </w:r>
                    </w:p>
                    <w:p w14:paraId="1BBA08EA" w14:textId="77777777" w:rsidR="00490F33" w:rsidRDefault="00490F33">
                      <w:pPr>
                        <w:spacing w:before="101" w:line="152" w:lineRule="exact"/>
                        <w:textAlignment w:val="baseline"/>
                        <w:rPr>
                          <w:rFonts w:ascii="Tahoma" w:eastAsia="Tahoma" w:hAnsi="Tahoma"/>
                          <w:color w:val="000000"/>
                          <w:sz w:val="12"/>
                        </w:rPr>
                      </w:pPr>
                      <w:r>
                        <w:rPr>
                          <w:rFonts w:ascii="Tahoma" w:eastAsia="Tahoma" w:hAnsi="Tahoma"/>
                          <w:color w:val="000000"/>
                          <w:sz w:val="12"/>
                        </w:rPr>
                        <w:t xml:space="preserve">Business Council of Australia (2020), </w:t>
                      </w:r>
                      <w:r>
                        <w:rPr>
                          <w:rFonts w:ascii="Arial" w:eastAsia="Arial" w:hAnsi="Arial"/>
                          <w:i/>
                          <w:color w:val="000000"/>
                          <w:sz w:val="12"/>
                        </w:rPr>
                        <w:t>The Modern Worker: A guide to what employers wan</w:t>
                      </w:r>
                      <w:r>
                        <w:rPr>
                          <w:rFonts w:ascii="Tahoma" w:eastAsia="Tahoma" w:hAnsi="Tahoma"/>
                          <w:color w:val="000000"/>
                          <w:sz w:val="12"/>
                        </w:rPr>
                        <w:t>t.</w:t>
                      </w:r>
                    </w:p>
                    <w:p w14:paraId="4AF4CB0E" w14:textId="77777777" w:rsidR="00490F33" w:rsidRDefault="00490F33">
                      <w:pPr>
                        <w:spacing w:before="68" w:line="182" w:lineRule="exact"/>
                        <w:textAlignment w:val="baseline"/>
                        <w:rPr>
                          <w:rFonts w:ascii="Tahoma" w:eastAsia="Tahoma" w:hAnsi="Tahoma"/>
                          <w:color w:val="000000"/>
                          <w:sz w:val="12"/>
                        </w:rPr>
                      </w:pPr>
                      <w:r>
                        <w:rPr>
                          <w:rFonts w:ascii="Tahoma" w:eastAsia="Tahoma" w:hAnsi="Tahoma"/>
                          <w:color w:val="000000"/>
                          <w:sz w:val="12"/>
                        </w:rPr>
                        <w:t xml:space="preserve">World Economic Forum (2018), </w:t>
                      </w:r>
                      <w:r>
                        <w:rPr>
                          <w:rFonts w:ascii="Arial" w:eastAsia="Arial" w:hAnsi="Arial"/>
                          <w:i/>
                          <w:color w:val="000000"/>
                          <w:sz w:val="12"/>
                        </w:rPr>
                        <w:t>The Future of Jobs Report 2018</w:t>
                      </w:r>
                      <w:r>
                        <w:rPr>
                          <w:rFonts w:ascii="Tahoma" w:eastAsia="Tahoma" w:hAnsi="Tahoma"/>
                          <w:color w:val="000000"/>
                          <w:sz w:val="12"/>
                        </w:rPr>
                        <w:t xml:space="preserve">, </w:t>
                      </w:r>
                      <w:hyperlink r:id="rId93">
                        <w:r>
                          <w:rPr>
                            <w:rFonts w:ascii="Tahoma" w:eastAsia="Tahoma" w:hAnsi="Tahoma"/>
                            <w:color w:val="0000FF"/>
                            <w:sz w:val="12"/>
                            <w:u w:val="single"/>
                          </w:rPr>
                          <w:t>http://www3.weforum.org/docs/WEF_Future_of_</w:t>
                        </w:r>
                      </w:hyperlink>
                      <w:r>
                        <w:rPr>
                          <w:rFonts w:ascii="Tahoma" w:eastAsia="Tahoma" w:hAnsi="Tahoma"/>
                          <w:color w:val="000000"/>
                          <w:sz w:val="12"/>
                        </w:rPr>
                        <w:t xml:space="preserve"> Jobs_2018.pdf.</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24928" behindDoc="1" locked="0" layoutInCell="1" allowOverlap="1" wp14:anchorId="2121874F" wp14:editId="1E50A7FC">
                <wp:simplePos x="0" y="0"/>
                <wp:positionH relativeFrom="page">
                  <wp:posOffset>542290</wp:posOffset>
                </wp:positionH>
                <wp:positionV relativeFrom="page">
                  <wp:posOffset>9686925</wp:posOffset>
                </wp:positionV>
                <wp:extent cx="14039215" cy="155575"/>
                <wp:effectExtent l="0" t="0" r="0" b="0"/>
                <wp:wrapSquare wrapText="bothSides"/>
                <wp:docPr id="935"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2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449A0" w14:textId="77777777" w:rsidR="00490F33" w:rsidRDefault="00490F33">
                            <w:pPr>
                              <w:tabs>
                                <w:tab w:val="left" w:pos="504"/>
                                <w:tab w:val="left" w:pos="19944"/>
                                <w:tab w:val="right" w:pos="22104"/>
                              </w:tabs>
                              <w:spacing w:after="24" w:line="215" w:lineRule="exact"/>
                              <w:textAlignment w:val="baseline"/>
                              <w:rPr>
                                <w:rFonts w:ascii="Arial" w:eastAsia="Arial" w:hAnsi="Arial"/>
                                <w:b/>
                                <w:color w:val="5556A1"/>
                                <w:sz w:val="19"/>
                              </w:rPr>
                            </w:pPr>
                            <w:r>
                              <w:rPr>
                                <w:rFonts w:ascii="Arial" w:eastAsia="Arial" w:hAnsi="Arial"/>
                                <w:b/>
                                <w:color w:val="5556A1"/>
                                <w:sz w:val="19"/>
                              </w:rPr>
                              <w:t>36</w:t>
                            </w:r>
                            <w:r>
                              <w:rPr>
                                <w:rFonts w:ascii="Tahoma" w:eastAsia="Tahoma" w:hAnsi="Tahoma"/>
                                <w:color w:val="404042"/>
                                <w:sz w:val="14"/>
                              </w:rPr>
                              <w:tab/>
                              <w:t>Looking to the future</w:t>
                            </w:r>
                            <w:r>
                              <w:rPr>
                                <w:rFonts w:ascii="Tahoma" w:eastAsia="Tahoma" w:hAnsi="Tahoma"/>
                                <w:color w:val="404042"/>
                                <w:sz w:val="14"/>
                              </w:rPr>
                              <w:tab/>
                              <w:t>Chapter 1: Essential skills</w:t>
                            </w:r>
                            <w:r>
                              <w:rPr>
                                <w:rFonts w:ascii="Arial" w:eastAsia="Arial" w:hAnsi="Arial"/>
                                <w:b/>
                                <w:color w:val="5556A1"/>
                                <w:sz w:val="19"/>
                              </w:rPr>
                              <w:tab/>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1874F" id="Text Box 656" o:spid="_x0000_s1052" type="#_x0000_t202" style="position:absolute;margin-left:42.7pt;margin-top:762.75pt;width:1105.45pt;height:12.25pt;z-index:-25199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YU8AEAAMMDAAAOAAAAZHJzL2Uyb0RvYy54bWysU9tu2zAMfR+wfxD0vthJ52w14hRdiw4D&#10;ugvQ9gMYWY6F2aJGKbGzrx8lJ1m3vg17ESiRPDw8pFZXY9+JvSZv0FZyPsul0FZhbey2kk+Pd2/e&#10;S+ED2Bo6tLqSB+3l1fr1q9XgSr3AFrtak2AQ68vBVbINwZVZ5lWre/AzdNqys0HqIfCVtllNMDB6&#10;32WLPF9mA1LtCJX2nl9vJ6dcJ/ym0Sp8bRqvg+gqydxCOimdm3hm6xWUWwLXGnWkAf/AogdjuegZ&#10;6hYCiB2ZF1C9UYQemzBT2GfYNEbp1AN3M8//6uahBadTLyyOd2eZ/P+DVV/230iYupKXF4UUFnoe&#10;0qMeg/iAo1gWy6jQ4HzJgQ+OQ8PIDp506ta7e1TfvbB404Ld6msiHFoNNTOcx8zsWeqE4yPIZviM&#10;NReCXcAENDbUR/lYEMHoPKnDeTqRjIol3+YXl4s5s1TsnBdF8a5INaA8pTvy4aPGXkSjksTjT/Cw&#10;v/ch0oHyFBKrWbwzXZdWoLN/PHBgfEn0I+OJexg3Y9JqcZZlg/WBGyKcNot/Ahst0k8pBt6qSvof&#10;OyAtRffJsihxBU8GnYzNyQCrOLWSQYrJvAnTqu4cmW3LyJPsFq9ZuMaklqLCE4sjX96U1Olxq+Mq&#10;Pr+nqN9/b/0LAAD//wMAUEsDBBQABgAIAAAAIQAmhs/d4QAAAA0BAAAPAAAAZHJzL2Rvd25yZXYu&#10;eG1sTI/BTsMwDIbvSLxDZCRuLFkh1dY1nSYEJyREVw4c0yZrqzVOabKtvD3eCY7+/en353w7u4Gd&#10;7RR6jwqWCwHMYuNNj62Cz+r1YQUsRI1GDx6tgh8bYFvc3uQ6M/6CpT3vY8uoBEOmFXQxjhnnoems&#10;02HhR4u0O/jJ6Ujj1HIz6QuVu4EnQqTc6R7pQqdH+9zZ5rg/OQW7Lyxf+u/3+qM8lH1VrQW+pUel&#10;7u/m3QZYtHP8g+GqT+pQkFPtT2gCGxSs5BORlMtESmBEJMk6fQRWXzMpBPAi5/+/KH4BAAD//wMA&#10;UEsBAi0AFAAGAAgAAAAhALaDOJL+AAAA4QEAABMAAAAAAAAAAAAAAAAAAAAAAFtDb250ZW50X1R5&#10;cGVzXS54bWxQSwECLQAUAAYACAAAACEAOP0h/9YAAACUAQAACwAAAAAAAAAAAAAAAAAvAQAAX3Jl&#10;bHMvLnJlbHNQSwECLQAUAAYACAAAACEAMVm2FPABAADDAwAADgAAAAAAAAAAAAAAAAAuAgAAZHJz&#10;L2Uyb0RvYy54bWxQSwECLQAUAAYACAAAACEAJobP3eEAAAANAQAADwAAAAAAAAAAAAAAAABKBAAA&#10;ZHJzL2Rvd25yZXYueG1sUEsFBgAAAAAEAAQA8wAAAFgFAAAAAA==&#10;" filled="f" stroked="f">
                <v:textbox inset="0,0,0,0">
                  <w:txbxContent>
                    <w:p w14:paraId="300449A0" w14:textId="77777777" w:rsidR="00490F33" w:rsidRDefault="00490F33">
                      <w:pPr>
                        <w:tabs>
                          <w:tab w:val="left" w:pos="504"/>
                          <w:tab w:val="left" w:pos="19944"/>
                          <w:tab w:val="right" w:pos="22104"/>
                        </w:tabs>
                        <w:spacing w:after="24" w:line="215" w:lineRule="exact"/>
                        <w:textAlignment w:val="baseline"/>
                        <w:rPr>
                          <w:rFonts w:ascii="Arial" w:eastAsia="Arial" w:hAnsi="Arial"/>
                          <w:b/>
                          <w:color w:val="5556A1"/>
                          <w:sz w:val="19"/>
                        </w:rPr>
                      </w:pPr>
                      <w:r>
                        <w:rPr>
                          <w:rFonts w:ascii="Arial" w:eastAsia="Arial" w:hAnsi="Arial"/>
                          <w:b/>
                          <w:color w:val="5556A1"/>
                          <w:sz w:val="19"/>
                        </w:rPr>
                        <w:t>36</w:t>
                      </w:r>
                      <w:r>
                        <w:rPr>
                          <w:rFonts w:ascii="Tahoma" w:eastAsia="Tahoma" w:hAnsi="Tahoma"/>
                          <w:color w:val="404042"/>
                          <w:sz w:val="14"/>
                        </w:rPr>
                        <w:tab/>
                        <w:t>Looking to the future</w:t>
                      </w:r>
                      <w:r>
                        <w:rPr>
                          <w:rFonts w:ascii="Tahoma" w:eastAsia="Tahoma" w:hAnsi="Tahoma"/>
                          <w:color w:val="404042"/>
                          <w:sz w:val="14"/>
                        </w:rPr>
                        <w:tab/>
                        <w:t>Chapter 1: Essential skills</w:t>
                      </w:r>
                      <w:r>
                        <w:rPr>
                          <w:rFonts w:ascii="Arial" w:eastAsia="Arial" w:hAnsi="Arial"/>
                          <w:b/>
                          <w:color w:val="5556A1"/>
                          <w:sz w:val="19"/>
                        </w:rPr>
                        <w:tab/>
                        <w:t>37</w:t>
                      </w:r>
                    </w:p>
                  </w:txbxContent>
                </v:textbox>
                <w10:wrap type="square" anchorx="page" anchory="page"/>
              </v:shape>
            </w:pict>
          </mc:Fallback>
        </mc:AlternateContent>
      </w:r>
    </w:p>
    <w:p w14:paraId="4451CBBE" w14:textId="77777777" w:rsidR="009757A9" w:rsidRDefault="009757A9">
      <w:pPr>
        <w:sectPr w:rsidR="009757A9">
          <w:pgSz w:w="23813" w:h="16838" w:orient="landscape"/>
          <w:pgMar w:top="0" w:right="1440" w:bottom="0" w:left="1440" w:header="720" w:footer="720" w:gutter="0"/>
          <w:cols w:space="720"/>
        </w:sectPr>
      </w:pPr>
    </w:p>
    <w:p w14:paraId="11020E6B" w14:textId="77777777" w:rsidR="009757A9" w:rsidRDefault="00083242">
      <w:pPr>
        <w:spacing w:after="547" w:line="240" w:lineRule="exact"/>
        <w:ind w:left="864" w:right="1008"/>
        <w:jc w:val="both"/>
        <w:textAlignment w:val="baseline"/>
        <w:rPr>
          <w:rFonts w:ascii="Tahoma" w:eastAsia="Tahoma" w:hAnsi="Tahoma"/>
          <w:color w:val="404042"/>
          <w:sz w:val="18"/>
        </w:rPr>
      </w:pPr>
      <w:r>
        <w:rPr>
          <w:rFonts w:ascii="Tahoma" w:eastAsia="Tahoma" w:hAnsi="Tahoma"/>
          <w:color w:val="404042"/>
          <w:sz w:val="18"/>
        </w:rPr>
        <w:lastRenderedPageBreak/>
        <w:t>We do not seek to be overly prescriptive about the development of specific skills. Each jurisdiction, different schooling authorities and even individual schools may wish to articulate these skills in their own manner. We do need to ensure, however, that a common language is employed across sectors.</w:t>
      </w:r>
    </w:p>
    <w:p w14:paraId="16EFE2E9" w14:textId="77777777" w:rsidR="009757A9" w:rsidRDefault="000D2E34">
      <w:pPr>
        <w:spacing w:before="157" w:line="247" w:lineRule="exact"/>
        <w:jc w:val="center"/>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822592" behindDoc="0" locked="0" layoutInCell="1" allowOverlap="1" wp14:anchorId="17493090" wp14:editId="6DD8B8C3">
                <wp:simplePos x="0" y="0"/>
                <wp:positionH relativeFrom="page">
                  <wp:posOffset>826135</wp:posOffset>
                </wp:positionH>
                <wp:positionV relativeFrom="page">
                  <wp:posOffset>1496695</wp:posOffset>
                </wp:positionV>
                <wp:extent cx="5907405" cy="0"/>
                <wp:effectExtent l="0" t="0" r="0" b="0"/>
                <wp:wrapNone/>
                <wp:docPr id="934"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73C5B" id="Line 655" o:spid="_x0000_s1026" style="position:absolute;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17.85pt" to="530.2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0gEAAIYDAAAOAAAAZHJzL2Uyb0RvYy54bWysU01v2zAMvQ/YfxB0X+y0cboYcXpI1l2y&#10;LUDbH8BIsi1MEgVJiZ1/P0n5WLfehl0ESiQfHx+p5eOoFTkK5yWahk4nJSXCMOTSdA19fXn69JkS&#10;H8BwUGhEQ0/C08fVxw/LwdbiDntUXDgSQYyvB9vQPgRbF4VnvdDgJ2iFic4WnYYQr64ruIMhomtV&#10;3JXlvBjQceuQCe/j6+bspKuM37aChR9t60UgqqGRW8iny+c+ncVqCXXnwPaSXWjAP7DQIE0seoPa&#10;QABycPIdlJbMocc2TBjqAttWMpF7iN1My7+6ee7BitxLFMfbm0z+/8Gy78edI5I3dHE/o8SAjkPa&#10;SiPIvKqSOoP1dQxam51L/bHRPNstsp+eGFz3YDqRWb6cbEycpozij5R08TbW2A/fkMcYOATMUo2t&#10;0wkyikDGPJHTbSJiDITFx2pRPszKihJ29RVQXxOt8+GrQE2S0VAVWWdgOG59SESgvoakOgafpFJ5&#10;4MqQoaHz+6rMCR6V5MmZwrzr9mvlyBHSypQPi8UsdxU9b8MS8gZ8f47LrvMyOTwYnqv0AviXix1A&#10;qrMdWSlzUSkJc5Z4j/y0c1f14rAz/ctipm16e8/Zv7/P6hcAAAD//wMAUEsDBBQABgAIAAAAIQBI&#10;WaD43AAAAAwBAAAPAAAAZHJzL2Rvd25yZXYueG1sTI/BTsMwDIbvSLxDZCRuLNnGBipNJzS00y6w&#10;IXH1GtMWGqdqsq57ezwJCY6//en353w1+lYN1McmsIXpxIAiLoNruLLwvt/cPYKKCdlhG5gsnCnC&#10;qri+yjFz4cRvNOxSpaSEY4YW6pS6TOtY1uQxTkJHLLvP0HtMEvtKux5PUu5bPTNmqT02LBdq7Ghd&#10;U/m9O3oLGzT7V7fdhq/4sTivMWn3QoO1tzfj8xOoRGP6g+GiL+pQiNMhHNlF1Uqem6mgFmbzxQOo&#10;C2GW5h7U4Xeki1z/f6L4AQAA//8DAFBLAQItABQABgAIAAAAIQC2gziS/gAAAOEBAAATAAAAAAAA&#10;AAAAAAAAAAAAAABbQ29udGVudF9UeXBlc10ueG1sUEsBAi0AFAAGAAgAAAAhADj9If/WAAAAlAEA&#10;AAsAAAAAAAAAAAAAAAAALwEAAF9yZWxzLy5yZWxzUEsBAi0AFAAGAAgAAAAhAJJz777SAQAAhgMA&#10;AA4AAAAAAAAAAAAAAAAALgIAAGRycy9lMm9Eb2MueG1sUEsBAi0AFAAGAAgAAAAhAEhZoPjcAAAA&#10;DAEAAA8AAAAAAAAAAAAAAAAALAQAAGRycy9kb3ducmV2LnhtbFBLBQYAAAAABAAEAPMAAAA1BQAA&#10;AAA=&#10;" strokecolor="#007994" strokeweight=".5pt">
                <w10:wrap anchorx="page" anchory="page"/>
              </v:line>
            </w:pict>
          </mc:Fallback>
        </mc:AlternateContent>
      </w:r>
      <w:r w:rsidR="00083242">
        <w:rPr>
          <w:rFonts w:ascii="Tahoma" w:eastAsia="Tahoma" w:hAnsi="Tahoma"/>
          <w:i/>
          <w:color w:val="007994"/>
          <w:spacing w:val="1"/>
          <w:sz w:val="21"/>
        </w:rPr>
        <w:t>Establishing consistency of terminology and understanding is critical to allow for measurement.</w:t>
      </w:r>
    </w:p>
    <w:p w14:paraId="0BE0B56D" w14:textId="77777777" w:rsidR="009757A9" w:rsidRDefault="00083242">
      <w:pPr>
        <w:spacing w:before="43" w:after="215" w:line="255" w:lineRule="exact"/>
        <w:ind w:left="8568"/>
        <w:textAlignment w:val="baseline"/>
        <w:rPr>
          <w:rFonts w:ascii="Tahoma" w:eastAsia="Tahoma" w:hAnsi="Tahoma"/>
          <w:i/>
          <w:color w:val="007994"/>
          <w:spacing w:val="-2"/>
          <w:sz w:val="21"/>
        </w:rPr>
      </w:pPr>
      <w:r>
        <w:rPr>
          <w:rFonts w:ascii="Tahoma" w:eastAsia="Tahoma" w:hAnsi="Tahoma"/>
          <w:i/>
          <w:color w:val="007994"/>
          <w:spacing w:val="-2"/>
          <w:sz w:val="21"/>
        </w:rPr>
        <w:t xml:space="preserve">RAND Corporation </w:t>
      </w:r>
      <w:r>
        <w:rPr>
          <w:rFonts w:ascii="Tahoma" w:eastAsia="Tahoma" w:hAnsi="Tahoma"/>
          <w:i/>
          <w:color w:val="007994"/>
          <w:spacing w:val="-2"/>
          <w:sz w:val="21"/>
          <w:vertAlign w:val="superscript"/>
        </w:rPr>
        <w:t>29</w:t>
      </w:r>
      <w:r>
        <w:rPr>
          <w:rFonts w:ascii="Tahoma" w:eastAsia="Tahoma" w:hAnsi="Tahoma"/>
          <w:i/>
          <w:color w:val="007994"/>
          <w:spacing w:val="-2"/>
          <w:sz w:val="12"/>
        </w:rPr>
        <w:t xml:space="preserve"> </w:t>
      </w:r>
    </w:p>
    <w:p w14:paraId="469CD397" w14:textId="77777777" w:rsidR="009757A9" w:rsidRDefault="000D2E34">
      <w:pPr>
        <w:spacing w:before="419" w:after="479" w:line="240" w:lineRule="exact"/>
        <w:ind w:left="792" w:right="1152"/>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823616" behindDoc="0" locked="0" layoutInCell="1" allowOverlap="1" wp14:anchorId="2E34F060" wp14:editId="3FF65D21">
                <wp:simplePos x="0" y="0"/>
                <wp:positionH relativeFrom="page">
                  <wp:posOffset>826135</wp:posOffset>
                </wp:positionH>
                <wp:positionV relativeFrom="page">
                  <wp:posOffset>2087880</wp:posOffset>
                </wp:positionV>
                <wp:extent cx="5907405" cy="0"/>
                <wp:effectExtent l="0" t="0" r="0" b="0"/>
                <wp:wrapNone/>
                <wp:docPr id="933" name="Lin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CDDF" id="Line 654" o:spid="_x0000_s1026" style="position:absolute;z-index:25182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64.4pt" to="530.2pt,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Jg0AEAAIYDAAAOAAAAZHJzL2Uyb0RvYy54bWysU8Fu2zAMvQ/YPwi6L3aaJl2MOD0k6y7Z&#10;FqDtBzCSbAuTREFSYufvJ8lJtq63YReBEsnHx0dq9ThoRU7CeYmmptNJSYkwDLk0bU1fX54+fabE&#10;BzAcFBpR07Pw9HH98cOqt5W4ww4VF45EEOOr3ta0C8FWReFZJzT4CVphorNBpyHEq2sL7qCP6FoV&#10;d2W5KHp03Dpkwvv4uh2ddJ3xm0aw8KNpvAhE1TRyC/l0+Tyks1ivoGod2E6yCw34BxYapIlFb1Bb&#10;CECOTr6D0pI59NiECUNdYNNIJnIPsZtp+Vc3zx1YkXuJ4nh7k8n/P1j2/bR3RPKaLmczSgzoOKSd&#10;NIIs5vdJnd76KgZtzN6l/thgnu0O2U9PDG46MK3ILF/ONiZOU0bxJiVdvI01Dv035DEGjgGzVEPj&#10;dIKMIpAhT+R8m4gYAmHxcb4sH+7LOSXs6iuguiZa58NXgZoko6Yqss7AcNr5kIhAdQ1JdQw+SaXy&#10;wJUhfU0Xs3mZEzwqyZMzhXnXHjbKkROklSkflsusQwR7E5aQt+C7MS67xmVyeDQ8V+kE8C8XO4BU&#10;ox2BlLmolIQZJT4gP+/dVb047Ez/sphpm/685+zf32f9CwAA//8DAFBLAwQUAAYACAAAACEA7l/x&#10;1dwAAAAMAQAADwAAAGRycy9kb3ducmV2LnhtbEyPQUvDQBCF74L/YRnBm91tq6XEbIpUeupFW8Hr&#10;NDsm0exsyG7T9N87BcEe35uPN+/lq9G3aqA+NoEtTCcGFHEZXMOVhY/95mEJKiZkh21gsnCmCKvi&#10;9ibHzIUTv9OwS5WSEI4ZWqhT6jKtY1mTxzgJHbHcvkLvMYnsK+16PEm4b/XMmIX22LB8qLGjdU3l&#10;z+7oLWzQ7N/cdhu+4+fTeY1Ju1carL2/G1+eQSUa0z8Ml/pSHQrpdAhHdlG1oudmKqiF+WwpGy6E&#10;WZhHUIc/Sxe5vh5R/AIAAP//AwBQSwECLQAUAAYACAAAACEAtoM4kv4AAADhAQAAEwAAAAAAAAAA&#10;AAAAAAAAAAAAW0NvbnRlbnRfVHlwZXNdLnhtbFBLAQItABQABgAIAAAAIQA4/SH/1gAAAJQBAAAL&#10;AAAAAAAAAAAAAAAAAC8BAABfcmVscy8ucmVsc1BLAQItABQABgAIAAAAIQBdlqJg0AEAAIYDAAAO&#10;AAAAAAAAAAAAAAAAAC4CAABkcnMvZTJvRG9jLnhtbFBLAQItABQABgAIAAAAIQDuX/HV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pacing w:val="5"/>
          <w:sz w:val="18"/>
        </w:rPr>
        <w:t xml:space="preserve">Throughout this report, we refer to these capabilities as </w:t>
      </w:r>
      <w:r w:rsidR="00083242">
        <w:rPr>
          <w:rFonts w:ascii="Arial" w:eastAsia="Arial" w:hAnsi="Arial"/>
          <w:b/>
          <w:color w:val="404042"/>
          <w:spacing w:val="5"/>
          <w:sz w:val="19"/>
        </w:rPr>
        <w:t>‘capabilities for employment and active citizenship’</w:t>
      </w:r>
      <w:r w:rsidR="00083242">
        <w:rPr>
          <w:rFonts w:ascii="Tahoma" w:eastAsia="Tahoma" w:hAnsi="Tahoma"/>
          <w:color w:val="404042"/>
          <w:spacing w:val="5"/>
          <w:sz w:val="18"/>
        </w:rPr>
        <w:t>. This reflects the Panel’s unanimous view that, at a systemic level, we need to recognise the important role of senior secondary education in preparing young people for work, active citizenship and, most importantly, lifelong learning. The attributes need to be made explicit so that teachers can help guide and evidence student learning.</w:t>
      </w:r>
    </w:p>
    <w:tbl>
      <w:tblPr>
        <w:tblStyle w:val="TableGrid"/>
        <w:tblW w:w="0" w:type="auto"/>
        <w:tblInd w:w="846" w:type="dxa"/>
        <w:tblLook w:val="04A0" w:firstRow="1" w:lastRow="0" w:firstColumn="1" w:lastColumn="0" w:noHBand="0" w:noVBand="1"/>
      </w:tblPr>
      <w:tblGrid>
        <w:gridCol w:w="9917"/>
      </w:tblGrid>
      <w:tr w:rsidR="00801BBC" w14:paraId="2A8F7E11" w14:textId="77777777" w:rsidTr="009E1741">
        <w:tc>
          <w:tcPr>
            <w:tcW w:w="9917" w:type="dxa"/>
            <w:tcBorders>
              <w:top w:val="single" w:sz="4" w:space="0" w:color="auto"/>
              <w:left w:val="single" w:sz="4" w:space="0" w:color="auto"/>
              <w:bottom w:val="single" w:sz="4" w:space="0" w:color="auto"/>
              <w:right w:val="single" w:sz="4" w:space="0" w:color="auto"/>
            </w:tcBorders>
            <w:shd w:val="clear" w:color="auto" w:fill="ECF3FA"/>
          </w:tcPr>
          <w:p w14:paraId="0FBC4B13" w14:textId="77777777" w:rsidR="00801BBC" w:rsidRDefault="00801BBC" w:rsidP="00801BBC">
            <w:pPr>
              <w:spacing w:before="24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2</w:t>
            </w:r>
          </w:p>
          <w:p w14:paraId="4598C4C9" w14:textId="27EE035A" w:rsidR="00801BBC" w:rsidRDefault="00801BBC" w:rsidP="009E1741">
            <w:pPr>
              <w:spacing w:before="155" w:after="211" w:line="240" w:lineRule="exact"/>
              <w:ind w:left="504" w:right="792"/>
              <w:textAlignment w:val="baseline"/>
              <w:rPr>
                <w:rFonts w:ascii="Tahoma" w:eastAsia="Tahoma" w:hAnsi="Tahoma"/>
                <w:color w:val="404042"/>
                <w:sz w:val="18"/>
              </w:rPr>
            </w:pPr>
            <w:r>
              <w:rPr>
                <w:rFonts w:ascii="Tahoma" w:eastAsia="Tahoma" w:hAnsi="Tahoma"/>
                <w:color w:val="404042"/>
                <w:sz w:val="18"/>
              </w:rPr>
              <w:t xml:space="preserve">There should be agreement on a common language across the entire education and training system </w:t>
            </w:r>
            <w:r w:rsidR="009E1741">
              <w:rPr>
                <w:rFonts w:ascii="Tahoma" w:eastAsia="Tahoma" w:hAnsi="Tahoma"/>
                <w:color w:val="404042"/>
                <w:sz w:val="18"/>
              </w:rPr>
              <w:t xml:space="preserve">     </w:t>
            </w:r>
            <w:r>
              <w:rPr>
                <w:rFonts w:ascii="Tahoma" w:eastAsia="Tahoma" w:hAnsi="Tahoma"/>
                <w:color w:val="404042"/>
                <w:sz w:val="18"/>
              </w:rPr>
              <w:t>for what are variously described across sectors as general capabilities, employability skills, soft skills or graduate capabilities.</w:t>
            </w:r>
          </w:p>
          <w:p w14:paraId="0597C5E4" w14:textId="77777777" w:rsidR="00801BBC" w:rsidRDefault="00801BBC" w:rsidP="00801BBC">
            <w:pPr>
              <w:spacing w:before="10" w:line="277" w:lineRule="exact"/>
              <w:textAlignment w:val="baseline"/>
              <w:rPr>
                <w:rFonts w:ascii="Arial" w:eastAsia="Arial" w:hAnsi="Arial"/>
                <w:b/>
                <w:color w:val="00708E"/>
                <w:spacing w:val="-1"/>
                <w:sz w:val="25"/>
              </w:rPr>
            </w:pPr>
          </w:p>
        </w:tc>
      </w:tr>
    </w:tbl>
    <w:p w14:paraId="52353430" w14:textId="77777777" w:rsidR="00801BBC" w:rsidRDefault="00801BBC" w:rsidP="00341A0D">
      <w:pPr>
        <w:spacing w:before="2" w:line="215" w:lineRule="exact"/>
        <w:textAlignment w:val="baseline"/>
        <w:rPr>
          <w:rFonts w:ascii="Arial" w:eastAsia="Arial" w:hAnsi="Arial"/>
          <w:i/>
          <w:color w:val="007896"/>
          <w:spacing w:val="1"/>
          <w:sz w:val="18"/>
        </w:rPr>
      </w:pPr>
    </w:p>
    <w:p w14:paraId="0C0B52DF" w14:textId="77777777" w:rsidR="00801BBC" w:rsidRDefault="00801BBC">
      <w:pPr>
        <w:spacing w:before="2" w:line="215" w:lineRule="exact"/>
        <w:ind w:left="864"/>
        <w:textAlignment w:val="baseline"/>
        <w:rPr>
          <w:rFonts w:ascii="Arial" w:eastAsia="Arial" w:hAnsi="Arial"/>
          <w:i/>
          <w:color w:val="007896"/>
          <w:spacing w:val="1"/>
          <w:sz w:val="18"/>
        </w:rPr>
      </w:pPr>
    </w:p>
    <w:p w14:paraId="096E1C27" w14:textId="45D914F1" w:rsidR="009757A9" w:rsidRDefault="00083242">
      <w:pPr>
        <w:spacing w:before="2" w:line="215" w:lineRule="exact"/>
        <w:ind w:left="864"/>
        <w:textAlignment w:val="baseline"/>
        <w:rPr>
          <w:rFonts w:ascii="Arial" w:eastAsia="Arial" w:hAnsi="Arial"/>
          <w:i/>
          <w:color w:val="007896"/>
          <w:spacing w:val="1"/>
          <w:sz w:val="18"/>
        </w:rPr>
      </w:pPr>
      <w:r>
        <w:rPr>
          <w:rFonts w:ascii="Arial" w:eastAsia="Arial" w:hAnsi="Arial"/>
          <w:i/>
          <w:color w:val="007896"/>
          <w:spacing w:val="1"/>
          <w:sz w:val="18"/>
        </w:rPr>
        <w:t>Implementation guidance</w:t>
      </w:r>
    </w:p>
    <w:p w14:paraId="603AC4E8" w14:textId="77777777" w:rsidR="009757A9" w:rsidRDefault="00083242">
      <w:pPr>
        <w:spacing w:before="162" w:line="240" w:lineRule="exact"/>
        <w:ind w:left="864" w:right="1296"/>
        <w:textAlignment w:val="baseline"/>
        <w:rPr>
          <w:rFonts w:ascii="Tahoma" w:eastAsia="Tahoma" w:hAnsi="Tahoma"/>
          <w:color w:val="404042"/>
          <w:sz w:val="18"/>
        </w:rPr>
      </w:pPr>
      <w:r>
        <w:rPr>
          <w:rFonts w:ascii="Tahoma" w:eastAsia="Tahoma" w:hAnsi="Tahoma"/>
          <w:color w:val="404042"/>
          <w:sz w:val="18"/>
        </w:rPr>
        <w:t>Education Council should work with the COAG Skills Council, the tertiary education sectors, and industry bodies to develop a common language regarding capabilities for employment and active citizenship.</w:t>
      </w:r>
    </w:p>
    <w:p w14:paraId="49A0CFB9"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There is no need for this work to start from scratch. As indicated in Figure 5, a lot of existing effort in this space can be drawn upon:</w:t>
      </w:r>
    </w:p>
    <w:p w14:paraId="394DC513" w14:textId="77777777" w:rsidR="009757A9" w:rsidRDefault="00083242">
      <w:pPr>
        <w:numPr>
          <w:ilvl w:val="0"/>
          <w:numId w:val="6"/>
        </w:numPr>
        <w:tabs>
          <w:tab w:val="clear" w:pos="216"/>
          <w:tab w:val="left" w:pos="1080"/>
        </w:tabs>
        <w:spacing w:before="91" w:line="238" w:lineRule="exact"/>
        <w:ind w:left="1080" w:right="1440" w:hanging="216"/>
        <w:textAlignment w:val="baseline"/>
        <w:rPr>
          <w:rFonts w:ascii="Tahoma" w:eastAsia="Tahoma" w:hAnsi="Tahoma"/>
          <w:color w:val="404042"/>
          <w:sz w:val="18"/>
        </w:rPr>
      </w:pPr>
      <w:r>
        <w:rPr>
          <w:rFonts w:ascii="Tahoma" w:eastAsia="Tahoma" w:hAnsi="Tahoma"/>
          <w:color w:val="404042"/>
          <w:sz w:val="18"/>
        </w:rPr>
        <w:t>The Business Council of Australia uses the categories of business literacy, critical analysis, data analysis, digital technology, literacy, numeracy, problem-solving and technical skills.</w:t>
      </w:r>
      <w:r>
        <w:rPr>
          <w:rFonts w:ascii="Tahoma" w:eastAsia="Tahoma" w:hAnsi="Tahoma"/>
          <w:color w:val="404042"/>
          <w:sz w:val="18"/>
          <w:vertAlign w:val="superscript"/>
        </w:rPr>
        <w:t>30</w:t>
      </w:r>
      <w:r>
        <w:rPr>
          <w:rFonts w:ascii="Tahoma" w:eastAsia="Tahoma" w:hAnsi="Tahoma"/>
          <w:color w:val="404042"/>
          <w:sz w:val="10"/>
        </w:rPr>
        <w:t xml:space="preserve"> </w:t>
      </w:r>
    </w:p>
    <w:p w14:paraId="778E2DB6" w14:textId="77777777" w:rsidR="009757A9" w:rsidRDefault="00083242">
      <w:pPr>
        <w:numPr>
          <w:ilvl w:val="0"/>
          <w:numId w:val="6"/>
        </w:numPr>
        <w:tabs>
          <w:tab w:val="clear" w:pos="216"/>
          <w:tab w:val="left" w:pos="1080"/>
        </w:tabs>
        <w:spacing w:before="86" w:line="240" w:lineRule="exact"/>
        <w:ind w:left="1080" w:right="936" w:hanging="216"/>
        <w:textAlignment w:val="baseline"/>
        <w:rPr>
          <w:rFonts w:ascii="Tahoma" w:eastAsia="Tahoma" w:hAnsi="Tahoma"/>
          <w:color w:val="404042"/>
          <w:spacing w:val="3"/>
          <w:sz w:val="18"/>
        </w:rPr>
      </w:pPr>
      <w:r>
        <w:rPr>
          <w:rFonts w:ascii="Tahoma" w:eastAsia="Tahoma" w:hAnsi="Tahoma"/>
          <w:color w:val="404042"/>
          <w:spacing w:val="3"/>
          <w:sz w:val="18"/>
        </w:rPr>
        <w:t>The World Economic Forum identifies a variety of skills that it believes will be increasingly significant by 2022.</w:t>
      </w:r>
      <w:r>
        <w:rPr>
          <w:rFonts w:ascii="Tahoma" w:eastAsia="Tahoma" w:hAnsi="Tahoma"/>
          <w:color w:val="404042"/>
          <w:spacing w:val="3"/>
          <w:sz w:val="18"/>
          <w:vertAlign w:val="superscript"/>
        </w:rPr>
        <w:t>31</w:t>
      </w:r>
      <w:r>
        <w:rPr>
          <w:rFonts w:ascii="Tahoma" w:eastAsia="Tahoma" w:hAnsi="Tahoma"/>
          <w:color w:val="404042"/>
          <w:spacing w:val="3"/>
          <w:sz w:val="18"/>
        </w:rPr>
        <w:t xml:space="preserve"> They are active learning and learning strategies; creativity, originality and initiative; technology design and programming; critical thinking and analysis; complex problem-solving; leadership and social influence; emotional intelligence; reasoning, problem-solving and ideation; and systems analysis and evaluation.</w:t>
      </w:r>
    </w:p>
    <w:p w14:paraId="247C87B8" w14:textId="77777777" w:rsidR="009757A9" w:rsidRDefault="00083242">
      <w:pPr>
        <w:numPr>
          <w:ilvl w:val="0"/>
          <w:numId w:val="6"/>
        </w:numPr>
        <w:tabs>
          <w:tab w:val="clear" w:pos="216"/>
          <w:tab w:val="left" w:pos="1080"/>
        </w:tabs>
        <w:spacing w:before="86" w:line="240" w:lineRule="exact"/>
        <w:ind w:left="1080" w:right="936" w:hanging="216"/>
        <w:textAlignment w:val="baseline"/>
        <w:rPr>
          <w:rFonts w:ascii="Tahoma" w:eastAsia="Tahoma" w:hAnsi="Tahoma"/>
          <w:color w:val="404042"/>
          <w:spacing w:val="5"/>
          <w:sz w:val="18"/>
        </w:rPr>
      </w:pPr>
      <w:r>
        <w:rPr>
          <w:rFonts w:ascii="Tahoma" w:eastAsia="Tahoma" w:hAnsi="Tahoma"/>
          <w:color w:val="404042"/>
          <w:spacing w:val="5"/>
          <w:sz w:val="18"/>
        </w:rPr>
        <w:t>As part of the Jobs and Education Data Infrastructure (JEDI) project, the Australian Government has developed a data-driven Australian skills classification, which suggests that 10 core competencies are common to every occupation in the labour market: digital literacy, oral communication, reading, writing, numeracy, learning, initiative and innovation, planning and organisation, problem-solving, and teamwork.</w:t>
      </w:r>
    </w:p>
    <w:p w14:paraId="586F6733" w14:textId="5E4A1947" w:rsidR="009757A9" w:rsidRDefault="00083242">
      <w:pPr>
        <w:numPr>
          <w:ilvl w:val="0"/>
          <w:numId w:val="6"/>
        </w:numPr>
        <w:tabs>
          <w:tab w:val="clear" w:pos="216"/>
          <w:tab w:val="left" w:pos="1080"/>
        </w:tabs>
        <w:spacing w:before="79" w:after="460" w:line="241" w:lineRule="exact"/>
        <w:ind w:left="1080" w:right="936" w:hanging="216"/>
        <w:textAlignment w:val="baseline"/>
        <w:rPr>
          <w:rFonts w:ascii="Tahoma" w:eastAsia="Tahoma" w:hAnsi="Tahoma"/>
          <w:color w:val="404042"/>
          <w:sz w:val="18"/>
        </w:rPr>
      </w:pPr>
      <w:r>
        <w:rPr>
          <w:rFonts w:ascii="Tahoma" w:eastAsia="Tahoma" w:hAnsi="Tahoma"/>
          <w:color w:val="404042"/>
          <w:sz w:val="18"/>
        </w:rPr>
        <w:t>The Australian Qualifications Framework (AQF) Review also called for an update to the general capabilities.</w:t>
      </w:r>
      <w:r>
        <w:rPr>
          <w:rFonts w:ascii="Tahoma" w:eastAsia="Tahoma" w:hAnsi="Tahoma"/>
          <w:color w:val="404042"/>
          <w:sz w:val="18"/>
          <w:vertAlign w:val="superscript"/>
        </w:rPr>
        <w:t>32</w:t>
      </w:r>
      <w:r>
        <w:rPr>
          <w:rFonts w:ascii="Tahoma" w:eastAsia="Tahoma" w:hAnsi="Tahoma"/>
          <w:color w:val="404042"/>
          <w:sz w:val="18"/>
        </w:rPr>
        <w:t xml:space="preserve"> In response to the review, a joint national working group is providing advice for skills and education ministers on what general capabilities can be expected from AQF qualifications.</w:t>
      </w:r>
    </w:p>
    <w:p w14:paraId="44D6E2B3" w14:textId="5BB89DB8" w:rsidR="009757A9" w:rsidRDefault="005B5489">
      <w:pPr>
        <w:spacing w:before="59" w:line="199" w:lineRule="exact"/>
        <w:ind w:left="1080" w:right="1296"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28736" behindDoc="0" locked="0" layoutInCell="1" allowOverlap="1" wp14:anchorId="1BDC3FA1" wp14:editId="30790DFB">
                <wp:simplePos x="0" y="0"/>
                <wp:positionH relativeFrom="page">
                  <wp:posOffset>542290</wp:posOffset>
                </wp:positionH>
                <wp:positionV relativeFrom="page">
                  <wp:posOffset>8229600</wp:posOffset>
                </wp:positionV>
                <wp:extent cx="923925" cy="0"/>
                <wp:effectExtent l="0" t="0" r="0" b="0"/>
                <wp:wrapNone/>
                <wp:docPr id="924"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A8EA5" id="Line 645" o:spid="_x0000_s1026" style="position:absolute;z-index:2518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9in" to="115.45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hEzgEAAIYDAAAOAAAAZHJzL2Uyb0RvYy54bWysU8uO2zAMvBfoPwi6N07cTdAYcfaQdHtJ&#10;2wC7/QBGkm2hsihISuz8fSnlsdv2VtQHQRTJ4XBIrx7H3rCT8kGjrflsMuVMWYFS27bmP16ePnzi&#10;LESwEgxaVfOzCvxx/f7danCVKrFDI5VnBGJDNbiadzG6qiiC6FQPYYJOWXI26HuIZPq2kB4GQu9N&#10;UU6ni2JAL51HoUKg1+3FydcZv2mUiN+bJqjITM2JW8ynz+chncV6BVXrwXVaXGnAP7DoQVsqeofa&#10;QgR29PovqF4LjwGbOBHYF9g0WqjcA3Uzm/7RzXMHTuVeSJzg7jKF/wcrvp32nmlZ82X5wJmFnoa0&#10;01axxcM8qTO4UFHQxu596k+M9tntUPwMzOKmA9uqzPLl7ChxljKK31KSERzVOAxfUVIMHCNmqcbG&#10;9wmSRGBjnsj5PhE1RibocVl+XJZzzsTNVUB1y3M+xC8Ke5YuNTdEOuPCaRdi4gHVLSSVsfikjcnz&#10;NpYNRLacLuY5I6DRMnlTXPDtYWM8O0FamfzlrsjzNixBbyF0l7jsuiyTx6OVuUynQH6+3iNoc7kT&#10;LWOvKiVhLhIfUJ73/qYeDTvzvy5m2qa3ds5+/X3WvwAAAP//AwBQSwMEFAAGAAgAAAAhACbsxWze&#10;AAAADAEAAA8AAABkcnMvZG93bnJldi54bWxMj01Lw0AQhu+C/2EZwYu0u8ZY0phNkYLelFor9rjN&#10;jkkwOxuy2yb+e8eD6HHeeXg/itXkOnHCIbSeNFzPFQikytuWag2714dZBiJEQ9Z0nlDDFwZYledn&#10;hcmtH+kFT9tYCzahkBsNTYx9LmWoGnQmzH2PxL8PPzgT+RxqaQczsrnrZKLUQjrTEic0psd1g9Xn&#10;9ug0SKmydHp7H5/Sq5C1+3W9f3zeaH15Md3fgYg4xT8YfupzdSi508EfyQbRachuUyZZT5YLHsVE&#10;cqOWIA6/kiwL+X9E+Q0AAP//AwBQSwECLQAUAAYACAAAACEAtoM4kv4AAADhAQAAEwAAAAAAAAAA&#10;AAAAAAAAAAAAW0NvbnRlbnRfVHlwZXNdLnhtbFBLAQItABQABgAIAAAAIQA4/SH/1gAAAJQBAAAL&#10;AAAAAAAAAAAAAAAAAC8BAABfcmVscy8ucmVsc1BLAQItABQABgAIAAAAIQCNTDhEzgEAAIYDAAAO&#10;AAAAAAAAAAAAAAAAAC4CAABkcnMvZTJvRG9jLnhtbFBLAQItABQABgAIAAAAIQAm7MVs3gAAAAwB&#10;AAAPAAAAAAAAAAAAAAAAACgEAABkcnMvZG93bnJldi54bWxQSwUGAAAAAAQABADzAAAAMwUAAAAA&#10;" strokeweight=".95pt">
                <w10:wrap anchorx="page" anchory="page"/>
              </v:line>
            </w:pict>
          </mc:Fallback>
        </mc:AlternateContent>
      </w:r>
      <w:r w:rsidR="00083242">
        <w:rPr>
          <w:rFonts w:ascii="Tahoma" w:eastAsia="Tahoma" w:hAnsi="Tahoma"/>
          <w:color w:val="404042"/>
          <w:sz w:val="14"/>
        </w:rPr>
        <w:t xml:space="preserve">29 Soland, J., Hamilton, L. and Stecher, B. (2013), </w:t>
      </w:r>
      <w:r w:rsidR="00083242">
        <w:rPr>
          <w:rFonts w:ascii="Arial" w:eastAsia="Arial" w:hAnsi="Arial"/>
          <w:i/>
          <w:color w:val="404042"/>
          <w:sz w:val="14"/>
        </w:rPr>
        <w:t>Measuring 21st-Century Competencies: Guidance for educators</w:t>
      </w:r>
      <w:r w:rsidR="00083242">
        <w:rPr>
          <w:rFonts w:ascii="Tahoma" w:eastAsia="Tahoma" w:hAnsi="Tahoma"/>
          <w:color w:val="404042"/>
          <w:sz w:val="14"/>
        </w:rPr>
        <w:t xml:space="preserve">, RAND Corporation and Asia Society, Global Cities Education Network report, November 2013, p. 4, </w:t>
      </w:r>
      <w:hyperlink r:id="rId94">
        <w:r w:rsidR="00083242">
          <w:rPr>
            <w:rFonts w:ascii="Tahoma" w:eastAsia="Tahoma" w:hAnsi="Tahoma"/>
            <w:color w:val="0000FF"/>
            <w:sz w:val="18"/>
            <w:u w:val="single"/>
          </w:rPr>
          <w:t>h</w:t>
        </w:r>
      </w:hyperlink>
      <w:r w:rsidR="00083242">
        <w:rPr>
          <w:rFonts w:ascii="Tahoma" w:eastAsia="Tahoma" w:hAnsi="Tahoma"/>
          <w:color w:val="0000FF"/>
          <w:sz w:val="14"/>
          <w:u w:val="single"/>
        </w:rPr>
        <w:t>ttp://asiasociety.org/files/gcen-measuring21cskills.pdf</w:t>
      </w:r>
      <w:r w:rsidR="00083242">
        <w:rPr>
          <w:rFonts w:ascii="Tahoma" w:eastAsia="Tahoma" w:hAnsi="Tahoma"/>
          <w:color w:val="404042"/>
          <w:sz w:val="14"/>
        </w:rPr>
        <w:t>.</w:t>
      </w:r>
    </w:p>
    <w:p w14:paraId="02C3B856" w14:textId="4DF86A6A" w:rsidR="009757A9" w:rsidRDefault="00083242">
      <w:pPr>
        <w:spacing w:line="197" w:lineRule="exact"/>
        <w:ind w:left="1080" w:right="1152" w:hanging="216"/>
        <w:textAlignment w:val="baseline"/>
        <w:rPr>
          <w:rFonts w:ascii="Tahoma" w:eastAsia="Tahoma" w:hAnsi="Tahoma"/>
          <w:color w:val="404042"/>
          <w:sz w:val="14"/>
        </w:rPr>
      </w:pPr>
      <w:r>
        <w:rPr>
          <w:rFonts w:ascii="Tahoma" w:eastAsia="Tahoma" w:hAnsi="Tahoma"/>
          <w:color w:val="404042"/>
          <w:sz w:val="14"/>
        </w:rPr>
        <w:t xml:space="preserve">30 Business Council of Australia (2016), </w:t>
      </w:r>
      <w:r>
        <w:rPr>
          <w:rFonts w:ascii="Arial" w:eastAsia="Arial" w:hAnsi="Arial"/>
          <w:i/>
          <w:color w:val="404042"/>
          <w:sz w:val="14"/>
        </w:rPr>
        <w:t>Being Work Ready: A guide to what employers want</w:t>
      </w:r>
      <w:r>
        <w:rPr>
          <w:rFonts w:ascii="Tahoma" w:eastAsia="Tahoma" w:hAnsi="Tahoma"/>
          <w:color w:val="404042"/>
          <w:sz w:val="14"/>
        </w:rPr>
        <w:t xml:space="preserve">, </w:t>
      </w:r>
      <w:hyperlink r:id="rId95">
        <w:r>
          <w:rPr>
            <w:rFonts w:ascii="Tahoma" w:eastAsia="Tahoma" w:hAnsi="Tahoma"/>
            <w:color w:val="0000FF"/>
            <w:sz w:val="14"/>
            <w:u w:val="single"/>
          </w:rPr>
          <w:t>https://www.bca.com.au/being_work_ready_a_guide_to_ what_employers_want</w:t>
        </w:r>
      </w:hyperlink>
      <w:r>
        <w:rPr>
          <w:rFonts w:ascii="Tahoma" w:eastAsia="Tahoma" w:hAnsi="Tahoma"/>
          <w:color w:val="404042"/>
          <w:sz w:val="14"/>
        </w:rPr>
        <w:t>.</w:t>
      </w:r>
    </w:p>
    <w:p w14:paraId="29835D69" w14:textId="77777777" w:rsidR="009757A9" w:rsidRDefault="00083242">
      <w:pPr>
        <w:spacing w:before="30" w:line="175" w:lineRule="exact"/>
        <w:ind w:left="864"/>
        <w:textAlignment w:val="baseline"/>
        <w:rPr>
          <w:rFonts w:ascii="Tahoma" w:eastAsia="Tahoma" w:hAnsi="Tahoma"/>
          <w:color w:val="404042"/>
          <w:spacing w:val="3"/>
          <w:sz w:val="14"/>
        </w:rPr>
      </w:pPr>
      <w:r>
        <w:rPr>
          <w:rFonts w:ascii="Tahoma" w:eastAsia="Tahoma" w:hAnsi="Tahoma"/>
          <w:color w:val="404042"/>
          <w:spacing w:val="3"/>
          <w:sz w:val="14"/>
        </w:rPr>
        <w:t xml:space="preserve">31 World Economic Forum (2018), </w:t>
      </w:r>
      <w:r>
        <w:rPr>
          <w:rFonts w:ascii="Arial" w:eastAsia="Arial" w:hAnsi="Arial"/>
          <w:i/>
          <w:color w:val="404042"/>
          <w:spacing w:val="3"/>
          <w:sz w:val="14"/>
        </w:rPr>
        <w:t>The Future of Jobs Report 201</w:t>
      </w:r>
      <w:r>
        <w:rPr>
          <w:rFonts w:ascii="Tahoma" w:eastAsia="Tahoma" w:hAnsi="Tahoma"/>
          <w:color w:val="404042"/>
          <w:spacing w:val="3"/>
          <w:sz w:val="14"/>
        </w:rPr>
        <w:t xml:space="preserve">8, p. ix, </w:t>
      </w:r>
      <w:hyperlink r:id="rId96">
        <w:r>
          <w:rPr>
            <w:rFonts w:ascii="Tahoma" w:eastAsia="Tahoma" w:hAnsi="Tahoma"/>
            <w:color w:val="0000FF"/>
            <w:spacing w:val="3"/>
            <w:sz w:val="14"/>
            <w:u w:val="single"/>
          </w:rPr>
          <w:t>http://www3.weforum.org/docs/WEF_Future_of_Jobs_2018.pdf</w:t>
        </w:r>
      </w:hyperlink>
      <w:r>
        <w:rPr>
          <w:rFonts w:ascii="Tahoma" w:eastAsia="Tahoma" w:hAnsi="Tahoma"/>
          <w:color w:val="404042"/>
          <w:spacing w:val="3"/>
          <w:sz w:val="14"/>
        </w:rPr>
        <w:t>.</w:t>
      </w:r>
    </w:p>
    <w:p w14:paraId="2FA35865" w14:textId="77777777" w:rsidR="009757A9" w:rsidRDefault="00083242">
      <w:pPr>
        <w:spacing w:before="1" w:line="199" w:lineRule="exact"/>
        <w:ind w:left="1080" w:right="936" w:hanging="216"/>
        <w:textAlignment w:val="baseline"/>
        <w:rPr>
          <w:rFonts w:ascii="Tahoma" w:eastAsia="Tahoma" w:hAnsi="Tahoma"/>
          <w:color w:val="404042"/>
          <w:sz w:val="14"/>
        </w:rPr>
      </w:pPr>
      <w:r>
        <w:rPr>
          <w:rFonts w:ascii="Tahoma" w:eastAsia="Tahoma" w:hAnsi="Tahoma"/>
          <w:color w:val="404042"/>
          <w:sz w:val="14"/>
        </w:rPr>
        <w:t xml:space="preserve">32 Expert Panel for the Review of the Australian Qualifications Framework (2019), </w:t>
      </w:r>
      <w:r>
        <w:rPr>
          <w:rFonts w:ascii="Tahoma" w:eastAsia="Tahoma" w:hAnsi="Tahoma"/>
          <w:i/>
          <w:color w:val="404042"/>
          <w:sz w:val="14"/>
        </w:rPr>
        <w:t>Review of the Australian Qualifications Framework: Final report</w:t>
      </w:r>
      <w:r>
        <w:rPr>
          <w:rFonts w:ascii="Tahoma" w:eastAsia="Tahoma" w:hAnsi="Tahoma"/>
          <w:color w:val="404042"/>
          <w:sz w:val="14"/>
        </w:rPr>
        <w:t xml:space="preserve">, October 2019, </w:t>
      </w:r>
      <w:hyperlink r:id="rId97">
        <w:r>
          <w:rPr>
            <w:rFonts w:ascii="Tahoma" w:eastAsia="Tahoma" w:hAnsi="Tahoma"/>
            <w:color w:val="0000FF"/>
            <w:sz w:val="18"/>
            <w:u w:val="single"/>
          </w:rPr>
          <w:t>h</w:t>
        </w:r>
      </w:hyperlink>
      <w:r>
        <w:rPr>
          <w:rFonts w:ascii="Tahoma" w:eastAsia="Tahoma" w:hAnsi="Tahoma"/>
          <w:color w:val="0000FF"/>
          <w:sz w:val="14"/>
          <w:u w:val="single"/>
        </w:rPr>
        <w:t>ttps://docs.education.gov.au/system/files/doc/other/aqf_review_2019_0.pdf</w:t>
      </w:r>
      <w:r>
        <w:rPr>
          <w:rFonts w:ascii="Tahoma" w:eastAsia="Tahoma" w:hAnsi="Tahoma"/>
          <w:color w:val="404042"/>
          <w:sz w:val="14"/>
        </w:rPr>
        <w:t>.</w:t>
      </w:r>
    </w:p>
    <w:p w14:paraId="2882DD9B" w14:textId="77777777" w:rsidR="009757A9" w:rsidRDefault="00083242">
      <w:pPr>
        <w:tabs>
          <w:tab w:val="left" w:pos="1368"/>
        </w:tabs>
        <w:spacing w:before="743" w:after="628"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38</w:t>
      </w:r>
      <w:r>
        <w:rPr>
          <w:rFonts w:ascii="Tahoma" w:eastAsia="Tahoma" w:hAnsi="Tahoma"/>
          <w:color w:val="404042"/>
          <w:spacing w:val="4"/>
          <w:sz w:val="14"/>
        </w:rPr>
        <w:tab/>
        <w:t>Looking to the future</w:t>
      </w:r>
    </w:p>
    <w:p w14:paraId="2AC66EF5" w14:textId="558A3697" w:rsidR="009757A9" w:rsidRDefault="00712CC4" w:rsidP="00341A0D">
      <w:pPr>
        <w:tabs>
          <w:tab w:val="left" w:pos="1368"/>
        </w:tabs>
        <w:rPr>
          <w:rFonts w:ascii="Tahoma" w:eastAsia="Tahoma" w:hAnsi="Tahoma"/>
          <w:color w:val="404042"/>
          <w:spacing w:val="4"/>
          <w:sz w:val="14"/>
        </w:rPr>
      </w:pPr>
      <w:r>
        <w:rPr>
          <w:noProof/>
          <w:lang w:val="en-AU" w:eastAsia="en-AU"/>
        </w:rPr>
        <w:drawing>
          <wp:anchor distT="0" distB="0" distL="114300" distR="114300" simplePos="0" relativeHeight="252042752" behindDoc="1" locked="0" layoutInCell="1" allowOverlap="1" wp14:anchorId="7157C32A" wp14:editId="16203A91">
            <wp:simplePos x="0" y="0"/>
            <wp:positionH relativeFrom="margin">
              <wp:align>right</wp:align>
            </wp:positionH>
            <wp:positionV relativeFrom="paragraph">
              <wp:posOffset>104775</wp:posOffset>
            </wp:positionV>
            <wp:extent cx="7562215" cy="462915"/>
            <wp:effectExtent l="0" t="0" r="635" b="0"/>
            <wp:wrapNone/>
            <wp:docPr id="29" name="Picture"/>
            <wp:cNvGraphicFramePr/>
            <a:graphic xmlns:a="http://schemas.openxmlformats.org/drawingml/2006/main">
              <a:graphicData uri="http://schemas.openxmlformats.org/drawingml/2006/picture">
                <pic:pic xmlns:pic="http://schemas.openxmlformats.org/drawingml/2006/picture">
                  <pic:nvPicPr>
                    <pic:cNvPr id="66" name="Picture"/>
                    <pic:cNvPicPr preferRelativeResize="0"/>
                  </pic:nvPicPr>
                  <pic:blipFill>
                    <a:blip r:embed="rId9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341A0D">
        <w:rPr>
          <w:rFonts w:ascii="Tahoma" w:eastAsia="Tahoma" w:hAnsi="Tahoma"/>
          <w:color w:val="404042"/>
          <w:spacing w:val="4"/>
          <w:sz w:val="14"/>
        </w:rPr>
        <w:tab/>
      </w:r>
    </w:p>
    <w:p w14:paraId="1C7C611D" w14:textId="0415DB49" w:rsidR="00341A0D" w:rsidRPr="00341A0D" w:rsidRDefault="00341A0D" w:rsidP="00341A0D">
      <w:pPr>
        <w:tabs>
          <w:tab w:val="left" w:pos="1545"/>
        </w:tabs>
        <w:sectPr w:rsidR="00341A0D" w:rsidRPr="00341A0D">
          <w:pgSz w:w="11909" w:h="16838"/>
          <w:pgMar w:top="1080" w:right="0" w:bottom="0" w:left="0" w:header="720" w:footer="720" w:gutter="0"/>
          <w:cols w:space="720"/>
        </w:sectPr>
      </w:pPr>
      <w:r>
        <w:tab/>
      </w:r>
    </w:p>
    <w:p w14:paraId="6AA66435" w14:textId="13C94368" w:rsidR="009757A9" w:rsidRDefault="00083242">
      <w:pPr>
        <w:spacing w:after="9" w:line="230" w:lineRule="exact"/>
        <w:jc w:val="both"/>
        <w:textAlignment w:val="baseline"/>
        <w:rPr>
          <w:rFonts w:ascii="Verdana" w:eastAsia="Verdana" w:hAnsi="Verdana"/>
          <w:color w:val="404042"/>
          <w:sz w:val="17"/>
        </w:rPr>
      </w:pPr>
      <w:r>
        <w:rPr>
          <w:rFonts w:ascii="Verdana" w:eastAsia="Verdana" w:hAnsi="Verdana"/>
          <w:color w:val="404042"/>
          <w:sz w:val="17"/>
        </w:rPr>
        <w:lastRenderedPageBreak/>
        <w:t xml:space="preserve">As a starting point, based upon the consultations conducted and submissions received, the Panel has identified 12 </w:t>
      </w:r>
      <w:r>
        <w:rPr>
          <w:rFonts w:ascii="Tahoma" w:eastAsia="Tahoma" w:hAnsi="Tahoma"/>
          <w:color w:val="404042"/>
          <w:sz w:val="18"/>
        </w:rPr>
        <w:t>essential skills categories that should be developed in every Australian young person throughout their schooling:</w:t>
      </w:r>
    </w:p>
    <w:p w14:paraId="32608C18" w14:textId="3798338B" w:rsidR="00801BBC" w:rsidRDefault="00801BBC">
      <w:pPr>
        <w:spacing w:after="9" w:line="230" w:lineRule="exact"/>
      </w:pPr>
    </w:p>
    <w:p w14:paraId="64FE2034" w14:textId="1D830FD3" w:rsidR="00801BBC" w:rsidRDefault="00801BBC" w:rsidP="00801BBC">
      <w:pPr>
        <w:spacing w:after="240" w:line="230" w:lineRule="exact"/>
        <w:sectPr w:rsidR="00801BBC">
          <w:pgSz w:w="11909" w:h="16838"/>
          <w:pgMar w:top="1100" w:right="1319" w:bottom="0" w:left="850" w:header="720" w:footer="720" w:gutter="0"/>
          <w:cols w:space="720"/>
        </w:sectPr>
      </w:pPr>
    </w:p>
    <w:p w14:paraId="3C603D8A" w14:textId="4802DFA7" w:rsidR="009757A9" w:rsidRDefault="00801BBC">
      <w:pPr>
        <w:spacing w:before="13419" w:line="288" w:lineRule="exact"/>
        <w:textAlignment w:val="baseline"/>
        <w:rPr>
          <w:rFonts w:eastAsia="Times New Roman"/>
          <w:color w:val="000000"/>
          <w:sz w:val="24"/>
        </w:rPr>
      </w:pPr>
      <w:r w:rsidRPr="00801BBC">
        <w:rPr>
          <w:noProof/>
          <w:lang w:val="en-AU" w:eastAsia="en-AU"/>
        </w:rPr>
        <w:drawing>
          <wp:anchor distT="0" distB="0" distL="114300" distR="114300" simplePos="0" relativeHeight="252038656" behindDoc="0" locked="0" layoutInCell="1" allowOverlap="1" wp14:anchorId="494B5F13" wp14:editId="41853393">
            <wp:simplePos x="0" y="0"/>
            <wp:positionH relativeFrom="column">
              <wp:posOffset>1416050</wp:posOffset>
            </wp:positionH>
            <wp:positionV relativeFrom="paragraph">
              <wp:posOffset>76835</wp:posOffset>
            </wp:positionV>
            <wp:extent cx="3930650" cy="4589780"/>
            <wp:effectExtent l="0" t="0" r="0" b="1270"/>
            <wp:wrapThrough wrapText="bothSides">
              <wp:wrapPolygon edited="0">
                <wp:start x="0" y="0"/>
                <wp:lineTo x="0" y="21516"/>
                <wp:lineTo x="21460" y="21516"/>
                <wp:lineTo x="21460" y="0"/>
                <wp:lineTo x="0" y="0"/>
              </wp:wrapPolygon>
            </wp:wrapThrough>
            <wp:docPr id="970" name="Picture 970" descr="Essential skills categories that should be developed in every Australian young person throughout their schooling include: literacy and numeracy, digital literacy, life skills, interpersonal skills and communication, critical analysis and evaluation, teamwork and collaboration, problem-solving, resilience and self-care, planning, organisation and accountability, workplace initiative, entrepreneurial skills and innovation, active citize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Picture 970" descr="Essential skills categories that should be developed in every Australian young person throughout their schooling include: literacy and numeracy, digital literacy, life skills, interpersonal skills and communication, critical analysis and evaluation, teamwork and collaboration, problem-solving, resilience and self-care, planning, organisation and accountability, workplace initiative, entrepreneurial skills and innovation, active citizenship"/>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930650" cy="4589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5BA43" w14:textId="77777777" w:rsidR="009757A9" w:rsidRDefault="009757A9">
      <w:pPr>
        <w:sectPr w:rsidR="009757A9">
          <w:type w:val="continuous"/>
          <w:pgSz w:w="11909" w:h="16838"/>
          <w:pgMar w:top="1100" w:right="0" w:bottom="0" w:left="0" w:header="720" w:footer="720" w:gutter="0"/>
          <w:cols w:space="720"/>
        </w:sectPr>
      </w:pPr>
    </w:p>
    <w:p w14:paraId="69678217" w14:textId="77777777" w:rsidR="009757A9" w:rsidRDefault="006B3019">
      <w:pPr>
        <w:tabs>
          <w:tab w:val="left" w:pos="10872"/>
        </w:tabs>
        <w:spacing w:after="640" w:line="195" w:lineRule="exact"/>
        <w:ind w:left="8856"/>
        <w:textAlignment w:val="baseline"/>
        <w:rPr>
          <w:rFonts w:ascii="Tahoma" w:eastAsia="Tahoma" w:hAnsi="Tahoma"/>
          <w:color w:val="404042"/>
          <w:sz w:val="14"/>
        </w:rPr>
      </w:pPr>
      <w:r>
        <w:rPr>
          <w:noProof/>
          <w:lang w:val="en-AU" w:eastAsia="en-AU"/>
        </w:rPr>
        <w:drawing>
          <wp:anchor distT="0" distB="0" distL="114300" distR="114300" simplePos="0" relativeHeight="252031488" behindDoc="1" locked="0" layoutInCell="1" allowOverlap="1" wp14:anchorId="74861FA5" wp14:editId="2A66576E">
            <wp:simplePos x="0" y="0"/>
            <wp:positionH relativeFrom="page">
              <wp:align>right</wp:align>
            </wp:positionH>
            <wp:positionV relativeFrom="paragraph">
              <wp:posOffset>358140</wp:posOffset>
            </wp:positionV>
            <wp:extent cx="7562215" cy="462915"/>
            <wp:effectExtent l="0" t="0" r="635" b="0"/>
            <wp:wrapNone/>
            <wp:docPr id="63" name="Picture"/>
            <wp:cNvGraphicFramePr/>
            <a:graphic xmlns:a="http://schemas.openxmlformats.org/drawingml/2006/main">
              <a:graphicData uri="http://schemas.openxmlformats.org/drawingml/2006/picture">
                <pic:pic xmlns:pic="http://schemas.openxmlformats.org/drawingml/2006/picture">
                  <pic:nvPicPr>
                    <pic:cNvPr id="63" name="Picture"/>
                    <pic:cNvPicPr preferRelativeResize="0"/>
                  </pic:nvPicPr>
                  <pic:blipFill>
                    <a:blip r:embed="rId10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1: Essential skills</w:t>
      </w:r>
      <w:r w:rsidR="00083242">
        <w:rPr>
          <w:rFonts w:ascii="Arial" w:eastAsia="Arial" w:hAnsi="Arial"/>
          <w:b/>
          <w:color w:val="5556A1"/>
          <w:sz w:val="18"/>
        </w:rPr>
        <w:tab/>
        <w:t>39</w:t>
      </w:r>
    </w:p>
    <w:p w14:paraId="42F69FD2" w14:textId="77777777" w:rsidR="009757A9" w:rsidRDefault="009757A9">
      <w:pPr>
        <w:textAlignment w:val="baseline"/>
      </w:pPr>
    </w:p>
    <w:p w14:paraId="0A5E119C" w14:textId="77777777" w:rsidR="009757A9" w:rsidRDefault="009757A9">
      <w:pPr>
        <w:sectPr w:rsidR="009757A9">
          <w:type w:val="continuous"/>
          <w:pgSz w:w="11909" w:h="16838"/>
          <w:pgMar w:top="1100" w:right="0" w:bottom="0" w:left="0" w:header="720" w:footer="720" w:gutter="0"/>
          <w:cols w:space="720"/>
        </w:sectPr>
      </w:pPr>
    </w:p>
    <w:tbl>
      <w:tblPr>
        <w:tblStyle w:val="TableGrid"/>
        <w:tblW w:w="0" w:type="auto"/>
        <w:tblInd w:w="813" w:type="dxa"/>
        <w:tblLook w:val="04A0" w:firstRow="1" w:lastRow="0" w:firstColumn="1" w:lastColumn="0" w:noHBand="0" w:noVBand="1"/>
      </w:tblPr>
      <w:tblGrid>
        <w:gridCol w:w="9966"/>
      </w:tblGrid>
      <w:tr w:rsidR="00801BBC" w14:paraId="59E4A99E" w14:textId="77777777" w:rsidTr="008050AC">
        <w:trPr>
          <w:trHeight w:val="1910"/>
        </w:trPr>
        <w:tc>
          <w:tcPr>
            <w:tcW w:w="9966" w:type="dxa"/>
            <w:tcBorders>
              <w:top w:val="single" w:sz="4" w:space="0" w:color="auto"/>
              <w:left w:val="single" w:sz="4" w:space="0" w:color="auto"/>
              <w:bottom w:val="single" w:sz="4" w:space="0" w:color="auto"/>
              <w:right w:val="single" w:sz="4" w:space="0" w:color="auto"/>
            </w:tcBorders>
            <w:shd w:val="clear" w:color="auto" w:fill="ECF3FA"/>
          </w:tcPr>
          <w:p w14:paraId="23BDE8D6" w14:textId="77777777" w:rsidR="00801BBC" w:rsidRDefault="00801BBC" w:rsidP="00801BBC">
            <w:pPr>
              <w:spacing w:before="240" w:line="277" w:lineRule="exact"/>
              <w:ind w:left="576"/>
              <w:textAlignment w:val="baseline"/>
              <w:rPr>
                <w:rFonts w:ascii="Arial" w:eastAsia="Arial" w:hAnsi="Arial"/>
                <w:b/>
                <w:color w:val="00708E"/>
                <w:spacing w:val="-1"/>
                <w:sz w:val="25"/>
              </w:rPr>
            </w:pPr>
            <w:r>
              <w:rPr>
                <w:rFonts w:ascii="Arial" w:eastAsia="Arial" w:hAnsi="Arial"/>
                <w:b/>
                <w:color w:val="00708E"/>
                <w:spacing w:val="-1"/>
                <w:sz w:val="25"/>
              </w:rPr>
              <w:lastRenderedPageBreak/>
              <w:t>Recommendation 3</w:t>
            </w:r>
          </w:p>
          <w:p w14:paraId="479A1AA1" w14:textId="28258E77" w:rsidR="00801BBC" w:rsidRDefault="00801BBC" w:rsidP="006B503B">
            <w:pPr>
              <w:tabs>
                <w:tab w:val="left" w:pos="8730"/>
              </w:tabs>
              <w:spacing w:before="160" w:after="211" w:line="240" w:lineRule="exact"/>
              <w:ind w:left="576" w:right="1008"/>
              <w:textAlignment w:val="baseline"/>
              <w:rPr>
                <w:rFonts w:ascii="Tahoma" w:eastAsia="Tahoma" w:hAnsi="Tahoma"/>
                <w:color w:val="404042"/>
                <w:spacing w:val="3"/>
                <w:sz w:val="18"/>
              </w:rPr>
            </w:pPr>
            <w:r>
              <w:rPr>
                <w:rFonts w:ascii="Tahoma" w:eastAsia="Tahoma" w:hAnsi="Tahoma"/>
                <w:color w:val="404042"/>
                <w:spacing w:val="3"/>
                <w:sz w:val="18"/>
              </w:rPr>
              <w:t>Once the common language is agreed across sectors and jurisdictions, appropriate standards</w:t>
            </w:r>
            <w:r w:rsidR="006B503B">
              <w:rPr>
                <w:rFonts w:ascii="Tahoma" w:eastAsia="Tahoma" w:hAnsi="Tahoma"/>
                <w:color w:val="404042"/>
                <w:spacing w:val="3"/>
                <w:sz w:val="18"/>
              </w:rPr>
              <w:t xml:space="preserve"> </w:t>
            </w:r>
            <w:r>
              <w:rPr>
                <w:rFonts w:ascii="Tahoma" w:eastAsia="Tahoma" w:hAnsi="Tahoma"/>
                <w:color w:val="404042"/>
                <w:spacing w:val="3"/>
                <w:sz w:val="18"/>
              </w:rPr>
              <w:t>should be developed to allow the evidencing, within the schooling sector, of the capabilities necessary for employment and active citizenship, building on the Foundation to Year 10 capabilities, but focused particularly on Years 11 and 12.</w:t>
            </w:r>
          </w:p>
          <w:p w14:paraId="20A7A153" w14:textId="77777777" w:rsidR="00801BBC" w:rsidRDefault="00801BBC" w:rsidP="00801BBC">
            <w:pPr>
              <w:spacing w:before="10" w:line="277" w:lineRule="exact"/>
              <w:textAlignment w:val="baseline"/>
              <w:rPr>
                <w:rFonts w:ascii="Arial" w:eastAsia="Arial" w:hAnsi="Arial"/>
                <w:b/>
                <w:color w:val="00708E"/>
                <w:spacing w:val="-1"/>
                <w:sz w:val="25"/>
              </w:rPr>
            </w:pPr>
          </w:p>
        </w:tc>
      </w:tr>
    </w:tbl>
    <w:p w14:paraId="5922B7E4" w14:textId="77777777" w:rsidR="00801BBC" w:rsidRDefault="00801BBC" w:rsidP="00801BBC">
      <w:pPr>
        <w:spacing w:before="10" w:line="277" w:lineRule="exact"/>
        <w:ind w:left="576"/>
        <w:textAlignment w:val="baseline"/>
        <w:rPr>
          <w:rFonts w:ascii="Arial" w:eastAsia="Arial" w:hAnsi="Arial"/>
          <w:b/>
          <w:color w:val="00708E"/>
          <w:spacing w:val="-1"/>
          <w:sz w:val="25"/>
        </w:rPr>
      </w:pPr>
    </w:p>
    <w:p w14:paraId="7D71A895" w14:textId="77777777" w:rsidR="00012B03" w:rsidRDefault="00012B03">
      <w:pPr>
        <w:spacing w:before="2" w:line="215" w:lineRule="exact"/>
        <w:ind w:left="864"/>
        <w:textAlignment w:val="baseline"/>
        <w:rPr>
          <w:rFonts w:ascii="Arial" w:eastAsia="Arial" w:hAnsi="Arial"/>
          <w:i/>
          <w:color w:val="007896"/>
          <w:spacing w:val="1"/>
          <w:sz w:val="18"/>
        </w:rPr>
      </w:pPr>
    </w:p>
    <w:p w14:paraId="55D64ABD" w14:textId="189DEBF4" w:rsidR="009757A9" w:rsidRDefault="00083242">
      <w:pPr>
        <w:spacing w:before="2" w:line="215" w:lineRule="exact"/>
        <w:ind w:left="864"/>
        <w:textAlignment w:val="baseline"/>
        <w:rPr>
          <w:rFonts w:ascii="Arial" w:eastAsia="Arial" w:hAnsi="Arial"/>
          <w:i/>
          <w:color w:val="007896"/>
          <w:spacing w:val="1"/>
          <w:sz w:val="18"/>
        </w:rPr>
      </w:pPr>
      <w:r>
        <w:rPr>
          <w:rFonts w:ascii="Arial" w:eastAsia="Arial" w:hAnsi="Arial"/>
          <w:i/>
          <w:color w:val="007896"/>
          <w:spacing w:val="1"/>
          <w:sz w:val="18"/>
        </w:rPr>
        <w:t>Implementation guidance</w:t>
      </w:r>
    </w:p>
    <w:p w14:paraId="18FE0FED" w14:textId="77777777" w:rsidR="009757A9" w:rsidRDefault="00083242">
      <w:pPr>
        <w:spacing w:before="162"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There is no doubt that the abovementioned capabilities for employment and active citizenship are what employers are looking for in the modern worker. Teachers with whom we have spoken often articulate similar attributes. Indeed, some at the school level are already explicitly assessing students against these capabilities. In our structured discussions with young people, the Panel has been encouraged by the fact that so many recognise the importance of these skills and express frustration that academic study does not always adequately address them. We would provide young people with a distinct advantage if we developed and evidenced their range of skills during the senior secondary years.</w:t>
      </w:r>
    </w:p>
    <w:p w14:paraId="65B5B3B6" w14:textId="77777777" w:rsidR="009757A9" w:rsidRDefault="00083242">
      <w:pPr>
        <w:spacing w:before="168"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This is a bold proposition but it does not require revolutionary change. The capabilities can, to a significant extent, be taught within the current academic landscape. In fact, many are already explicitly included as general capabilities within the Australian Curriculum up to Year 10. But what is insufficiently recognised is that these attributes can also be acquired from experiences outside of the classroom, including not just sporting achievement and volunteering, but from the discipline of part-time work.</w:t>
      </w:r>
    </w:p>
    <w:p w14:paraId="06BC4B4D" w14:textId="77777777" w:rsidR="009757A9" w:rsidRDefault="00083242">
      <w:pPr>
        <w:spacing w:before="193"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These capabilities should be specifically discussed as part of a pathways conversation between teachers and students</w:t>
      </w:r>
    </w:p>
    <w:p w14:paraId="00A177F5"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from Year 9. Students need to be encouraged to articulate their own capabilities and understand how they can enhance them both at school and through their outside activities and interests.</w:t>
      </w:r>
    </w:p>
    <w:p w14:paraId="4D83A135"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There are many pockets of innovation and best practice across the country that we can draw on. While some innovative schools seek to explicitly assess these capabilities, there is no common framework for evidencing them. Often they are not visible to employers. Better ways to identify and evidence these capabilities should be developed. Schools and teachers should be supported to structure their thinking around the skills development students require for the future. Options for implementation could include the development of frameworks, achievement standards, and structured opportunities to identify, articulate and evidence the skills that students have acquired. The focus should be reliability, validity and fairness.</w:t>
      </w:r>
    </w:p>
    <w:p w14:paraId="4DCC58BA" w14:textId="77777777" w:rsidR="009757A9" w:rsidRDefault="00083242">
      <w:pPr>
        <w:spacing w:before="173"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Changing the outcomes we measure and value in senior secondary school will help to level the playing field for all young people. That profound change needs to be predicated upon the belief that essential skills can be gained and exhibited just as much through vocational education and training as more academic courses; and that the attributes can reflect the lived experiences of students in diverse circumstances. The experiences gained by a young Indigenous person in a remote community through their rite of passage; the learning that comes from a school student having to take on caring responsibilities for a disabled parent; or the discipline gained from volunteering for a community organisation – all can be of significant value in demonstrating capabilities.</w:t>
      </w:r>
    </w:p>
    <w:p w14:paraId="3374C125" w14:textId="77777777" w:rsidR="009757A9" w:rsidRDefault="00083242">
      <w:pPr>
        <w:spacing w:before="166"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It is this diversity of skills, attributes and experiences that employers are looking for in selecting job applicants to work for them. It is this range of interests and passions that is needed to sustain Australia’s civil society and volunteer culture. It is these capabilities that young people require in order to arrange their personal affairs, build relationships and form families.</w:t>
      </w:r>
    </w:p>
    <w:p w14:paraId="21227FA9" w14:textId="77777777" w:rsidR="009757A9" w:rsidRDefault="00083242">
      <w:pPr>
        <w:spacing w:before="175" w:line="240" w:lineRule="exact"/>
        <w:ind w:left="864"/>
        <w:textAlignment w:val="baseline"/>
        <w:rPr>
          <w:rFonts w:ascii="Tahoma" w:eastAsia="Tahoma" w:hAnsi="Tahoma"/>
          <w:color w:val="404042"/>
          <w:spacing w:val="4"/>
          <w:sz w:val="18"/>
        </w:rPr>
      </w:pPr>
      <w:r>
        <w:rPr>
          <w:rFonts w:ascii="Tahoma" w:eastAsia="Tahoma" w:hAnsi="Tahoma"/>
          <w:color w:val="404042"/>
          <w:spacing w:val="4"/>
          <w:sz w:val="18"/>
        </w:rPr>
        <w:t>This is the education for life that schools can provide. It is what many teachers would like to focus on. Yet the current</w:t>
      </w:r>
    </w:p>
    <w:p w14:paraId="43883A5B" w14:textId="77777777" w:rsidR="009757A9" w:rsidRDefault="00083242">
      <w:pPr>
        <w:spacing w:line="240" w:lineRule="exact"/>
        <w:ind w:left="864" w:right="936"/>
        <w:textAlignment w:val="baseline"/>
        <w:rPr>
          <w:rFonts w:ascii="Tahoma" w:eastAsia="Tahoma" w:hAnsi="Tahoma"/>
          <w:color w:val="404042"/>
          <w:sz w:val="18"/>
        </w:rPr>
      </w:pPr>
      <w:r>
        <w:rPr>
          <w:rFonts w:ascii="Tahoma" w:eastAsia="Tahoma" w:hAnsi="Tahoma"/>
          <w:color w:val="404042"/>
          <w:sz w:val="18"/>
        </w:rPr>
        <w:t>education system tends to direct senior secondary students towards a single number – the ATAR. It is, as we heard first hand from the students we consulted, a very poor guide to the quality of the whole person.</w:t>
      </w:r>
    </w:p>
    <w:p w14:paraId="5C33853B" w14:textId="7230E749" w:rsidR="009757A9" w:rsidRDefault="00083242">
      <w:pPr>
        <w:tabs>
          <w:tab w:val="left" w:pos="1368"/>
        </w:tabs>
        <w:spacing w:before="1595" w:after="638"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40</w:t>
      </w:r>
      <w:r>
        <w:rPr>
          <w:rFonts w:ascii="Tahoma" w:eastAsia="Tahoma" w:hAnsi="Tahoma"/>
          <w:color w:val="404042"/>
          <w:spacing w:val="4"/>
          <w:sz w:val="14"/>
        </w:rPr>
        <w:tab/>
        <w:t>Looking to the future</w:t>
      </w:r>
    </w:p>
    <w:p w14:paraId="3F8B0FE9" w14:textId="5925E2D7" w:rsidR="009757A9" w:rsidRDefault="00341A0D">
      <w:pPr>
        <w:textAlignment w:val="baseline"/>
      </w:pPr>
      <w:r>
        <w:rPr>
          <w:noProof/>
          <w:lang w:val="en-AU" w:eastAsia="en-AU"/>
        </w:rPr>
        <w:drawing>
          <wp:anchor distT="0" distB="0" distL="114300" distR="114300" simplePos="0" relativeHeight="252032512" behindDoc="1" locked="0" layoutInCell="1" allowOverlap="1" wp14:anchorId="79F36858" wp14:editId="49100391">
            <wp:simplePos x="0" y="0"/>
            <wp:positionH relativeFrom="margin">
              <wp:align>right</wp:align>
            </wp:positionH>
            <wp:positionV relativeFrom="paragraph">
              <wp:posOffset>122555</wp:posOffset>
            </wp:positionV>
            <wp:extent cx="7562215" cy="462915"/>
            <wp:effectExtent l="0" t="0" r="635" b="0"/>
            <wp:wrapNone/>
            <wp:docPr id="66" name="Picture"/>
            <wp:cNvGraphicFramePr/>
            <a:graphic xmlns:a="http://schemas.openxmlformats.org/drawingml/2006/main">
              <a:graphicData uri="http://schemas.openxmlformats.org/drawingml/2006/picture">
                <pic:pic xmlns:pic="http://schemas.openxmlformats.org/drawingml/2006/picture">
                  <pic:nvPicPr>
                    <pic:cNvPr id="66" name="Picture"/>
                    <pic:cNvPicPr preferRelativeResize="0"/>
                  </pic:nvPicPr>
                  <pic:blipFill>
                    <a:blip r:embed="rId9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54EE3190" w14:textId="77777777" w:rsidR="009757A9" w:rsidRDefault="009757A9">
      <w:pPr>
        <w:sectPr w:rsidR="009757A9" w:rsidSect="00801BBC">
          <w:pgSz w:w="11909" w:h="16838"/>
          <w:pgMar w:top="993" w:right="0" w:bottom="0" w:left="0" w:header="720" w:footer="720" w:gutter="0"/>
          <w:cols w:space="720"/>
        </w:sectPr>
      </w:pPr>
    </w:p>
    <w:p w14:paraId="50F04BEF"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333120" behindDoc="1" locked="0" layoutInCell="1" allowOverlap="1" wp14:anchorId="43D5C246" wp14:editId="7A8AC5BA">
                <wp:simplePos x="0" y="0"/>
                <wp:positionH relativeFrom="page">
                  <wp:posOffset>0</wp:posOffset>
                </wp:positionH>
                <wp:positionV relativeFrom="page">
                  <wp:posOffset>0</wp:posOffset>
                </wp:positionV>
                <wp:extent cx="7562215" cy="10692130"/>
                <wp:effectExtent l="0" t="0" r="0" b="0"/>
                <wp:wrapSquare wrapText="bothSides"/>
                <wp:docPr id="920"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1C50D" w14:textId="77777777" w:rsidR="00490F33" w:rsidRDefault="00490F33">
                            <w:pPr>
                              <w:textAlignment w:val="baseline"/>
                            </w:pPr>
                            <w:r>
                              <w:rPr>
                                <w:noProof/>
                                <w:lang w:val="en-AU" w:eastAsia="en-AU"/>
                              </w:rPr>
                              <w:drawing>
                                <wp:inline distT="0" distB="0" distL="0" distR="0" wp14:anchorId="15A1850A" wp14:editId="54D79E17">
                                  <wp:extent cx="7562215" cy="10692130"/>
                                  <wp:effectExtent l="0" t="0" r="0" b="0"/>
                                  <wp:docPr id="6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7" name="Picture">
                                            <a:extLst>
                                              <a:ext uri="{C183D7F6-B498-43B3-948B-1728B52AA6E4}">
                                                <adec:decorative xmlns:adec="http://schemas.microsoft.com/office/drawing/2017/decorative" val="1"/>
                                              </a:ext>
                                            </a:extLst>
                                          </pic:cNvPr>
                                          <pic:cNvPicPr preferRelativeResize="0"/>
                                        </pic:nvPicPr>
                                        <pic:blipFill>
                                          <a:blip r:embed="rId101"/>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5C246" id="Text Box 641" o:spid="_x0000_s1053" type="#_x0000_t202" style="position:absolute;margin-left:0;margin-top:0;width:595.45pt;height:841.9pt;z-index:-25198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bf8QEAAMQDAAAOAAAAZHJzL2Uyb0RvYy54bWysU9tu1DAQfUfiHyy/s7lAtzTabFVaFSGV&#10;i9TyAY5jbywSjxl7N1m+nrGzWQq8IV6s8Xh8fM6Z8eZ6Gnp2UOgN2JoXq5wzZSW0xu5q/vXp/tVb&#10;znwQthU9WFXzo/L8evvyxWZ0lSqhg75VyAjE+mp0Ne9CcFWWedmpQfgVOGXpUAMOItAWd1mLYiT0&#10;oc/KPF9nI2DrEKTynrJ38yHfJnytlQyftfYqsL7mxC2kFdPaxDXbbkS1Q+E6I080xD+wGISx9OgZ&#10;6k4EwfZo/oIajETwoMNKwpCB1kaqpIHUFPkfah474VTSQuZ4d7bJ/z9Y+enwBZlpa35Vkj9WDNSk&#10;JzUF9g4mtn5TRIdG5ysqfHRUGiY6oE4ntd49gPzmmYXbTtidukGEsVOiJYbpZvbs6ozjI0gzfoSW&#10;HhL7AAlo0jhE+8gQRujE5HjuTiQjKXl5sS7L4oIzSWdFvr4qi9epgZmolvsOfXivYGAxqDlS/xO+&#10;ODz4QEqodCmJz1m4N32fZqC3vyWoMGYS/0h5Jh+mZkpmlZeLLw20R1KEMI8WfQUKOsAfnI00VjX3&#10;3/cCFWf9B0uuxBlcAlyCZgmElXS15oGzObwN86zuHZpdR8iz7xZuyDltkqRo8czixJdGJSk9jXWc&#10;xef7VPXr821/AgAA//8DAFBLAwQUAAYACAAAACEAeyLJIt0AAAAHAQAADwAAAGRycy9kb3ducmV2&#10;LnhtbEyPwU7DMBBE70j8g7VI3KhdkKIkxKmqip4qIdJw4OjE28RqvE5jtw1/j8sFLqtZzWrmbbGa&#10;7cAuOHnjSMJyIYAhtU4b6iR81tunFJgPirQaHKGEb/SwKu/vCpVrd6UKL/vQsRhCPlcS+hDGnHPf&#10;9miVX7gRKXoHN1kV4jp1XE/qGsPtwJ+FSLhVhmJDr0bc9Nge92crYf1F1Zs5vTcf1aEydZ0J2iVH&#10;KR8f5vUrsIBz+DuGG35EhzIyNe5M2rNBQnwk/M6bt8xEBqyJKklfUuBlwf/zlz8AAAD//wMAUEsB&#10;Ai0AFAAGAAgAAAAhALaDOJL+AAAA4QEAABMAAAAAAAAAAAAAAAAAAAAAAFtDb250ZW50X1R5cGVz&#10;XS54bWxQSwECLQAUAAYACAAAACEAOP0h/9YAAACUAQAACwAAAAAAAAAAAAAAAAAvAQAAX3JlbHMv&#10;LnJlbHNQSwECLQAUAAYACAAAACEAI1VW3/EBAADEAwAADgAAAAAAAAAAAAAAAAAuAgAAZHJzL2Uy&#10;b0RvYy54bWxQSwECLQAUAAYACAAAACEAeyLJIt0AAAAHAQAADwAAAAAAAAAAAAAAAABLBAAAZHJz&#10;L2Rvd25yZXYueG1sUEsFBgAAAAAEAAQA8wAAAFUFAAAAAA==&#10;" filled="f" stroked="f">
                <v:textbox inset="0,0,0,0">
                  <w:txbxContent>
                    <w:p w14:paraId="3DE1C50D" w14:textId="77777777" w:rsidR="00490F33" w:rsidRDefault="00490F33">
                      <w:pPr>
                        <w:textAlignment w:val="baseline"/>
                      </w:pPr>
                      <w:r>
                        <w:rPr>
                          <w:noProof/>
                          <w:lang w:val="en-AU" w:eastAsia="en-AU"/>
                        </w:rPr>
                        <w:drawing>
                          <wp:inline distT="0" distB="0" distL="0" distR="0" wp14:anchorId="15A1850A" wp14:editId="54D79E17">
                            <wp:extent cx="7562215" cy="10692130"/>
                            <wp:effectExtent l="0" t="0" r="0" b="0"/>
                            <wp:docPr id="6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7" name="Picture">
                                      <a:extLst>
                                        <a:ext uri="{C183D7F6-B498-43B3-948B-1728B52AA6E4}">
                                          <adec:decorative xmlns:adec="http://schemas.microsoft.com/office/drawing/2017/decorative" val="1"/>
                                        </a:ext>
                                      </a:extLst>
                                    </pic:cNvPr>
                                    <pic:cNvPicPr preferRelativeResize="0"/>
                                  </pic:nvPicPr>
                                  <pic:blipFill>
                                    <a:blip r:embed="rId101"/>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34144" behindDoc="1" locked="0" layoutInCell="1" allowOverlap="1" wp14:anchorId="38D069A8" wp14:editId="2E7219E4">
                <wp:simplePos x="0" y="0"/>
                <wp:positionH relativeFrom="page">
                  <wp:posOffset>847090</wp:posOffset>
                </wp:positionH>
                <wp:positionV relativeFrom="page">
                  <wp:posOffset>982980</wp:posOffset>
                </wp:positionV>
                <wp:extent cx="5861685" cy="858520"/>
                <wp:effectExtent l="0" t="0" r="0" b="0"/>
                <wp:wrapSquare wrapText="bothSides"/>
                <wp:docPr id="919"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68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22FF6"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0F16D8D2" w14:textId="77777777" w:rsidR="00490F33" w:rsidRDefault="00490F33">
                            <w:pPr>
                              <w:spacing w:line="45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UNIVERSITIES ADMISSIONS CENTRE AND DEAKINCO</w:t>
                            </w:r>
                          </w:p>
                          <w:p w14:paraId="7A88ABB4" w14:textId="77777777" w:rsidR="00490F33" w:rsidRDefault="00490F33">
                            <w:pPr>
                              <w:spacing w:before="4" w:line="450" w:lineRule="exact"/>
                              <w:textAlignment w:val="baseline"/>
                              <w:rPr>
                                <w:rFonts w:ascii="Tahoma" w:eastAsia="Tahoma" w:hAnsi="Tahoma"/>
                                <w:color w:val="BF5B1F"/>
                                <w:spacing w:val="19"/>
                                <w:w w:val="95"/>
                                <w:sz w:val="38"/>
                              </w:rPr>
                            </w:pPr>
                            <w:r>
                              <w:rPr>
                                <w:rFonts w:ascii="Tahoma" w:eastAsia="Tahoma" w:hAnsi="Tahoma"/>
                                <w:color w:val="BF5B1F"/>
                                <w:spacing w:val="19"/>
                                <w:w w:val="95"/>
                                <w:sz w:val="38"/>
                              </w:rPr>
                              <w:t>FRAMEWORK FOR MEASURING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069A8" id="Text Box 640" o:spid="_x0000_s1054" type="#_x0000_t202" style="position:absolute;margin-left:66.7pt;margin-top:77.4pt;width:461.55pt;height:67.6pt;z-index:-25198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wb8QEAAMIDAAAOAAAAZHJzL2Uyb0RvYy54bWysU8Fu2zAMvQ/YPwi6L06CJXCNOEXXosOA&#10;bivQ7gMYWY6F2aJGKbGzrx8lx2m33YZdBIqint57pDbXQ9eKoyZv0JZyMZtLoa3Cyth9Kb8937/L&#10;pfABbAUtWl3Kk/byevv2zaZ3hV5ig22lSTCI9UXvStmE4Ios86rRHfgZOm35sEbqIPCW9llF0DN6&#10;12bL+Xyd9UiVI1Tae87ejYdym/DrWqvwta69DqItJXMLaaW07uKabTdQ7AlcY9SZBvwDiw6M5Ucv&#10;UHcQQBzI/AXVGUXosQ4zhV2GdW2UThpYzWL+h5qnBpxOWtgc7y42+f8Hq74cH0mYqpRXiyspLHTc&#10;pGc9BPEBB7F+nxzqnS+48MlxaRj4gDud1Hr3gOq7FxZvG7B7fUOEfaOhYoaL6G326mrsiS98BNn1&#10;n7Hih+AQMAENNXXRPjZEMDp36nTpTiSjOLnK14t1vpJC8Vm+ylfLRC6DYrrtyIePGjsRg1ISdz+h&#10;w/HBh8gGiqkkPmbx3rRtmoDW/pbgwphJ7CPhkXoYdkOyaplHbVHNDqsT6yEcB4s/AgcN0k8peh6q&#10;UvofByAtRfvJsidxAqeApmA3BWAVXy1lkGIMb8M4qQdHZt8w8ui6xRv2rTZJ0guLM18elKT0PNRx&#10;El/vU9XL19v+AgAA//8DAFBLAwQUAAYACAAAACEAmM+IMOAAAAAMAQAADwAAAGRycy9kb3ducmV2&#10;LnhtbEyPy07DMBBF90j8gzVI7KjdRyKaxqkqBCskRBoWLJ3YTazG4xC7bfh7pquym6s5uo98O7me&#10;nc0YrEcJ85kAZrDx2mIr4at6e3oGFqJCrXqPRsKvCbAt7u9ylWl/wdKc97FlZIIhUxK6GIeM89B0&#10;xqkw84NB+h386FQkObZcj+pC5q7nCyFS7pRFSujUYF460xz3Jydh943lq/35qD/LQ2mrai3wPT1K&#10;+fgw7TbAopniDYZrfaoOBXWq/Ql1YD3p5XJFKB3JijZcCZGkCbBawmItBPAi5/9HFH8AAAD//wMA&#10;UEsBAi0AFAAGAAgAAAAhALaDOJL+AAAA4QEAABMAAAAAAAAAAAAAAAAAAAAAAFtDb250ZW50X1R5&#10;cGVzXS54bWxQSwECLQAUAAYACAAAACEAOP0h/9YAAACUAQAACwAAAAAAAAAAAAAAAAAvAQAAX3Jl&#10;bHMvLnJlbHNQSwECLQAUAAYACAAAACEA1hzsG/EBAADCAwAADgAAAAAAAAAAAAAAAAAuAgAAZHJz&#10;L2Uyb0RvYy54bWxQSwECLQAUAAYACAAAACEAmM+IMOAAAAAMAQAADwAAAAAAAAAAAAAAAABLBAAA&#10;ZHJzL2Rvd25yZXYueG1sUEsFBgAAAAAEAAQA8wAAAFgFAAAAAA==&#10;" filled="f" stroked="f">
                <v:textbox inset="0,0,0,0">
                  <w:txbxContent>
                    <w:p w14:paraId="5EA22FF6"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0F16D8D2" w14:textId="77777777" w:rsidR="00490F33" w:rsidRDefault="00490F33">
                      <w:pPr>
                        <w:spacing w:line="45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UNIVERSITIES ADMISSIONS CENTRE AND DEAKINCO</w:t>
                      </w:r>
                    </w:p>
                    <w:p w14:paraId="7A88ABB4" w14:textId="77777777" w:rsidR="00490F33" w:rsidRDefault="00490F33">
                      <w:pPr>
                        <w:spacing w:before="4" w:line="450" w:lineRule="exact"/>
                        <w:textAlignment w:val="baseline"/>
                        <w:rPr>
                          <w:rFonts w:ascii="Tahoma" w:eastAsia="Tahoma" w:hAnsi="Tahoma"/>
                          <w:color w:val="BF5B1F"/>
                          <w:spacing w:val="19"/>
                          <w:w w:val="95"/>
                          <w:sz w:val="38"/>
                        </w:rPr>
                      </w:pPr>
                      <w:r>
                        <w:rPr>
                          <w:rFonts w:ascii="Tahoma" w:eastAsia="Tahoma" w:hAnsi="Tahoma"/>
                          <w:color w:val="BF5B1F"/>
                          <w:spacing w:val="19"/>
                          <w:w w:val="95"/>
                          <w:sz w:val="38"/>
                        </w:rPr>
                        <w:t>FRAMEWORK FOR MEASURING SKILLS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35168" behindDoc="1" locked="0" layoutInCell="1" allowOverlap="1" wp14:anchorId="6A57FAB8" wp14:editId="4C3A5C34">
                <wp:simplePos x="0" y="0"/>
                <wp:positionH relativeFrom="page">
                  <wp:posOffset>905510</wp:posOffset>
                </wp:positionH>
                <wp:positionV relativeFrom="page">
                  <wp:posOffset>2000885</wp:posOffset>
                </wp:positionV>
                <wp:extent cx="5422265" cy="332740"/>
                <wp:effectExtent l="0" t="0" r="0" b="0"/>
                <wp:wrapSquare wrapText="bothSides"/>
                <wp:docPr id="918"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26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8AE2D" w14:textId="77777777" w:rsidR="00490F33" w:rsidRDefault="00490F33">
                            <w:pPr>
                              <w:spacing w:before="3" w:after="38" w:line="240" w:lineRule="exact"/>
                              <w:jc w:val="both"/>
                              <w:textAlignment w:val="baseline"/>
                              <w:rPr>
                                <w:rFonts w:ascii="Tahoma" w:eastAsia="Tahoma" w:hAnsi="Tahoma"/>
                                <w:color w:val="424041"/>
                                <w:sz w:val="18"/>
                              </w:rPr>
                            </w:pPr>
                            <w:r>
                              <w:rPr>
                                <w:rFonts w:ascii="Tahoma" w:eastAsia="Tahoma" w:hAnsi="Tahoma"/>
                                <w:color w:val="424041"/>
                                <w:sz w:val="18"/>
                              </w:rPr>
                              <w:t>The Universities Admissions Centre</w:t>
                            </w:r>
                            <w:r>
                              <w:rPr>
                                <w:rFonts w:ascii="Tahoma" w:eastAsia="Tahoma" w:hAnsi="Tahoma"/>
                                <w:color w:val="000000"/>
                                <w:sz w:val="18"/>
                              </w:rPr>
                              <w:t xml:space="preserve"> (UAC) acknowledges widespread agreement about the need to </w:t>
                            </w:r>
                            <w:r>
                              <w:rPr>
                                <w:rFonts w:ascii="Tahoma" w:eastAsia="Tahoma" w:hAnsi="Tahoma"/>
                                <w:color w:val="424041"/>
                                <w:sz w:val="18"/>
                              </w:rPr>
                              <w:t>consider all aspects of a student,</w:t>
                            </w:r>
                            <w:r>
                              <w:rPr>
                                <w:rFonts w:ascii="Tahoma" w:eastAsia="Tahoma" w:hAnsi="Tahoma"/>
                                <w:color w:val="000000"/>
                                <w:sz w:val="18"/>
                              </w:rPr>
                              <w:t xml:space="preserve"> especially in the context of the</w:t>
                            </w:r>
                            <w:r>
                              <w:rPr>
                                <w:rFonts w:ascii="Tahoma" w:eastAsia="Tahoma" w:hAnsi="Tahoma"/>
                                <w:color w:val="424041"/>
                                <w:sz w:val="18"/>
                              </w:rPr>
                              <w:t xml:space="preserve"> skills</w:t>
                            </w:r>
                            <w:r>
                              <w:rPr>
                                <w:rFonts w:ascii="Tahoma" w:eastAsia="Tahoma" w:hAnsi="Tahoma"/>
                                <w:color w:val="000000"/>
                                <w:sz w:val="18"/>
                              </w:rPr>
                              <w:t xml:space="preserve"> needed for the future of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7FAB8" id="Text Box 639" o:spid="_x0000_s1055" type="#_x0000_t202" style="position:absolute;margin-left:71.3pt;margin-top:157.55pt;width:426.95pt;height:26.2pt;z-index:-25198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G/8AEAAMIDAAAOAAAAZHJzL2Uyb0RvYy54bWysU21v0zAQ/o7Ef7D8naZNt8KiptPYNIQ0&#10;BtLGD7g6TmOR+MzZbVJ+PWenKQO+Ib5Y53t5/Nxz5/X10LXioMkbtKVczOZSaKuwMnZXyq/P92/e&#10;SeED2ApatLqUR+3l9eb1q3XvCp1jg22lSTCI9UXvStmE4Ios86rRHfgZOm05WCN1EPhKu6wi6Bm9&#10;a7N8Pl9lPVLlCJX2nr13Y1BuEn5daxU+17XXQbSlZG4hnZTObTyzzRqKHYFrjDrRgH9g0YGx/OgZ&#10;6g4CiD2Zv6A6owg91mGmsMuwro3SqQfuZjH/o5unBpxOvbA43p1l8v8PVj0evpAwVSmvFjwqCx0P&#10;6VkPQbzHQayWV1Gh3vmCE58cp4aBAzzp1K13D6i+eWHxtgG70zdE2DcaKma4iJXZi9IRx0eQbf8J&#10;K34I9gET0FBTF+VjQQSj86SO5+lEMoqdlxd5nq8upVAcWy7ztxdpfBkUU7UjHz5o7EQ0Skk8/YQO&#10;hwcfIhsoppT4mMV707ZpA1r7m4MToyexj4RH6mHYDkmq/KzKFqsj90M4LhZ/BDYapB9S9LxUpfTf&#10;90BaivajZU3iBk4GTcZ2MsAqLi1lkGI0b8O4qXtHZtcw8qi6xRvWrTappSjwyOLElxcldXpa6riJ&#10;L+8p69fX2/wEAAD//wMAUEsDBBQABgAIAAAAIQB2gNJm4AAAAAsBAAAPAAAAZHJzL2Rvd25yZXYu&#10;eG1sTI/BTsMwDIbvSLxDZCRuLO2ggZam04TghIToyoFj2mRttMYpTbaVt8ec4Pjbn35/LjeLG9nJ&#10;zMF6lJCuEmAGO68t9hI+mpebB2AhKtRq9GgkfJsAm+ryolSF9meszWkXe0YlGAolYYhxKjgP3WCc&#10;Cis/GaTd3s9ORYpzz/WszlTuRr5OEsGdskgXBjWZp8F0h93RSdh+Yv1sv97a93pf26bJE3wVBymv&#10;r5btI7BolvgHw68+qUNFTq0/og5spHy3FoRKuE2zFBgReS4yYC1NxH0GvCr5/x+qHwAAAP//AwBQ&#10;SwECLQAUAAYACAAAACEAtoM4kv4AAADhAQAAEwAAAAAAAAAAAAAAAAAAAAAAW0NvbnRlbnRfVHlw&#10;ZXNdLnhtbFBLAQItABQABgAIAAAAIQA4/SH/1gAAAJQBAAALAAAAAAAAAAAAAAAAAC8BAABfcmVs&#10;cy8ucmVsc1BLAQItABQABgAIAAAAIQBZwIG/8AEAAMIDAAAOAAAAAAAAAAAAAAAAAC4CAABkcnMv&#10;ZTJvRG9jLnhtbFBLAQItABQABgAIAAAAIQB2gNJm4AAAAAsBAAAPAAAAAAAAAAAAAAAAAEoEAABk&#10;cnMvZG93bnJldi54bWxQSwUGAAAAAAQABADzAAAAVwUAAAAA&#10;" filled="f" stroked="f">
                <v:textbox inset="0,0,0,0">
                  <w:txbxContent>
                    <w:p w14:paraId="1868AE2D" w14:textId="77777777" w:rsidR="00490F33" w:rsidRDefault="00490F33">
                      <w:pPr>
                        <w:spacing w:before="3" w:after="38" w:line="240" w:lineRule="exact"/>
                        <w:jc w:val="both"/>
                        <w:textAlignment w:val="baseline"/>
                        <w:rPr>
                          <w:rFonts w:ascii="Tahoma" w:eastAsia="Tahoma" w:hAnsi="Tahoma"/>
                          <w:color w:val="424041"/>
                          <w:sz w:val="18"/>
                        </w:rPr>
                      </w:pPr>
                      <w:r>
                        <w:rPr>
                          <w:rFonts w:ascii="Tahoma" w:eastAsia="Tahoma" w:hAnsi="Tahoma"/>
                          <w:color w:val="424041"/>
                          <w:sz w:val="18"/>
                        </w:rPr>
                        <w:t>The Universities Admissions Centre</w:t>
                      </w:r>
                      <w:r>
                        <w:rPr>
                          <w:rFonts w:ascii="Tahoma" w:eastAsia="Tahoma" w:hAnsi="Tahoma"/>
                          <w:color w:val="000000"/>
                          <w:sz w:val="18"/>
                        </w:rPr>
                        <w:t xml:space="preserve"> (UAC) acknowledges widespread agreement about the need to </w:t>
                      </w:r>
                      <w:r>
                        <w:rPr>
                          <w:rFonts w:ascii="Tahoma" w:eastAsia="Tahoma" w:hAnsi="Tahoma"/>
                          <w:color w:val="424041"/>
                          <w:sz w:val="18"/>
                        </w:rPr>
                        <w:t>consider all aspects of a student,</w:t>
                      </w:r>
                      <w:r>
                        <w:rPr>
                          <w:rFonts w:ascii="Tahoma" w:eastAsia="Tahoma" w:hAnsi="Tahoma"/>
                          <w:color w:val="000000"/>
                          <w:sz w:val="18"/>
                        </w:rPr>
                        <w:t xml:space="preserve"> especially in the context of the</w:t>
                      </w:r>
                      <w:r>
                        <w:rPr>
                          <w:rFonts w:ascii="Tahoma" w:eastAsia="Tahoma" w:hAnsi="Tahoma"/>
                          <w:color w:val="424041"/>
                          <w:sz w:val="18"/>
                        </w:rPr>
                        <w:t xml:space="preserve"> skills</w:t>
                      </w:r>
                      <w:r>
                        <w:rPr>
                          <w:rFonts w:ascii="Tahoma" w:eastAsia="Tahoma" w:hAnsi="Tahoma"/>
                          <w:color w:val="000000"/>
                          <w:sz w:val="18"/>
                        </w:rPr>
                        <w:t xml:space="preserve"> needed for the future of work.</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36192" behindDoc="1" locked="0" layoutInCell="1" allowOverlap="1" wp14:anchorId="75F01E4A" wp14:editId="17C6F033">
                <wp:simplePos x="0" y="0"/>
                <wp:positionH relativeFrom="page">
                  <wp:posOffset>905510</wp:posOffset>
                </wp:positionH>
                <wp:positionV relativeFrom="page">
                  <wp:posOffset>2414270</wp:posOffset>
                </wp:positionV>
                <wp:extent cx="5574665" cy="760095"/>
                <wp:effectExtent l="0" t="0" r="0" b="0"/>
                <wp:wrapSquare wrapText="bothSides"/>
                <wp:docPr id="917"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F0AD4" w14:textId="77777777" w:rsidR="00490F33" w:rsidRDefault="00490F33">
                            <w:pPr>
                              <w:spacing w:line="240" w:lineRule="exact"/>
                              <w:textAlignment w:val="baseline"/>
                              <w:rPr>
                                <w:rFonts w:ascii="Tahoma" w:eastAsia="Tahoma" w:hAnsi="Tahoma"/>
                                <w:color w:val="424041"/>
                                <w:spacing w:val="5"/>
                                <w:sz w:val="18"/>
                              </w:rPr>
                            </w:pPr>
                            <w:r>
                              <w:rPr>
                                <w:rFonts w:ascii="Tahoma" w:eastAsia="Tahoma" w:hAnsi="Tahoma"/>
                                <w:color w:val="424041"/>
                                <w:spacing w:val="5"/>
                                <w:sz w:val="18"/>
                              </w:rPr>
                              <w:t>While this has traditionally been</w:t>
                            </w:r>
                            <w:r>
                              <w:rPr>
                                <w:rFonts w:ascii="Tahoma" w:eastAsia="Tahoma" w:hAnsi="Tahoma"/>
                                <w:color w:val="000000"/>
                                <w:spacing w:val="5"/>
                                <w:sz w:val="18"/>
                              </w:rPr>
                              <w:t xml:space="preserve"> seen as difficult to quantify, UAC is</w:t>
                            </w:r>
                            <w:r>
                              <w:rPr>
                                <w:rFonts w:ascii="Tahoma" w:eastAsia="Tahoma" w:hAnsi="Tahoma"/>
                                <w:color w:val="424041"/>
                                <w:spacing w:val="5"/>
                                <w:sz w:val="18"/>
                              </w:rPr>
                              <w:t xml:space="preserve"> currently</w:t>
                            </w:r>
                            <w:r>
                              <w:rPr>
                                <w:rFonts w:ascii="Tahoma" w:eastAsia="Tahoma" w:hAnsi="Tahoma"/>
                                <w:color w:val="000000"/>
                                <w:spacing w:val="5"/>
                                <w:sz w:val="18"/>
                              </w:rPr>
                              <w:t xml:space="preserve"> working with DeakinCo to </w:t>
                            </w:r>
                            <w:r>
                              <w:rPr>
                                <w:rFonts w:ascii="Tahoma" w:eastAsia="Tahoma" w:hAnsi="Tahoma"/>
                                <w:color w:val="424041"/>
                                <w:spacing w:val="5"/>
                                <w:sz w:val="18"/>
                              </w:rPr>
                              <w:t>adopt a Tertiary Education</w:t>
                            </w:r>
                            <w:r>
                              <w:rPr>
                                <w:rFonts w:ascii="Tahoma" w:eastAsia="Tahoma" w:hAnsi="Tahoma"/>
                                <w:color w:val="000000"/>
                                <w:spacing w:val="5"/>
                                <w:sz w:val="18"/>
                              </w:rPr>
                              <w:t xml:space="preserve"> Quality and Standards Agency (TEQSA)-approved framework to define and </w:t>
                            </w:r>
                            <w:r>
                              <w:rPr>
                                <w:rFonts w:ascii="Tahoma" w:eastAsia="Tahoma" w:hAnsi="Tahoma"/>
                                <w:color w:val="424041"/>
                                <w:spacing w:val="5"/>
                                <w:sz w:val="18"/>
                              </w:rPr>
                              <w:t>measure different skills, such</w:t>
                            </w:r>
                            <w:r>
                              <w:rPr>
                                <w:rFonts w:ascii="Tahoma" w:eastAsia="Tahoma" w:hAnsi="Tahoma"/>
                                <w:color w:val="000000"/>
                                <w:spacing w:val="5"/>
                                <w:sz w:val="18"/>
                              </w:rPr>
                              <w:t xml:space="preserve"> as problem-solving, communication, digital</w:t>
                            </w:r>
                            <w:r>
                              <w:rPr>
                                <w:rFonts w:ascii="Tahoma" w:eastAsia="Tahoma" w:hAnsi="Tahoma"/>
                                <w:color w:val="424041"/>
                                <w:spacing w:val="5"/>
                                <w:sz w:val="18"/>
                              </w:rPr>
                              <w:t xml:space="preserve"> literacy, leadership,</w:t>
                            </w:r>
                            <w:r>
                              <w:rPr>
                                <w:rFonts w:ascii="Tahoma" w:eastAsia="Tahoma" w:hAnsi="Tahoma"/>
                                <w:color w:val="000000"/>
                                <w:spacing w:val="5"/>
                                <w:sz w:val="18"/>
                              </w:rPr>
                              <w:t xml:space="preserve"> critical </w:t>
                            </w:r>
                            <w:r>
                              <w:rPr>
                                <w:rFonts w:ascii="Tahoma" w:eastAsia="Tahoma" w:hAnsi="Tahoma"/>
                                <w:color w:val="424041"/>
                                <w:spacing w:val="5"/>
                                <w:sz w:val="18"/>
                              </w:rPr>
                              <w:t>thinking, teamwork and innovation,</w:t>
                            </w:r>
                            <w:r>
                              <w:rPr>
                                <w:rFonts w:ascii="Tahoma" w:eastAsia="Tahoma" w:hAnsi="Tahoma"/>
                                <w:color w:val="000000"/>
                                <w:spacing w:val="5"/>
                                <w:sz w:val="18"/>
                              </w:rPr>
                              <w:t xml:space="preserve"> at the foundational/Certificate III</w:t>
                            </w:r>
                            <w:r>
                              <w:rPr>
                                <w:rFonts w:ascii="Tahoma" w:eastAsia="Tahoma" w:hAnsi="Tahoma"/>
                                <w:color w:val="424041"/>
                                <w:spacing w:val="5"/>
                                <w:sz w:val="18"/>
                              </w:rPr>
                              <w:t xml:space="preserve"> level right through to</w:t>
                            </w:r>
                          </w:p>
                          <w:p w14:paraId="33AF358B" w14:textId="77777777" w:rsidR="00490F33" w:rsidRDefault="00490F33">
                            <w:pPr>
                              <w:spacing w:before="20" w:line="214" w:lineRule="exact"/>
                              <w:textAlignment w:val="baseline"/>
                              <w:rPr>
                                <w:rFonts w:ascii="Tahoma" w:eastAsia="Tahoma" w:hAnsi="Tahoma"/>
                                <w:color w:val="424041"/>
                                <w:spacing w:val="4"/>
                                <w:sz w:val="18"/>
                              </w:rPr>
                            </w:pPr>
                            <w:r>
                              <w:rPr>
                                <w:rFonts w:ascii="Tahoma" w:eastAsia="Tahoma" w:hAnsi="Tahoma"/>
                                <w:color w:val="424041"/>
                                <w:spacing w:val="4"/>
                                <w:sz w:val="18"/>
                              </w:rPr>
                              <w:t>Level 9/masters.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01E4A" id="Text Box 638" o:spid="_x0000_s1056" type="#_x0000_t202" style="position:absolute;margin-left:71.3pt;margin-top:190.1pt;width:438.95pt;height:59.85pt;z-index:-25198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E88QEAAMIDAAAOAAAAZHJzL2Uyb0RvYy54bWysU0Fu2zAQvBfoHwjea8lJbSeC5SBNkKJA&#10;mhZI8oA1RVlEJS67pC25r++Ssp20vQW9ECtyOZyZHS2vhq4VO03eoC3ldJJLoa3CythNKZ+f7j5c&#10;SOED2ApatLqUe+3l1er9u2XvCn2GDbaVJsEg1he9K2UTgiuyzKtGd+An6LTlwxqpg8CftMkqgp7R&#10;uzY7y/N51iNVjlBp73n3djyUq4Rf11qFb3XtdRBtKZlbSCuldR3XbLWEYkPgGqMONOANLDowlh89&#10;Qd1CALEl8w9UZxShxzpMFHYZ1rVROmlgNdP8LzWPDTidtLA53p1s8v8PVj3svpMwVSkvpwspLHQ8&#10;pCc9BPEJBzE/v4gO9c4X3PjouDUMfMCTTmq9u0f1wwuLNw3Yjb4mwr7RUDHDabyZvbo64vgIsu6/&#10;YsUPwTZgAhpq6qJ9bIhgdJ7U/jSdSEbx5my2+Difz6RQfLaY5/nlLD0BxfG2Ix8+a+xELEpJPP2E&#10;Drt7HyIbKI4t8TGLd6ZtUwJa+8cGN8adxD4SHqmHYT0kq85TbqK0NVZ71kM4Bot/BC4apF9S9Byq&#10;UvqfWyAtRfvFsicxgceCjsX6WIBVfLWUQYqxvAljUreOzKZh5NF1i9fsW22SpBcWB74clKT0EOqY&#10;xNffqevl11v9BgAA//8DAFBLAwQUAAYACAAAACEA7/9QLeAAAAAMAQAADwAAAGRycy9kb3ducmV2&#10;LnhtbEyPwU7DMBBE70j8g7VI3KjdUKImjVNVCE5IiDQcODrxNrEar0PstuHvcU9wHO3TzNtiO9uB&#10;nXHyxpGE5UIAQ2qdNtRJ+KxfH9bAfFCk1eAIJfygh215e1OoXLsLVXjeh47FEvK5ktCHMOac+7ZH&#10;q/zCjUjxdnCTVSHGqeN6UpdYbgeeCJFyqwzFhV6N+Nxje9yfrITdF1Uv5vu9+agOlanrTNBbepTy&#10;/m7ebYAFnMMfDFf9qA5ldGrcibRnQ8yrJI2ohMe1SIBdCZGIJ2CNhFWWZcDLgv9/ovwFAAD//wMA&#10;UEsBAi0AFAAGAAgAAAAhALaDOJL+AAAA4QEAABMAAAAAAAAAAAAAAAAAAAAAAFtDb250ZW50X1R5&#10;cGVzXS54bWxQSwECLQAUAAYACAAAACEAOP0h/9YAAACUAQAACwAAAAAAAAAAAAAAAAAvAQAAX3Jl&#10;bHMvLnJlbHNQSwECLQAUAAYACAAAACEANLDxPPEBAADCAwAADgAAAAAAAAAAAAAAAAAuAgAAZHJz&#10;L2Uyb0RvYy54bWxQSwECLQAUAAYACAAAACEA7/9QLeAAAAAMAQAADwAAAAAAAAAAAAAAAABLBAAA&#10;ZHJzL2Rvd25yZXYueG1sUEsFBgAAAAAEAAQA8wAAAFgFAAAAAA==&#10;" filled="f" stroked="f">
                <v:textbox inset="0,0,0,0">
                  <w:txbxContent>
                    <w:p w14:paraId="1CDF0AD4" w14:textId="77777777" w:rsidR="00490F33" w:rsidRDefault="00490F33">
                      <w:pPr>
                        <w:spacing w:line="240" w:lineRule="exact"/>
                        <w:textAlignment w:val="baseline"/>
                        <w:rPr>
                          <w:rFonts w:ascii="Tahoma" w:eastAsia="Tahoma" w:hAnsi="Tahoma"/>
                          <w:color w:val="424041"/>
                          <w:spacing w:val="5"/>
                          <w:sz w:val="18"/>
                        </w:rPr>
                      </w:pPr>
                      <w:r>
                        <w:rPr>
                          <w:rFonts w:ascii="Tahoma" w:eastAsia="Tahoma" w:hAnsi="Tahoma"/>
                          <w:color w:val="424041"/>
                          <w:spacing w:val="5"/>
                          <w:sz w:val="18"/>
                        </w:rPr>
                        <w:t>While this has traditionally been</w:t>
                      </w:r>
                      <w:r>
                        <w:rPr>
                          <w:rFonts w:ascii="Tahoma" w:eastAsia="Tahoma" w:hAnsi="Tahoma"/>
                          <w:color w:val="000000"/>
                          <w:spacing w:val="5"/>
                          <w:sz w:val="18"/>
                        </w:rPr>
                        <w:t xml:space="preserve"> seen as difficult to quantify, UAC is</w:t>
                      </w:r>
                      <w:r>
                        <w:rPr>
                          <w:rFonts w:ascii="Tahoma" w:eastAsia="Tahoma" w:hAnsi="Tahoma"/>
                          <w:color w:val="424041"/>
                          <w:spacing w:val="5"/>
                          <w:sz w:val="18"/>
                        </w:rPr>
                        <w:t xml:space="preserve"> currently</w:t>
                      </w:r>
                      <w:r>
                        <w:rPr>
                          <w:rFonts w:ascii="Tahoma" w:eastAsia="Tahoma" w:hAnsi="Tahoma"/>
                          <w:color w:val="000000"/>
                          <w:spacing w:val="5"/>
                          <w:sz w:val="18"/>
                        </w:rPr>
                        <w:t xml:space="preserve"> working with DeakinCo to </w:t>
                      </w:r>
                      <w:r>
                        <w:rPr>
                          <w:rFonts w:ascii="Tahoma" w:eastAsia="Tahoma" w:hAnsi="Tahoma"/>
                          <w:color w:val="424041"/>
                          <w:spacing w:val="5"/>
                          <w:sz w:val="18"/>
                        </w:rPr>
                        <w:t>adopt a Tertiary Education</w:t>
                      </w:r>
                      <w:r>
                        <w:rPr>
                          <w:rFonts w:ascii="Tahoma" w:eastAsia="Tahoma" w:hAnsi="Tahoma"/>
                          <w:color w:val="000000"/>
                          <w:spacing w:val="5"/>
                          <w:sz w:val="18"/>
                        </w:rPr>
                        <w:t xml:space="preserve"> Quality and Standards Agency (TEQSA)-approved framework to define and </w:t>
                      </w:r>
                      <w:r>
                        <w:rPr>
                          <w:rFonts w:ascii="Tahoma" w:eastAsia="Tahoma" w:hAnsi="Tahoma"/>
                          <w:color w:val="424041"/>
                          <w:spacing w:val="5"/>
                          <w:sz w:val="18"/>
                        </w:rPr>
                        <w:t>measure different skills, such</w:t>
                      </w:r>
                      <w:r>
                        <w:rPr>
                          <w:rFonts w:ascii="Tahoma" w:eastAsia="Tahoma" w:hAnsi="Tahoma"/>
                          <w:color w:val="000000"/>
                          <w:spacing w:val="5"/>
                          <w:sz w:val="18"/>
                        </w:rPr>
                        <w:t xml:space="preserve"> as problem-solving, communication, digital</w:t>
                      </w:r>
                      <w:r>
                        <w:rPr>
                          <w:rFonts w:ascii="Tahoma" w:eastAsia="Tahoma" w:hAnsi="Tahoma"/>
                          <w:color w:val="424041"/>
                          <w:spacing w:val="5"/>
                          <w:sz w:val="18"/>
                        </w:rPr>
                        <w:t xml:space="preserve"> literacy, leadership,</w:t>
                      </w:r>
                      <w:r>
                        <w:rPr>
                          <w:rFonts w:ascii="Tahoma" w:eastAsia="Tahoma" w:hAnsi="Tahoma"/>
                          <w:color w:val="000000"/>
                          <w:spacing w:val="5"/>
                          <w:sz w:val="18"/>
                        </w:rPr>
                        <w:t xml:space="preserve"> critical </w:t>
                      </w:r>
                      <w:r>
                        <w:rPr>
                          <w:rFonts w:ascii="Tahoma" w:eastAsia="Tahoma" w:hAnsi="Tahoma"/>
                          <w:color w:val="424041"/>
                          <w:spacing w:val="5"/>
                          <w:sz w:val="18"/>
                        </w:rPr>
                        <w:t>thinking, teamwork and innovation,</w:t>
                      </w:r>
                      <w:r>
                        <w:rPr>
                          <w:rFonts w:ascii="Tahoma" w:eastAsia="Tahoma" w:hAnsi="Tahoma"/>
                          <w:color w:val="000000"/>
                          <w:spacing w:val="5"/>
                          <w:sz w:val="18"/>
                        </w:rPr>
                        <w:t xml:space="preserve"> at the foundational/Certificate III</w:t>
                      </w:r>
                      <w:r>
                        <w:rPr>
                          <w:rFonts w:ascii="Tahoma" w:eastAsia="Tahoma" w:hAnsi="Tahoma"/>
                          <w:color w:val="424041"/>
                          <w:spacing w:val="5"/>
                          <w:sz w:val="18"/>
                        </w:rPr>
                        <w:t xml:space="preserve"> level right through to</w:t>
                      </w:r>
                    </w:p>
                    <w:p w14:paraId="33AF358B" w14:textId="77777777" w:rsidR="00490F33" w:rsidRDefault="00490F33">
                      <w:pPr>
                        <w:spacing w:before="20" w:line="214" w:lineRule="exact"/>
                        <w:textAlignment w:val="baseline"/>
                        <w:rPr>
                          <w:rFonts w:ascii="Tahoma" w:eastAsia="Tahoma" w:hAnsi="Tahoma"/>
                          <w:color w:val="424041"/>
                          <w:spacing w:val="4"/>
                          <w:sz w:val="18"/>
                        </w:rPr>
                      </w:pPr>
                      <w:r>
                        <w:rPr>
                          <w:rFonts w:ascii="Tahoma" w:eastAsia="Tahoma" w:hAnsi="Tahoma"/>
                          <w:color w:val="424041"/>
                          <w:spacing w:val="4"/>
                          <w:sz w:val="18"/>
                        </w:rPr>
                        <w:t>Level 9/masters.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37216" behindDoc="1" locked="0" layoutInCell="1" allowOverlap="1" wp14:anchorId="45F99CFC" wp14:editId="14083BD4">
                <wp:simplePos x="0" y="0"/>
                <wp:positionH relativeFrom="page">
                  <wp:posOffset>905510</wp:posOffset>
                </wp:positionH>
                <wp:positionV relativeFrom="page">
                  <wp:posOffset>3293110</wp:posOffset>
                </wp:positionV>
                <wp:extent cx="2947035" cy="170180"/>
                <wp:effectExtent l="0" t="0" r="0" b="0"/>
                <wp:wrapSquare wrapText="bothSides"/>
                <wp:docPr id="916"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F2AA1" w14:textId="77777777" w:rsidR="00490F33" w:rsidRDefault="00490F33">
                            <w:pPr>
                              <w:spacing w:after="29" w:line="228" w:lineRule="exact"/>
                              <w:textAlignment w:val="baseline"/>
                              <w:rPr>
                                <w:rFonts w:ascii="Tahoma" w:eastAsia="Tahoma" w:hAnsi="Tahoma"/>
                                <w:color w:val="424041"/>
                                <w:spacing w:val="2"/>
                                <w:sz w:val="18"/>
                              </w:rPr>
                            </w:pPr>
                            <w:r>
                              <w:rPr>
                                <w:rFonts w:ascii="Tahoma" w:eastAsia="Tahoma" w:hAnsi="Tahoma"/>
                                <w:color w:val="424041"/>
                                <w:spacing w:val="2"/>
                                <w:sz w:val="18"/>
                              </w:rPr>
                              <w:t>The DeakinCo framework involves</w:t>
                            </w:r>
                            <w:r>
                              <w:rPr>
                                <w:rFonts w:ascii="Tahoma" w:eastAsia="Tahoma" w:hAnsi="Tahoma"/>
                                <w:color w:val="000000"/>
                                <w:spacing w:val="2"/>
                                <w:sz w:val="18"/>
                              </w:rPr>
                              <w:t xml:space="preserve"> a four-step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99CFC" id="Text Box 637" o:spid="_x0000_s1057" type="#_x0000_t202" style="position:absolute;margin-left:71.3pt;margin-top:259.3pt;width:232.05pt;height:13.4pt;z-index:-25197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cn8QEAAMIDAAAOAAAAZHJzL2Uyb0RvYy54bWysU9tu2zAMfR+wfxD0vthOtrQ14hRdiw4D&#10;ugvQ7gMYWY6F2aJGKbGzrx8lJ2m3vQ17ESiKOjrnkFpdj30n9pq8QVvJYpZLoa3C2thtJb893b+5&#10;lMIHsDV0aHUlD9rL6/XrV6vBlXqOLXa1JsEg1peDq2QbgiuzzKtW9+Bn6LTlwwaph8Bb2mY1wcDo&#10;fZfN83yZDUi1I1Tae87eTYdynfCbRqvwpWm8DqKrJHMLaaW0buKarVdQbglca9SRBvwDix6M5UfP&#10;UHcQQOzI/AXVG0XosQkzhX2GTWOUThpYTZH/oeaxBaeTFjbHu7NN/v/Bqs/7ryRMXcmrYimFhZ6b&#10;9KTHIN7jKJaLi+jQ4HzJhY+OS8PIB9zppNa7B1TfvbB424Ld6hsiHFoNNTMs4s3sxdUJx0eQzfAJ&#10;a34IdgET0NhQH+1jQwSjc6cO5+5EMoqT86u3F/ninRSKz4qLvLhM7cugPN125MMHjb2IQSWJu5/Q&#10;Yf/gQ2QD5akkPmbx3nRdmoDO/pbgwphJ7CPhiXoYN2OyapG0RWkbrA+sh3AaLP4IHLRIP6UYeKgq&#10;6X/sgLQU3UfLnsQJPAV0CjanAKziq5UMUkzhbZgmdefIbFtGnly3eMO+NSZJemZx5MuDkpQehzpO&#10;4st9qnr+eutfAAAA//8DAFBLAwQUAAYACAAAACEAIwQsteAAAAALAQAADwAAAGRycy9kb3ducmV2&#10;LnhtbEyPwU7DMBBE70j8g7VI3KjdKjUlxKkqBCckRBoOHJ3YTazG6xC7bfh7lhPcdnZHs2+K7ewH&#10;drZTdAEVLBcCmMU2GIedgo/65W4DLCaNRg8BrYJvG2FbXl8VOjfhgpU971PHKARjrhX0KY0557Ht&#10;rddxEUaLdDuEyetEcuq4mfSFwv3AV0JI7rVD+tDr0T71tj3uT17B7hOrZ/f11rxXh8rV9YPAV3lU&#10;6vZm3j0CS3ZOf2b4xSd0KImpCSc0kQ2ks5Ukq4L1ckMDOaSQ98Aa2mTrDHhZ8P8dyh8AAAD//wMA&#10;UEsBAi0AFAAGAAgAAAAhALaDOJL+AAAA4QEAABMAAAAAAAAAAAAAAAAAAAAAAFtDb250ZW50X1R5&#10;cGVzXS54bWxQSwECLQAUAAYACAAAACEAOP0h/9YAAACUAQAACwAAAAAAAAAAAAAAAAAvAQAAX3Jl&#10;bHMvLnJlbHNQSwECLQAUAAYACAAAACEAWIMHJ/EBAADCAwAADgAAAAAAAAAAAAAAAAAuAgAAZHJz&#10;L2Uyb0RvYy54bWxQSwECLQAUAAYACAAAACEAIwQsteAAAAALAQAADwAAAAAAAAAAAAAAAABLBAAA&#10;ZHJzL2Rvd25yZXYueG1sUEsFBgAAAAAEAAQA8wAAAFgFAAAAAA==&#10;" filled="f" stroked="f">
                <v:textbox inset="0,0,0,0">
                  <w:txbxContent>
                    <w:p w14:paraId="6F9F2AA1" w14:textId="77777777" w:rsidR="00490F33" w:rsidRDefault="00490F33">
                      <w:pPr>
                        <w:spacing w:after="29" w:line="228" w:lineRule="exact"/>
                        <w:textAlignment w:val="baseline"/>
                        <w:rPr>
                          <w:rFonts w:ascii="Tahoma" w:eastAsia="Tahoma" w:hAnsi="Tahoma"/>
                          <w:color w:val="424041"/>
                          <w:spacing w:val="2"/>
                          <w:sz w:val="18"/>
                        </w:rPr>
                      </w:pPr>
                      <w:r>
                        <w:rPr>
                          <w:rFonts w:ascii="Tahoma" w:eastAsia="Tahoma" w:hAnsi="Tahoma"/>
                          <w:color w:val="424041"/>
                          <w:spacing w:val="2"/>
                          <w:sz w:val="18"/>
                        </w:rPr>
                        <w:t>The DeakinCo framework involves</w:t>
                      </w:r>
                      <w:r>
                        <w:rPr>
                          <w:rFonts w:ascii="Tahoma" w:eastAsia="Tahoma" w:hAnsi="Tahoma"/>
                          <w:color w:val="000000"/>
                          <w:spacing w:val="2"/>
                          <w:sz w:val="18"/>
                        </w:rPr>
                        <w:t xml:space="preserve"> a four-step process: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38240" behindDoc="1" locked="0" layoutInCell="1" allowOverlap="1" wp14:anchorId="1AEBE40C" wp14:editId="66986464">
                <wp:simplePos x="0" y="0"/>
                <wp:positionH relativeFrom="page">
                  <wp:posOffset>905510</wp:posOffset>
                </wp:positionH>
                <wp:positionV relativeFrom="page">
                  <wp:posOffset>3820795</wp:posOffset>
                </wp:positionV>
                <wp:extent cx="5532120" cy="2526030"/>
                <wp:effectExtent l="0" t="0" r="0" b="0"/>
                <wp:wrapSquare wrapText="bothSides"/>
                <wp:docPr id="915"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252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58405" w14:textId="77777777" w:rsidR="00490F33" w:rsidRDefault="00490F33">
                            <w:pPr>
                              <w:numPr>
                                <w:ilvl w:val="0"/>
                                <w:numId w:val="14"/>
                              </w:numPr>
                              <w:tabs>
                                <w:tab w:val="clear" w:pos="216"/>
                                <w:tab w:val="left" w:pos="1440"/>
                              </w:tabs>
                              <w:spacing w:line="218" w:lineRule="exact"/>
                              <w:ind w:left="1224"/>
                              <w:textAlignment w:val="baseline"/>
                              <w:rPr>
                                <w:rFonts w:ascii="Tahoma" w:eastAsia="Tahoma" w:hAnsi="Tahoma"/>
                                <w:b/>
                                <w:color w:val="424041"/>
                                <w:spacing w:val="5"/>
                                <w:sz w:val="17"/>
                              </w:rPr>
                            </w:pPr>
                            <w:r>
                              <w:rPr>
                                <w:rFonts w:ascii="Tahoma" w:eastAsia="Tahoma" w:hAnsi="Tahoma"/>
                                <w:b/>
                                <w:color w:val="424041"/>
                                <w:spacing w:val="5"/>
                                <w:sz w:val="17"/>
                              </w:rPr>
                              <w:t>Reflect on experience and gather evidence of</w:t>
                            </w:r>
                            <w:r>
                              <w:rPr>
                                <w:rFonts w:ascii="Tahoma" w:eastAsia="Tahoma" w:hAnsi="Tahoma"/>
                                <w:b/>
                                <w:color w:val="000000"/>
                                <w:spacing w:val="5"/>
                                <w:sz w:val="17"/>
                              </w:rPr>
                              <w:t xml:space="preserve"> capabilities</w:t>
                            </w:r>
                          </w:p>
                          <w:p w14:paraId="58A6A329" w14:textId="77777777" w:rsidR="00490F33" w:rsidRDefault="00490F33">
                            <w:pPr>
                              <w:numPr>
                                <w:ilvl w:val="0"/>
                                <w:numId w:val="15"/>
                              </w:numPr>
                              <w:tabs>
                                <w:tab w:val="clear" w:pos="216"/>
                                <w:tab w:val="left" w:pos="1440"/>
                              </w:tabs>
                              <w:spacing w:before="648" w:line="217" w:lineRule="exact"/>
                              <w:ind w:left="1224"/>
                              <w:textAlignment w:val="baseline"/>
                              <w:rPr>
                                <w:rFonts w:ascii="Arial" w:eastAsia="Arial" w:hAnsi="Arial"/>
                                <w:b/>
                                <w:color w:val="424041"/>
                                <w:sz w:val="19"/>
                              </w:rPr>
                            </w:pPr>
                            <w:r>
                              <w:rPr>
                                <w:rFonts w:ascii="Arial" w:eastAsia="Arial" w:hAnsi="Arial"/>
                                <w:b/>
                                <w:color w:val="424041"/>
                                <w:sz w:val="19"/>
                              </w:rPr>
                              <w:t>Submit testimony and evidence</w:t>
                            </w:r>
                          </w:p>
                          <w:p w14:paraId="0BCE32BD" w14:textId="77777777" w:rsidR="00490F33" w:rsidRDefault="00490F33">
                            <w:pPr>
                              <w:numPr>
                                <w:ilvl w:val="0"/>
                                <w:numId w:val="15"/>
                              </w:numPr>
                              <w:tabs>
                                <w:tab w:val="clear" w:pos="216"/>
                                <w:tab w:val="left" w:pos="1440"/>
                              </w:tabs>
                              <w:spacing w:before="681" w:line="217" w:lineRule="exact"/>
                              <w:ind w:left="1224"/>
                              <w:textAlignment w:val="baseline"/>
                              <w:rPr>
                                <w:rFonts w:ascii="Arial" w:eastAsia="Arial" w:hAnsi="Arial"/>
                                <w:b/>
                                <w:color w:val="000000"/>
                                <w:sz w:val="19"/>
                              </w:rPr>
                            </w:pPr>
                            <w:r>
                              <w:rPr>
                                <w:rFonts w:ascii="Arial" w:eastAsia="Arial" w:hAnsi="Arial"/>
                                <w:b/>
                                <w:color w:val="000000"/>
                                <w:sz w:val="19"/>
                              </w:rPr>
                              <w:t>Answer questions about</w:t>
                            </w:r>
                            <w:r>
                              <w:rPr>
                                <w:rFonts w:ascii="Arial" w:eastAsia="Arial" w:hAnsi="Arial"/>
                                <w:b/>
                                <w:color w:val="424041"/>
                                <w:sz w:val="19"/>
                              </w:rPr>
                              <w:t xml:space="preserve"> skills and knowledge</w:t>
                            </w:r>
                          </w:p>
                          <w:p w14:paraId="007D4425" w14:textId="77777777" w:rsidR="00490F33" w:rsidRDefault="00490F33">
                            <w:pPr>
                              <w:numPr>
                                <w:ilvl w:val="0"/>
                                <w:numId w:val="15"/>
                              </w:numPr>
                              <w:tabs>
                                <w:tab w:val="clear" w:pos="216"/>
                                <w:tab w:val="left" w:pos="1440"/>
                              </w:tabs>
                              <w:spacing w:before="685" w:line="217" w:lineRule="exact"/>
                              <w:ind w:left="1224"/>
                              <w:textAlignment w:val="baseline"/>
                              <w:rPr>
                                <w:rFonts w:ascii="Arial" w:eastAsia="Arial" w:hAnsi="Arial"/>
                                <w:b/>
                                <w:color w:val="000000"/>
                                <w:spacing w:val="-1"/>
                                <w:sz w:val="19"/>
                              </w:rPr>
                            </w:pPr>
                            <w:r>
                              <w:rPr>
                                <w:rFonts w:ascii="Arial" w:eastAsia="Arial" w:hAnsi="Arial"/>
                                <w:b/>
                                <w:color w:val="000000"/>
                                <w:spacing w:val="-1"/>
                                <w:sz w:val="19"/>
                              </w:rPr>
                              <w:t>Have submission assessed and</w:t>
                            </w:r>
                            <w:r>
                              <w:rPr>
                                <w:rFonts w:ascii="Arial" w:eastAsia="Arial" w:hAnsi="Arial"/>
                                <w:b/>
                                <w:color w:val="424041"/>
                                <w:spacing w:val="-1"/>
                                <w:sz w:val="19"/>
                              </w:rPr>
                              <w:t xml:space="preserve"> receive credential</w:t>
                            </w:r>
                          </w:p>
                          <w:p w14:paraId="60ABFDDB" w14:textId="77777777" w:rsidR="00490F33" w:rsidRDefault="00490F33">
                            <w:pPr>
                              <w:spacing w:before="575" w:after="38" w:line="240" w:lineRule="exact"/>
                              <w:jc w:val="both"/>
                              <w:textAlignment w:val="baseline"/>
                              <w:rPr>
                                <w:rFonts w:ascii="Tahoma" w:eastAsia="Tahoma" w:hAnsi="Tahoma"/>
                                <w:color w:val="424041"/>
                                <w:sz w:val="18"/>
                              </w:rPr>
                            </w:pPr>
                            <w:r>
                              <w:rPr>
                                <w:rFonts w:ascii="Tahoma" w:eastAsia="Tahoma" w:hAnsi="Tahoma"/>
                                <w:color w:val="424041"/>
                                <w:sz w:val="18"/>
                              </w:rPr>
                              <w:t>The</w:t>
                            </w:r>
                            <w:r>
                              <w:rPr>
                                <w:rFonts w:ascii="Tahoma" w:eastAsia="Tahoma" w:hAnsi="Tahoma"/>
                                <w:color w:val="000000"/>
                                <w:sz w:val="18"/>
                              </w:rPr>
                              <w:t xml:space="preserve"> UAC/DeakinCo methodology follows this</w:t>
                            </w:r>
                            <w:r>
                              <w:rPr>
                                <w:rFonts w:ascii="Tahoma" w:eastAsia="Tahoma" w:hAnsi="Tahoma"/>
                                <w:color w:val="424041"/>
                                <w:sz w:val="18"/>
                              </w:rPr>
                              <w:t xml:space="preserve"> framework. For Year 12 students, it will involve gathering evidence from</w:t>
                            </w:r>
                            <w:r>
                              <w:rPr>
                                <w:rFonts w:ascii="Tahoma" w:eastAsia="Tahoma" w:hAnsi="Tahoma"/>
                                <w:color w:val="000000"/>
                                <w:sz w:val="18"/>
                              </w:rPr>
                              <w:t xml:space="preserve"> Year 12 students through: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BE40C" id="Text Box 636" o:spid="_x0000_s1058" type="#_x0000_t202" style="position:absolute;margin-left:71.3pt;margin-top:300.85pt;width:435.6pt;height:198.9pt;z-index:-25197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nn8QEAAMMDAAAOAAAAZHJzL2Uyb0RvYy54bWysU9tu2zAMfR+wfxD0vjhxkGAz4hRdiw4D&#10;uq1Auw9gZDkWZosapcTOvn6UHGfd+lbsRaB4OTo8pDZXQ9eKoyZv0JZyMZtLoa3Cyth9Kb8/3b17&#10;L4UPYCto0epSnrSXV9u3bza9K3SODbaVJsEg1he9K2UTgiuyzKtGd+Bn6LTlYI3UQeAr7bOKoGf0&#10;rs3y+Xyd9UiVI1Tae/bejkG5Tfh1rVX4VtdeB9GWkrmFdFI6d/HMthso9gSuMepMA17BogNj+dEL&#10;1C0EEAcyL6A6owg91mGmsMuwro3SqQfuZjH/p5vHBpxOvbA43l1k8v8PVn09PpAwVSk/LFZSWOh4&#10;SE96COIjDmK9XEeFeucLTnx0nBoGDvCkU7fe3aP64YXFmwbsXl8TYd9oqJjhIlZmz0pHHB9Bdv0X&#10;rPghOARMQENNXZSPBRGMzpM6XaYTySh2rlbLfJFzSHEsX+Xr+TLNL4NiKnfkwyeNnYhGKYnHn+Dh&#10;eO9DpAPFlBJfs3hn2jatQGv/cnBi9CT6kfHIPQy7IWm1zCdZdliduCHCcbP4J7DRIP2SouetKqX/&#10;eQDSUrSfLYsSV3AyaDJ2kwFWcWkpgxSjeRPGVT04MvuGkUfZLV6zcLVJLUWFRxZnvrwpqdPzVsdV&#10;fH5PWX/+3vY3AAAA//8DAFBLAwQUAAYACAAAACEA5cVeyOAAAAAMAQAADwAAAGRycy9kb3ducmV2&#10;LnhtbEyPwU7DMBBE70j8g7VI3KidAqEJcaoKwQkJkYZDj068TazG6xC7bfh73BMcR/s0+6ZYz3Zg&#10;J5y8cSQhWQhgSK3ThjoJX/Xb3QqYD4q0GhyhhB/0sC6vrwqVa3emCk/b0LFYQj5XEvoQxpxz3/Zo&#10;lV+4ESne9m6yKsQ4dVxP6hzL7cCXQqTcKkPxQ69GfOmxPWyPVsJmR9Wr+f5oPqt9Zeo6E/SeHqS8&#10;vZk3z8ACzuEPhot+VIcyOjXuSNqzIeaHZRpRCalInoBdCJHcxzWNhCzLHoGXBf8/ovwFAAD//wMA&#10;UEsBAi0AFAAGAAgAAAAhALaDOJL+AAAA4QEAABMAAAAAAAAAAAAAAAAAAAAAAFtDb250ZW50X1R5&#10;cGVzXS54bWxQSwECLQAUAAYACAAAACEAOP0h/9YAAACUAQAACwAAAAAAAAAAAAAAAAAvAQAAX3Jl&#10;bHMvLnJlbHNQSwECLQAUAAYACAAAACEAjWcp5/EBAADDAwAADgAAAAAAAAAAAAAAAAAuAgAAZHJz&#10;L2Uyb0RvYy54bWxQSwECLQAUAAYACAAAACEA5cVeyOAAAAAMAQAADwAAAAAAAAAAAAAAAABLBAAA&#10;ZHJzL2Rvd25yZXYueG1sUEsFBgAAAAAEAAQA8wAAAFgFAAAAAA==&#10;" filled="f" stroked="f">
                <v:textbox inset="0,0,0,0">
                  <w:txbxContent>
                    <w:p w14:paraId="72058405" w14:textId="77777777" w:rsidR="00490F33" w:rsidRDefault="00490F33">
                      <w:pPr>
                        <w:numPr>
                          <w:ilvl w:val="0"/>
                          <w:numId w:val="14"/>
                        </w:numPr>
                        <w:tabs>
                          <w:tab w:val="clear" w:pos="216"/>
                          <w:tab w:val="left" w:pos="1440"/>
                        </w:tabs>
                        <w:spacing w:line="218" w:lineRule="exact"/>
                        <w:ind w:left="1224"/>
                        <w:textAlignment w:val="baseline"/>
                        <w:rPr>
                          <w:rFonts w:ascii="Tahoma" w:eastAsia="Tahoma" w:hAnsi="Tahoma"/>
                          <w:b/>
                          <w:color w:val="424041"/>
                          <w:spacing w:val="5"/>
                          <w:sz w:val="17"/>
                        </w:rPr>
                      </w:pPr>
                      <w:r>
                        <w:rPr>
                          <w:rFonts w:ascii="Tahoma" w:eastAsia="Tahoma" w:hAnsi="Tahoma"/>
                          <w:b/>
                          <w:color w:val="424041"/>
                          <w:spacing w:val="5"/>
                          <w:sz w:val="17"/>
                        </w:rPr>
                        <w:t>Reflect on experience and gather evidence of</w:t>
                      </w:r>
                      <w:r>
                        <w:rPr>
                          <w:rFonts w:ascii="Tahoma" w:eastAsia="Tahoma" w:hAnsi="Tahoma"/>
                          <w:b/>
                          <w:color w:val="000000"/>
                          <w:spacing w:val="5"/>
                          <w:sz w:val="17"/>
                        </w:rPr>
                        <w:t xml:space="preserve"> capabilities</w:t>
                      </w:r>
                    </w:p>
                    <w:p w14:paraId="58A6A329" w14:textId="77777777" w:rsidR="00490F33" w:rsidRDefault="00490F33">
                      <w:pPr>
                        <w:numPr>
                          <w:ilvl w:val="0"/>
                          <w:numId w:val="15"/>
                        </w:numPr>
                        <w:tabs>
                          <w:tab w:val="clear" w:pos="216"/>
                          <w:tab w:val="left" w:pos="1440"/>
                        </w:tabs>
                        <w:spacing w:before="648" w:line="217" w:lineRule="exact"/>
                        <w:ind w:left="1224"/>
                        <w:textAlignment w:val="baseline"/>
                        <w:rPr>
                          <w:rFonts w:ascii="Arial" w:eastAsia="Arial" w:hAnsi="Arial"/>
                          <w:b/>
                          <w:color w:val="424041"/>
                          <w:sz w:val="19"/>
                        </w:rPr>
                      </w:pPr>
                      <w:r>
                        <w:rPr>
                          <w:rFonts w:ascii="Arial" w:eastAsia="Arial" w:hAnsi="Arial"/>
                          <w:b/>
                          <w:color w:val="424041"/>
                          <w:sz w:val="19"/>
                        </w:rPr>
                        <w:t>Submit testimony and evidence</w:t>
                      </w:r>
                    </w:p>
                    <w:p w14:paraId="0BCE32BD" w14:textId="77777777" w:rsidR="00490F33" w:rsidRDefault="00490F33">
                      <w:pPr>
                        <w:numPr>
                          <w:ilvl w:val="0"/>
                          <w:numId w:val="15"/>
                        </w:numPr>
                        <w:tabs>
                          <w:tab w:val="clear" w:pos="216"/>
                          <w:tab w:val="left" w:pos="1440"/>
                        </w:tabs>
                        <w:spacing w:before="681" w:line="217" w:lineRule="exact"/>
                        <w:ind w:left="1224"/>
                        <w:textAlignment w:val="baseline"/>
                        <w:rPr>
                          <w:rFonts w:ascii="Arial" w:eastAsia="Arial" w:hAnsi="Arial"/>
                          <w:b/>
                          <w:color w:val="000000"/>
                          <w:sz w:val="19"/>
                        </w:rPr>
                      </w:pPr>
                      <w:r>
                        <w:rPr>
                          <w:rFonts w:ascii="Arial" w:eastAsia="Arial" w:hAnsi="Arial"/>
                          <w:b/>
                          <w:color w:val="000000"/>
                          <w:sz w:val="19"/>
                        </w:rPr>
                        <w:t>Answer questions about</w:t>
                      </w:r>
                      <w:r>
                        <w:rPr>
                          <w:rFonts w:ascii="Arial" w:eastAsia="Arial" w:hAnsi="Arial"/>
                          <w:b/>
                          <w:color w:val="424041"/>
                          <w:sz w:val="19"/>
                        </w:rPr>
                        <w:t xml:space="preserve"> skills and knowledge</w:t>
                      </w:r>
                    </w:p>
                    <w:p w14:paraId="007D4425" w14:textId="77777777" w:rsidR="00490F33" w:rsidRDefault="00490F33">
                      <w:pPr>
                        <w:numPr>
                          <w:ilvl w:val="0"/>
                          <w:numId w:val="15"/>
                        </w:numPr>
                        <w:tabs>
                          <w:tab w:val="clear" w:pos="216"/>
                          <w:tab w:val="left" w:pos="1440"/>
                        </w:tabs>
                        <w:spacing w:before="685" w:line="217" w:lineRule="exact"/>
                        <w:ind w:left="1224"/>
                        <w:textAlignment w:val="baseline"/>
                        <w:rPr>
                          <w:rFonts w:ascii="Arial" w:eastAsia="Arial" w:hAnsi="Arial"/>
                          <w:b/>
                          <w:color w:val="000000"/>
                          <w:spacing w:val="-1"/>
                          <w:sz w:val="19"/>
                        </w:rPr>
                      </w:pPr>
                      <w:r>
                        <w:rPr>
                          <w:rFonts w:ascii="Arial" w:eastAsia="Arial" w:hAnsi="Arial"/>
                          <w:b/>
                          <w:color w:val="000000"/>
                          <w:spacing w:val="-1"/>
                          <w:sz w:val="19"/>
                        </w:rPr>
                        <w:t>Have submission assessed and</w:t>
                      </w:r>
                      <w:r>
                        <w:rPr>
                          <w:rFonts w:ascii="Arial" w:eastAsia="Arial" w:hAnsi="Arial"/>
                          <w:b/>
                          <w:color w:val="424041"/>
                          <w:spacing w:val="-1"/>
                          <w:sz w:val="19"/>
                        </w:rPr>
                        <w:t xml:space="preserve"> receive credential</w:t>
                      </w:r>
                    </w:p>
                    <w:p w14:paraId="60ABFDDB" w14:textId="77777777" w:rsidR="00490F33" w:rsidRDefault="00490F33">
                      <w:pPr>
                        <w:spacing w:before="575" w:after="38" w:line="240" w:lineRule="exact"/>
                        <w:jc w:val="both"/>
                        <w:textAlignment w:val="baseline"/>
                        <w:rPr>
                          <w:rFonts w:ascii="Tahoma" w:eastAsia="Tahoma" w:hAnsi="Tahoma"/>
                          <w:color w:val="424041"/>
                          <w:sz w:val="18"/>
                        </w:rPr>
                      </w:pPr>
                      <w:r>
                        <w:rPr>
                          <w:rFonts w:ascii="Tahoma" w:eastAsia="Tahoma" w:hAnsi="Tahoma"/>
                          <w:color w:val="424041"/>
                          <w:sz w:val="18"/>
                        </w:rPr>
                        <w:t>The</w:t>
                      </w:r>
                      <w:r>
                        <w:rPr>
                          <w:rFonts w:ascii="Tahoma" w:eastAsia="Tahoma" w:hAnsi="Tahoma"/>
                          <w:color w:val="000000"/>
                          <w:sz w:val="18"/>
                        </w:rPr>
                        <w:t xml:space="preserve"> UAC/DeakinCo methodology follows this</w:t>
                      </w:r>
                      <w:r>
                        <w:rPr>
                          <w:rFonts w:ascii="Tahoma" w:eastAsia="Tahoma" w:hAnsi="Tahoma"/>
                          <w:color w:val="424041"/>
                          <w:sz w:val="18"/>
                        </w:rPr>
                        <w:t xml:space="preserve"> framework. For Year 12 students, it will involve gathering evidence from</w:t>
                      </w:r>
                      <w:r>
                        <w:rPr>
                          <w:rFonts w:ascii="Tahoma" w:eastAsia="Tahoma" w:hAnsi="Tahoma"/>
                          <w:color w:val="000000"/>
                          <w:sz w:val="18"/>
                        </w:rPr>
                        <w:t xml:space="preserve"> Year 12 students through:</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39264" behindDoc="1" locked="0" layoutInCell="1" allowOverlap="1" wp14:anchorId="7F504DD4" wp14:editId="46C6C7BC">
                <wp:simplePos x="0" y="0"/>
                <wp:positionH relativeFrom="page">
                  <wp:posOffset>1661160</wp:posOffset>
                </wp:positionH>
                <wp:positionV relativeFrom="page">
                  <wp:posOffset>6715125</wp:posOffset>
                </wp:positionV>
                <wp:extent cx="2490470" cy="1235075"/>
                <wp:effectExtent l="0" t="0" r="0" b="0"/>
                <wp:wrapSquare wrapText="bothSides"/>
                <wp:docPr id="914"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1235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35E2" w14:textId="77777777" w:rsidR="00490F33" w:rsidRDefault="00490F33">
                            <w:pPr>
                              <w:spacing w:before="9" w:line="217" w:lineRule="exact"/>
                              <w:textAlignment w:val="baseline"/>
                              <w:rPr>
                                <w:rFonts w:ascii="Arial" w:eastAsia="Arial" w:hAnsi="Arial"/>
                                <w:b/>
                                <w:color w:val="000000"/>
                                <w:spacing w:val="-2"/>
                                <w:sz w:val="19"/>
                              </w:rPr>
                            </w:pPr>
                            <w:r>
                              <w:rPr>
                                <w:rFonts w:ascii="Arial" w:eastAsia="Arial" w:hAnsi="Arial"/>
                                <w:b/>
                                <w:color w:val="000000"/>
                                <w:spacing w:val="-2"/>
                                <w:sz w:val="19"/>
                              </w:rPr>
                              <w:t>Documents from within and</w:t>
                            </w:r>
                            <w:r>
                              <w:rPr>
                                <w:rFonts w:ascii="Arial" w:eastAsia="Arial" w:hAnsi="Arial"/>
                                <w:b/>
                                <w:color w:val="424041"/>
                                <w:spacing w:val="-2"/>
                                <w:sz w:val="19"/>
                              </w:rPr>
                              <w:t xml:space="preserve"> outside school</w:t>
                            </w:r>
                          </w:p>
                          <w:p w14:paraId="2E3F1C02" w14:textId="77777777" w:rsidR="00490F33" w:rsidRDefault="00490F33">
                            <w:pPr>
                              <w:spacing w:before="635" w:line="218" w:lineRule="exact"/>
                              <w:textAlignment w:val="baseline"/>
                              <w:rPr>
                                <w:rFonts w:ascii="Tahoma" w:eastAsia="Tahoma" w:hAnsi="Tahoma"/>
                                <w:b/>
                                <w:color w:val="424041"/>
                                <w:spacing w:val="7"/>
                                <w:sz w:val="17"/>
                              </w:rPr>
                            </w:pPr>
                            <w:r>
                              <w:rPr>
                                <w:rFonts w:ascii="Tahoma" w:eastAsia="Tahoma" w:hAnsi="Tahoma"/>
                                <w:b/>
                                <w:color w:val="424041"/>
                                <w:spacing w:val="7"/>
                                <w:sz w:val="17"/>
                              </w:rPr>
                              <w:t>Written reflective testimony</w:t>
                            </w:r>
                          </w:p>
                          <w:p w14:paraId="46224AB3" w14:textId="77777777" w:rsidR="00490F33" w:rsidRDefault="00490F33">
                            <w:pPr>
                              <w:spacing w:before="649" w:line="210" w:lineRule="exact"/>
                              <w:textAlignment w:val="baseline"/>
                              <w:rPr>
                                <w:rFonts w:ascii="Arial" w:eastAsia="Arial" w:hAnsi="Arial"/>
                                <w:b/>
                                <w:color w:val="424041"/>
                                <w:spacing w:val="2"/>
                                <w:sz w:val="19"/>
                              </w:rPr>
                            </w:pPr>
                            <w:r>
                              <w:rPr>
                                <w:rFonts w:ascii="Arial" w:eastAsia="Arial" w:hAnsi="Arial"/>
                                <w:b/>
                                <w:color w:val="424041"/>
                                <w:spacing w:val="2"/>
                                <w:sz w:val="19"/>
                              </w:rPr>
                              <w:t>Video testimony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04DD4" id="Text Box 635" o:spid="_x0000_s1059" type="#_x0000_t202" style="position:absolute;margin-left:130.8pt;margin-top:528.75pt;width:196.1pt;height:97.25pt;z-index:-25197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DQ8QEAAMMDAAAOAAAAZHJzL2Uyb0RvYy54bWysU9tu2zAMfR+wfxD0vti5tF2NOEXXosOA&#10;7gK0+wBGlmNhtqhRSuzs60fJcdZtb8NeBIqXo8NDan0zdK04aPIGbSnns1wKbRVWxu5K+fX54c1b&#10;KXwAW0GLVpfyqL282bx+te5doRfYYFtpEgxifdG7UjYhuCLLvGp0B36GTlsO1kgdBL7SLqsIekbv&#10;2myR55dZj1Q5QqW9Z+/9GJSbhF/XWoXPde11EG0pmVtIJ6VzG89ss4ZiR+Aao0404B9YdGAsP3qG&#10;uocAYk/mL6jOKEKPdZgp7DKsa6N06oG7med/dPPUgNOpFxbHu7NM/v/Bqk+HLyRMVcrr+UoKCx0P&#10;6VkPQbzDQVwuL6JCvfMFJz45Tg0DB3jSqVvvHlF988LiXQN2p2+JsG80VMxwHiuzF6Ujjo8g2/4j&#10;VvwQ7AMmoKGmLsrHgghG50kdz9OJZBQ7F6vrfHXFIcWx+WJ5kV8ldhkUU7kjH95r7EQ0Skk8/gQP&#10;h0cfIh0oppT4msUH07ZpBVr7m4MToyfRj4xH7mHYDkmr5XKSZYvVkRsiHDeLfwIbDdIPKXreqlL6&#10;73sgLUX7wbIocQUngyZjOxlgFZeWMkgxmndhXNW9I7NrGHmU3eItC1eb1FJUeGRx4subkjo9bXVc&#10;xZf3lPXr721+AgAA//8DAFBLAwQUAAYACAAAACEAWMrCIeAAAAANAQAADwAAAGRycy9kb3ducmV2&#10;LnhtbEyPwU7DMBBE70j8g7VI3KjdoBgIcaoKwQkJkYYDRyd2E6vxOsRuG/6e5QTHnXmanSk3ix/Z&#10;yc7RBVSwXglgFrtgHPYKPpqXm3tgMWk0egxoFXzbCJvq8qLUhQlnrO1pl3pGIRgLrWBIaSo4j91g&#10;vY6rMFkkbx9mrxOdc8/NrM8U7keeCSG51w7pw6An+zTY7rA7egXbT6yf3ddb+17va9c0DwJf5UGp&#10;66tl+wgs2SX9wfBbn6pDRZ3acEQT2aggk2tJKBkiv8uBESLzW1rTkpTlmQBelfz/iuoHAAD//wMA&#10;UEsBAi0AFAAGAAgAAAAhALaDOJL+AAAA4QEAABMAAAAAAAAAAAAAAAAAAAAAAFtDb250ZW50X1R5&#10;cGVzXS54bWxQSwECLQAUAAYACAAAACEAOP0h/9YAAACUAQAACwAAAAAAAAAAAAAAAAAvAQAAX3Jl&#10;bHMvLnJlbHNQSwECLQAUAAYACAAAACEAMkgw0PEBAADDAwAADgAAAAAAAAAAAAAAAAAuAgAAZHJz&#10;L2Uyb0RvYy54bWxQSwECLQAUAAYACAAAACEAWMrCIeAAAAANAQAADwAAAAAAAAAAAAAAAABLBAAA&#10;ZHJzL2Rvd25yZXYueG1sUEsFBgAAAAAEAAQA8wAAAFgFAAAAAA==&#10;" filled="f" stroked="f">
                <v:textbox inset="0,0,0,0">
                  <w:txbxContent>
                    <w:p w14:paraId="67AB35E2" w14:textId="77777777" w:rsidR="00490F33" w:rsidRDefault="00490F33">
                      <w:pPr>
                        <w:spacing w:before="9" w:line="217" w:lineRule="exact"/>
                        <w:textAlignment w:val="baseline"/>
                        <w:rPr>
                          <w:rFonts w:ascii="Arial" w:eastAsia="Arial" w:hAnsi="Arial"/>
                          <w:b/>
                          <w:color w:val="000000"/>
                          <w:spacing w:val="-2"/>
                          <w:sz w:val="19"/>
                        </w:rPr>
                      </w:pPr>
                      <w:r>
                        <w:rPr>
                          <w:rFonts w:ascii="Arial" w:eastAsia="Arial" w:hAnsi="Arial"/>
                          <w:b/>
                          <w:color w:val="000000"/>
                          <w:spacing w:val="-2"/>
                          <w:sz w:val="19"/>
                        </w:rPr>
                        <w:t>Documents from within and</w:t>
                      </w:r>
                      <w:r>
                        <w:rPr>
                          <w:rFonts w:ascii="Arial" w:eastAsia="Arial" w:hAnsi="Arial"/>
                          <w:b/>
                          <w:color w:val="424041"/>
                          <w:spacing w:val="-2"/>
                          <w:sz w:val="19"/>
                        </w:rPr>
                        <w:t xml:space="preserve"> outside school</w:t>
                      </w:r>
                    </w:p>
                    <w:p w14:paraId="2E3F1C02" w14:textId="77777777" w:rsidR="00490F33" w:rsidRDefault="00490F33">
                      <w:pPr>
                        <w:spacing w:before="635" w:line="218" w:lineRule="exact"/>
                        <w:textAlignment w:val="baseline"/>
                        <w:rPr>
                          <w:rFonts w:ascii="Tahoma" w:eastAsia="Tahoma" w:hAnsi="Tahoma"/>
                          <w:b/>
                          <w:color w:val="424041"/>
                          <w:spacing w:val="7"/>
                          <w:sz w:val="17"/>
                        </w:rPr>
                      </w:pPr>
                      <w:r>
                        <w:rPr>
                          <w:rFonts w:ascii="Tahoma" w:eastAsia="Tahoma" w:hAnsi="Tahoma"/>
                          <w:b/>
                          <w:color w:val="424041"/>
                          <w:spacing w:val="7"/>
                          <w:sz w:val="17"/>
                        </w:rPr>
                        <w:t>Written reflective testimony</w:t>
                      </w:r>
                    </w:p>
                    <w:p w14:paraId="46224AB3" w14:textId="77777777" w:rsidR="00490F33" w:rsidRDefault="00490F33">
                      <w:pPr>
                        <w:spacing w:before="649" w:line="210" w:lineRule="exact"/>
                        <w:textAlignment w:val="baseline"/>
                        <w:rPr>
                          <w:rFonts w:ascii="Arial" w:eastAsia="Arial" w:hAnsi="Arial"/>
                          <w:b/>
                          <w:color w:val="424041"/>
                          <w:spacing w:val="2"/>
                          <w:sz w:val="19"/>
                        </w:rPr>
                      </w:pPr>
                      <w:r>
                        <w:rPr>
                          <w:rFonts w:ascii="Arial" w:eastAsia="Arial" w:hAnsi="Arial"/>
                          <w:b/>
                          <w:color w:val="424041"/>
                          <w:spacing w:val="2"/>
                          <w:sz w:val="19"/>
                        </w:rPr>
                        <w:t>Video testimony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40288" behindDoc="1" locked="0" layoutInCell="1" allowOverlap="1" wp14:anchorId="52E94BBD" wp14:editId="5B0B86B2">
                <wp:simplePos x="0" y="0"/>
                <wp:positionH relativeFrom="page">
                  <wp:posOffset>905510</wp:posOffset>
                </wp:positionH>
                <wp:positionV relativeFrom="page">
                  <wp:posOffset>8314690</wp:posOffset>
                </wp:positionV>
                <wp:extent cx="3858260" cy="609600"/>
                <wp:effectExtent l="0" t="0" r="0" b="0"/>
                <wp:wrapSquare wrapText="bothSides"/>
                <wp:docPr id="913"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26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9FF33" w14:textId="77777777" w:rsidR="00490F33" w:rsidRDefault="00490F33">
                            <w:pPr>
                              <w:spacing w:line="236" w:lineRule="exact"/>
                              <w:textAlignment w:val="baseline"/>
                              <w:rPr>
                                <w:rFonts w:ascii="Tahoma" w:eastAsia="Tahoma" w:hAnsi="Tahoma"/>
                                <w:color w:val="424041"/>
                                <w:spacing w:val="5"/>
                                <w:sz w:val="18"/>
                              </w:rPr>
                            </w:pPr>
                            <w:r>
                              <w:rPr>
                                <w:rFonts w:ascii="Tahoma" w:eastAsia="Tahoma" w:hAnsi="Tahoma"/>
                                <w:color w:val="424041"/>
                                <w:spacing w:val="5"/>
                                <w:sz w:val="18"/>
                              </w:rPr>
                              <w:t>Adding this rigour to the assessment of skills is a game changer and will give not only universities but other providers and employers the ability to consider the whole student in a comprehensive, transparent and equitable way.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94BBD" id="Text Box 634" o:spid="_x0000_s1060" type="#_x0000_t202" style="position:absolute;margin-left:71.3pt;margin-top:654.7pt;width:303.8pt;height:48pt;z-index:-25197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5iD7wEAAMIDAAAOAAAAZHJzL2Uyb0RvYy54bWysU9tu2zAMfR+wfxD0vthJtiA14hRdiw4D&#10;ugvQ7gMYWY6F2aJGKbGzrx8lx2m3vQ17EShejg4Pqc310LXiqMkbtKWcz3IptFVYGbsv5ben+zdr&#10;KXwAW0GLVpfypL283r5+teldoRfYYFtpEgxifdG7UjYhuCLLvGp0B36GTlsO1kgdBL7SPqsIekbv&#10;2myR56usR6ocodLes/duDMptwq9rrcKXuvY6iLaUzC2kk9K5i2e23UCxJ3CNUWca8A8sOjCWH71A&#10;3UEAcSDzF1RnFKHHOswUdhnWtVE69cDdzPM/unlswOnUC4vj3UUm//9g1efjVxKmKuXVfCmFhY6H&#10;9KSHIN7jIFbLt1Gh3vmCEx8dp4aBAzzp1K13D6i+e2HxtgG71zdE2DcaKmY4j5XZi9IRx0eQXf8J&#10;K34IDgET0FBTF+VjQQSj86ROl+lEMoqdy/W79WLFIcWxVX61ytP4Miimakc+fNDYiWiUknj6CR2O&#10;Dz5ENlBMKfExi/embdMGtPY3BydGT2IfCY/Uw7AbklTPquywOnE/hONi8Udgo0H6KUXPS1VK/+MA&#10;pKVoP1rWJG7gZNBk7CYDrOLSUgYpRvM2jJt6cGT2DSOPqlu8Yd1qk1qKAo8sznx5UVKn56WOm/jy&#10;nrKev972FwAAAP//AwBQSwMEFAAGAAgAAAAhABNItGPhAAAADQEAAA8AAABkcnMvZG93bnJldi54&#10;bWxMj8FOwzAQRO9I/IO1SNyoTUgDDXGqCsEJCTUNB45O7CZW43WI3Tb8PdsT3HY0T7MzxXp2AzuZ&#10;KViPEu4XApjB1muLnYTP+u3uCViICrUaPBoJPybAury+KlSu/Rkrc9rFjlEIhlxJ6GMcc85D2xun&#10;wsKPBsnb+8mpSHLquJ7UmcLdwBMhMu6URfrQq9G89KY97I5OwuYLq1f7/dFsq31l63ol8D07SHl7&#10;M2+egUUzxz8YLvWpOpTUqfFH1IENpNMkI5SOB7FKgRHyuBQJsObiiWUKvCz4/xXlLwAAAP//AwBQ&#10;SwECLQAUAAYACAAAACEAtoM4kv4AAADhAQAAEwAAAAAAAAAAAAAAAAAAAAAAW0NvbnRlbnRfVHlw&#10;ZXNdLnhtbFBLAQItABQABgAIAAAAIQA4/SH/1gAAAJQBAAALAAAAAAAAAAAAAAAAAC8BAABfcmVs&#10;cy8ucmVsc1BLAQItABQABgAIAAAAIQDi95iD7wEAAMIDAAAOAAAAAAAAAAAAAAAAAC4CAABkcnMv&#10;ZTJvRG9jLnhtbFBLAQItABQABgAIAAAAIQATSLRj4QAAAA0BAAAPAAAAAAAAAAAAAAAAAEkEAABk&#10;cnMvZG93bnJldi54bWxQSwUGAAAAAAQABADzAAAAVwUAAAAA&#10;" filled="f" stroked="f">
                <v:textbox inset="0,0,0,0">
                  <w:txbxContent>
                    <w:p w14:paraId="7209FF33" w14:textId="77777777" w:rsidR="00490F33" w:rsidRDefault="00490F33">
                      <w:pPr>
                        <w:spacing w:line="236" w:lineRule="exact"/>
                        <w:textAlignment w:val="baseline"/>
                        <w:rPr>
                          <w:rFonts w:ascii="Tahoma" w:eastAsia="Tahoma" w:hAnsi="Tahoma"/>
                          <w:color w:val="424041"/>
                          <w:spacing w:val="5"/>
                          <w:sz w:val="18"/>
                        </w:rPr>
                      </w:pPr>
                      <w:r>
                        <w:rPr>
                          <w:rFonts w:ascii="Tahoma" w:eastAsia="Tahoma" w:hAnsi="Tahoma"/>
                          <w:color w:val="424041"/>
                          <w:spacing w:val="5"/>
                          <w:sz w:val="18"/>
                        </w:rPr>
                        <w:t>Adding this rigour to the assessment of skills is a game changer and will give not only universities but other providers and employers the ability to consider the whole student in a comprehensive, transparent and equitable way.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41312" behindDoc="1" locked="0" layoutInCell="1" allowOverlap="1" wp14:anchorId="643B503A" wp14:editId="52819AAF">
                <wp:simplePos x="0" y="0"/>
                <wp:positionH relativeFrom="page">
                  <wp:posOffset>908050</wp:posOffset>
                </wp:positionH>
                <wp:positionV relativeFrom="page">
                  <wp:posOffset>9070340</wp:posOffset>
                </wp:positionV>
                <wp:extent cx="2121535" cy="113030"/>
                <wp:effectExtent l="0" t="0" r="0" b="0"/>
                <wp:wrapSquare wrapText="bothSides"/>
                <wp:docPr id="912"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9B869" w14:textId="77777777" w:rsidR="00490F33" w:rsidRDefault="00490F33">
                            <w:pPr>
                              <w:spacing w:before="7" w:line="166" w:lineRule="exact"/>
                              <w:textAlignment w:val="baseline"/>
                              <w:rPr>
                                <w:rFonts w:ascii="Tahoma" w:eastAsia="Tahoma" w:hAnsi="Tahoma"/>
                                <w:color w:val="000000"/>
                                <w:sz w:val="14"/>
                              </w:rPr>
                            </w:pPr>
                            <w:r>
                              <w:rPr>
                                <w:rFonts w:ascii="Tahoma" w:eastAsia="Tahoma" w:hAnsi="Tahoma"/>
                                <w:color w:val="000000"/>
                                <w:sz w:val="14"/>
                              </w:rPr>
                              <w:t>Source: Universities Admissions Centre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B503A" id="Text Box 633" o:spid="_x0000_s1061" type="#_x0000_t202" style="position:absolute;margin-left:71.5pt;margin-top:714.2pt;width:167.05pt;height:8.9pt;z-index:-25197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iI8AEAAMIDAAAOAAAAZHJzL2Uyb0RvYy54bWysU9tu2zAMfR+wfxD0vtiO0WIz4hRdiw4D&#10;uq1Auw9gZDkWZosapcTOvn6UnGTd+lbsRaB4OTo8pFZX09CLvSZv0NayWORSaKuwMXZby+9Pd+/e&#10;S+ED2AZ6tLqWB+3l1frtm9XoKr3EDvtGk2AQ66vR1bILwVVZ5lWnB/ALdNpysEUaIPCVtllDMDL6&#10;0GfLPL/MRqTGESrtPXtv56BcJ/y21Sp8a1uvg+hrydxCOimdm3hm6xVUWwLXGXWkAa9gMYCx/OgZ&#10;6hYCiB2ZF1CDUYQe27BQOGTYtkbp1AN3U+T/dPPYgdOpFxbHu7NM/v/Bqq/7BxKmqeWHYimFhYGH&#10;9KSnID7iJC7LMio0Ol9x4qPj1DBxgCeduvXuHtUPLyzedGC3+poIx05DwwyLWJk9K51xfATZjF+w&#10;4YdgFzABTS0NUT4WRDA6T+pwnk4ko9i5LJbFRXkhheJYUZR5mcaXQXWqduTDJ42DiEYtiaef0GF/&#10;70NkA9UpJT5m8c70fdqA3v7l4MToSewj4Zl6mDZTkopJHFXZYHPgfgjnxeKPwEaH9EuKkZeqlv7n&#10;DkhL0X+2rEncwJNBJ2NzMsAqLq1lkGI2b8K8qTtHZtsx8qy6xWvWrTWppSjwzOLIlxcldXpc6riJ&#10;z+8p68/XW/8GAAD//wMAUEsDBBQABgAIAAAAIQAhhLq74QAAAA0BAAAPAAAAZHJzL2Rvd25yZXYu&#10;eG1sTI/BTsMwEETvSPyDtZW4UachSksap6oQnJAQaThwdGI3sRqvQ+y24e/ZnMptZ3c0+ybfTbZn&#10;Fz1641DAahkB09g4ZbAV8FW9PW6A+SBRyd6hFvCrPeyK+7tcZspdsdSXQ2gZhaDPpIAuhCHj3Ded&#10;ttIv3aCRbkc3WhlIji1Xo7xSuO15HEUpt9IgfejkoF863ZwOZytg/43lq/n5qD/LY2mq6jnC9/Qk&#10;xMNi2m+BBT2FmxlmfEKHgphqd0blWU86eaIuYR7iTQKMLMl6vQJWz6skjYEXOf/fovgDAAD//wMA&#10;UEsBAi0AFAAGAAgAAAAhALaDOJL+AAAA4QEAABMAAAAAAAAAAAAAAAAAAAAAAFtDb250ZW50X1R5&#10;cGVzXS54bWxQSwECLQAUAAYACAAAACEAOP0h/9YAAACUAQAACwAAAAAAAAAAAAAAAAAvAQAAX3Jl&#10;bHMvLnJlbHNQSwECLQAUAAYACAAAACEApYeYiPABAADCAwAADgAAAAAAAAAAAAAAAAAuAgAAZHJz&#10;L2Uyb0RvYy54bWxQSwECLQAUAAYACAAAACEAIYS6u+EAAAANAQAADwAAAAAAAAAAAAAAAABKBAAA&#10;ZHJzL2Rvd25yZXYueG1sUEsFBgAAAAAEAAQA8wAAAFgFAAAAAA==&#10;" filled="f" stroked="f">
                <v:textbox inset="0,0,0,0">
                  <w:txbxContent>
                    <w:p w14:paraId="2C39B869" w14:textId="77777777" w:rsidR="00490F33" w:rsidRDefault="00490F33">
                      <w:pPr>
                        <w:spacing w:before="7" w:line="166" w:lineRule="exact"/>
                        <w:textAlignment w:val="baseline"/>
                        <w:rPr>
                          <w:rFonts w:ascii="Tahoma" w:eastAsia="Tahoma" w:hAnsi="Tahoma"/>
                          <w:color w:val="000000"/>
                          <w:sz w:val="14"/>
                        </w:rPr>
                      </w:pPr>
                      <w:r>
                        <w:rPr>
                          <w:rFonts w:ascii="Tahoma" w:eastAsia="Tahoma" w:hAnsi="Tahoma"/>
                          <w:color w:val="000000"/>
                          <w:sz w:val="14"/>
                        </w:rPr>
                        <w:t>Source: Universities Admissions Centre submission.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42336" behindDoc="1" locked="0" layoutInCell="1" allowOverlap="1" wp14:anchorId="51180EB4" wp14:editId="22F8F525">
                <wp:simplePos x="0" y="0"/>
                <wp:positionH relativeFrom="page">
                  <wp:posOffset>5626735</wp:posOffset>
                </wp:positionH>
                <wp:positionV relativeFrom="page">
                  <wp:posOffset>9686925</wp:posOffset>
                </wp:positionV>
                <wp:extent cx="1380490" cy="153035"/>
                <wp:effectExtent l="0" t="0" r="0" b="0"/>
                <wp:wrapSquare wrapText="bothSides"/>
                <wp:docPr id="911"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49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B8214" w14:textId="77777777" w:rsidR="00490F33" w:rsidRDefault="00490F33">
                            <w:pPr>
                              <w:tabs>
                                <w:tab w:val="right" w:pos="2232"/>
                              </w:tabs>
                              <w:spacing w:after="25" w:line="214" w:lineRule="exact"/>
                              <w:textAlignment w:val="baseline"/>
                              <w:rPr>
                                <w:rFonts w:ascii="Tahoma" w:eastAsia="Tahoma" w:hAnsi="Tahoma"/>
                                <w:color w:val="424041"/>
                                <w:sz w:val="14"/>
                              </w:rPr>
                            </w:pPr>
                            <w:r>
                              <w:rPr>
                                <w:rFonts w:ascii="Tahoma" w:eastAsia="Tahoma" w:hAnsi="Tahoma"/>
                                <w:color w:val="424041"/>
                                <w:sz w:val="14"/>
                              </w:rPr>
                              <w:t>Chapter 1: Essential skills</w:t>
                            </w:r>
                            <w:r>
                              <w:rPr>
                                <w:rFonts w:ascii="Arial" w:eastAsia="Arial" w:hAnsi="Arial"/>
                                <w:b/>
                                <w:color w:val="5556A1"/>
                                <w:sz w:val="19"/>
                              </w:rPr>
                              <w:tab/>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80EB4" id="Text Box 632" o:spid="_x0000_s1062" type="#_x0000_t202" style="position:absolute;margin-left:443.05pt;margin-top:762.75pt;width:108.7pt;height:12.05pt;z-index:-25197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Kr8AEAAMIDAAAOAAAAZHJzL2Uyb0RvYy54bWysU9tu2zAMfR+wfxD0vthO1qA14hRdiw4D&#10;ugvQ7gMYWY6F2aJGKbG7rx8lx1m3vQ17ESiRPDw8pDbXY9+JoyZv0FayWORSaKuwNnZfya9P928u&#10;pfABbA0dWl3JZ+3l9fb1q83gSr3EFrtak2AQ68vBVbINwZVZ5lWre/ALdNqys0HqIfCV9llNMDB6&#10;32XLPF9nA1LtCJX2nl/vJqfcJvym0Sp8bhqvg+gqydxCOimdu3hm2w2UewLXGnWiAf/AogdjuegZ&#10;6g4CiAOZv6B6owg9NmGhsM+waYzSqQfupsj/6OaxBadTLyyOd2eZ/P+DVZ+OX0iYupJXRSGFhZ6H&#10;9KTHIN7hKNarZVRocL7kwEfHoWFkB086devdA6pvXli8bcHu9Q0RDq2GmhkWMTN7kTrh+AiyGz5i&#10;zYXgEDABjQ31UT4WRDA6T+r5PJ1IRsWSq8v87RW7FPuKi1W+ukgloJyzHfnwXmMvolFJ4ukndDg+&#10;+BDZQDmHxGIW703XpQ3o7G8PHBhfEvtIeKIext2YpFqtZ1V2WD9zP4TTYvFHYKNF+iHFwEtVSf/9&#10;AKSl6D5Y1iRu4GzQbOxmA6zi1EoGKSbzNkybenBk9i0jT6pbvGHdGpNaigJPLE58eVFSp6eljpv4&#10;8p6ifn297U8AAAD//wMAUEsDBBQABgAIAAAAIQBvvO5l4gAAAA4BAAAPAAAAZHJzL2Rvd25yZXYu&#10;eG1sTI9BT4NAEIXvJv6HzZh4s7tUIRRZmsboycRI8eBxYadAys4iu23x37uc6m1m3sub7+Xb2Qzs&#10;jJPrLUmIVgIYUmN1T62Er+rtIQXmvCKtBkso4RcdbIvbm1xl2l6oxPPetyyEkMuUhM77MePcNR0a&#10;5VZ2RArawU5G+bBOLdeTuoRwM/C1EAk3qqfwoVMjvnTYHPcnI2H3TeVr//NRf5aHsq+qjaD35Cjl&#10;/d28ewbmcfZXMyz4AR2KwFTbE2nHBglpmkTBGoR4HcfAFkskHsNUL7enTQK8yPn/GsUfAAAA//8D&#10;AFBLAQItABQABgAIAAAAIQC2gziS/gAAAOEBAAATAAAAAAAAAAAAAAAAAAAAAABbQ29udGVudF9U&#10;eXBlc10ueG1sUEsBAi0AFAAGAAgAAAAhADj9If/WAAAAlAEAAAsAAAAAAAAAAAAAAAAALwEAAF9y&#10;ZWxzLy5yZWxzUEsBAi0AFAAGAAgAAAAhAJhJkqvwAQAAwgMAAA4AAAAAAAAAAAAAAAAALgIAAGRy&#10;cy9lMm9Eb2MueG1sUEsBAi0AFAAGAAgAAAAhAG+87mXiAAAADgEAAA8AAAAAAAAAAAAAAAAASgQA&#10;AGRycy9kb3ducmV2LnhtbFBLBQYAAAAABAAEAPMAAABZBQAAAAA=&#10;" filled="f" stroked="f">
                <v:textbox inset="0,0,0,0">
                  <w:txbxContent>
                    <w:p w14:paraId="4C5B8214" w14:textId="77777777" w:rsidR="00490F33" w:rsidRDefault="00490F33">
                      <w:pPr>
                        <w:tabs>
                          <w:tab w:val="right" w:pos="2232"/>
                        </w:tabs>
                        <w:spacing w:after="25" w:line="214" w:lineRule="exact"/>
                        <w:textAlignment w:val="baseline"/>
                        <w:rPr>
                          <w:rFonts w:ascii="Tahoma" w:eastAsia="Tahoma" w:hAnsi="Tahoma"/>
                          <w:color w:val="424041"/>
                          <w:sz w:val="14"/>
                        </w:rPr>
                      </w:pPr>
                      <w:r>
                        <w:rPr>
                          <w:rFonts w:ascii="Tahoma" w:eastAsia="Tahoma" w:hAnsi="Tahoma"/>
                          <w:color w:val="424041"/>
                          <w:sz w:val="14"/>
                        </w:rPr>
                        <w:t>Chapter 1: Essential skills</w:t>
                      </w:r>
                      <w:r>
                        <w:rPr>
                          <w:rFonts w:ascii="Arial" w:eastAsia="Arial" w:hAnsi="Arial"/>
                          <w:b/>
                          <w:color w:val="5556A1"/>
                          <w:sz w:val="19"/>
                        </w:rPr>
                        <w:tab/>
                        <w:t>41</w:t>
                      </w:r>
                    </w:p>
                  </w:txbxContent>
                </v:textbox>
                <w10:wrap type="square" anchorx="page" anchory="page"/>
              </v:shape>
            </w:pict>
          </mc:Fallback>
        </mc:AlternateContent>
      </w:r>
    </w:p>
    <w:p w14:paraId="2D9DFBDF" w14:textId="77777777" w:rsidR="009757A9" w:rsidRDefault="009757A9">
      <w:pPr>
        <w:sectPr w:rsidR="009757A9">
          <w:pgSz w:w="11909" w:h="16838"/>
          <w:pgMar w:top="0" w:right="1440" w:bottom="0" w:left="1440" w:header="720" w:footer="720" w:gutter="0"/>
          <w:cols w:space="720"/>
        </w:sectPr>
      </w:pPr>
    </w:p>
    <w:p w14:paraId="20D47101" w14:textId="77777777" w:rsidR="009757A9" w:rsidRPr="005443BD" w:rsidRDefault="00083242" w:rsidP="006B3019">
      <w:pPr>
        <w:pStyle w:val="Heading2"/>
        <w:rPr>
          <w:rFonts w:eastAsia="Arial"/>
          <w:sz w:val="25"/>
          <w:szCs w:val="25"/>
        </w:rPr>
      </w:pPr>
      <w:r w:rsidRPr="005443BD">
        <w:rPr>
          <w:rFonts w:eastAsia="Arial"/>
          <w:sz w:val="25"/>
          <w:szCs w:val="25"/>
        </w:rPr>
        <w:lastRenderedPageBreak/>
        <w:t>Australian Tertiary Admission Rank</w:t>
      </w:r>
    </w:p>
    <w:p w14:paraId="110008C9" w14:textId="77777777" w:rsidR="009757A9" w:rsidRDefault="00083242">
      <w:pPr>
        <w:spacing w:before="145" w:line="240" w:lineRule="exact"/>
        <w:ind w:left="792" w:right="1584"/>
        <w:textAlignment w:val="baseline"/>
        <w:rPr>
          <w:rFonts w:ascii="Tahoma" w:eastAsia="Tahoma" w:hAnsi="Tahoma"/>
          <w:color w:val="404042"/>
          <w:sz w:val="18"/>
        </w:rPr>
      </w:pPr>
      <w:r>
        <w:rPr>
          <w:rFonts w:ascii="Tahoma" w:eastAsia="Tahoma" w:hAnsi="Tahoma"/>
          <w:color w:val="404042"/>
          <w:sz w:val="18"/>
        </w:rPr>
        <w:t>There were few issues within the scope of the review that elicited more passionate views from participants and contributors than the Australian Tertiary Admission Rank (ATAR).</w:t>
      </w:r>
    </w:p>
    <w:p w14:paraId="495DBD31" w14:textId="77777777" w:rsidR="009757A9" w:rsidRDefault="006B3019">
      <w:pPr>
        <w:spacing w:before="168" w:after="552" w:line="240" w:lineRule="exact"/>
        <w:ind w:left="792" w:right="864"/>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29760" behindDoc="0" locked="0" layoutInCell="1" allowOverlap="1" wp14:anchorId="64506E12" wp14:editId="3090EC23">
                <wp:simplePos x="0" y="0"/>
                <wp:positionH relativeFrom="page">
                  <wp:posOffset>724535</wp:posOffset>
                </wp:positionH>
                <wp:positionV relativeFrom="page">
                  <wp:posOffset>2264410</wp:posOffset>
                </wp:positionV>
                <wp:extent cx="5907405" cy="0"/>
                <wp:effectExtent l="0" t="0" r="0" b="0"/>
                <wp:wrapNone/>
                <wp:docPr id="910"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8EE21" id="Line 631" o:spid="_x0000_s1026" style="position:absolute;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05pt,178.3pt" to="522.2pt,1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2Q0QEAAIYDAAAOAAAAZHJzL2Uyb0RvYy54bWysU01v2zAMvQ/YfxB0X+y0TboYcXpI1l2y&#10;LUC7H8BIsi1MFgVJiZ1/P0r52Lrdhl0EiXx8JB+p5dPYG3ZUPmi0NZ9OSs6UFSi1bWv+/fX5w0fO&#10;QgQrwaBVNT+pwJ9W798tB1epO+zQSOUZkdhQDa7mXYyuKoogOtVDmKBTlpwN+h4iPX1bSA8Dsfem&#10;uCvLeTGgl86jUCGQdXN28lXmbxol4remCSoyU3OqLebT53OfzmK1hKr14DotLmXAP1TRg7aU9Ea1&#10;gQjs4PVfVL0WHgM2cSKwL7BptFC5B+pmWv7RzUsHTuVeSJzgbjKF/0crvh53nmlZ88WU9LHQ05C2&#10;2io2v58mdQYXKgKt7c6n/sRoX9wWxY/ALK47sK3KVb6eHAXmiOJNSHoERzn2wxeUhIFDxCzV2Pg+&#10;UZIIbMwTOd0mosbIBBlni/LxoZxxJq6+AqproPMhflbYs3SpuaGqMzEctyFS6QS9QlIei8/amDxw&#10;Y9lQ8/n9rMwBAY2WyZlgwbf7tfHsCGllysfF4iHpQGRvYIl5A6E747LrvEweD1bmLJ0C+elyj6DN&#10;+U5ExhLfVZizxHuUp51PeZKdhp0zXhYzbdPv74z69X1WPwEAAP//AwBQSwMEFAAGAAgAAAAhAKKq&#10;Kp7dAAAADAEAAA8AAABkcnMvZG93bnJldi54bWxMj8FOwzAMhu9IvENkJG4s6dZVqDSdpk077QIb&#10;ElevMW2hcaom67q3J5OQ4Pjbn35/LlaT7cRIg28da0hmCgRx5UzLtYb34+7pGYQPyAY7x6ThSh5W&#10;5f1dgblxF36j8RBqEUvY56ihCaHPpfRVQxb9zPXEcffpBoshxqGWZsBLLLednCuVSYstxwsN9rRp&#10;qPo+nK2GHarjq9nv3Zf/WF43GKTZ0qj148O0fgERaAp/MNz0ozqU0enkzmy86GJO0iSiGhbLLANx&#10;I1SapiBOvyNZFvL/E+UPAAAA//8DAFBLAQItABQABgAIAAAAIQC2gziS/gAAAOEBAAATAAAAAAAA&#10;AAAAAAAAAAAAAABbQ29udGVudF9UeXBlc10ueG1sUEsBAi0AFAAGAAgAAAAhADj9If/WAAAAlAEA&#10;AAsAAAAAAAAAAAAAAAAALwEAAF9yZWxzLy5yZWxzUEsBAi0AFAAGAAgAAAAhAFpqLZDRAQAAhgMA&#10;AA4AAAAAAAAAAAAAAAAALgIAAGRycy9lMm9Eb2MueG1sUEsBAi0AFAAGAAgAAAAhAKKqKp7dAAAA&#10;DAEAAA8AAAAAAAAAAAAAAAAAKwQAAGRycy9kb3ducmV2LnhtbFBLBQYAAAAABAAEAPMAAAA1BQAA&#10;AAA=&#10;" strokecolor="#007994" strokeweight=".5pt">
                <w10:wrap anchorx="page" anchory="page"/>
              </v:line>
            </w:pict>
          </mc:Fallback>
        </mc:AlternateContent>
      </w:r>
      <w:r w:rsidR="00083242">
        <w:rPr>
          <w:rFonts w:ascii="Tahoma" w:eastAsia="Tahoma" w:hAnsi="Tahoma"/>
          <w:color w:val="404042"/>
          <w:sz w:val="18"/>
        </w:rPr>
        <w:t>While tertiary institutions and the Universities Admissions Centre advocate a balanced approach to the use of the ATAR, this is not the message being heard by young people, their families or their teachers.</w:t>
      </w:r>
    </w:p>
    <w:p w14:paraId="2C2FE728" w14:textId="77777777" w:rsidR="009757A9" w:rsidRDefault="00083242">
      <w:pPr>
        <w:spacing w:before="152" w:line="242" w:lineRule="exact"/>
        <w:ind w:left="1296"/>
        <w:textAlignment w:val="baseline"/>
        <w:rPr>
          <w:rFonts w:ascii="Tahoma" w:eastAsia="Tahoma" w:hAnsi="Tahoma"/>
          <w:i/>
          <w:color w:val="007994"/>
          <w:sz w:val="21"/>
        </w:rPr>
      </w:pPr>
      <w:r>
        <w:rPr>
          <w:rFonts w:ascii="Tahoma" w:eastAsia="Tahoma" w:hAnsi="Tahoma"/>
          <w:i/>
          <w:color w:val="007994"/>
          <w:sz w:val="21"/>
        </w:rPr>
        <w:t>“The problem is not how the ATAR works, but how people think it works.”</w:t>
      </w:r>
    </w:p>
    <w:p w14:paraId="44C3A1A7" w14:textId="3FB1EA44" w:rsidR="009757A9" w:rsidRDefault="005443BD">
      <w:pPr>
        <w:spacing w:before="61" w:after="236" w:line="236" w:lineRule="exact"/>
        <w:ind w:left="7416"/>
        <w:textAlignment w:val="baseline"/>
        <w:rPr>
          <w:rFonts w:ascii="Tahoma" w:eastAsia="Tahoma" w:hAnsi="Tahoma"/>
          <w:i/>
          <w:color w:val="007994"/>
          <w:spacing w:val="3"/>
          <w:sz w:val="21"/>
        </w:rPr>
      </w:pPr>
      <w:r>
        <w:rPr>
          <w:noProof/>
          <w:lang w:val="en-AU" w:eastAsia="en-AU"/>
        </w:rPr>
        <mc:AlternateContent>
          <mc:Choice Requires="wps">
            <w:drawing>
              <wp:anchor distT="0" distB="0" distL="114300" distR="114300" simplePos="0" relativeHeight="251830784" behindDoc="0" locked="0" layoutInCell="1" allowOverlap="1" wp14:anchorId="0746B1FF" wp14:editId="4D640537">
                <wp:simplePos x="0" y="0"/>
                <wp:positionH relativeFrom="page">
                  <wp:posOffset>673735</wp:posOffset>
                </wp:positionH>
                <wp:positionV relativeFrom="page">
                  <wp:posOffset>2798445</wp:posOffset>
                </wp:positionV>
                <wp:extent cx="5907405" cy="0"/>
                <wp:effectExtent l="0" t="0" r="0" b="0"/>
                <wp:wrapNone/>
                <wp:docPr id="909" name="Lin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77BF" id="Line 630" o:spid="_x0000_s1026" style="position:absolute;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05pt,220.35pt" to="518.2pt,2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79H0gEAAIYDAAAOAAAAZHJzL2Uyb0RvYy54bWysU01v2zAMvQ/YfxB0X+y0TTobcXpI1l2y&#10;LUC7H8BIsi1MFgVRiZN/P0n5WLfdhl0ESiQfHx+pxdNxMOygPGm0DZ9OSs6UFSi17Rr+/fX5w0fO&#10;KICVYNCqhp8U8afl+3eL0dXqDns0UnkWQSzVo2t4H4Kri4JErwagCTplo7NFP0CIV98V0sMY0QdT&#10;3JXlvBjRS+dRKKL4uj47+TLjt60S4VvbkgrMNDxyC/n0+dyls1guoO48uF6LCw34BxYDaBuL3qDW&#10;EIDtvf4LatDCI2EbJgKHAttWC5V7iN1Myz+6eenBqdxLFIfcTSb6f7Di62HrmZYNr8qKMwtDHNJG&#10;W8Xm91md0VEdg1Z261N/4mhf3AbFD2IWVz3YTmWWrycXE6dJz+K3lHQhF2vsxi8oYwzsA2apjq0f&#10;EmQUgR3zRE63iahjYCI+zqry8aGccSauvgLqa6LzFD4rHFgyGm4i6wwMhw2FRATqa0iqY/FZG5MH&#10;biwbGz6/n5U5gdBomZwpjHy3WxnPDpBWpnysqofcVfS8DUvIa6D+HJdd52XyuLcyV+kVyE8XO4A2&#10;ZzuyMvaiUhImrSrVO5Snrb+qF4ed6V8WM23T23vO/vV9lj8BAAD//wMAUEsDBBQABgAIAAAAIQCc&#10;ToAb3AAAAAwBAAAPAAAAZHJzL2Rvd25yZXYueG1sTI/BbsIwDIbvk3iHyEi7jQTWFdQ1RYiJE5cN&#10;Ju1qGq/t1jhVE0p5+wVp0nb87U+/P+fr0bZioN43jjXMZwoEcelMw5WG9+PuYQXCB2SDrWPScCUP&#10;62Jyl2Nm3IXfaDiESsQS9hlqqEPoMil9WZNFP3Mdcdx9ut5iiLGvpOnxEsttKxdKpdJiw/FCjR1t&#10;ayq/D2erYYfq+Gr2e/flP56uWwzSvNCg9f103DyDCDSGPxhu+lEdiuh0cmc2XrQxq3QeUQ1JopYg&#10;boR6TBMQp9+RLHL5/4niBwAA//8DAFBLAQItABQABgAIAAAAIQC2gziS/gAAAOEBAAATAAAAAAAA&#10;AAAAAAAAAAAAAABbQ29udGVudF9UeXBlc10ueG1sUEsBAi0AFAAGAAgAAAAhADj9If/WAAAAlAEA&#10;AAsAAAAAAAAAAAAAAAAALwEAAF9yZWxzLy5yZWxzUEsBAi0AFAAGAAgAAAAhAAOXv0fSAQAAhgMA&#10;AA4AAAAAAAAAAAAAAAAALgIAAGRycy9lMm9Eb2MueG1sUEsBAi0AFAAGAAgAAAAhAJxOgBvcAAAA&#10;DAEAAA8AAAAAAAAAAAAAAAAALAQAAGRycy9kb3ducmV2LnhtbFBLBQYAAAAABAAEAPMAAAA1BQAA&#10;AAA=&#10;" strokecolor="#007994" strokeweight=".5pt">
                <w10:wrap anchorx="page" anchory="page"/>
              </v:line>
            </w:pict>
          </mc:Fallback>
        </mc:AlternateContent>
      </w:r>
      <w:r w:rsidR="00083242">
        <w:rPr>
          <w:rFonts w:ascii="Tahoma" w:eastAsia="Tahoma" w:hAnsi="Tahoma"/>
          <w:i/>
          <w:color w:val="007994"/>
          <w:spacing w:val="3"/>
          <w:sz w:val="21"/>
        </w:rPr>
        <w:t>Universities Australia submission</w:t>
      </w:r>
    </w:p>
    <w:p w14:paraId="201D5F62" w14:textId="17695A17" w:rsidR="009757A9" w:rsidRPr="005443BD" w:rsidRDefault="00083242" w:rsidP="005443BD">
      <w:pPr>
        <w:spacing w:before="240" w:line="240" w:lineRule="exact"/>
        <w:ind w:left="792" w:right="864"/>
        <w:textAlignment w:val="baseline"/>
        <w:rPr>
          <w:rFonts w:ascii="Tahoma" w:eastAsia="Tahoma" w:hAnsi="Tahoma" w:cs="Tahoma"/>
          <w:color w:val="404042"/>
          <w:sz w:val="18"/>
        </w:rPr>
      </w:pPr>
      <w:r w:rsidRPr="005443BD">
        <w:rPr>
          <w:rFonts w:ascii="Tahoma" w:eastAsia="Tahoma" w:hAnsi="Tahoma" w:cs="Tahoma"/>
          <w:color w:val="404042"/>
          <w:sz w:val="18"/>
        </w:rPr>
        <w:t xml:space="preserve">The ATAR, or at least the manner in which it is perceived, dominates senior secondary education. It drives expectations. Many students and their parents see the ATAR as a single number that sums up a person’s 13 years of schooling and their likelihood of future success in life. Yet the real purpose of the ATAR is to provide a method of ranking. Quite simply, </w:t>
      </w:r>
      <w:r w:rsidRPr="005443BD">
        <w:rPr>
          <w:rFonts w:ascii="Tahoma" w:eastAsia="Verdana" w:hAnsi="Tahoma" w:cs="Tahoma"/>
          <w:color w:val="404042"/>
          <w:sz w:val="18"/>
        </w:rPr>
        <w:t xml:space="preserve">it compares the achievement of students who have completed different combinations of subjects, for the purpose of </w:t>
      </w:r>
      <w:r w:rsidRPr="005443BD">
        <w:rPr>
          <w:rFonts w:ascii="Tahoma" w:eastAsia="Tahoma" w:hAnsi="Tahoma" w:cs="Tahoma"/>
          <w:color w:val="404042"/>
          <w:sz w:val="18"/>
        </w:rPr>
        <w:t>entry to university.</w:t>
      </w:r>
    </w:p>
    <w:p w14:paraId="21E0F2AB" w14:textId="77777777" w:rsidR="009757A9" w:rsidRPr="005443BD" w:rsidRDefault="00083242">
      <w:pPr>
        <w:spacing w:before="173" w:line="240" w:lineRule="exact"/>
        <w:ind w:left="792" w:right="864"/>
        <w:textAlignment w:val="baseline"/>
        <w:rPr>
          <w:rFonts w:ascii="Tahoma" w:eastAsia="Tahoma" w:hAnsi="Tahoma" w:cs="Tahoma"/>
          <w:color w:val="404042"/>
          <w:sz w:val="18"/>
        </w:rPr>
      </w:pPr>
      <w:r w:rsidRPr="005443BD">
        <w:rPr>
          <w:rFonts w:ascii="Tahoma" w:eastAsia="Tahoma" w:hAnsi="Tahoma" w:cs="Tahoma"/>
          <w:color w:val="404042"/>
          <w:sz w:val="18"/>
        </w:rPr>
        <w:t xml:space="preserve">The ATAR is not a measure of performance in senior secondary school. It is not a mark or grade. It is not an indicator of school or university quality. It is a ranking system that provides a relative measure of a student’s academic achievement across the senior secondary years relative to all other students in the same year. The ATAR (or its predecessors) has been used by higher education institutions since the 1970s, either on its own or in conjunction with other criteria, </w:t>
      </w:r>
      <w:r w:rsidRPr="005443BD">
        <w:rPr>
          <w:rFonts w:ascii="Tahoma" w:eastAsia="Verdana" w:hAnsi="Tahoma" w:cs="Tahoma"/>
          <w:color w:val="404042"/>
          <w:sz w:val="18"/>
        </w:rPr>
        <w:t xml:space="preserve">to rank and select school leavers for an offer of admission. It is a very Australian approach: there are few education systems around the world that depend on a single score to define academic achievement. Yet here it continues to hold </w:t>
      </w:r>
      <w:r w:rsidRPr="005443BD">
        <w:rPr>
          <w:rFonts w:ascii="Tahoma" w:eastAsia="Tahoma" w:hAnsi="Tahoma" w:cs="Tahoma"/>
          <w:color w:val="404042"/>
          <w:sz w:val="18"/>
        </w:rPr>
        <w:t>sway: indeed, Queensland will from this year join other jurisdictions in calculating ATAR scores for students.</w:t>
      </w:r>
    </w:p>
    <w:p w14:paraId="4DCA4936" w14:textId="77777777" w:rsidR="009757A9" w:rsidRPr="005443BD" w:rsidRDefault="00083242">
      <w:pPr>
        <w:spacing w:before="165" w:line="241" w:lineRule="exact"/>
        <w:ind w:left="792" w:right="1152"/>
        <w:textAlignment w:val="baseline"/>
        <w:rPr>
          <w:rFonts w:ascii="Tahoma" w:eastAsia="Verdana" w:hAnsi="Tahoma" w:cs="Tahoma"/>
          <w:color w:val="404042"/>
          <w:sz w:val="18"/>
        </w:rPr>
      </w:pPr>
      <w:r w:rsidRPr="005443BD">
        <w:rPr>
          <w:rFonts w:ascii="Tahoma" w:eastAsia="Verdana" w:hAnsi="Tahoma" w:cs="Tahoma"/>
          <w:color w:val="404042"/>
          <w:sz w:val="18"/>
        </w:rPr>
        <w:t>In 2018, 28 per cent of all university offers made were for those with an ATAR of at least 70.05.</w:t>
      </w:r>
      <w:r w:rsidRPr="005443BD">
        <w:rPr>
          <w:rFonts w:ascii="Tahoma" w:eastAsia="Tahoma" w:hAnsi="Tahoma" w:cs="Tahoma"/>
          <w:color w:val="404042"/>
          <w:sz w:val="18"/>
          <w:vertAlign w:val="superscript"/>
        </w:rPr>
        <w:t>33</w:t>
      </w:r>
      <w:r w:rsidRPr="005443BD">
        <w:rPr>
          <w:rFonts w:ascii="Tahoma" w:eastAsia="Tahoma" w:hAnsi="Tahoma" w:cs="Tahoma"/>
          <w:color w:val="404042"/>
          <w:sz w:val="18"/>
        </w:rPr>
        <w:t xml:space="preserve"> This translates to 77,417 students obtaining entry on the basis of their ATAR score.</w:t>
      </w:r>
      <w:r w:rsidRPr="005443BD">
        <w:rPr>
          <w:rFonts w:ascii="Tahoma" w:eastAsia="Tahoma" w:hAnsi="Tahoma" w:cs="Tahoma"/>
          <w:color w:val="404042"/>
          <w:sz w:val="18"/>
          <w:vertAlign w:val="superscript"/>
        </w:rPr>
        <w:t>34</w:t>
      </w:r>
      <w:r w:rsidRPr="005443BD">
        <w:rPr>
          <w:rFonts w:ascii="Tahoma" w:eastAsia="Verdana" w:hAnsi="Tahoma" w:cs="Tahoma"/>
          <w:color w:val="404042"/>
          <w:sz w:val="18"/>
        </w:rPr>
        <w:t xml:space="preserve"> It provides an efficient if simplistic mechanism for </w:t>
      </w:r>
      <w:r w:rsidRPr="005443BD">
        <w:rPr>
          <w:rFonts w:ascii="Tahoma" w:eastAsia="Tahoma" w:hAnsi="Tahoma" w:cs="Tahoma"/>
          <w:color w:val="404042"/>
          <w:sz w:val="18"/>
        </w:rPr>
        <w:t>universities to make comparisons.</w:t>
      </w:r>
    </w:p>
    <w:p w14:paraId="64677435" w14:textId="0CE0D6B2" w:rsidR="009757A9" w:rsidRPr="005443BD" w:rsidRDefault="005443BD" w:rsidP="005443BD">
      <w:pPr>
        <w:spacing w:before="169" w:after="240" w:line="240" w:lineRule="exact"/>
        <w:ind w:left="792" w:right="1152"/>
        <w:textAlignment w:val="baseline"/>
        <w:rPr>
          <w:rFonts w:ascii="Tahoma" w:eastAsia="Tahoma" w:hAnsi="Tahoma" w:cs="Tahoma"/>
          <w:color w:val="404042"/>
          <w:sz w:val="18"/>
        </w:rPr>
      </w:pPr>
      <w:r w:rsidRPr="005443BD">
        <w:rPr>
          <w:rFonts w:ascii="Tahoma" w:hAnsi="Tahoma" w:cs="Tahoma"/>
          <w:noProof/>
          <w:lang w:val="en-AU" w:eastAsia="en-AU"/>
        </w:rPr>
        <mc:AlternateContent>
          <mc:Choice Requires="wps">
            <w:drawing>
              <wp:anchor distT="0" distB="0" distL="114300" distR="114300" simplePos="0" relativeHeight="251831808" behindDoc="0" locked="0" layoutInCell="1" allowOverlap="1" wp14:anchorId="79BC7D2B" wp14:editId="4CAD1683">
                <wp:simplePos x="0" y="0"/>
                <wp:positionH relativeFrom="page">
                  <wp:posOffset>641985</wp:posOffset>
                </wp:positionH>
                <wp:positionV relativeFrom="page">
                  <wp:posOffset>5862955</wp:posOffset>
                </wp:positionV>
                <wp:extent cx="5907405" cy="0"/>
                <wp:effectExtent l="0" t="0" r="0" b="0"/>
                <wp:wrapNone/>
                <wp:docPr id="908"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E2225" id="Line 629" o:spid="_x0000_s1026" style="position:absolute;z-index:2518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55pt,461.65pt" to="515.7pt,4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Pk0QEAAIYDAAAOAAAAZHJzL2Uyb0RvYy54bWysU01v2zAMvQ/YfxB0X+xkTboYcXpI1l2y&#10;LUDbH8BIcixMFgVJiZ1/P0r5aLfdil0ESiQfHx+pxcPQGXZUPmi0NR+PSs6UFSi13df85fnx0xfO&#10;QgQrwaBVNT+pwB+WHz8selepCbZopPKMQGyoelfzNkZXFUUQreogjNApS84GfQeRrn5fSA89oXem&#10;mJTlrOjRS+dRqBDodX128mXGbxol4s+mCSoyU3PiFvPp87lLZ7FcQLX34FotLjTgHSw60JaK3qDW&#10;EIEdvP4HqtPCY8AmjgR2BTaNFir3QN2My7+6eWrBqdwLiRPcTabw/2DFj+PWMy1rPi9pVBY6GtJG&#10;W8Vmk3lSp3ehoqCV3frUnxjsk9ug+BWYxVULdq8yy+eTo8Rxyij+SEmX4KjGrv+OkmLgEDFLNTS+&#10;S5AkAhvyRE63iaghMkGP03l5f1dOORNXXwHVNdH5EL8p7Fgyam6IdQaG4ybERASqa0iqY/FRG5MH&#10;bizraz77PC1zQkCjZXKmsOD3u5Xx7AhpZcr7+fwud0Wet2EJeQ2hPcdl13mZPB6szFVaBfLrxY6g&#10;zdkmVsZeVErCnCXeoTxt/VU9Gnamf1nMtE1v7zn79fssfwMAAP//AwBQSwMEFAAGAAgAAAAhABCX&#10;RBXdAAAADAEAAA8AAABkcnMvZG93bnJldi54bWxMj8FuwjAMhu+TeIfISLuNpHSboGuKEIgTlw0m&#10;7Woar+3WOFUTSnn7BWnSdvztT78/56vRtmKg3jeONSQzBYK4dKbhSsP7cfewAOEDssHWMWm4kodV&#10;MbnLMTPuwm80HEIlYgn7DDXUIXSZlL6syaKfuY447j5dbzHE2FfS9HiJ5baVc6WepcWG44UaO9rU&#10;VH4fzlbDDtXx1ez37st/PF03GKTZ0qD1/XRcv4AINIY/GG76UR2K6HRyZzZetDGrJImohuU8TUHc&#10;CJUmjyBOvyNZ5PL/E8UPAAAA//8DAFBLAQItABQABgAIAAAAIQC2gziS/gAAAOEBAAATAAAAAAAA&#10;AAAAAAAAAAAAAABbQ29udGVudF9UeXBlc10ueG1sUEsBAi0AFAAGAAgAAAAhADj9If/WAAAAlAEA&#10;AAsAAAAAAAAAAAAAAAAALwEAAF9yZWxzLy5yZWxzUEsBAi0AFAAGAAgAAAAhABpp0+TRAQAAhgMA&#10;AA4AAAAAAAAAAAAAAAAALgIAAGRycy9lMm9Eb2MueG1sUEsBAi0AFAAGAAgAAAAhABCXRBXdAAAA&#10;DAEAAA8AAAAAAAAAAAAAAAAAKwQAAGRycy9kb3ducmV2LnhtbFBLBQYAAAAABAAEAPMAAAA1BQAA&#10;AAA=&#10;" strokecolor="#007994" strokeweight=".5pt">
                <w10:wrap anchorx="page" anchory="page"/>
              </v:line>
            </w:pict>
          </mc:Fallback>
        </mc:AlternateContent>
      </w:r>
      <w:r w:rsidR="00083242" w:rsidRPr="005443BD">
        <w:rPr>
          <w:rFonts w:ascii="Tahoma" w:eastAsia="Tahoma" w:hAnsi="Tahoma" w:cs="Tahoma"/>
          <w:color w:val="404042"/>
          <w:sz w:val="18"/>
        </w:rPr>
        <w:t>There is some evidence that the ATAR functions as a predictor of success for students entering university, at least at the extremes:</w:t>
      </w:r>
    </w:p>
    <w:p w14:paraId="4B8F8704" w14:textId="329FB54A" w:rsidR="009757A9" w:rsidRDefault="00083242" w:rsidP="005443BD">
      <w:pPr>
        <w:spacing w:before="152" w:line="242" w:lineRule="exact"/>
        <w:ind w:left="1296" w:right="1703"/>
        <w:textAlignment w:val="baseline"/>
        <w:rPr>
          <w:rFonts w:ascii="Tahoma" w:eastAsia="Tahoma" w:hAnsi="Tahoma"/>
          <w:i/>
          <w:color w:val="007994"/>
          <w:sz w:val="13"/>
        </w:rPr>
      </w:pPr>
      <w:r>
        <w:rPr>
          <w:rFonts w:ascii="Tahoma" w:eastAsia="Tahoma" w:hAnsi="Tahoma"/>
          <w:i/>
          <w:color w:val="007994"/>
          <w:sz w:val="21"/>
        </w:rPr>
        <w:t>[S]tudents with a higher ATAR are more likely to do well at university. Over the past decade, more</w:t>
      </w:r>
      <w:r w:rsidR="005443BD">
        <w:rPr>
          <w:rFonts w:ascii="Tahoma" w:eastAsia="Tahoma" w:hAnsi="Tahoma"/>
          <w:i/>
          <w:color w:val="007994"/>
          <w:sz w:val="21"/>
        </w:rPr>
        <w:t xml:space="preserve"> t</w:t>
      </w:r>
      <w:r w:rsidRPr="005443BD">
        <w:rPr>
          <w:rFonts w:ascii="Tahoma" w:eastAsia="Tahoma" w:hAnsi="Tahoma"/>
          <w:i/>
          <w:color w:val="007994"/>
          <w:sz w:val="21"/>
        </w:rPr>
        <w:t>han one in 10 students with an ATAR lower than 60 failed all their subjects in the first semester. The failure rate for students with an ATAR of 90 or more was less than a fifth of that.</w:t>
      </w:r>
      <w:r>
        <w:rPr>
          <w:rFonts w:ascii="Tahoma" w:eastAsia="Tahoma" w:hAnsi="Tahoma"/>
          <w:i/>
          <w:color w:val="007994"/>
          <w:sz w:val="18"/>
          <w:vertAlign w:val="superscript"/>
        </w:rPr>
        <w:t>35</w:t>
      </w:r>
      <w:r>
        <w:rPr>
          <w:rFonts w:ascii="Tahoma" w:eastAsia="Tahoma" w:hAnsi="Tahoma"/>
          <w:i/>
          <w:color w:val="007994"/>
          <w:sz w:val="13"/>
        </w:rPr>
        <w:t xml:space="preserve"> </w:t>
      </w:r>
    </w:p>
    <w:p w14:paraId="498B7C2E" w14:textId="33FAB791" w:rsidR="005443BD" w:rsidRDefault="005443BD" w:rsidP="005443BD">
      <w:pPr>
        <w:spacing w:before="152" w:line="242" w:lineRule="exact"/>
        <w:ind w:left="1296"/>
        <w:textAlignment w:val="baseline"/>
        <w:rPr>
          <w:rFonts w:ascii="Verdana" w:eastAsia="Verdana" w:hAnsi="Verdana"/>
          <w:i/>
          <w:color w:val="007994"/>
          <w:sz w:val="18"/>
        </w:rPr>
      </w:pPr>
      <w:r w:rsidRPr="005443BD">
        <w:rPr>
          <w:rFonts w:ascii="Tahoma" w:eastAsia="Tahoma" w:hAnsi="Tahoma"/>
          <w:i/>
          <w:noProof/>
          <w:color w:val="007994"/>
          <w:sz w:val="21"/>
        </w:rPr>
        <mc:AlternateContent>
          <mc:Choice Requires="wps">
            <w:drawing>
              <wp:anchor distT="0" distB="0" distL="114300" distR="114300" simplePos="0" relativeHeight="251832832" behindDoc="0" locked="0" layoutInCell="1" allowOverlap="1" wp14:anchorId="3790EB06" wp14:editId="6AE52A67">
                <wp:simplePos x="0" y="0"/>
                <wp:positionH relativeFrom="page">
                  <wp:posOffset>641985</wp:posOffset>
                </wp:positionH>
                <wp:positionV relativeFrom="page">
                  <wp:posOffset>6792595</wp:posOffset>
                </wp:positionV>
                <wp:extent cx="5907405" cy="0"/>
                <wp:effectExtent l="0" t="0" r="0" b="0"/>
                <wp:wrapNone/>
                <wp:docPr id="907"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146A5" id="Line 628"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55pt,534.85pt" to="515.7pt,5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U80QEAAIYDAAAOAAAAZHJzL2Uyb0RvYy54bWysU01v2zAMvQ/YfxB0X+xkTdoYcXpI1l2y&#10;LUDbH8BIcixMFgVJiZ1/P0r5WLfdil0ESiQfHx+pxePQGXZUPmi0NR+PSs6UFSi13df89eXp0wNn&#10;IYKVYNCqmp9U4I/Ljx8WvavUBFs0UnlGIDZUvat5G6OriiKIVnUQRuiUJWeDvoNIV78vpIee0DtT&#10;TMpyVvTopfMoVAj0uj47+TLjN40S8UfTBBWZqTlxi/n0+dyls1guoNp7cK0WFxrwDhYdaEtFb1Br&#10;iMAOXv8D1WnhMWATRwK7AptGC5V7oG7G5V/dPLfgVO6FxAnuJlP4f7Di+3HrmZY1n5f3nFnoaEgb&#10;bRWbTR6SOr0LFQWt7Nan/sRgn90Gxc/ALK5asHuVWb6cHCWOU0bxR0q6BEc1dv03lBQDh4hZqqHx&#10;XYIkEdiQJ3K6TUQNkQl6nBKru3LKmbj6Cqiuic6H+FVhx5JRc0OsMzAcNyEmIlBdQ1Idi0/amDxw&#10;Y1lf89nnaZkTAhotkzOFBb/frYxnR0grU97P53e5K/K8DUvIawjtOS67zsvk8WBlrtIqkF8udgRt&#10;zjaxMvaiUhLmLPEO5Wnrr+rRsDP9y2KmbXp7z9m/v8/yFwAAAP//AwBQSwMEFAAGAAgAAAAhAIUk&#10;sgzdAAAADgEAAA8AAABkcnMvZG93bnJldi54bWxMj0FPwzAMhe9I+w+RJ3FjSQcbUJpOaGinXWBD&#10;4uo1pi1rnKrJuu7fkx7QuPnZT8/fy1aDbURPna8da0hmCgRx4UzNpYbP/ebuCYQPyAYbx6ThQh5W&#10;+eQmw9S4M39QvwuliCHsU9RQhdCmUvqiIot+5lriePt2ncUQZVdK0+E5httGzpVaSos1xw8VtrSu&#10;qDjuTlbDBtX+3Wy37sd/LS5rDNK8Ua/17XR4fQERaAhXM4z4ER3yyHRwJzZeNFGrJInWcVg+P4IY&#10;Leo+eQBx+NvJPJP/a+S/AAAA//8DAFBLAQItABQABgAIAAAAIQC2gziS/gAAAOEBAAATAAAAAAAA&#10;AAAAAAAAAAAAAABbQ29udGVudF9UeXBlc10ueG1sUEsBAi0AFAAGAAgAAAAhADj9If/WAAAAlAEA&#10;AAsAAAAAAAAAAAAAAAAALwEAAF9yZWxzLy5yZWxzUEsBAi0AFAAGAAgAAAAhAAe49TzRAQAAhgMA&#10;AA4AAAAAAAAAAAAAAAAALgIAAGRycy9lMm9Eb2MueG1sUEsBAi0AFAAGAAgAAAAhAIUksgzdAAAA&#10;DgEAAA8AAAAAAAAAAAAAAAAAKwQAAGRycy9kb3ducmV2LnhtbFBLBQYAAAAABAAEAPMAAAA1BQAA&#10;AAA=&#10;" strokecolor="#007994" strokeweight=".5pt">
                <w10:wrap anchorx="page" anchory="page"/>
              </v:line>
            </w:pict>
          </mc:Fallback>
        </mc:AlternateContent>
      </w:r>
    </w:p>
    <w:p w14:paraId="1DB1C7F7" w14:textId="2D3C1905" w:rsidR="005443BD" w:rsidRDefault="005443BD" w:rsidP="005443BD">
      <w:pPr>
        <w:spacing w:before="152" w:line="242" w:lineRule="exact"/>
        <w:ind w:left="1296"/>
        <w:textAlignment w:val="baseline"/>
        <w:rPr>
          <w:rFonts w:ascii="Verdana" w:eastAsia="Verdana" w:hAnsi="Verdana"/>
          <w:i/>
          <w:color w:val="007994"/>
          <w:sz w:val="18"/>
        </w:rPr>
      </w:pPr>
    </w:p>
    <w:p w14:paraId="7598A463" w14:textId="7BE7666B" w:rsidR="005443BD" w:rsidRDefault="005443BD" w:rsidP="005443BD">
      <w:pPr>
        <w:spacing w:before="152" w:line="242" w:lineRule="exact"/>
        <w:ind w:left="1296"/>
        <w:textAlignment w:val="baseline"/>
        <w:rPr>
          <w:rFonts w:ascii="Verdana" w:eastAsia="Verdana" w:hAnsi="Verdana"/>
          <w:i/>
          <w:color w:val="007994"/>
          <w:sz w:val="18"/>
        </w:rPr>
      </w:pPr>
    </w:p>
    <w:p w14:paraId="77510BD5" w14:textId="7B3FD90B" w:rsidR="005443BD" w:rsidRDefault="005443BD" w:rsidP="005443BD">
      <w:pPr>
        <w:spacing w:before="152" w:line="242" w:lineRule="exact"/>
        <w:ind w:left="1296"/>
        <w:textAlignment w:val="baseline"/>
        <w:rPr>
          <w:rFonts w:ascii="Verdana" w:eastAsia="Verdana" w:hAnsi="Verdana"/>
          <w:i/>
          <w:color w:val="007994"/>
          <w:sz w:val="18"/>
        </w:rPr>
      </w:pPr>
    </w:p>
    <w:p w14:paraId="5B768623" w14:textId="6D04D264" w:rsidR="005443BD" w:rsidRDefault="005443BD" w:rsidP="005443BD">
      <w:pPr>
        <w:spacing w:before="152" w:line="242" w:lineRule="exact"/>
        <w:ind w:left="1296"/>
        <w:textAlignment w:val="baseline"/>
        <w:rPr>
          <w:rFonts w:ascii="Verdana" w:eastAsia="Verdana" w:hAnsi="Verdana"/>
          <w:i/>
          <w:color w:val="007994"/>
          <w:sz w:val="18"/>
        </w:rPr>
      </w:pPr>
    </w:p>
    <w:p w14:paraId="6D0832D2" w14:textId="6E92A317" w:rsidR="005443BD" w:rsidRDefault="005443BD" w:rsidP="005443BD">
      <w:pPr>
        <w:spacing w:before="152" w:line="242" w:lineRule="exact"/>
        <w:ind w:left="1296"/>
        <w:textAlignment w:val="baseline"/>
        <w:rPr>
          <w:rFonts w:ascii="Verdana" w:eastAsia="Verdana" w:hAnsi="Verdana"/>
          <w:i/>
          <w:color w:val="007994"/>
          <w:sz w:val="18"/>
        </w:rPr>
      </w:pPr>
    </w:p>
    <w:p w14:paraId="0A878C7D" w14:textId="0D2556E1" w:rsidR="005443BD" w:rsidRDefault="005443BD" w:rsidP="005443BD">
      <w:pPr>
        <w:spacing w:before="152" w:line="242" w:lineRule="exact"/>
        <w:ind w:left="1296"/>
        <w:textAlignment w:val="baseline"/>
        <w:rPr>
          <w:rFonts w:ascii="Verdana" w:eastAsia="Verdana" w:hAnsi="Verdana"/>
          <w:i/>
          <w:color w:val="007994"/>
          <w:sz w:val="18"/>
        </w:rPr>
      </w:pPr>
    </w:p>
    <w:p w14:paraId="27342A8E" w14:textId="77777777" w:rsidR="005443BD" w:rsidRDefault="005443BD" w:rsidP="008E77FA">
      <w:pPr>
        <w:spacing w:before="152" w:line="242" w:lineRule="exact"/>
        <w:textAlignment w:val="baseline"/>
        <w:rPr>
          <w:rFonts w:ascii="Verdana" w:eastAsia="Verdana" w:hAnsi="Verdana"/>
          <w:i/>
          <w:color w:val="007994"/>
          <w:sz w:val="18"/>
        </w:rPr>
      </w:pPr>
    </w:p>
    <w:p w14:paraId="5C3B8DE0" w14:textId="6004C7D9" w:rsidR="009757A9" w:rsidRDefault="000D2E34">
      <w:pPr>
        <w:spacing w:line="202" w:lineRule="exact"/>
        <w:ind w:left="1080" w:right="1080" w:hanging="288"/>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33856" behindDoc="0" locked="0" layoutInCell="1" allowOverlap="1" wp14:anchorId="69E2B65F" wp14:editId="78B8AE54">
                <wp:simplePos x="0" y="0"/>
                <wp:positionH relativeFrom="page">
                  <wp:posOffset>492125</wp:posOffset>
                </wp:positionH>
                <wp:positionV relativeFrom="page">
                  <wp:posOffset>8588375</wp:posOffset>
                </wp:positionV>
                <wp:extent cx="917575" cy="0"/>
                <wp:effectExtent l="0" t="0" r="0" b="0"/>
                <wp:wrapNone/>
                <wp:docPr id="906"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42D11" id="Line 627" o:spid="_x0000_s1026" style="position:absolute;z-index:25183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75pt,676.25pt" to="111pt,6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Y+zQEAAIYDAAAOAAAAZHJzL2Uyb0RvYy54bWysU8GO2jAQvVfqP1i+lwQkoBsR9gDdXmiL&#10;tNsPGGwnsep4LNsQ+PuOHaDb7m3VHCyPZ+bNmzeT1eO5N+ykfNBoaz6dlJwpK1Bq29b858vTp8+c&#10;hQhWgkGran5RgT+uP35YDa5SM+zQSOUZgdhQDa7mXYyuKoogOtVDmKBTlpwN+h4imb4tpIeB0HtT&#10;zMpyUQzopfMoVAj0uh2dfJ3xm0aJ+KNpgorM1Jy4xXz6fB7SWaxXULUeXKfFlQa8g0UP2lLRO9QW&#10;IrCj12+gei08BmziRGBfYNNooXIP1M20/Keb5w6cyr2QOMHdZQr/D1Z8P+0907LmD+WCMws9DWmn&#10;rWKL2TKpM7hQUdDG7n3qT5zts9uh+BWYxU0HtlWZ5cvFUeI0ZRR/pSQjOKpxGL6hpBg4RsxSnRvf&#10;J0gSgZ3zRC73iahzZIIeH6bL+XLOmbi5Cqhuec6H+FVhz9Kl5oZIZ1w47UJMPKC6haQyFp+0MXne&#10;xrKByM7KxTxnBDRaJm+KC749bIxnJ0grk7/cFXlehyXoLYRujMuucZk8Hq3MZToF8sv1HkGb8U60&#10;jL2qlIQZJT6gvOz9TT0aduZ/Xcy0Ta/tnP3n91n/BgAA//8DAFBLAwQUAAYACAAAACEAooRf2t8A&#10;AAAMAQAADwAAAGRycy9kb3ducmV2LnhtbEyPQU/DMAyF70j8h8iTuCCWEjZWlaYTmgQ30NhA7Jg1&#10;XlvROFWTreXfYw6I3eznp+fv5cvRteKEfWg8abidJiCQSm8bqjS8b59uUhAhGrKm9YQavjHAsri8&#10;yE1m/UBveNrESnAIhcxoqGPsMilDWaMzYeo7JL4dfO9M5LWvpO3NwOGulSpJ7qUzDfGH2nS4qrH8&#10;2hydBimTdDZ+fA4vs+uQNrtVtXt+XWt9NRkfH0BEHOO/GX7xGR0KZtr7I9kgWg2LxZydrN/NFU/s&#10;UEpxu/2fJItcnpcofgAAAP//AwBQSwECLQAUAAYACAAAACEAtoM4kv4AAADhAQAAEwAAAAAAAAAA&#10;AAAAAAAAAAAAW0NvbnRlbnRfVHlwZXNdLnhtbFBLAQItABQABgAIAAAAIQA4/SH/1gAAAJQBAAAL&#10;AAAAAAAAAAAAAAAAAC8BAABfcmVscy8ucmVsc1BLAQItABQABgAIAAAAIQBuZyY+zQEAAIYDAAAO&#10;AAAAAAAAAAAAAAAAAC4CAABkcnMvZTJvRG9jLnhtbFBLAQItABQABgAIAAAAIQCihF/a3wAAAAwB&#10;AAAPAAAAAAAAAAAAAAAAACcEAABkcnMvZG93bnJldi54bWxQSwUGAAAAAAQABADzAAAAMwUAAAAA&#10;" strokeweight=".95pt">
                <w10:wrap anchorx="page" anchory="page"/>
              </v:line>
            </w:pict>
          </mc:Fallback>
        </mc:AlternateContent>
      </w:r>
      <w:r w:rsidR="00083242">
        <w:rPr>
          <w:rFonts w:ascii="Tahoma" w:eastAsia="Tahoma" w:hAnsi="Tahoma"/>
          <w:color w:val="404042"/>
          <w:sz w:val="14"/>
        </w:rPr>
        <w:t xml:space="preserve">33 </w:t>
      </w:r>
      <w:r w:rsidR="008E77FA">
        <w:rPr>
          <w:rFonts w:ascii="Tahoma" w:eastAsia="Tahoma" w:hAnsi="Tahoma"/>
          <w:color w:val="404042"/>
          <w:sz w:val="14"/>
        </w:rPr>
        <w:tab/>
      </w:r>
      <w:r w:rsidR="00083242">
        <w:rPr>
          <w:rFonts w:ascii="Tahoma" w:eastAsia="Tahoma" w:hAnsi="Tahoma"/>
          <w:color w:val="404042"/>
          <w:sz w:val="14"/>
        </w:rPr>
        <w:t xml:space="preserve">Commonwealth Department of Education (2019c), </w:t>
      </w:r>
      <w:r w:rsidR="00083242">
        <w:rPr>
          <w:rFonts w:ascii="Verdana" w:eastAsia="Verdana" w:hAnsi="Verdana"/>
          <w:i/>
          <w:color w:val="404042"/>
          <w:sz w:val="14"/>
        </w:rPr>
        <w:t>Undergraduate Applications, Offers and Acceptances 2019</w:t>
      </w:r>
      <w:r w:rsidR="00083242">
        <w:rPr>
          <w:rFonts w:ascii="Tahoma" w:eastAsia="Tahoma" w:hAnsi="Tahoma"/>
          <w:color w:val="404042"/>
          <w:sz w:val="14"/>
        </w:rPr>
        <w:t xml:space="preserve">, October 2019, </w:t>
      </w:r>
      <w:hyperlink r:id="rId102">
        <w:r w:rsidR="00083242">
          <w:rPr>
            <w:rFonts w:ascii="Tahoma" w:eastAsia="Tahoma" w:hAnsi="Tahoma"/>
            <w:color w:val="0000FF"/>
            <w:sz w:val="14"/>
            <w:u w:val="single"/>
          </w:rPr>
          <w:t xml:space="preserve">https://docs.education. </w:t>
        </w:r>
      </w:hyperlink>
      <w:r w:rsidR="00083242">
        <w:rPr>
          <w:rFonts w:ascii="Verdana" w:eastAsia="Verdana" w:hAnsi="Verdana"/>
          <w:color w:val="0000FF"/>
          <w:sz w:val="14"/>
          <w:u w:val="single"/>
        </w:rPr>
        <w:t>gov.au/system/files/doc/other/dept_of_education_-_undergraduate_applicationsoffers_and_acceptances_2019.pdf</w:t>
      </w:r>
      <w:r w:rsidR="00083242">
        <w:rPr>
          <w:rFonts w:ascii="Tahoma" w:eastAsia="Tahoma" w:hAnsi="Tahoma"/>
          <w:color w:val="404042"/>
          <w:sz w:val="14"/>
        </w:rPr>
        <w:t>.</w:t>
      </w:r>
    </w:p>
    <w:p w14:paraId="73BEBA04" w14:textId="507F4D2B" w:rsidR="009757A9" w:rsidRDefault="00083242">
      <w:pPr>
        <w:spacing w:before="26" w:line="166" w:lineRule="exact"/>
        <w:ind w:left="792"/>
        <w:textAlignment w:val="baseline"/>
        <w:rPr>
          <w:rFonts w:ascii="Tahoma" w:eastAsia="Tahoma" w:hAnsi="Tahoma"/>
          <w:color w:val="404042"/>
          <w:spacing w:val="2"/>
          <w:sz w:val="14"/>
        </w:rPr>
      </w:pPr>
      <w:r>
        <w:rPr>
          <w:rFonts w:ascii="Tahoma" w:eastAsia="Tahoma" w:hAnsi="Tahoma"/>
          <w:color w:val="404042"/>
          <w:spacing w:val="2"/>
          <w:sz w:val="14"/>
        </w:rPr>
        <w:t>34</w:t>
      </w:r>
      <w:r w:rsidR="008E77FA">
        <w:rPr>
          <w:rFonts w:ascii="Tahoma" w:eastAsia="Tahoma" w:hAnsi="Tahoma"/>
          <w:color w:val="404042"/>
          <w:spacing w:val="2"/>
          <w:sz w:val="14"/>
        </w:rPr>
        <w:t xml:space="preserve">  </w:t>
      </w:r>
      <w:r>
        <w:rPr>
          <w:rFonts w:ascii="Tahoma" w:eastAsia="Tahoma" w:hAnsi="Tahoma"/>
          <w:color w:val="404042"/>
          <w:spacing w:val="2"/>
          <w:sz w:val="14"/>
        </w:rPr>
        <w:t xml:space="preserve"> Ibid., pp. 6 and 8.</w:t>
      </w:r>
    </w:p>
    <w:p w14:paraId="76F31E04" w14:textId="580971CB" w:rsidR="009757A9" w:rsidRDefault="00083242">
      <w:pPr>
        <w:spacing w:before="5" w:line="199" w:lineRule="exact"/>
        <w:ind w:left="1080" w:right="864" w:hanging="288"/>
        <w:textAlignment w:val="baseline"/>
        <w:rPr>
          <w:rFonts w:ascii="Tahoma" w:eastAsia="Tahoma" w:hAnsi="Tahoma"/>
          <w:color w:val="404042"/>
          <w:sz w:val="14"/>
        </w:rPr>
      </w:pPr>
      <w:r>
        <w:rPr>
          <w:rFonts w:ascii="Tahoma" w:eastAsia="Tahoma" w:hAnsi="Tahoma"/>
          <w:color w:val="404042"/>
          <w:sz w:val="14"/>
        </w:rPr>
        <w:t xml:space="preserve">35 </w:t>
      </w:r>
      <w:r w:rsidR="008E77FA">
        <w:rPr>
          <w:rFonts w:ascii="Tahoma" w:eastAsia="Tahoma" w:hAnsi="Tahoma"/>
          <w:color w:val="404042"/>
          <w:sz w:val="14"/>
        </w:rPr>
        <w:tab/>
      </w:r>
      <w:r>
        <w:rPr>
          <w:rFonts w:ascii="Tahoma" w:eastAsia="Tahoma" w:hAnsi="Tahoma"/>
          <w:color w:val="404042"/>
          <w:sz w:val="14"/>
        </w:rPr>
        <w:t xml:space="preserve">Cherastidtham, I. (2018), ‘University admission: ATAR best guide to student performance’, </w:t>
      </w:r>
      <w:r>
        <w:rPr>
          <w:rFonts w:ascii="Arial" w:eastAsia="Arial" w:hAnsi="Arial"/>
          <w:i/>
          <w:color w:val="404042"/>
          <w:sz w:val="14"/>
        </w:rPr>
        <w:t>The Australian</w:t>
      </w:r>
      <w:r>
        <w:rPr>
          <w:rFonts w:ascii="Verdana" w:eastAsia="Verdana" w:hAnsi="Verdana"/>
          <w:color w:val="404042"/>
          <w:sz w:val="14"/>
        </w:rPr>
        <w:t xml:space="preserve">, 30 May 2018. Also published by the Grattan </w:t>
      </w:r>
      <w:r>
        <w:rPr>
          <w:rFonts w:ascii="Tahoma" w:eastAsia="Tahoma" w:hAnsi="Tahoma"/>
          <w:color w:val="404042"/>
          <w:sz w:val="14"/>
        </w:rPr>
        <w:t xml:space="preserve">Institute, </w:t>
      </w:r>
      <w:hyperlink r:id="rId103">
        <w:r>
          <w:rPr>
            <w:rFonts w:ascii="Tahoma" w:eastAsia="Tahoma" w:hAnsi="Tahoma"/>
            <w:color w:val="0000FF"/>
            <w:sz w:val="14"/>
            <w:u w:val="single"/>
          </w:rPr>
          <w:t>https://grattan.edu.au/news/university-admission-atar-best-guide-to-student-performance</w:t>
        </w:r>
      </w:hyperlink>
      <w:r>
        <w:rPr>
          <w:rFonts w:ascii="Tahoma" w:eastAsia="Tahoma" w:hAnsi="Tahoma"/>
          <w:color w:val="404042"/>
          <w:sz w:val="14"/>
        </w:rPr>
        <w:t>.</w:t>
      </w:r>
    </w:p>
    <w:p w14:paraId="67D37550" w14:textId="6D5D77D1" w:rsidR="009757A9" w:rsidRDefault="008E77FA">
      <w:pPr>
        <w:tabs>
          <w:tab w:val="left" w:pos="1368"/>
        </w:tabs>
        <w:spacing w:before="656" w:after="638" w:line="199" w:lineRule="exact"/>
        <w:ind w:left="792"/>
        <w:textAlignment w:val="baseline"/>
        <w:rPr>
          <w:rFonts w:ascii="Arial" w:eastAsia="Arial" w:hAnsi="Arial"/>
          <w:b/>
          <w:color w:val="5556A1"/>
          <w:spacing w:val="2"/>
          <w:sz w:val="18"/>
        </w:rPr>
      </w:pPr>
      <w:r>
        <w:rPr>
          <w:noProof/>
          <w:lang w:val="en-AU" w:eastAsia="en-AU"/>
        </w:rPr>
        <w:drawing>
          <wp:anchor distT="0" distB="0" distL="114300" distR="114300" simplePos="0" relativeHeight="252043776" behindDoc="0" locked="0" layoutInCell="1" allowOverlap="1" wp14:anchorId="1CEA59F6" wp14:editId="1C348DC9">
            <wp:simplePos x="0" y="0"/>
            <wp:positionH relativeFrom="margin">
              <wp:align>right</wp:align>
            </wp:positionH>
            <wp:positionV relativeFrom="paragraph">
              <wp:posOffset>993140</wp:posOffset>
            </wp:positionV>
            <wp:extent cx="7562215" cy="462915"/>
            <wp:effectExtent l="0" t="0" r="635" b="0"/>
            <wp:wrapTopAndBottom/>
            <wp:docPr id="35"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72">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anchor>
        </w:drawing>
      </w:r>
      <w:r w:rsidR="00083242">
        <w:rPr>
          <w:rFonts w:ascii="Arial" w:eastAsia="Arial" w:hAnsi="Arial"/>
          <w:b/>
          <w:color w:val="5556A1"/>
          <w:spacing w:val="2"/>
          <w:sz w:val="18"/>
        </w:rPr>
        <w:t>42</w:t>
      </w:r>
      <w:r w:rsidR="00083242">
        <w:rPr>
          <w:rFonts w:ascii="Tahoma" w:eastAsia="Tahoma" w:hAnsi="Tahoma"/>
          <w:color w:val="404042"/>
          <w:spacing w:val="2"/>
          <w:sz w:val="14"/>
        </w:rPr>
        <w:tab/>
        <w:t>Looking to the future</w:t>
      </w:r>
    </w:p>
    <w:p w14:paraId="14889ABE" w14:textId="4E4CA4DC" w:rsidR="009757A9" w:rsidRDefault="009757A9">
      <w:pPr>
        <w:sectPr w:rsidR="009757A9" w:rsidSect="005443BD">
          <w:pgSz w:w="11909" w:h="16838"/>
          <w:pgMar w:top="851" w:right="0" w:bottom="0" w:left="0" w:header="720" w:footer="720" w:gutter="0"/>
          <w:cols w:space="720"/>
        </w:sectPr>
      </w:pPr>
    </w:p>
    <w:p w14:paraId="57A527CA" w14:textId="77777777" w:rsidR="009757A9" w:rsidRPr="005443BD" w:rsidRDefault="00083242">
      <w:pPr>
        <w:spacing w:before="13" w:line="240" w:lineRule="exact"/>
        <w:ind w:left="864" w:right="1152"/>
        <w:textAlignment w:val="baseline"/>
        <w:rPr>
          <w:rFonts w:ascii="Tahoma" w:eastAsia="Verdana" w:hAnsi="Tahoma" w:cs="Tahoma"/>
          <w:color w:val="404042"/>
          <w:sz w:val="18"/>
        </w:rPr>
      </w:pPr>
      <w:r w:rsidRPr="005443BD">
        <w:rPr>
          <w:rFonts w:ascii="Tahoma" w:eastAsia="Verdana" w:hAnsi="Tahoma" w:cs="Tahoma"/>
          <w:color w:val="404042"/>
          <w:sz w:val="18"/>
        </w:rPr>
        <w:lastRenderedPageBreak/>
        <w:t xml:space="preserve">Yet, while the ATAR may act as a broadbrush predictor of success, it is not as significant as other factors in predicting </w:t>
      </w:r>
      <w:r w:rsidRPr="005443BD">
        <w:rPr>
          <w:rFonts w:ascii="Tahoma" w:eastAsia="Tahoma" w:hAnsi="Tahoma" w:cs="Tahoma"/>
          <w:color w:val="404042"/>
          <w:sz w:val="18"/>
        </w:rPr>
        <w:t>university performance or degree completion, such as type of attendance or age.</w:t>
      </w:r>
      <w:r w:rsidRPr="005443BD">
        <w:rPr>
          <w:rFonts w:ascii="Tahoma" w:eastAsia="Tahoma" w:hAnsi="Tahoma" w:cs="Tahoma"/>
          <w:color w:val="404042"/>
          <w:sz w:val="18"/>
          <w:vertAlign w:val="superscript"/>
        </w:rPr>
        <w:t>36</w:t>
      </w:r>
      <w:r w:rsidRPr="005443BD">
        <w:rPr>
          <w:rFonts w:ascii="Tahoma" w:eastAsia="Tahoma" w:hAnsi="Tahoma" w:cs="Tahoma"/>
          <w:color w:val="404042"/>
          <w:sz w:val="10"/>
        </w:rPr>
        <w:t xml:space="preserve"> </w:t>
      </w:r>
    </w:p>
    <w:p w14:paraId="75F45622" w14:textId="77777777" w:rsidR="009757A9" w:rsidRPr="005443BD" w:rsidRDefault="00083242">
      <w:pPr>
        <w:spacing w:before="150" w:line="240" w:lineRule="exact"/>
        <w:ind w:left="864" w:right="1008"/>
        <w:textAlignment w:val="baseline"/>
        <w:rPr>
          <w:rFonts w:ascii="Tahoma" w:eastAsia="Tahoma" w:hAnsi="Tahoma" w:cs="Tahoma"/>
          <w:color w:val="404042"/>
          <w:sz w:val="18"/>
        </w:rPr>
      </w:pPr>
      <w:r w:rsidRPr="005443BD">
        <w:rPr>
          <w:rFonts w:ascii="Tahoma" w:eastAsia="Tahoma" w:hAnsi="Tahoma" w:cs="Tahoma"/>
          <w:color w:val="404042"/>
          <w:sz w:val="18"/>
        </w:rPr>
        <w:t>Whatever the value of an ATAR to university selection, a misunderstanding of the purpose and application of the ATAR is having negative consequences. It is leading to a narrow view of ‘success’ and the goals of schooling in the senior secondary years.</w:t>
      </w:r>
    </w:p>
    <w:p w14:paraId="399949D1" w14:textId="77777777" w:rsidR="009757A9" w:rsidRPr="005443BD" w:rsidRDefault="00083242">
      <w:pPr>
        <w:spacing w:before="173" w:after="542" w:line="240" w:lineRule="exact"/>
        <w:ind w:left="864" w:right="1008"/>
        <w:textAlignment w:val="baseline"/>
        <w:rPr>
          <w:rFonts w:ascii="Tahoma" w:eastAsia="Tahoma" w:hAnsi="Tahoma" w:cs="Tahoma"/>
          <w:color w:val="404042"/>
          <w:sz w:val="18"/>
        </w:rPr>
      </w:pPr>
      <w:r w:rsidRPr="005443BD">
        <w:rPr>
          <w:rFonts w:ascii="Tahoma" w:eastAsia="Tahoma" w:hAnsi="Tahoma" w:cs="Tahoma"/>
          <w:color w:val="404042"/>
          <w:sz w:val="18"/>
        </w:rPr>
        <w:t xml:space="preserve">This has a profound impact on the manner in which success at school is perceived. Undue emphasis on the ATAR diminishes the value attached to the importance of vocational education pathways, often determines the allocation of school resources, and places additional mental stress on students who think that their lives will be dependent on how </w:t>
      </w:r>
      <w:r w:rsidRPr="005443BD">
        <w:rPr>
          <w:rFonts w:ascii="Tahoma" w:eastAsia="Verdana" w:hAnsi="Tahoma" w:cs="Tahoma"/>
          <w:color w:val="404042"/>
          <w:sz w:val="18"/>
        </w:rPr>
        <w:t>they perform in the end-of-Year-12 examinations that significantly influence the ATAR score.</w:t>
      </w:r>
    </w:p>
    <w:p w14:paraId="48B1AD51" w14:textId="77777777" w:rsidR="009757A9" w:rsidRDefault="000D2E34">
      <w:pPr>
        <w:spacing w:before="99" w:line="299" w:lineRule="exact"/>
        <w:ind w:left="1296" w:right="1584"/>
        <w:jc w:val="both"/>
        <w:textAlignment w:val="baseline"/>
        <w:rPr>
          <w:rFonts w:ascii="Tahoma" w:eastAsia="Tahoma" w:hAnsi="Tahoma"/>
          <w:i/>
          <w:color w:val="007994"/>
          <w:spacing w:val="-2"/>
          <w:sz w:val="21"/>
        </w:rPr>
      </w:pPr>
      <w:r>
        <w:rPr>
          <w:noProof/>
          <w:lang w:val="en-AU" w:eastAsia="en-AU"/>
        </w:rPr>
        <mc:AlternateContent>
          <mc:Choice Requires="wps">
            <w:drawing>
              <wp:anchor distT="0" distB="0" distL="114300" distR="114300" simplePos="0" relativeHeight="251834880" behindDoc="0" locked="0" layoutInCell="1" allowOverlap="1" wp14:anchorId="74EEDF25" wp14:editId="0AF37745">
                <wp:simplePos x="0" y="0"/>
                <wp:positionH relativeFrom="page">
                  <wp:posOffset>826135</wp:posOffset>
                </wp:positionH>
                <wp:positionV relativeFrom="page">
                  <wp:posOffset>2627630</wp:posOffset>
                </wp:positionV>
                <wp:extent cx="5907405" cy="0"/>
                <wp:effectExtent l="0" t="0" r="0" b="0"/>
                <wp:wrapNone/>
                <wp:docPr id="905" name="Lin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54C33" id="Line 626" o:spid="_x0000_s1026" style="position:absolute;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06.9pt" to="530.2pt,2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fP0AEAAIYDAAAOAAAAZHJzL2Uyb0RvYy54bWysU8Fu2zAMvQ/YPwi6L3ayJl2MOD0k6y7Z&#10;FqDtBzCSbAuTREFSYufvJ8lJ2m23YheBEsnHx0dq9TBoRU7CeYmmptNJSYkwDLk0bU1fnh8/faHE&#10;BzAcFBpR07Pw9GH98cOqt5WYYYeKC0ciiPFVb2vahWCrovCsExr8BK0w0dmg0xDi1bUFd9BHdK2K&#10;WVkuih4dtw6Z8D6+bkcnXWf8phEs/GwaLwJRNY3cQj5dPg/pLNYrqFoHtpPsQgPewUKDNLHoDWoL&#10;AcjRyX+gtGQOPTZhwlAX2DSSidxD7GZa/tXNUwdW5F6iON7eZPL/D5b9OO0dkbymy3JOiQEdh7ST&#10;RpDFbJHU6a2vYtDG7F3qjw3mye6Q/fLE4KYD04rM8vlsY+I0ZRR/pKSLt7HGof+OPMbAMWCWamic&#10;TpBRBDLkiZxvExFDICw+zpfl/V0ixq6+AqpronU+fBOoSTJqqiLrDAynnQ+JCFTXkFTH4KNUKg9c&#10;GdLXdPF5XuYEj0ry5Exh3rWHjXLkBGllyvvl8i53FT1vwxLyFnw3xmXXuEwOj4bnKp0A/vViB5Bq&#10;tCMrZS4qJWFGiQ/Iz3t3VS8OO9O/LGbaprf3nP36fda/AQAA//8DAFBLAwQUAAYACAAAACEAaXpN&#10;7NwAAAAMAQAADwAAAGRycy9kb3ducmV2LnhtbEyPQUvDQBCF74L/YRnBm92NrUViNkUqPfWireB1&#10;mh2TaHY2ZLdp+u+dgqDH9+bjzXvFavKdGmmIbWAL2cyAIq6Ca7m28L7f3D2CignZYReYLJwpwqq8&#10;viowd+HEbzTuUq0khGOOFpqU+lzrWDXkMc5CTyy3zzB4TCKHWrsBTxLuO31vzFJ7bFk+NNjTuqHq&#10;e3f0FjZo9q9uuw1f8ePhvMak3QuN1t7eTM9PoBJN6Q+GS32pDqV0OoQju6g60XOTCWphkc1lw4Uw&#10;S7MAdfi1dFno/yPKHwAAAP//AwBQSwECLQAUAAYACAAAACEAtoM4kv4AAADhAQAAEwAAAAAAAAAA&#10;AAAAAAAAAAAAW0NvbnRlbnRfVHlwZXNdLnhtbFBLAQItABQABgAIAAAAIQA4/SH/1gAAAJQBAAAL&#10;AAAAAAAAAAAAAAAAAC8BAABfcmVscy8ucmVsc1BLAQItABQABgAIAAAAIQDBONfP0AEAAIYDAAAO&#10;AAAAAAAAAAAAAAAAAC4CAABkcnMvZTJvRG9jLnhtbFBLAQItABQABgAIAAAAIQBpek3s3AAAAAwB&#10;AAAPAAAAAAAAAAAAAAAAACoEAABkcnMvZG93bnJldi54bWxQSwUGAAAAAAQABADzAAAAMwUAAAAA&#10;" strokecolor="#007994" strokeweight=".5pt">
                <w10:wrap anchorx="page" anchory="page"/>
              </v:line>
            </w:pict>
          </mc:Fallback>
        </mc:AlternateContent>
      </w:r>
      <w:r w:rsidR="00083242">
        <w:rPr>
          <w:rFonts w:ascii="Tahoma" w:eastAsia="Tahoma" w:hAnsi="Tahoma"/>
          <w:i/>
          <w:color w:val="007994"/>
          <w:spacing w:val="-2"/>
          <w:sz w:val="21"/>
        </w:rPr>
        <w:t>“The whole of Year 11 and Year 12 is about the ATAR, at the expense of other important learning opportunities necessary for lifelong learning and a successful transition to post-secondary life.”</w:t>
      </w:r>
    </w:p>
    <w:p w14:paraId="6352E6D2" w14:textId="77777777" w:rsidR="009757A9" w:rsidRDefault="00083242">
      <w:pPr>
        <w:spacing w:before="60" w:after="227" w:line="240" w:lineRule="exact"/>
        <w:ind w:left="7056"/>
        <w:textAlignment w:val="baseline"/>
        <w:rPr>
          <w:rFonts w:ascii="Tahoma" w:eastAsia="Tahoma" w:hAnsi="Tahoma"/>
          <w:i/>
          <w:color w:val="007994"/>
          <w:spacing w:val="1"/>
          <w:sz w:val="21"/>
        </w:rPr>
      </w:pPr>
      <w:r>
        <w:rPr>
          <w:rFonts w:ascii="Tahoma" w:eastAsia="Tahoma" w:hAnsi="Tahoma"/>
          <w:i/>
          <w:color w:val="007994"/>
          <w:spacing w:val="1"/>
          <w:sz w:val="21"/>
        </w:rPr>
        <w:t>Catholic Education WA submission</w:t>
      </w:r>
    </w:p>
    <w:p w14:paraId="7E6E03CA" w14:textId="77777777" w:rsidR="009757A9" w:rsidRDefault="000D2E34">
      <w:pPr>
        <w:spacing w:before="409" w:line="240" w:lineRule="exact"/>
        <w:ind w:left="864" w:right="936"/>
        <w:textAlignment w:val="baseline"/>
        <w:rPr>
          <w:rFonts w:ascii="Tahoma" w:eastAsia="Tahoma" w:hAnsi="Tahoma"/>
          <w:color w:val="404042"/>
          <w:spacing w:val="4"/>
          <w:sz w:val="18"/>
        </w:rPr>
      </w:pPr>
      <w:r>
        <w:rPr>
          <w:noProof/>
          <w:lang w:val="en-AU" w:eastAsia="en-AU"/>
        </w:rPr>
        <mc:AlternateContent>
          <mc:Choice Requires="wps">
            <w:drawing>
              <wp:anchor distT="0" distB="0" distL="114300" distR="114300" simplePos="0" relativeHeight="251835904" behindDoc="0" locked="0" layoutInCell="1" allowOverlap="1" wp14:anchorId="39334A0A" wp14:editId="7FAC2F68">
                <wp:simplePos x="0" y="0"/>
                <wp:positionH relativeFrom="page">
                  <wp:posOffset>826135</wp:posOffset>
                </wp:positionH>
                <wp:positionV relativeFrom="page">
                  <wp:posOffset>3410585</wp:posOffset>
                </wp:positionV>
                <wp:extent cx="5907405" cy="0"/>
                <wp:effectExtent l="0" t="0" r="0" b="0"/>
                <wp:wrapNone/>
                <wp:docPr id="904" name="Lin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DC252" id="Line 625" o:spid="_x0000_s1026" style="position:absolute;z-index:25183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68.55pt" to="530.2pt,2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tw0QEAAIYDAAAOAAAAZHJzL2Uyb0RvYy54bWysU8GO2yAQvVfqPyDujZ00yTZWnD0k3V7S&#10;NtJuP2AC2EYFBgGJnb8v4CS7bW9VL2hgZt68eTOsHwetyFk4L9HUdDopKRGGIZemremPl6cPnyjx&#10;AQwHhUbU9CI8fdy8f7fubSVm2KHiwpEIYnzV25p2IdiqKDzrhAY/QStMdDboNIR4dW3BHfQRXati&#10;VpbLokfHrUMmvI+vu9FJNxm/aQQL35vGi0BUTSO3kE+Xz2M6i80aqtaB7SS70oB/YKFBmlj0DrWD&#10;AOTk5F9QWjKHHpswYagLbBrJRO4hdjMt/+jmuQMrci9RHG/vMvn/B8u+nQ+OSF7TVTmnxICOQ9pL&#10;I8hytkjq9NZXMWhrDi71xwbzbPfIfnpicNuBaUVm+XKxMXGaMorfUtLF21jj2H9FHmPgFDBLNTRO&#10;J8goAhnyRC73iYghEBYfF6vyYV4uKGE3XwHVLdE6H74I1CQZNVWRdQaG896HRASqW0iqY/BJKpUH&#10;rgzpa7r8uChzgkcleXKmMO/a41Y5coa0MuXDajXPXUXP27CEvAPfjXHZNS6Tw5PhuUongH++2gGk&#10;Gu3ISpmrSkmYUeIj8svB3dSLw870r4uZtuntPWe/fp/NLwAAAP//AwBQSwMEFAAGAAgAAAAhAK/0&#10;XDncAAAADAEAAA8AAABkcnMvZG93bnJldi54bWxMj0FPwzAMhe9I/IfISNxYMsYGKk0nNLTTLrAh&#10;cfUa0xYap2qyrvv3eBLSuPnZT8/fy5ejb9VAfWwCW5hODCjiMriGKwsfu/XdE6iYkB22gcnCiSIs&#10;i+urHDMXjvxOwzZVSkI4ZmihTqnLtI5lTR7jJHTEcvsKvccksq+06/Eo4b7V98YstMeG5UONHa1q&#10;Kn+2B29hjWb35jab8B0/56cVJu1eabD29mZ8eQaVaEwXM5zxBR0KYdqHA7uoWtEzMxWrhfnsUYaz&#10;wyzMA6j930oXuf5fovgFAAD//wMAUEsBAi0AFAAGAAgAAAAhALaDOJL+AAAA4QEAABMAAAAAAAAA&#10;AAAAAAAAAAAAAFtDb250ZW50X1R5cGVzXS54bWxQSwECLQAUAAYACAAAACEAOP0h/9YAAACUAQAA&#10;CwAAAAAAAAAAAAAAAAAvAQAAX3JlbHMvLnJlbHNQSwECLQAUAAYACAAAACEAAyQbcNEBAACGAwAA&#10;DgAAAAAAAAAAAAAAAAAuAgAAZHJzL2Uyb0RvYy54bWxQSwECLQAUAAYACAAAACEAr/RcOd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4"/>
          <w:sz w:val="18"/>
        </w:rPr>
        <w:t>Although the ATAR has its place when it comes to university admissions, the senior secondary education system in most states and territories remains geared towards achieving an ATAR at the expense of broader skills and other pathways. Many senior secondary teachers with whom we have spoken are frustrated at what they are asked to prioritise and teach in Years 11 and 12. They have told us that the essential capabilities are often relegated, as they do not contribute to the ATAR. VET pathways are often seen as ‘second tier’ to an ATAR pathway. This view is reinforced by the inconsistent way that VET is counted toward the ATAR across jurisdictions.</w:t>
      </w:r>
    </w:p>
    <w:p w14:paraId="5D946619"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Schools are often promoted as being ‘successful’ based on the ATAR scores of their school leaver cohorts. Students who perform excellently are promoted in newspapers. The media use the measure to construct league tables of educational performance. This places additional pressure on systems, schools, students and teachers to maximise student ATARs. A Year13 survey in 2017 found that 55 per cent of those surveyed felt their school cared more about their ATAR than it did about them.</w:t>
      </w:r>
      <w:r>
        <w:rPr>
          <w:rFonts w:ascii="Tahoma" w:eastAsia="Tahoma" w:hAnsi="Tahoma"/>
          <w:color w:val="404042"/>
          <w:sz w:val="18"/>
          <w:vertAlign w:val="superscript"/>
        </w:rPr>
        <w:t>37</w:t>
      </w:r>
      <w:r>
        <w:rPr>
          <w:rFonts w:ascii="Tahoma" w:eastAsia="Tahoma" w:hAnsi="Tahoma"/>
          <w:color w:val="404042"/>
          <w:sz w:val="18"/>
        </w:rPr>
        <w:t xml:space="preserve"> Ironically, the ATAR does not even promote academic excellence. The Panel has heard evidence from students that they were persuaded not to undertake advanced subjects for fear of lowering their ATAR.</w:t>
      </w:r>
    </w:p>
    <w:p w14:paraId="211DC7E4" w14:textId="77777777" w:rsidR="009757A9" w:rsidRDefault="00083242">
      <w:pPr>
        <w:spacing w:before="168" w:after="475" w:line="240" w:lineRule="exact"/>
        <w:ind w:left="864" w:right="864"/>
        <w:textAlignment w:val="baseline"/>
        <w:rPr>
          <w:rFonts w:ascii="Tahoma" w:eastAsia="Tahoma" w:hAnsi="Tahoma"/>
          <w:color w:val="404042"/>
          <w:sz w:val="18"/>
        </w:rPr>
      </w:pPr>
      <w:r>
        <w:rPr>
          <w:rFonts w:ascii="Tahoma" w:eastAsia="Tahoma" w:hAnsi="Tahoma"/>
          <w:color w:val="404042"/>
          <w:sz w:val="18"/>
        </w:rPr>
        <w:t>This intense focus on the ATAR ignores achievement in other areas. It sends a clear message to students about what the school, the system and the public value most. The Parliament of Victoria found in 2018 that:</w:t>
      </w:r>
    </w:p>
    <w:p w14:paraId="0E8A4482" w14:textId="4DC257C2" w:rsidR="009757A9" w:rsidRPr="005443BD" w:rsidRDefault="000D2E34">
      <w:pPr>
        <w:spacing w:before="101" w:line="298" w:lineRule="exact"/>
        <w:ind w:left="1296" w:right="1512"/>
        <w:jc w:val="both"/>
        <w:textAlignment w:val="baseline"/>
        <w:rPr>
          <w:rFonts w:ascii="Tahoma" w:eastAsia="Verdana" w:hAnsi="Tahoma" w:cs="Tahoma"/>
          <w:i/>
          <w:color w:val="007994"/>
          <w:sz w:val="21"/>
          <w:szCs w:val="21"/>
        </w:rPr>
      </w:pPr>
      <w:r w:rsidRPr="005443BD">
        <w:rPr>
          <w:rFonts w:ascii="Tahoma" w:hAnsi="Tahoma" w:cs="Tahoma"/>
          <w:noProof/>
          <w:sz w:val="21"/>
          <w:szCs w:val="21"/>
          <w:lang w:val="en-AU" w:eastAsia="en-AU"/>
        </w:rPr>
        <mc:AlternateContent>
          <mc:Choice Requires="wps">
            <w:drawing>
              <wp:anchor distT="0" distB="0" distL="114300" distR="114300" simplePos="0" relativeHeight="251836928" behindDoc="0" locked="0" layoutInCell="1" allowOverlap="1" wp14:anchorId="0BA39774" wp14:editId="1DF5FB8F">
                <wp:simplePos x="0" y="0"/>
                <wp:positionH relativeFrom="page">
                  <wp:posOffset>826135</wp:posOffset>
                </wp:positionH>
                <wp:positionV relativeFrom="page">
                  <wp:posOffset>6330950</wp:posOffset>
                </wp:positionV>
                <wp:extent cx="5907405" cy="0"/>
                <wp:effectExtent l="0" t="0" r="0" b="0"/>
                <wp:wrapNone/>
                <wp:docPr id="903" name="Lin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42346" id="Line 624" o:spid="_x0000_s1026" style="position:absolute;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98.5pt" to="530.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au0AEAAIYDAAAOAAAAZHJzL2Uyb0RvYy54bWysU8Fu2zAMvQ/YPwi6L3bSJl2MOD0k6y7Z&#10;FqDtBzCSbAuTREFSYufvJ8lJtq63YReBEsnHx0dq9ThoRU7CeYmmptNJSYkwDLk0bU1fX54+fabE&#10;BzAcFBpR07Pw9HH98cOqt5WYYYeKC0ciiPFVb2vahWCrovCsExr8BK0w0dmg0xDi1bUFd9BHdK2K&#10;WVkuih4dtw6Z8D6+bkcnXWf8phEs/GgaLwJRNY3cQj5dPg/pLNYrqFoHtpPsQgP+gYUGaWLRG9QW&#10;ApCjk++gtGQOPTZhwlAX2DSSidxD7GZa/tXNcwdW5F6iON7eZPL/D5Z9P+0dkbymy/KOEgM6Dmkn&#10;jSCL2X1Sp7e+ikEbs3epPzaYZ7tD9tMTg5sOTCsyy5ezjYnTlFG8SUkXb2ONQ/8NeYyBY8As1dA4&#10;nSCjCGTIEznfJiKGQFh8nC/Lh/tyTgm7+gqoronW+fBVoCbJqKmKrDMwnHY+JCJQXUNSHYNPUqk8&#10;cGVIX9PF3bzMCR6V5MmZwrxrDxvlyAnSypQPy2XWIYK9CUvIW/DdGJdd4zI5PBqeq3QC+JeLHUCq&#10;0Y5AylxUSsKMEh+Qn/fuql4cdqZ/Wcy0TX/ec/bv77P+BQAA//8DAFBLAwQUAAYACAAAACEAJEWt&#10;g90AAAAMAQAADwAAAGRycy9kb3ducmV2LnhtbEyPzU7DMBCE70i8g7VI3KhdfgoNcSpU1FMvtEXi&#10;uo2XJBCvo9hN07dnKyHBcWY/zc7ki9G3aqA+NoEtTCcGFHEZXMOVhffd6uYJVEzIDtvAZOFEERbF&#10;5UWOmQtH3tCwTZWSEI4ZWqhT6jKtY1mTxzgJHbHcPkPvMYnsK+16PEq4b/WtMTPtsWH5UGNHy5rK&#10;7+3BW1ih2b259Tp8xY+H0xKTdq80WHt9Nb48g0o0pj8YzvWlOhTSaR8O7KJqRd+ZqaAW5vNHGXUm&#10;zMzcg9r/WrrI9f8RxQ8AAAD//wMAUEsBAi0AFAAGAAgAAAAhALaDOJL+AAAA4QEAABMAAAAAAAAA&#10;AAAAAAAAAAAAAFtDb250ZW50X1R5cGVzXS54bWxQSwECLQAUAAYACAAAACEAOP0h/9YAAACUAQAA&#10;CwAAAAAAAAAAAAAAAAAvAQAAX3JlbHMvLnJlbHNQSwECLQAUAAYACAAAACEAzMFWrtABAACGAwAA&#10;DgAAAAAAAAAAAAAAAAAuAgAAZHJzL2Uyb0RvYy54bWxQSwECLQAUAAYACAAAACEAJEWtg90AAAAM&#10;AQAADwAAAAAAAAAAAAAAAAAqBAAAZHJzL2Rvd25yZXYueG1sUEsFBgAAAAAEAAQA8wAAADQFAAAA&#10;AA==&#10;" strokecolor="#007994" strokeweight=".5pt">
                <w10:wrap anchorx="page" anchory="page"/>
              </v:line>
            </w:pict>
          </mc:Fallback>
        </mc:AlternateContent>
      </w:r>
      <w:r w:rsidR="00083242" w:rsidRPr="005443BD">
        <w:rPr>
          <w:rFonts w:ascii="Tahoma" w:eastAsia="Verdana" w:hAnsi="Tahoma" w:cs="Tahoma"/>
          <w:i/>
          <w:color w:val="007994"/>
          <w:sz w:val="21"/>
          <w:szCs w:val="21"/>
        </w:rPr>
        <w:t>the media’s publication of ATARs and first-round university offers distorts the community’s view of the value of VET and university. The Government should consider different ways of publishing</w:t>
      </w:r>
    </w:p>
    <w:p w14:paraId="6972D80F" w14:textId="77777777" w:rsidR="009757A9" w:rsidRPr="005443BD" w:rsidRDefault="00083242">
      <w:pPr>
        <w:spacing w:before="22" w:after="210" w:line="299" w:lineRule="exact"/>
        <w:ind w:left="1296" w:right="2088"/>
        <w:textAlignment w:val="baseline"/>
        <w:rPr>
          <w:rFonts w:ascii="Tahoma" w:eastAsia="Tahoma" w:hAnsi="Tahoma" w:cs="Tahoma"/>
          <w:i/>
          <w:color w:val="007994"/>
          <w:sz w:val="21"/>
          <w:szCs w:val="21"/>
        </w:rPr>
      </w:pPr>
      <w:r w:rsidRPr="005443BD">
        <w:rPr>
          <w:rFonts w:ascii="Tahoma" w:eastAsia="Tahoma" w:hAnsi="Tahoma" w:cs="Tahoma"/>
          <w:i/>
          <w:color w:val="007994"/>
          <w:sz w:val="21"/>
          <w:szCs w:val="21"/>
        </w:rPr>
        <w:t>destination data so that the community places less emphasis on how many students enter university as a measure of a school’s success.</w:t>
      </w:r>
      <w:r w:rsidRPr="005443BD">
        <w:rPr>
          <w:rFonts w:ascii="Tahoma" w:eastAsia="Tahoma" w:hAnsi="Tahoma" w:cs="Tahoma"/>
          <w:i/>
          <w:color w:val="007994"/>
          <w:sz w:val="21"/>
          <w:szCs w:val="21"/>
          <w:vertAlign w:val="superscript"/>
        </w:rPr>
        <w:t>38</w:t>
      </w:r>
      <w:r w:rsidRPr="005443BD">
        <w:rPr>
          <w:rFonts w:ascii="Tahoma" w:eastAsia="Tahoma" w:hAnsi="Tahoma" w:cs="Tahoma"/>
          <w:i/>
          <w:color w:val="007994"/>
          <w:sz w:val="21"/>
          <w:szCs w:val="21"/>
        </w:rPr>
        <w:t xml:space="preserve"> </w:t>
      </w:r>
    </w:p>
    <w:p w14:paraId="75D7B76C" w14:textId="77777777" w:rsidR="009757A9" w:rsidRDefault="000D2E34">
      <w:pPr>
        <w:spacing w:before="434" w:after="1003" w:line="215" w:lineRule="exact"/>
        <w:ind w:left="864"/>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837952" behindDoc="0" locked="0" layoutInCell="1" allowOverlap="1" wp14:anchorId="00C05C31" wp14:editId="6E9D82F6">
                <wp:simplePos x="0" y="0"/>
                <wp:positionH relativeFrom="page">
                  <wp:posOffset>826135</wp:posOffset>
                </wp:positionH>
                <wp:positionV relativeFrom="page">
                  <wp:posOffset>7303135</wp:posOffset>
                </wp:positionV>
                <wp:extent cx="5907405" cy="0"/>
                <wp:effectExtent l="0" t="0" r="0" b="0"/>
                <wp:wrapNone/>
                <wp:docPr id="902" name="Lin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D2088" id="Line 623" o:spid="_x0000_s1026" style="position:absolute;z-index:25183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75.05pt" to="530.2pt,5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fX0QEAAIYDAAAOAAAAZHJzL2Uyb0RvYy54bWysU8Fu2zAMvQ/YPwi6L3bSJl2MOD0k6y7Z&#10;FqDtBzCSbAuTREFSYufvJ8lJ1q23YReBEsnHx0dq9ThoRU7CeYmmptNJSYkwDLk0bU1fX54+fabE&#10;BzAcFBpR07Pw9HH98cOqt5WYYYeKC0ciiPFVb2vahWCrovCsExr8BK0w0dmg0xDi1bUFd9BHdK2K&#10;WVkuih4dtw6Z8D6+bkcnXWf8phEs/GgaLwJRNY3cQj5dPg/pLNYrqFoHtpPsQgP+gYUGaWLRG9QW&#10;ApCjk++gtGQOPTZhwlAX2DSSidxD7GZa/tXNcwdW5F6iON7eZPL/D5Z9P+0dkbymy3JGiQEdh7ST&#10;RpDF7C6p01tfxaCN2bvUHxvMs90h++mJwU0HphWZ5cvZxsRpyij+SEkXb2ONQ/8NeYyBY8As1dA4&#10;nSCjCGTIEznfJiKGQFh8nC/Lh/tyTgm7+gqoronW+fBVoCbJqKmKrDMwnHY+JCJQXUNSHYNPUqk8&#10;cGVIX9PF3bzMCR6V5MmZwrxrDxvlyAnSypQPy+V97ip63oYl5C34bozLrnGZHB4Nz1U6AfzLxQ4g&#10;1WhHVspcVErCjBIfkJ/37qpeHHamf1nMtE1v7zn79/dZ/wIAAP//AwBQSwMEFAAGAAgAAAAhAJqY&#10;/+bbAAAADgEAAA8AAABkcnMvZG93bnJldi54bWxMj0FPwzAMhe9I/IfISNxYUmATKk0nNLTTLrAh&#10;cfUa0xYap2qyrvv3eAfEbu/ZT8+fi+XkOzXSENvAFrKZAUVcBddybeFjt757AhUTssMuMFk4UYRl&#10;eX1VYO7Ckd9p3KZaSQnHHC00KfW51rFqyGOchZ5Ydl9h8JjEDrV2Ax6l3Hf63piF9tiyXGiwp1VD&#10;1c/24C2s0eze3GYTvuPn/LTCpN0rjdbe3kwvz6ASTek/DGd8QYdSmPbhwC6qTvyDySQqIpuf1Tli&#10;FuYR1P5vpstCX75R/gIAAP//AwBQSwECLQAUAAYACAAAACEAtoM4kv4AAADhAQAAEwAAAAAAAAAA&#10;AAAAAAAAAAAAW0NvbnRlbnRfVHlwZXNdLnhtbFBLAQItABQABgAIAAAAIQA4/SH/1gAAAJQBAAAL&#10;AAAAAAAAAAAAAAAAAC8BAABfcmVscy8ucmVsc1BLAQItABQABgAIAAAAIQCvgcfX0QEAAIYDAAAO&#10;AAAAAAAAAAAAAAAAAC4CAABkcnMvZTJvRG9jLnhtbFBLAQItABQABgAIAAAAIQCamP/m2wAAAA4B&#10;AAAPAAAAAAAAAAAAAAAAACsEAABkcnMvZG93bnJldi54bWxQSwUGAAAAAAQABADzAAAAMwUAAAAA&#10;" strokecolor="#007994" strokeweight=".5pt">
                <w10:wrap anchorx="page" anchory="page"/>
              </v:line>
            </w:pict>
          </mc:Fallback>
        </mc:AlternateContent>
      </w:r>
      <w:r w:rsidR="00083242">
        <w:rPr>
          <w:rFonts w:ascii="Tahoma" w:eastAsia="Tahoma" w:hAnsi="Tahoma"/>
          <w:color w:val="404042"/>
          <w:spacing w:val="5"/>
          <w:sz w:val="18"/>
        </w:rPr>
        <w:t>The Panel agrees whole-heartedly.</w:t>
      </w:r>
    </w:p>
    <w:p w14:paraId="6FA4B3BA" w14:textId="77777777" w:rsidR="009757A9" w:rsidRDefault="000D2E34">
      <w:pPr>
        <w:spacing w:before="49" w:line="202" w:lineRule="exact"/>
        <w:ind w:left="1080" w:right="1080" w:hanging="216"/>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38976" behindDoc="0" locked="0" layoutInCell="1" allowOverlap="1" wp14:anchorId="2BB61C4B" wp14:editId="0468311B">
                <wp:simplePos x="0" y="0"/>
                <wp:positionH relativeFrom="page">
                  <wp:posOffset>539750</wp:posOffset>
                </wp:positionH>
                <wp:positionV relativeFrom="page">
                  <wp:posOffset>8363585</wp:posOffset>
                </wp:positionV>
                <wp:extent cx="917575" cy="0"/>
                <wp:effectExtent l="0" t="0" r="0" b="0"/>
                <wp:wrapNone/>
                <wp:docPr id="901" name="Lin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F79A8" id="Line 622" o:spid="_x0000_s1026" style="position:absolute;z-index:25183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58.55pt" to="114.75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jYmzQEAAIYDAAAOAAAAZHJzL2Uyb0RvYy54bWysU8Fu2zAMvQ/YPwi6L7YDJF2NOD0k6y7Z&#10;FqDdBzCSHAuTRUFSYufvR8lJ1m23YT4Iokg+Pj7Sq6exN+ysfNBoG17NSs6UFSi1PTb8++vzh4+c&#10;hQhWgkGrGn5RgT+t379bDa5Wc+zQSOUZgdhQD67hXYyuLoogOtVDmKFTlpwt+h4imf5YSA8Dofem&#10;mJflshjQS+dRqBDodTs5+Trjt60S8VvbBhWZaThxi/n0+Tyks1ivoD56cJ0WVxrwDyx60JaK3qG2&#10;EIGdvP4LqtfCY8A2zgT2BbatFir3QN1U5R/dvHTgVO6FxAnuLlP4f7Di63nvmZYNfywrziz0NKSd&#10;toot5/OkzuBCTUEbu/epPzHaF7dD8SMwi5sO7FFllq8XR4lVyih+S0lGcFTjMHxBSTFwipilGlvf&#10;J0gSgY15Ipf7RNQYmaDHx+ph8bDgTNxcBdS3POdD/KywZ+nScEOkMy6cdyEmHlDfQlIZi8/amDxv&#10;Y9lAZOflcpEzAhotkzfFBX88bIxnZ0grk7/cFXnehiXoLYRuisuuaZk8nqzMZToF8tP1HkGb6U60&#10;jL2qlISZJD6gvOz9TT0aduZ/Xcy0TW/tnP3r91n/BAAA//8DAFBLAwQUAAYACAAAACEAQNx7uOAA&#10;AAAMAQAADwAAAGRycy9kb3ducmV2LnhtbEyPwU7DMBBE70j8g7VIXBB1ElpIQ5wKVYJbEbRF7dGN&#10;lyQiXkex26R/z3JAcNzZ0cybfDHaVpyw940jBfEkAoFUOtNQpWC7eb5NQfigyejWESo4o4dFcXmR&#10;68y4gd7xtA6V4BDymVZQh9BlUvqyRqv9xHVI/Pt0vdWBz76SptcDh9tWJlF0L61uiBtq3eGyxvJr&#10;fbQKpIzS6fixG1bTG582+2W1f3l9U+r6anx6BBFwDH9m+MFndCiY6eCOZLxoFaQznhJYv4sfYhDs&#10;SJL5DMThV5JFLv+PKL4BAAD//wMAUEsBAi0AFAAGAAgAAAAhALaDOJL+AAAA4QEAABMAAAAAAAAA&#10;AAAAAAAAAAAAAFtDb250ZW50X1R5cGVzXS54bWxQSwECLQAUAAYACAAAACEAOP0h/9YAAACUAQAA&#10;CwAAAAAAAAAAAAAAAAAvAQAAX3JlbHMvLnJlbHNQSwECLQAUAAYACAAAACEAAN42Js0BAACGAwAA&#10;DgAAAAAAAAAAAAAAAAAuAgAAZHJzL2Uyb0RvYy54bWxQSwECLQAUAAYACAAAACEAQNx7uOAAAAAM&#10;AQAADwAAAAAAAAAAAAAAAAAnBAAAZHJzL2Rvd25yZXYueG1sUEsFBgAAAAAEAAQA8wAAADQFAAAA&#10;AA==&#10;" strokeweight=".95pt">
                <w10:wrap anchorx="page" anchory="page"/>
              </v:line>
            </w:pict>
          </mc:Fallback>
        </mc:AlternateContent>
      </w:r>
      <w:r w:rsidR="00083242">
        <w:rPr>
          <w:rFonts w:ascii="Tahoma" w:eastAsia="Tahoma" w:hAnsi="Tahoma"/>
          <w:color w:val="404042"/>
          <w:sz w:val="14"/>
        </w:rPr>
        <w:t xml:space="preserve">36 Higher Education Standards Panel (2016), </w:t>
      </w:r>
      <w:r w:rsidR="00083242">
        <w:rPr>
          <w:rFonts w:ascii="Arial" w:eastAsia="Arial" w:hAnsi="Arial"/>
          <w:i/>
          <w:color w:val="404042"/>
          <w:sz w:val="14"/>
        </w:rPr>
        <w:t>Improving the Transparency of Higher Education Admissions: Final report</w:t>
      </w:r>
      <w:r w:rsidR="00083242">
        <w:rPr>
          <w:rFonts w:ascii="Verdana" w:eastAsia="Verdana" w:hAnsi="Verdana"/>
          <w:color w:val="404042"/>
          <w:sz w:val="14"/>
        </w:rPr>
        <w:t xml:space="preserve">, October 2016, p. 43, </w:t>
      </w:r>
      <w:hyperlink r:id="rId104">
        <w:r w:rsidR="00083242">
          <w:rPr>
            <w:rFonts w:ascii="Tahoma" w:eastAsia="Tahoma" w:hAnsi="Tahoma"/>
            <w:color w:val="0000FF"/>
            <w:sz w:val="14"/>
            <w:u w:val="single"/>
          </w:rPr>
          <w:t xml:space="preserve">https://docs. </w:t>
        </w:r>
      </w:hyperlink>
      <w:r w:rsidR="00083242">
        <w:rPr>
          <w:rFonts w:ascii="Verdana" w:eastAsia="Verdana" w:hAnsi="Verdana"/>
          <w:color w:val="0000FF"/>
          <w:sz w:val="14"/>
          <w:u w:val="single"/>
        </w:rPr>
        <w:t>education.gov.au/system/files/doc/other/revised_20161115_pm_final_accessibility_version_hesp_admissions_transparency_report.pdf</w:t>
      </w:r>
      <w:r w:rsidR="00083242">
        <w:rPr>
          <w:rFonts w:ascii="Tahoma" w:eastAsia="Tahoma" w:hAnsi="Tahoma"/>
          <w:color w:val="404042"/>
          <w:sz w:val="14"/>
        </w:rPr>
        <w:t>.</w:t>
      </w:r>
    </w:p>
    <w:p w14:paraId="1C8FCC66" w14:textId="77777777" w:rsidR="009757A9" w:rsidRDefault="00083242">
      <w:pPr>
        <w:spacing w:line="197" w:lineRule="exact"/>
        <w:ind w:left="1080" w:right="1080" w:hanging="216"/>
        <w:jc w:val="both"/>
        <w:textAlignment w:val="baseline"/>
        <w:rPr>
          <w:rFonts w:ascii="Tahoma" w:eastAsia="Tahoma" w:hAnsi="Tahoma"/>
          <w:color w:val="404042"/>
          <w:sz w:val="14"/>
        </w:rPr>
      </w:pPr>
      <w:r>
        <w:rPr>
          <w:rFonts w:ascii="Tahoma" w:eastAsia="Tahoma" w:hAnsi="Tahoma"/>
          <w:color w:val="404042"/>
          <w:sz w:val="14"/>
        </w:rPr>
        <w:t xml:space="preserve">37 Bisson, R. and Stubley, W. (2017), </w:t>
      </w:r>
      <w:r>
        <w:rPr>
          <w:rFonts w:ascii="Arial" w:eastAsia="Arial" w:hAnsi="Arial"/>
          <w:i/>
          <w:color w:val="404042"/>
          <w:sz w:val="14"/>
        </w:rPr>
        <w:t>After the ATAR: Understanding how Gen Z transition into further education and employmen</w:t>
      </w:r>
      <w:r>
        <w:rPr>
          <w:rFonts w:ascii="Tahoma" w:eastAsia="Tahoma" w:hAnsi="Tahoma"/>
          <w:color w:val="404042"/>
          <w:sz w:val="14"/>
        </w:rPr>
        <w:t xml:space="preserve">t, Year13 and YouthSense, </w:t>
      </w:r>
      <w:r>
        <w:rPr>
          <w:rFonts w:ascii="Verdana" w:eastAsia="Verdana" w:hAnsi="Verdana"/>
          <w:color w:val="404042"/>
          <w:sz w:val="14"/>
        </w:rPr>
        <w:t xml:space="preserve">p. 17, </w:t>
      </w:r>
      <w:hyperlink r:id="rId105">
        <w:r>
          <w:rPr>
            <w:rFonts w:ascii="Tahoma" w:eastAsia="Tahoma" w:hAnsi="Tahoma"/>
            <w:color w:val="0000FF"/>
            <w:sz w:val="14"/>
            <w:u w:val="single"/>
          </w:rPr>
          <w:t>https://youthsense.com.au/research/after-the-atar-i</w:t>
        </w:r>
      </w:hyperlink>
      <w:r>
        <w:rPr>
          <w:rFonts w:ascii="Tahoma" w:eastAsia="Tahoma" w:hAnsi="Tahoma"/>
          <w:color w:val="404042"/>
          <w:sz w:val="14"/>
        </w:rPr>
        <w:t>.</w:t>
      </w:r>
    </w:p>
    <w:p w14:paraId="53A13933" w14:textId="77777777" w:rsidR="009757A9" w:rsidRDefault="00083242">
      <w:pPr>
        <w:spacing w:before="4" w:line="197" w:lineRule="exact"/>
        <w:ind w:left="1080" w:right="1080" w:hanging="216"/>
        <w:jc w:val="both"/>
        <w:textAlignment w:val="baseline"/>
        <w:rPr>
          <w:rFonts w:ascii="Tahoma" w:eastAsia="Tahoma" w:hAnsi="Tahoma"/>
          <w:color w:val="404042"/>
          <w:sz w:val="14"/>
        </w:rPr>
      </w:pPr>
      <w:r>
        <w:rPr>
          <w:rFonts w:ascii="Tahoma" w:eastAsia="Tahoma" w:hAnsi="Tahoma"/>
          <w:color w:val="404042"/>
          <w:sz w:val="14"/>
        </w:rPr>
        <w:t xml:space="preserve">38 Economic, Education, Jobs and Skills Committee (2018), </w:t>
      </w:r>
      <w:r>
        <w:rPr>
          <w:rFonts w:ascii="Arial" w:eastAsia="Arial" w:hAnsi="Arial"/>
          <w:i/>
          <w:color w:val="404042"/>
          <w:sz w:val="14"/>
        </w:rPr>
        <w:t>Inquiry into Career Advice Activities in Victorian Schools</w:t>
      </w:r>
      <w:r>
        <w:rPr>
          <w:rFonts w:ascii="Verdana" w:eastAsia="Verdana" w:hAnsi="Verdana"/>
          <w:color w:val="404042"/>
          <w:sz w:val="14"/>
        </w:rPr>
        <w:t xml:space="preserve">, Parliament of Victoria, p. xi, </w:t>
      </w:r>
      <w:hyperlink r:id="rId106">
        <w:r>
          <w:rPr>
            <w:rFonts w:ascii="Tahoma" w:eastAsia="Tahoma" w:hAnsi="Tahoma"/>
            <w:color w:val="0000FF"/>
            <w:sz w:val="14"/>
            <w:u w:val="single"/>
          </w:rPr>
          <w:t>https:// www.parliament.vic.gov.au/925-eejsc/inquiry-into-career-advice-activities-in-victorian-schools</w:t>
        </w:r>
      </w:hyperlink>
      <w:r>
        <w:rPr>
          <w:rFonts w:ascii="Tahoma" w:eastAsia="Tahoma" w:hAnsi="Tahoma"/>
          <w:color w:val="404042"/>
          <w:sz w:val="14"/>
        </w:rPr>
        <w:t>.</w:t>
      </w:r>
    </w:p>
    <w:p w14:paraId="6B1C32B1" w14:textId="77777777" w:rsidR="009757A9" w:rsidRDefault="00083242">
      <w:pPr>
        <w:tabs>
          <w:tab w:val="left" w:pos="10872"/>
        </w:tabs>
        <w:spacing w:before="849" w:after="640" w:line="205" w:lineRule="exact"/>
        <w:ind w:left="8856"/>
        <w:textAlignment w:val="baseline"/>
        <w:rPr>
          <w:rFonts w:ascii="Tahoma" w:eastAsia="Tahoma" w:hAnsi="Tahoma"/>
          <w:color w:val="404042"/>
          <w:sz w:val="14"/>
        </w:rPr>
      </w:pPr>
      <w:r>
        <w:rPr>
          <w:rFonts w:ascii="Tahoma" w:eastAsia="Tahoma" w:hAnsi="Tahoma"/>
          <w:color w:val="404042"/>
          <w:sz w:val="14"/>
        </w:rPr>
        <w:t>Chapter 1: Essential skills</w:t>
      </w:r>
      <w:r>
        <w:rPr>
          <w:rFonts w:ascii="Arial" w:eastAsia="Arial" w:hAnsi="Arial"/>
          <w:b/>
          <w:color w:val="5556A1"/>
          <w:sz w:val="18"/>
        </w:rPr>
        <w:tab/>
        <w:t>43</w:t>
      </w:r>
    </w:p>
    <w:p w14:paraId="33D18FFC" w14:textId="77777777" w:rsidR="009757A9" w:rsidRDefault="00083242">
      <w:pPr>
        <w:textAlignment w:val="baseline"/>
      </w:pPr>
      <w:r>
        <w:rPr>
          <w:noProof/>
          <w:lang w:val="en-AU" w:eastAsia="en-AU"/>
        </w:rPr>
        <w:drawing>
          <wp:inline distT="0" distB="0" distL="0" distR="0" wp14:anchorId="2C3093B4" wp14:editId="106F8891">
            <wp:extent cx="7562215" cy="485775"/>
            <wp:effectExtent l="0" t="0" r="635" b="9525"/>
            <wp:docPr id="69" name="Picture"/>
            <wp:cNvGraphicFramePr/>
            <a:graphic xmlns:a="http://schemas.openxmlformats.org/drawingml/2006/main">
              <a:graphicData uri="http://schemas.openxmlformats.org/drawingml/2006/picture">
                <pic:pic xmlns:pic="http://schemas.openxmlformats.org/drawingml/2006/picture">
                  <pic:nvPicPr>
                    <pic:cNvPr id="69" name="Picture"/>
                    <pic:cNvPicPr preferRelativeResize="0"/>
                  </pic:nvPicPr>
                  <pic:blipFill>
                    <a:blip r:embed="rId107"/>
                    <a:stretch>
                      <a:fillRect/>
                    </a:stretch>
                  </pic:blipFill>
                  <pic:spPr>
                    <a:xfrm>
                      <a:off x="0" y="0"/>
                      <a:ext cx="7562215" cy="485775"/>
                    </a:xfrm>
                    <a:prstGeom prst="rect">
                      <a:avLst/>
                    </a:prstGeom>
                  </pic:spPr>
                </pic:pic>
              </a:graphicData>
            </a:graphic>
          </wp:inline>
        </w:drawing>
      </w:r>
    </w:p>
    <w:p w14:paraId="098D8EBE" w14:textId="77777777" w:rsidR="009757A9" w:rsidRDefault="009757A9">
      <w:pPr>
        <w:sectPr w:rsidR="009757A9">
          <w:pgSz w:w="11909" w:h="16838"/>
          <w:pgMar w:top="1080" w:right="0" w:bottom="0" w:left="0" w:header="720" w:footer="720" w:gutter="0"/>
          <w:cols w:space="720"/>
        </w:sectPr>
      </w:pPr>
    </w:p>
    <w:p w14:paraId="16A9BA7C" w14:textId="77777777" w:rsidR="009757A9" w:rsidRDefault="000D2E34">
      <w:pPr>
        <w:spacing w:before="116" w:line="301" w:lineRule="exact"/>
        <w:ind w:left="1296" w:right="1800"/>
        <w:textAlignment w:val="baseline"/>
        <w:rPr>
          <w:rFonts w:ascii="Tahoma" w:eastAsia="Tahoma" w:hAnsi="Tahoma"/>
          <w:i/>
          <w:color w:val="007994"/>
          <w:sz w:val="21"/>
        </w:rPr>
      </w:pPr>
      <w:r>
        <w:rPr>
          <w:noProof/>
          <w:lang w:val="en-AU" w:eastAsia="en-AU"/>
        </w:rPr>
        <w:lastRenderedPageBreak/>
        <mc:AlternateContent>
          <mc:Choice Requires="wps">
            <w:drawing>
              <wp:anchor distT="0" distB="0" distL="114300" distR="114300" simplePos="0" relativeHeight="251840000" behindDoc="0" locked="0" layoutInCell="1" allowOverlap="1" wp14:anchorId="1C368A5E" wp14:editId="73670519">
                <wp:simplePos x="0" y="0"/>
                <wp:positionH relativeFrom="page">
                  <wp:posOffset>826135</wp:posOffset>
                </wp:positionH>
                <wp:positionV relativeFrom="page">
                  <wp:posOffset>597535</wp:posOffset>
                </wp:positionV>
                <wp:extent cx="5907405" cy="0"/>
                <wp:effectExtent l="0" t="0" r="0" b="0"/>
                <wp:wrapNone/>
                <wp:docPr id="900" name="Lin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3CABE" id="Line 621" o:spid="_x0000_s1026" style="position:absolute;z-index:25184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7.05pt" to="530.2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jJ0QEAAIYDAAAOAAAAZHJzL2Uyb0RvYy54bWysU01v2zAMvQ/YfxB0X+xkTbMYcXpI1l2y&#10;LUDbH8BIsi1MFgVJiZN/P0r56Lrdil0EiXx8JB+pxcOxN+ygfNBoaz4elZwpK1Bq29b85fnx0xfO&#10;QgQrwaBVNT+pwB+WHz8sBlepCXZopPKMSGyoBlfzLkZXFUUQneohjNApS84GfQ+Rnr4tpIeB2HtT&#10;TMryvhjQS+dRqBDIuj47+TLzN40S8WfTBBWZqTnVFvPp87lLZ7FcQNV6cJ0WlzLgHVX0oC0lvVGt&#10;IQLbe/0PVa+Fx4BNHAnsC2waLVTugboZl39189SBU7kXEie4m0zh/9GKH4etZ1rWfF6SPhZ6GtJG&#10;W8XuJ+OkzuBCRaCV3frUnzjaJ7dB8Sswi6sObKtylc8nR4E5ongTkh7BUY7d8B0lYWAfMUt1bHyf&#10;KEkEdswTOd0moo6RCTJO5+XsrpxyJq6+AqproPMhflPYs3SpuaGqMzEcNiFS6QS9QlIei4/amDxw&#10;Y9lQ88/j2TQHBDRaJmeCBd/uVsazA6SVKWfz+V3SgcjewBLzGkJ3xmXXeZk87q3MWToF8uvlHkGb&#10;852IjCW+qzBniXcoT1uf8iQ7DTtnvCxm2qY/3xn1+n2WvwEAAP//AwBQSwMEFAAGAAgAAAAhAHRu&#10;g4jfAAAACgEAAA8AAABkcnMvZG93bnJldi54bWxMj81OwzAQhO9IvIO1lbhRu6VUEOJUgMSBU+mP&#10;hLi58ZKkiddR7Dbp27MVh/a0mt3R7DfpYnCNOGIXKk8aJmMFAin3tqJCw3bzcf8EIkRD1jSeUMMJ&#10;Ayyy25vUJNb3tMLjOhaCQygkRkMZY5tIGfISnQlj3yLx7dd3zkSWXSFtZ3oOd42cKjWXzlTEH0rT&#10;4nuJeb0+OA01Fqqvl5vT8jt87R/btx873X5qfTcaXl9ARBzixQxnfEaHjJl2/kA2iIb1g5qwVcPz&#10;jOfZoOZqBmL3v5FZKq8rZH8AAAD//wMAUEsBAi0AFAAGAAgAAAAhALaDOJL+AAAA4QEAABMAAAAA&#10;AAAAAAAAAAAAAAAAAFtDb250ZW50X1R5cGVzXS54bWxQSwECLQAUAAYACAAAACEAOP0h/9YAAACU&#10;AQAACwAAAAAAAAAAAAAAAAAvAQAAX3JlbHMvLnJlbHNQSwECLQAUAAYACAAAACEApwVYydEBAACG&#10;AwAADgAAAAAAAAAAAAAAAAAuAgAAZHJzL2Uyb0RvYy54bWxQSwECLQAUAAYACAAAACEAdG6DiN8A&#10;AAAKAQAADwAAAAAAAAAAAAAAAAArBAAAZHJzL2Rvd25yZXYueG1sUEsFBgAAAAAEAAQA8wAAADcF&#10;AAAAAA==&#10;" strokecolor="#007994" strokeweight=".25pt">
                <w10:wrap anchorx="page" anchory="page"/>
              </v:line>
            </w:pict>
          </mc:Fallback>
        </mc:AlternateContent>
      </w:r>
      <w:r w:rsidR="00083242">
        <w:rPr>
          <w:rFonts w:ascii="Tahoma" w:eastAsia="Tahoma" w:hAnsi="Tahoma"/>
          <w:i/>
          <w:color w:val="007994"/>
          <w:sz w:val="21"/>
        </w:rPr>
        <w:t>“The pressure on students to get a high ATAR also has undesirable consequences, with young persons seeing the Year 12 ATAR score as a critical point in their life, when we know that post-school outcomes are more important.”</w:t>
      </w:r>
    </w:p>
    <w:p w14:paraId="0863E803" w14:textId="77777777" w:rsidR="009757A9" w:rsidRDefault="00083242">
      <w:pPr>
        <w:spacing w:before="56" w:after="225" w:line="242" w:lineRule="exact"/>
        <w:ind w:left="6264"/>
        <w:textAlignment w:val="baseline"/>
        <w:rPr>
          <w:rFonts w:ascii="Tahoma" w:eastAsia="Tahoma" w:hAnsi="Tahoma"/>
          <w:i/>
          <w:color w:val="007994"/>
          <w:spacing w:val="2"/>
          <w:sz w:val="21"/>
        </w:rPr>
      </w:pPr>
      <w:r>
        <w:rPr>
          <w:rFonts w:ascii="Tahoma" w:eastAsia="Tahoma" w:hAnsi="Tahoma"/>
          <w:i/>
          <w:color w:val="007994"/>
          <w:spacing w:val="2"/>
          <w:sz w:val="21"/>
        </w:rPr>
        <w:t>Professor Tom Karmel, personal submission</w:t>
      </w:r>
    </w:p>
    <w:p w14:paraId="7BC88112" w14:textId="77777777" w:rsidR="009757A9" w:rsidRDefault="000D2E34">
      <w:pPr>
        <w:spacing w:before="425" w:line="240" w:lineRule="exact"/>
        <w:ind w:left="792" w:right="864"/>
        <w:textAlignment w:val="baseline"/>
        <w:rPr>
          <w:rFonts w:ascii="Tahoma" w:eastAsia="Tahoma" w:hAnsi="Tahoma"/>
          <w:color w:val="404042"/>
          <w:spacing w:val="6"/>
          <w:sz w:val="18"/>
        </w:rPr>
      </w:pPr>
      <w:r>
        <w:rPr>
          <w:noProof/>
          <w:lang w:val="en-AU" w:eastAsia="en-AU"/>
        </w:rPr>
        <mc:AlternateContent>
          <mc:Choice Requires="wps">
            <w:drawing>
              <wp:anchor distT="0" distB="0" distL="114300" distR="114300" simplePos="0" relativeHeight="251841024" behindDoc="0" locked="0" layoutInCell="1" allowOverlap="1" wp14:anchorId="523B7ED3" wp14:editId="4F7D5079">
                <wp:simplePos x="0" y="0"/>
                <wp:positionH relativeFrom="page">
                  <wp:posOffset>826135</wp:posOffset>
                </wp:positionH>
                <wp:positionV relativeFrom="page">
                  <wp:posOffset>1572895</wp:posOffset>
                </wp:positionV>
                <wp:extent cx="5907405" cy="0"/>
                <wp:effectExtent l="0" t="0" r="0" b="0"/>
                <wp:wrapNone/>
                <wp:docPr id="899" name="Lin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86A5A" id="Line 620" o:spid="_x0000_s1026" style="position:absolute;z-index:25184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23.85pt" to="530.2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9V0gEAAIYDAAAOAAAAZHJzL2Uyb0RvYy54bWysU01v2zAMvQ/YfxB0X+xkTdoYcXpI1l2y&#10;LUDbH8BIcixMFgVRiZ1/P0n5WLfdil0ESiQfHx+pxePQGXZUnjTamo9HJWfKCpTa7mv++vL06YEz&#10;CmAlGLSq5idF/HH58cOid5WaYItGKs8iiKWqdzVvQ3BVUZBoVQc0QqdsdDboOwjx6veF9NBH9M4U&#10;k7KcFT166TwKRRRf12cnX2b8plEi/GgaUoGZmkduIZ8+n7t0FssFVHsPrtXiQgPewaIDbWPRG9Qa&#10;ArCD1/9AdVp4JGzCSGBXYNNooXIPsZtx+Vc3zy04lXuJ4pC7yUT/D1Z8P24907LmD/M5Zxa6OKSN&#10;torNJlmd3lEVg1Z261N/YrDPboPiJzGLqxbsXmWWLycXE8dJz+KPlHQhF2vs+m8oYwwcAmaphsZ3&#10;CTKKwIY8kdNtImoITMTH6by8vyunnImrr4Dqmug8ha8KO5aMmpvIOgPDcUMhEYHqGpLqWHzSxuSB&#10;G8v6ms8+T8ucQGi0TM4URn6/WxnPjpBWpryfz+9yV9HzNiwhr4Hac1x2nZfJ48HKXKVVIL9c7ADa&#10;nO3IytiLSkmYtKpU7VCetv6qXhx2pn9ZzLRNb+85+/f3Wf4CAAD//wMAUEsDBBQABgAIAAAAIQCZ&#10;TaY83AAAAAwBAAAPAAAAZHJzL2Rvd25yZXYueG1sTI/BTsMwDIbvSLxDZCRuLNkYGypNJzS00y6w&#10;IXH1GtMWGqdqsq57ezwJCY6//en353w1+lYN1McmsIXpxIAiLoNruLLwvt/cPYKKCdlhG5gsnCnC&#10;qri+yjFz4cRvNOxSpaSEY4YW6pS6TOtY1uQxTkJHLLvP0HtMEvtKux5PUu5bPTNmoT02LBdq7Ghd&#10;U/m9O3oLGzT7V7fdhq/48XBeY9LuhQZrb2/G5ydQicb0B8NFX9ShEKdDOLKLqpV8b6aCWpjNl0tQ&#10;F8IszBzU4Xeki1z/f6L4AQAA//8DAFBLAQItABQABgAIAAAAIQC2gziS/gAAAOEBAAATAAAAAAAA&#10;AAAAAAAAAAAAAABbQ29udGVudF9UeXBlc10ueG1sUEsBAi0AFAAGAAgAAAAhADj9If/WAAAAlAEA&#10;AAsAAAAAAAAAAAAAAAAALwEAAF9yZWxzLy5yZWxzUEsBAi0AFAAGAAgAAAAhAK7s31XSAQAAhgMA&#10;AA4AAAAAAAAAAAAAAAAALgIAAGRycy9lMm9Eb2MueG1sUEsBAi0AFAAGAAgAAAAhAJlNpjzcAAAA&#10;DAEAAA8AAAAAAAAAAAAAAAAALAQAAGRycy9kb3ducmV2LnhtbFBLBQYAAAAABAAEAPMAAAA1BQAA&#10;AAA=&#10;" strokecolor="#007994" strokeweight=".5pt">
                <w10:wrap anchorx="page" anchory="page"/>
              </v:line>
            </w:pict>
          </mc:Fallback>
        </mc:AlternateContent>
      </w:r>
      <w:r w:rsidR="00083242">
        <w:rPr>
          <w:rFonts w:ascii="Tahoma" w:eastAsia="Tahoma" w:hAnsi="Tahoma"/>
          <w:color w:val="404042"/>
          <w:spacing w:val="6"/>
          <w:sz w:val="18"/>
        </w:rPr>
        <w:t>The pressure many students feel in senior secondary school to maximise their ATAR can also lead to mental health distress. The Year13 survey found that the fear of failure surrounding the ATAR is the cause of immense stress for young people. Around 51 per cent of respondents currently see, or feel that they ought to see, a mental health professional.</w:t>
      </w:r>
      <w:r w:rsidR="00083242">
        <w:rPr>
          <w:rFonts w:ascii="Tahoma" w:eastAsia="Tahoma" w:hAnsi="Tahoma"/>
          <w:color w:val="404042"/>
          <w:spacing w:val="6"/>
          <w:sz w:val="18"/>
          <w:vertAlign w:val="superscript"/>
        </w:rPr>
        <w:t>39</w:t>
      </w:r>
      <w:r w:rsidR="00083242">
        <w:rPr>
          <w:rFonts w:ascii="Tahoma" w:eastAsia="Tahoma" w:hAnsi="Tahoma"/>
          <w:color w:val="404042"/>
          <w:spacing w:val="6"/>
          <w:sz w:val="18"/>
        </w:rPr>
        <w:t xml:space="preserve"> Participants in a youth forum held by the Panel also indicated that many students feel anxiety both from the pressure of exams and content-heavy coursework.</w:t>
      </w:r>
      <w:r w:rsidR="00083242">
        <w:rPr>
          <w:rFonts w:ascii="Tahoma" w:eastAsia="Tahoma" w:hAnsi="Tahoma"/>
          <w:color w:val="404042"/>
          <w:spacing w:val="6"/>
          <w:sz w:val="18"/>
          <w:vertAlign w:val="superscript"/>
        </w:rPr>
        <w:t>40</w:t>
      </w:r>
      <w:r w:rsidR="00083242">
        <w:rPr>
          <w:rFonts w:ascii="Tahoma" w:eastAsia="Tahoma" w:hAnsi="Tahoma"/>
          <w:color w:val="404042"/>
          <w:spacing w:val="6"/>
          <w:sz w:val="11"/>
        </w:rPr>
        <w:t xml:space="preserve"> </w:t>
      </w:r>
    </w:p>
    <w:p w14:paraId="560C8267" w14:textId="77777777" w:rsidR="009757A9" w:rsidRDefault="00083242">
      <w:pPr>
        <w:spacing w:before="172" w:line="240" w:lineRule="exact"/>
        <w:ind w:left="792" w:right="1224"/>
        <w:textAlignment w:val="baseline"/>
        <w:rPr>
          <w:rFonts w:ascii="Tahoma" w:eastAsia="Tahoma" w:hAnsi="Tahoma"/>
          <w:color w:val="404042"/>
          <w:sz w:val="18"/>
        </w:rPr>
      </w:pPr>
      <w:r>
        <w:rPr>
          <w:rFonts w:ascii="Tahoma" w:eastAsia="Tahoma" w:hAnsi="Tahoma"/>
          <w:color w:val="404042"/>
          <w:sz w:val="18"/>
        </w:rPr>
        <w:t xml:space="preserve">Those students who do achieve a high ATAR face continued pressure to ‘use their ATAR’ or ‘not waste their number’. That may lead students to study a course with a higher entrance mark, rather than lower-entry courses, which are </w:t>
      </w:r>
      <w:r>
        <w:rPr>
          <w:rFonts w:ascii="Verdana" w:eastAsia="Verdana" w:hAnsi="Verdana"/>
          <w:color w:val="404042"/>
          <w:sz w:val="18"/>
        </w:rPr>
        <w:t xml:space="preserve">seen as less prestigious but may be more suitable, more in tune with their aspirations or offer greater employability </w:t>
      </w:r>
      <w:r>
        <w:rPr>
          <w:rFonts w:ascii="Tahoma" w:eastAsia="Tahoma" w:hAnsi="Tahoma"/>
          <w:color w:val="404042"/>
          <w:sz w:val="18"/>
        </w:rPr>
        <w:t>prospects. Some young people reported they felt pressured to pursue a ‘good’ university degree instead of being encouraged to follow their interests.</w:t>
      </w:r>
      <w:r>
        <w:rPr>
          <w:rFonts w:ascii="Tahoma" w:eastAsia="Tahoma" w:hAnsi="Tahoma"/>
          <w:color w:val="404042"/>
          <w:sz w:val="18"/>
          <w:vertAlign w:val="superscript"/>
        </w:rPr>
        <w:t>41</w:t>
      </w:r>
      <w:r>
        <w:rPr>
          <w:rFonts w:ascii="Tahoma" w:eastAsia="Tahoma" w:hAnsi="Tahoma"/>
          <w:color w:val="404042"/>
          <w:sz w:val="11"/>
        </w:rPr>
        <w:t xml:space="preserve"> </w:t>
      </w:r>
    </w:p>
    <w:p w14:paraId="38F394CA" w14:textId="77777777" w:rsidR="009757A9" w:rsidRDefault="00083242">
      <w:pPr>
        <w:spacing w:before="153" w:line="240" w:lineRule="exact"/>
        <w:ind w:left="792" w:right="1080"/>
        <w:textAlignment w:val="baseline"/>
        <w:rPr>
          <w:rFonts w:ascii="Verdana" w:eastAsia="Verdana" w:hAnsi="Verdana"/>
          <w:color w:val="404042"/>
          <w:sz w:val="18"/>
        </w:rPr>
      </w:pPr>
      <w:r>
        <w:rPr>
          <w:rFonts w:ascii="Verdana" w:eastAsia="Verdana" w:hAnsi="Verdana"/>
          <w:color w:val="404042"/>
          <w:sz w:val="18"/>
        </w:rPr>
        <w:t xml:space="preserve">While each jurisdiction calculates the ATAR differently based on their own assessment and certification requirements, Queensland’s introduction of the ATAR system in 2020 for the first time provides an opportunity to observe the effect </w:t>
      </w:r>
      <w:r>
        <w:rPr>
          <w:rFonts w:ascii="Tahoma" w:eastAsia="Tahoma" w:hAnsi="Tahoma"/>
          <w:color w:val="404042"/>
          <w:sz w:val="18"/>
        </w:rPr>
        <w:t>of variations to the system for the broader Australian context.</w:t>
      </w:r>
    </w:p>
    <w:p w14:paraId="739FEE62" w14:textId="77777777" w:rsidR="009757A9" w:rsidRDefault="00083242">
      <w:pPr>
        <w:spacing w:before="185" w:line="240" w:lineRule="exact"/>
        <w:ind w:left="792" w:right="1080"/>
        <w:textAlignment w:val="baseline"/>
        <w:rPr>
          <w:rFonts w:ascii="Tahoma" w:eastAsia="Tahoma" w:hAnsi="Tahoma"/>
          <w:color w:val="404042"/>
          <w:sz w:val="18"/>
        </w:rPr>
      </w:pPr>
      <w:r>
        <w:rPr>
          <w:rFonts w:ascii="Tahoma" w:eastAsia="Tahoma" w:hAnsi="Tahoma"/>
          <w:color w:val="404042"/>
          <w:sz w:val="18"/>
        </w:rPr>
        <w:t xml:space="preserve">The new Queensland ATAR will include a broad range of student learning, with options to combine applied subjects </w:t>
      </w:r>
      <w:r>
        <w:rPr>
          <w:rFonts w:ascii="Verdana" w:eastAsia="Verdana" w:hAnsi="Verdana"/>
          <w:color w:val="404042"/>
          <w:sz w:val="18"/>
        </w:rPr>
        <w:t xml:space="preserve">and VET qualifications along with general subjects. The ATAR will be based on a smaller number of assessments than </w:t>
      </w:r>
      <w:r>
        <w:rPr>
          <w:rFonts w:ascii="Tahoma" w:eastAsia="Tahoma" w:hAnsi="Tahoma"/>
          <w:color w:val="404042"/>
          <w:sz w:val="18"/>
        </w:rPr>
        <w:t>students were required to undertake under the previous system, and a student’s internal assessment results will not be scaled against their external assessment in calculating the ATAR.</w:t>
      </w:r>
      <w:r>
        <w:rPr>
          <w:rFonts w:ascii="Tahoma" w:eastAsia="Tahoma" w:hAnsi="Tahoma"/>
          <w:color w:val="404042"/>
          <w:sz w:val="18"/>
          <w:vertAlign w:val="superscript"/>
        </w:rPr>
        <w:t>42</w:t>
      </w:r>
      <w:r>
        <w:rPr>
          <w:rFonts w:ascii="Tahoma" w:eastAsia="Tahoma" w:hAnsi="Tahoma"/>
          <w:color w:val="404042"/>
          <w:sz w:val="11"/>
        </w:rPr>
        <w:t xml:space="preserve"> </w:t>
      </w:r>
    </w:p>
    <w:p w14:paraId="5989201C" w14:textId="77777777" w:rsidR="009757A9" w:rsidRDefault="00083242">
      <w:pPr>
        <w:spacing w:before="161" w:line="240" w:lineRule="exact"/>
        <w:ind w:left="792" w:right="1080"/>
        <w:textAlignment w:val="baseline"/>
        <w:rPr>
          <w:rFonts w:ascii="Tahoma" w:eastAsia="Tahoma" w:hAnsi="Tahoma"/>
          <w:color w:val="404042"/>
          <w:spacing w:val="3"/>
          <w:sz w:val="18"/>
        </w:rPr>
      </w:pPr>
      <w:r>
        <w:rPr>
          <w:rFonts w:ascii="Tahoma" w:eastAsia="Tahoma" w:hAnsi="Tahoma"/>
          <w:color w:val="404042"/>
          <w:spacing w:val="3"/>
          <w:sz w:val="18"/>
        </w:rPr>
        <w:t xml:space="preserve">The interim report of the NSW Curriculum Review, released in 2019, also proposes a number of reforms in relation </w:t>
      </w:r>
      <w:r>
        <w:rPr>
          <w:rFonts w:ascii="Verdana" w:eastAsia="Verdana" w:hAnsi="Verdana"/>
          <w:color w:val="404042"/>
          <w:spacing w:val="3"/>
          <w:sz w:val="18"/>
        </w:rPr>
        <w:t xml:space="preserve">to the ATAR and course structure. It identifies the undue dominance the ATAR is having over teaching and learning in schools, and the distorting influence it is having on student subject choice. It recommends exploring the possibility of </w:t>
      </w:r>
      <w:r>
        <w:rPr>
          <w:rFonts w:ascii="Tahoma" w:eastAsia="Tahoma" w:hAnsi="Tahoma"/>
          <w:color w:val="404042"/>
          <w:spacing w:val="3"/>
          <w:sz w:val="18"/>
        </w:rPr>
        <w:t>not calculating and reporting the ATAR, instead replacing it with course-by-course selection ranks.</w:t>
      </w:r>
      <w:r>
        <w:rPr>
          <w:rFonts w:ascii="Tahoma" w:eastAsia="Tahoma" w:hAnsi="Tahoma"/>
          <w:color w:val="404042"/>
          <w:spacing w:val="3"/>
          <w:sz w:val="18"/>
          <w:vertAlign w:val="superscript"/>
        </w:rPr>
        <w:t>43</w:t>
      </w:r>
      <w:r>
        <w:rPr>
          <w:rFonts w:ascii="Tahoma" w:eastAsia="Tahoma" w:hAnsi="Tahoma"/>
          <w:color w:val="404042"/>
          <w:spacing w:val="3"/>
          <w:sz w:val="18"/>
        </w:rPr>
        <w:t xml:space="preserve"> It also proposes introducing a limited set of rigorous, high-quality, advanced courses, each of which incorporates both theory and application and is designed to develop knowledge, understandings, skills and attributes for further learning, life and work.</w:t>
      </w:r>
      <w:r>
        <w:rPr>
          <w:rFonts w:ascii="Tahoma" w:eastAsia="Tahoma" w:hAnsi="Tahoma"/>
          <w:color w:val="404042"/>
          <w:spacing w:val="3"/>
          <w:sz w:val="18"/>
          <w:vertAlign w:val="superscript"/>
        </w:rPr>
        <w:t>44</w:t>
      </w:r>
      <w:r>
        <w:rPr>
          <w:rFonts w:ascii="Tahoma" w:eastAsia="Tahoma" w:hAnsi="Tahoma"/>
          <w:color w:val="404042"/>
          <w:spacing w:val="3"/>
          <w:sz w:val="11"/>
        </w:rPr>
        <w:t xml:space="preserve"> </w:t>
      </w:r>
    </w:p>
    <w:p w14:paraId="7CA1AB68" w14:textId="77777777" w:rsidR="009757A9" w:rsidRDefault="00083242">
      <w:pPr>
        <w:spacing w:before="163" w:after="2423" w:line="240" w:lineRule="exact"/>
        <w:ind w:left="792" w:right="864"/>
        <w:textAlignment w:val="baseline"/>
        <w:rPr>
          <w:rFonts w:ascii="Tahoma" w:eastAsia="Tahoma" w:hAnsi="Tahoma"/>
          <w:color w:val="404042"/>
          <w:sz w:val="18"/>
        </w:rPr>
      </w:pPr>
      <w:r>
        <w:rPr>
          <w:rFonts w:ascii="Tahoma" w:eastAsia="Tahoma" w:hAnsi="Tahoma"/>
          <w:color w:val="404042"/>
          <w:sz w:val="18"/>
        </w:rPr>
        <w:t xml:space="preserve">The impact of COVID-19 on senior secondary schooling in 2020 is forcing jurisdictions to make innovations and adjustments to the way the ATAR is calculated. Forced by necessity, this may turn out to be a good outcome of the crisis. </w:t>
      </w:r>
      <w:r>
        <w:rPr>
          <w:rFonts w:ascii="Verdana" w:eastAsia="Verdana" w:hAnsi="Verdana"/>
          <w:color w:val="404042"/>
          <w:sz w:val="18"/>
        </w:rPr>
        <w:t>These short-term approaches should be evaluated to see how they affect the overall outcomes of senior secondary schooling and whether additional, more flexible modes of student assessment might have long-term benefit.</w:t>
      </w:r>
    </w:p>
    <w:p w14:paraId="6139C1CB" w14:textId="77777777" w:rsidR="009757A9" w:rsidRDefault="000D2E34">
      <w:pPr>
        <w:spacing w:before="76" w:line="167" w:lineRule="exact"/>
        <w:ind w:left="792"/>
        <w:textAlignment w:val="baseline"/>
        <w:rPr>
          <w:rFonts w:ascii="Tahoma" w:eastAsia="Tahoma" w:hAnsi="Tahoma"/>
          <w:color w:val="404042"/>
          <w:spacing w:val="-5"/>
          <w:sz w:val="14"/>
        </w:rPr>
      </w:pPr>
      <w:r>
        <w:rPr>
          <w:noProof/>
          <w:lang w:val="en-AU" w:eastAsia="en-AU"/>
        </w:rPr>
        <mc:AlternateContent>
          <mc:Choice Requires="wps">
            <w:drawing>
              <wp:anchor distT="0" distB="0" distL="114300" distR="114300" simplePos="0" relativeHeight="251842048" behindDoc="0" locked="0" layoutInCell="1" allowOverlap="1" wp14:anchorId="15851A69" wp14:editId="2E52E990">
                <wp:simplePos x="0" y="0"/>
                <wp:positionH relativeFrom="page">
                  <wp:posOffset>539750</wp:posOffset>
                </wp:positionH>
                <wp:positionV relativeFrom="page">
                  <wp:posOffset>8180705</wp:posOffset>
                </wp:positionV>
                <wp:extent cx="917575" cy="0"/>
                <wp:effectExtent l="0" t="0" r="0" b="0"/>
                <wp:wrapNone/>
                <wp:docPr id="898" name="Lin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1BBD8" id="Line 619" o:spid="_x0000_s1026" style="position:absolute;z-index:25184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44.15pt" to="114.75pt,6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RXzQEAAIUDAAAOAAAAZHJzL2Uyb0RvYy54bWysU01v2zAMvQ/YfxB0X2wXaJsYcXpI1l2y&#10;LUC7H8BIsi1MFgVJiZ1/P0r5aLfdhvkgiCL5+PhIL5+mwbCj8kGjbXg1KzlTVqDUtmv4j9fnT3PO&#10;QgQrwaBVDT+pwJ9WHz8sR1erO+zRSOUZgdhQj67hfYyuLoogejVAmKFTlpwt+gEimb4rpIeR0AdT&#10;3JXlQzGil86jUCHQ6+bs5KuM37ZKxO9tG1RkpuHELebT53OfzmK1hLrz4HotLjTgH1gMoC0VvUFt&#10;IAI7eP0X1KCFx4BtnAkcCmxbLVTugbqpyj+6eenBqdwLiRPcTabw/2DFt+POMy0bPl/QqCwMNKSt&#10;too9VIukzuhCTUFru/OpPzHZF7dF8TMwi+sebKcyy9eTo8QqZRS/pSQjOKqxH7+ipBg4RMxSTa0f&#10;EiSJwKY8kdNtImqKTNDjonq8f7znTFxdBdTXPOdD/KJwYOnScEOkMy4ctyEmHlBfQ1IZi8/amDxv&#10;Y9lIDc8XZU4IaLRMzhQWfLdfG8+OkDYmf7kp8rwPS8gbCP05LrvOu+TxYGWu0iuQny/3CNqc78TK&#10;2ItISZezwnuUp52/ikezzvQve5mW6b2ds9/+ntUvAAAA//8DAFBLAwQUAAYACAAAACEAr2iNG98A&#10;AAAMAQAADwAAAGRycy9kb3ducmV2LnhtbEyPQU+EMBCF7yb+h2ZMvBi3iNkNImWDq144mAgbz4WO&#10;gNIpod1d/PeOB6PHefPy3vey7WJHccTZD44U3KwiEEitMwN1Cvb183UCwgdNRo+OUMEXetjm52eZ&#10;To070Sseq9AJDiGfagV9CFMqpW97tNqv3ITEv3c3Wx34nDtpZn3icDvKOIo20uqBuKHXE+56bD+r&#10;g1XQPBWbXV26/Uv91pTzVflRVA+PSl1eLMU9iIBL+DPDDz6jQ85MjTuQ8WJUkKx5SmA9TpJbEOyI&#10;47s1iOZXknkm/4/IvwEAAP//AwBQSwECLQAUAAYACAAAACEAtoM4kv4AAADhAQAAEwAAAAAAAAAA&#10;AAAAAAAAAAAAW0NvbnRlbnRfVHlwZXNdLnhtbFBLAQItABQABgAIAAAAIQA4/SH/1gAAAJQBAAAL&#10;AAAAAAAAAAAAAAAAAC8BAABfcmVscy8ucmVsc1BLAQItABQABgAIAAAAIQC9uORXzQEAAIUDAAAO&#10;AAAAAAAAAAAAAAAAAC4CAABkcnMvZTJvRG9jLnhtbFBLAQItABQABgAIAAAAIQCvaI0b3wAAAAwB&#10;AAAPAAAAAAAAAAAAAAAAACcEAABkcnMvZG93bnJldi54bWxQSwUGAAAAAAQABADzAAAAMwUAAAAA&#10;" strokeweight=".7pt">
                <w10:wrap anchorx="page" anchory="page"/>
              </v:line>
            </w:pict>
          </mc:Fallback>
        </mc:AlternateContent>
      </w:r>
      <w:r w:rsidR="00083242">
        <w:rPr>
          <w:rFonts w:ascii="Tahoma" w:eastAsia="Tahoma" w:hAnsi="Tahoma"/>
          <w:color w:val="404042"/>
          <w:spacing w:val="-5"/>
          <w:sz w:val="14"/>
        </w:rPr>
        <w:t xml:space="preserve">39 </w:t>
      </w:r>
      <w:r w:rsidR="00083242">
        <w:rPr>
          <w:rFonts w:ascii="Verdana" w:eastAsia="Verdana" w:hAnsi="Verdana"/>
          <w:color w:val="404042"/>
          <w:spacing w:val="-5"/>
          <w:sz w:val="14"/>
        </w:rPr>
        <w:t>Bisson and Stubley (2017), p. 9.</w:t>
      </w:r>
    </w:p>
    <w:p w14:paraId="7FCC8340" w14:textId="77777777" w:rsidR="009757A9" w:rsidRDefault="00083242">
      <w:pPr>
        <w:spacing w:before="34" w:line="173" w:lineRule="exact"/>
        <w:ind w:left="792"/>
        <w:textAlignment w:val="baseline"/>
        <w:rPr>
          <w:rFonts w:ascii="Tahoma" w:eastAsia="Tahoma" w:hAnsi="Tahoma"/>
          <w:color w:val="404042"/>
          <w:sz w:val="14"/>
        </w:rPr>
      </w:pPr>
      <w:r>
        <w:rPr>
          <w:rFonts w:ascii="Tahoma" w:eastAsia="Tahoma" w:hAnsi="Tahoma"/>
          <w:color w:val="404042"/>
          <w:sz w:val="14"/>
        </w:rPr>
        <w:t xml:space="preserve">40 Social Deck (2020), </w:t>
      </w:r>
      <w:r>
        <w:rPr>
          <w:rFonts w:ascii="Arial" w:eastAsia="Arial" w:hAnsi="Arial"/>
          <w:i/>
          <w:color w:val="404042"/>
          <w:sz w:val="14"/>
        </w:rPr>
        <w:t>Wagga Wagga Youth Forum</w:t>
      </w:r>
      <w:r>
        <w:rPr>
          <w:rFonts w:ascii="Verdana" w:eastAsia="Verdana" w:hAnsi="Verdana"/>
          <w:color w:val="404042"/>
          <w:sz w:val="14"/>
        </w:rPr>
        <w:t>, unpublished report, p. 7.</w:t>
      </w:r>
    </w:p>
    <w:p w14:paraId="63D42DC7" w14:textId="77777777" w:rsidR="009757A9" w:rsidRDefault="00083242">
      <w:pPr>
        <w:spacing w:before="30" w:line="162" w:lineRule="exact"/>
        <w:ind w:left="792"/>
        <w:textAlignment w:val="baseline"/>
        <w:rPr>
          <w:rFonts w:ascii="Tahoma" w:eastAsia="Tahoma" w:hAnsi="Tahoma"/>
          <w:color w:val="404042"/>
          <w:spacing w:val="4"/>
          <w:sz w:val="14"/>
        </w:rPr>
      </w:pPr>
      <w:r>
        <w:rPr>
          <w:rFonts w:ascii="Tahoma" w:eastAsia="Tahoma" w:hAnsi="Tahoma"/>
          <w:color w:val="404042"/>
          <w:spacing w:val="4"/>
          <w:sz w:val="14"/>
        </w:rPr>
        <w:t>41 Ibid.</w:t>
      </w:r>
    </w:p>
    <w:p w14:paraId="5DED0B20" w14:textId="77777777" w:rsidR="009757A9" w:rsidRDefault="00083242">
      <w:pPr>
        <w:spacing w:before="35" w:line="162" w:lineRule="exact"/>
        <w:ind w:left="792"/>
        <w:textAlignment w:val="baseline"/>
        <w:rPr>
          <w:rFonts w:ascii="Tahoma" w:eastAsia="Tahoma" w:hAnsi="Tahoma"/>
          <w:color w:val="404042"/>
          <w:spacing w:val="7"/>
          <w:sz w:val="14"/>
        </w:rPr>
      </w:pPr>
      <w:r>
        <w:rPr>
          <w:rFonts w:ascii="Tahoma" w:eastAsia="Tahoma" w:hAnsi="Tahoma"/>
          <w:color w:val="404042"/>
          <w:spacing w:val="7"/>
          <w:sz w:val="14"/>
        </w:rPr>
        <w:t>42 Queensland Government submission.</w:t>
      </w:r>
    </w:p>
    <w:p w14:paraId="69D0B0AD" w14:textId="7A42E1A0" w:rsidR="009757A9" w:rsidRDefault="00083242">
      <w:pPr>
        <w:spacing w:before="7" w:line="199" w:lineRule="exact"/>
        <w:ind w:left="1080" w:right="864" w:hanging="288"/>
        <w:textAlignment w:val="baseline"/>
        <w:rPr>
          <w:rFonts w:ascii="Tahoma" w:eastAsia="Tahoma" w:hAnsi="Tahoma"/>
          <w:color w:val="404042"/>
          <w:spacing w:val="4"/>
          <w:sz w:val="14"/>
        </w:rPr>
      </w:pPr>
      <w:r>
        <w:rPr>
          <w:rFonts w:ascii="Tahoma" w:eastAsia="Tahoma" w:hAnsi="Tahoma"/>
          <w:color w:val="404042"/>
          <w:spacing w:val="4"/>
          <w:sz w:val="14"/>
        </w:rPr>
        <w:t xml:space="preserve">43 NSW Education Standards Authority (2019), </w:t>
      </w:r>
      <w:r>
        <w:rPr>
          <w:rFonts w:ascii="Arial" w:eastAsia="Arial" w:hAnsi="Arial"/>
          <w:i/>
          <w:color w:val="404042"/>
          <w:spacing w:val="4"/>
          <w:sz w:val="14"/>
        </w:rPr>
        <w:t>Nurturing Wonder and Igniting Passion: Designs for a future school curriculum: NSW Curriculum Review</w:t>
      </w:r>
      <w:r w:rsidR="00CF67DB">
        <w:rPr>
          <w:rFonts w:ascii="Arial" w:eastAsia="Arial" w:hAnsi="Arial"/>
          <w:i/>
          <w:color w:val="404042"/>
          <w:spacing w:val="4"/>
          <w:sz w:val="14"/>
        </w:rPr>
        <w:t xml:space="preserve"> </w:t>
      </w:r>
      <w:r>
        <w:rPr>
          <w:rFonts w:ascii="Arial" w:eastAsia="Arial" w:hAnsi="Arial"/>
          <w:i/>
          <w:color w:val="404042"/>
          <w:spacing w:val="4"/>
          <w:sz w:val="14"/>
        </w:rPr>
        <w:t>interim report</w:t>
      </w:r>
      <w:r>
        <w:rPr>
          <w:rFonts w:ascii="Verdana" w:eastAsia="Verdana" w:hAnsi="Verdana"/>
          <w:color w:val="404042"/>
          <w:spacing w:val="4"/>
          <w:sz w:val="14"/>
        </w:rPr>
        <w:t xml:space="preserve">, October 2019, p. 101, </w:t>
      </w:r>
      <w:hyperlink r:id="rId108">
        <w:r>
          <w:rPr>
            <w:rFonts w:ascii="Tahoma" w:eastAsia="Tahoma" w:hAnsi="Tahoma"/>
            <w:color w:val="0000FF"/>
            <w:spacing w:val="4"/>
            <w:sz w:val="14"/>
            <w:u w:val="single"/>
          </w:rPr>
          <w:t>https://nswcurriculumreview.nesa.nsw.edu.au/pdfs/interimreport/chapters/NSW-Curriculum-Review-Interim-R eport.pdf</w:t>
        </w:r>
      </w:hyperlink>
      <w:r>
        <w:rPr>
          <w:rFonts w:ascii="Tahoma" w:eastAsia="Tahoma" w:hAnsi="Tahoma"/>
          <w:color w:val="404042"/>
          <w:spacing w:val="4"/>
          <w:sz w:val="14"/>
        </w:rPr>
        <w:t>.</w:t>
      </w:r>
    </w:p>
    <w:p w14:paraId="0616C5D3" w14:textId="77777777" w:rsidR="009757A9" w:rsidRDefault="00083242">
      <w:pPr>
        <w:spacing w:before="34" w:line="168" w:lineRule="exact"/>
        <w:ind w:left="792"/>
        <w:textAlignment w:val="baseline"/>
        <w:rPr>
          <w:rFonts w:ascii="Tahoma" w:eastAsia="Tahoma" w:hAnsi="Tahoma"/>
          <w:color w:val="404042"/>
          <w:spacing w:val="-1"/>
          <w:sz w:val="14"/>
        </w:rPr>
      </w:pPr>
      <w:r>
        <w:rPr>
          <w:rFonts w:ascii="Tahoma" w:eastAsia="Tahoma" w:hAnsi="Tahoma"/>
          <w:color w:val="404042"/>
          <w:spacing w:val="-1"/>
          <w:sz w:val="14"/>
        </w:rPr>
        <w:t xml:space="preserve">44 </w:t>
      </w:r>
      <w:hyperlink r:id="rId109">
        <w:r>
          <w:rPr>
            <w:rFonts w:ascii="Tahoma" w:eastAsia="Tahoma" w:hAnsi="Tahoma"/>
            <w:color w:val="0000FF"/>
            <w:spacing w:val="-1"/>
            <w:sz w:val="14"/>
            <w:u w:val="single"/>
          </w:rPr>
          <w:t>Ibid.,</w:t>
        </w:r>
      </w:hyperlink>
      <w:r>
        <w:rPr>
          <w:rFonts w:ascii="Tahoma" w:eastAsia="Tahoma" w:hAnsi="Tahoma"/>
          <w:color w:val="404042"/>
          <w:spacing w:val="-1"/>
          <w:sz w:val="14"/>
        </w:rPr>
        <w:t xml:space="preserve"> </w:t>
      </w:r>
      <w:r>
        <w:rPr>
          <w:rFonts w:ascii="Verdana" w:eastAsia="Verdana" w:hAnsi="Verdana"/>
          <w:color w:val="404042"/>
          <w:spacing w:val="-1"/>
          <w:sz w:val="14"/>
        </w:rPr>
        <w:t>p. 95.</w:t>
      </w:r>
    </w:p>
    <w:p w14:paraId="32AFF57D" w14:textId="77777777" w:rsidR="009757A9" w:rsidRDefault="00083242">
      <w:pPr>
        <w:tabs>
          <w:tab w:val="left" w:pos="1368"/>
        </w:tabs>
        <w:spacing w:before="742" w:after="638" w:line="199" w:lineRule="exact"/>
        <w:ind w:left="792"/>
        <w:textAlignment w:val="baseline"/>
        <w:rPr>
          <w:rFonts w:ascii="Arial" w:eastAsia="Arial" w:hAnsi="Arial"/>
          <w:b/>
          <w:color w:val="5556A1"/>
          <w:spacing w:val="2"/>
          <w:sz w:val="18"/>
        </w:rPr>
      </w:pPr>
      <w:r>
        <w:rPr>
          <w:rFonts w:ascii="Arial" w:eastAsia="Arial" w:hAnsi="Arial"/>
          <w:b/>
          <w:color w:val="5556A1"/>
          <w:spacing w:val="2"/>
          <w:sz w:val="18"/>
        </w:rPr>
        <w:t>44</w:t>
      </w:r>
      <w:r>
        <w:rPr>
          <w:rFonts w:ascii="Tahoma" w:eastAsia="Tahoma" w:hAnsi="Tahoma"/>
          <w:color w:val="404042"/>
          <w:spacing w:val="2"/>
          <w:sz w:val="14"/>
        </w:rPr>
        <w:tab/>
        <w:t>Looking to the future</w:t>
      </w:r>
    </w:p>
    <w:p w14:paraId="23697AFA" w14:textId="77777777" w:rsidR="009757A9" w:rsidRDefault="00083242">
      <w:pPr>
        <w:textAlignment w:val="baseline"/>
      </w:pPr>
      <w:r>
        <w:rPr>
          <w:noProof/>
          <w:lang w:val="en-AU" w:eastAsia="en-AU"/>
        </w:rPr>
        <w:drawing>
          <wp:inline distT="0" distB="0" distL="0" distR="0" wp14:anchorId="3DD714BA" wp14:editId="7F42EE1F">
            <wp:extent cx="7562215" cy="462915"/>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209F9600" w14:textId="77777777" w:rsidR="009757A9" w:rsidRDefault="009757A9">
      <w:pPr>
        <w:sectPr w:rsidR="009757A9">
          <w:pgSz w:w="11909" w:h="16838"/>
          <w:pgMar w:top="920" w:right="0" w:bottom="0" w:left="0" w:header="720" w:footer="720" w:gutter="0"/>
          <w:cols w:space="720"/>
        </w:sectPr>
      </w:pPr>
    </w:p>
    <w:p w14:paraId="254A34ED" w14:textId="1DFB0931" w:rsidR="009757A9" w:rsidRPr="005443BD" w:rsidRDefault="00083242" w:rsidP="00E539CA">
      <w:pPr>
        <w:pStyle w:val="Heading2"/>
        <w:ind w:left="0"/>
        <w:rPr>
          <w:rFonts w:eastAsia="Arial"/>
          <w:sz w:val="25"/>
          <w:szCs w:val="25"/>
        </w:rPr>
      </w:pPr>
      <w:r w:rsidRPr="005443BD">
        <w:rPr>
          <w:rFonts w:eastAsia="Arial"/>
          <w:sz w:val="25"/>
          <w:szCs w:val="25"/>
        </w:rPr>
        <w:lastRenderedPageBreak/>
        <w:t>Alternative entry to universities</w:t>
      </w:r>
    </w:p>
    <w:p w14:paraId="2ADD210B" w14:textId="77777777" w:rsidR="009757A9" w:rsidRDefault="00083242" w:rsidP="00E539CA">
      <w:pPr>
        <w:spacing w:before="146" w:line="240" w:lineRule="exact"/>
        <w:ind w:right="-43"/>
        <w:textAlignment w:val="baseline"/>
        <w:rPr>
          <w:rFonts w:ascii="Tahoma" w:eastAsia="Tahoma" w:hAnsi="Tahoma"/>
          <w:color w:val="404042"/>
          <w:sz w:val="18"/>
        </w:rPr>
      </w:pPr>
      <w:r>
        <w:rPr>
          <w:rFonts w:ascii="Tahoma" w:eastAsia="Tahoma" w:hAnsi="Tahoma"/>
          <w:color w:val="404042"/>
          <w:sz w:val="18"/>
        </w:rPr>
        <w:t>The ATAR, designed to rank students for university, is distorting senior secondary pathways. Yet, ironically, it has become progressively less important in achieving the purpose for which it was intended.</w:t>
      </w:r>
    </w:p>
    <w:p w14:paraId="00497EA3" w14:textId="77777777" w:rsidR="009757A9" w:rsidRDefault="00083242" w:rsidP="00E539CA">
      <w:pPr>
        <w:spacing w:before="168" w:line="240" w:lineRule="exact"/>
        <w:ind w:right="-43"/>
        <w:textAlignment w:val="baseline"/>
        <w:rPr>
          <w:rFonts w:ascii="Tahoma" w:eastAsia="Tahoma" w:hAnsi="Tahoma"/>
          <w:color w:val="404042"/>
          <w:sz w:val="18"/>
        </w:rPr>
      </w:pPr>
      <w:r>
        <w:rPr>
          <w:rFonts w:ascii="Tahoma" w:eastAsia="Tahoma" w:hAnsi="Tahoma"/>
          <w:color w:val="404042"/>
          <w:sz w:val="18"/>
        </w:rPr>
        <w:t>It is not generally understood that the ATAR alone is not the basis on which most students gain access to university. Indeed, only 31 per cent of students gaining entry to university in 2014 were selected on this basis. Many others secured entry on the basis of their vocational education and training, workplace experience, mature-age entry or alternative selection process.</w:t>
      </w:r>
      <w:r>
        <w:rPr>
          <w:rFonts w:ascii="Tahoma" w:eastAsia="Tahoma" w:hAnsi="Tahoma"/>
          <w:color w:val="404042"/>
          <w:sz w:val="18"/>
          <w:vertAlign w:val="superscript"/>
        </w:rPr>
        <w:t>45</w:t>
      </w:r>
      <w:r>
        <w:rPr>
          <w:rFonts w:ascii="Tahoma" w:eastAsia="Tahoma" w:hAnsi="Tahoma"/>
          <w:color w:val="404042"/>
          <w:sz w:val="11"/>
        </w:rPr>
        <w:t xml:space="preserve"> </w:t>
      </w:r>
    </w:p>
    <w:p w14:paraId="1E8BEC50" w14:textId="77777777" w:rsidR="009757A9" w:rsidRDefault="00083242" w:rsidP="00E539CA">
      <w:pPr>
        <w:spacing w:before="173" w:line="239" w:lineRule="exact"/>
        <w:ind w:right="-43"/>
        <w:textAlignment w:val="baseline"/>
        <w:rPr>
          <w:rFonts w:ascii="Tahoma" w:eastAsia="Tahoma" w:hAnsi="Tahoma"/>
          <w:color w:val="404042"/>
          <w:spacing w:val="7"/>
          <w:sz w:val="18"/>
        </w:rPr>
      </w:pPr>
      <w:r>
        <w:rPr>
          <w:rFonts w:ascii="Tahoma" w:eastAsia="Tahoma" w:hAnsi="Tahoma"/>
          <w:color w:val="404042"/>
          <w:spacing w:val="7"/>
          <w:sz w:val="18"/>
        </w:rPr>
        <w:t>Many institutions increasingly accept a range of evidence other than the ATAR for prospective students to demonstrate their readiness and capacity for higher education, including alternative entry schemes, portfolios and auditions, VET certificates, or diploma qualifications. A major problem at the moment is that senior secondary students are being required to choose between academic subjects for university or vocational education. Yet this is an unnecessarily binary demarcation. Once students leave school, they discover that vocational education and training is a good pathway to higher education, and, equally important, that certificated training is often a good complement to a university degree.</w:t>
      </w:r>
    </w:p>
    <w:p w14:paraId="1AF94540" w14:textId="73DA9940" w:rsidR="00E539CA" w:rsidRPr="00CF67DB" w:rsidRDefault="00083242" w:rsidP="00CF67DB">
      <w:pPr>
        <w:spacing w:before="1200" w:after="637"/>
        <w:ind w:left="2977" w:right="423"/>
        <w:textAlignment w:val="baseline"/>
      </w:pPr>
      <w:r>
        <w:rPr>
          <w:noProof/>
          <w:lang w:val="en-AU" w:eastAsia="en-AU"/>
        </w:rPr>
        <w:drawing>
          <wp:inline distT="0" distB="0" distL="0" distR="0" wp14:anchorId="1BF8BA72" wp14:editId="52DA4A20">
            <wp:extent cx="5251450" cy="4724400"/>
            <wp:effectExtent l="0" t="0" r="0" b="0"/>
            <wp:docPr id="7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1" name="Picture">
                      <a:extLst>
                        <a:ext uri="{C183D7F6-B498-43B3-948B-1728B52AA6E4}">
                          <adec:decorative xmlns:adec="http://schemas.microsoft.com/office/drawing/2017/decorative" val="1"/>
                        </a:ext>
                      </a:extLst>
                    </pic:cNvPr>
                    <pic:cNvPicPr preferRelativeResize="0"/>
                  </pic:nvPicPr>
                  <pic:blipFill>
                    <a:blip r:embed="rId110"/>
                    <a:stretch>
                      <a:fillRect/>
                    </a:stretch>
                  </pic:blipFill>
                  <pic:spPr>
                    <a:xfrm>
                      <a:off x="0" y="0"/>
                      <a:ext cx="5251450" cy="4724400"/>
                    </a:xfrm>
                    <a:prstGeom prst="rect">
                      <a:avLst/>
                    </a:prstGeom>
                  </pic:spPr>
                </pic:pic>
              </a:graphicData>
            </a:graphic>
          </wp:inline>
        </w:drawing>
      </w:r>
    </w:p>
    <w:p w14:paraId="42FD70C3" w14:textId="77777777" w:rsidR="00CF67DB" w:rsidRDefault="00CF67DB" w:rsidP="00CF67DB">
      <w:pPr>
        <w:spacing w:before="79" w:line="172" w:lineRule="exact"/>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1845120" behindDoc="0" locked="0" layoutInCell="1" allowOverlap="1" wp14:anchorId="4309B7ED" wp14:editId="2110D463">
                <wp:simplePos x="0" y="0"/>
                <wp:positionH relativeFrom="margin">
                  <wp:align>left</wp:align>
                </wp:positionH>
                <wp:positionV relativeFrom="page">
                  <wp:posOffset>9255125</wp:posOffset>
                </wp:positionV>
                <wp:extent cx="917575" cy="0"/>
                <wp:effectExtent l="0" t="0" r="0" b="0"/>
                <wp:wrapNone/>
                <wp:docPr id="895" name="Lin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6267F" id="Line 616" o:spid="_x0000_s1026" style="position:absolute;z-index:2518451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728.75pt" to="72.25pt,7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WhzQEAAIYDAAAOAAAAZHJzL2Uyb0RvYy54bWysU01v2zAMvQ/YfxB0X2wHSNoacXpI1l2y&#10;LUC7H8BIsi1MFgVJiZN/P0r5aNfehvkgiCL5+PhILx6Pg2EH5YNG2/BqUnKmrECpbdfwXy9PX+45&#10;CxGsBINWNfykAn9cfv60GF2tptijkcozArGhHl3D+xhdXRRB9GqAMEGnLDlb9ANEMn1XSA8joQ+m&#10;mJblvBjRS+dRqBDodX128mXGb1sl4s+2DSoy03DiFvPp87lLZ7FcQN15cL0WFxrwDywG0JaK3qDW&#10;EIHtvf4ANWjhMWAbJwKHAttWC5V7oG6q8l03zz04lXshcYK7yRT+H6z4cdh6pmXD7x9mnFkYaEgb&#10;bRWbV/OkzuhCTUEru/WpP3G0z26D4ndgFlc92E5lli8nR4lVyij+SklGcFRjN35HSTGwj5ilOrZ+&#10;SJAkAjvmiZxuE1HHyAQ9PlR3szviJa6uAuprnvMhflM4sHRpuCHSGRcOmxATD6ivIamMxSdtTJ63&#10;sWwkstNyPssZAY2WyZvigu92K+PZAdLK5C93RZ63YQl6DaE/x2XXeZk87q3MZXoF8uvlHkGb851o&#10;GXtRKQlzlniH8rT1V/Vo2Jn/ZTHTNr21c/br77P8AwAA//8DAFBLAwQUAAYACAAAACEAluWazd0A&#10;AAAKAQAADwAAAGRycy9kb3ducmV2LnhtbEyPQU/DMAyF70j7D5EncUFbCspYVZpO0yS4gdgAsWPW&#10;mLZa41RNtpZ/j3dAcLPfs56/l69G14oz9qHxpOF2noBAKr1tqNLw/vY4S0GEaMia1hNq+MYAq2Jy&#10;lZvM+oG2eN7FSnAIhcxoqGPsMilDWaMzYe47JPa+fO9M5LWvpO3NwOGulXdJci+daYg/1KbDTY3l&#10;cXdyGqRMUjV+fA7P6iakzX5T7Z9eXrW+no7rBxARx/h3DBd8RoeCmQ7+RDaIVgMXiayqxXIB4uIr&#10;xcPhV5JFLv9XKH4AAAD//wMAUEsBAi0AFAAGAAgAAAAhALaDOJL+AAAA4QEAABMAAAAAAAAAAAAA&#10;AAAAAAAAAFtDb250ZW50X1R5cGVzXS54bWxQSwECLQAUAAYACAAAACEAOP0h/9YAAACUAQAACwAA&#10;AAAAAAAAAAAAAAAvAQAAX3JlbHMvLnJlbHNQSwECLQAUAAYACAAAACEAdIS1oc0BAACGAwAADgAA&#10;AAAAAAAAAAAAAAAuAgAAZHJzL2Uyb0RvYy54bWxQSwECLQAUAAYACAAAACEAluWazd0AAAAKAQAA&#10;DwAAAAAAAAAAAAAAAAAnBAAAZHJzL2Rvd25yZXYueG1sUEsFBgAAAAAEAAQA8wAAADEFAAAAAA==&#10;" strokeweight=".95pt">
                <w10:wrap anchorx="margin" anchory="page"/>
              </v:line>
            </w:pict>
          </mc:Fallback>
        </mc:AlternateContent>
      </w:r>
      <w:r w:rsidR="00E539CA">
        <w:rPr>
          <w:rFonts w:ascii="Tahoma" w:eastAsia="Tahoma" w:hAnsi="Tahoma"/>
          <w:color w:val="404042"/>
          <w:spacing w:val="4"/>
          <w:sz w:val="14"/>
        </w:rPr>
        <w:t>45 Higher Education Standards Panel (2016), p. 5.</w:t>
      </w:r>
    </w:p>
    <w:p w14:paraId="7C4FA450" w14:textId="77777777" w:rsidR="00CF67DB" w:rsidRDefault="00CF67DB" w:rsidP="00CF67DB">
      <w:pPr>
        <w:spacing w:before="79" w:line="172" w:lineRule="exact"/>
        <w:textAlignment w:val="baseline"/>
        <w:rPr>
          <w:rFonts w:ascii="Tahoma" w:eastAsia="Tahoma" w:hAnsi="Tahoma"/>
          <w:color w:val="404042"/>
          <w:spacing w:val="4"/>
          <w:sz w:val="14"/>
        </w:rPr>
      </w:pPr>
    </w:p>
    <w:p w14:paraId="6874D08E" w14:textId="77777777" w:rsidR="00CF67DB" w:rsidRDefault="00CF67DB" w:rsidP="00CF67DB">
      <w:pPr>
        <w:spacing w:before="79" w:line="172" w:lineRule="exact"/>
        <w:textAlignment w:val="baseline"/>
        <w:rPr>
          <w:rFonts w:ascii="Tahoma" w:eastAsia="Tahoma" w:hAnsi="Tahoma"/>
          <w:color w:val="404042"/>
          <w:spacing w:val="4"/>
          <w:sz w:val="14"/>
        </w:rPr>
      </w:pPr>
    </w:p>
    <w:p w14:paraId="7C8A67E8" w14:textId="77777777" w:rsidR="00CF67DB" w:rsidRDefault="00CF67DB" w:rsidP="00CF67DB">
      <w:pPr>
        <w:spacing w:before="79" w:line="172" w:lineRule="exact"/>
        <w:textAlignment w:val="baseline"/>
        <w:rPr>
          <w:rFonts w:ascii="Tahoma" w:eastAsia="Tahoma" w:hAnsi="Tahoma"/>
          <w:color w:val="404042"/>
          <w:spacing w:val="4"/>
          <w:sz w:val="14"/>
        </w:rPr>
      </w:pPr>
    </w:p>
    <w:p w14:paraId="72D6AE1C" w14:textId="6A5FE932" w:rsidR="00CF67DB" w:rsidRPr="00CF67DB" w:rsidRDefault="00CF67DB" w:rsidP="00326509">
      <w:pPr>
        <w:spacing w:before="79" w:line="172" w:lineRule="exact"/>
        <w:ind w:left="6480" w:right="-1177" w:firstLine="720"/>
        <w:textAlignment w:val="baseline"/>
        <w:rPr>
          <w:rFonts w:ascii="Tahoma" w:eastAsia="Tahoma" w:hAnsi="Tahoma"/>
          <w:color w:val="404042"/>
          <w:spacing w:val="4"/>
          <w:sz w:val="14"/>
        </w:rPr>
      </w:pPr>
      <w:r>
        <w:rPr>
          <w:rFonts w:ascii="Tahoma" w:eastAsia="Tahoma" w:hAnsi="Tahoma"/>
          <w:color w:val="404042"/>
          <w:sz w:val="14"/>
        </w:rPr>
        <w:t>Chapter 1: Essential skills</w:t>
      </w:r>
      <w:r>
        <w:rPr>
          <w:rFonts w:ascii="Arial" w:eastAsia="Arial" w:hAnsi="Arial"/>
          <w:b/>
          <w:color w:val="5556A1"/>
          <w:sz w:val="18"/>
        </w:rPr>
        <w:tab/>
        <w:t>45</w:t>
      </w:r>
    </w:p>
    <w:p w14:paraId="6976CFF9" w14:textId="7C82150D" w:rsidR="00E539CA" w:rsidRDefault="00E3201E" w:rsidP="00E3201E">
      <w:pPr>
        <w:tabs>
          <w:tab w:val="left" w:pos="10872"/>
        </w:tabs>
        <w:spacing w:before="729" w:after="640" w:line="205" w:lineRule="exact"/>
        <w:ind w:left="-1418"/>
        <w:textAlignment w:val="baseline"/>
        <w:rPr>
          <w:rFonts w:ascii="Tahoma" w:eastAsia="Tahoma" w:hAnsi="Tahoma"/>
          <w:color w:val="404042"/>
          <w:sz w:val="14"/>
        </w:rPr>
      </w:pPr>
      <w:r>
        <w:rPr>
          <w:noProof/>
          <w:lang w:val="en-AU" w:eastAsia="en-AU"/>
        </w:rPr>
        <w:drawing>
          <wp:anchor distT="0" distB="0" distL="114300" distR="114300" simplePos="0" relativeHeight="252045824" behindDoc="1" locked="0" layoutInCell="1" allowOverlap="1" wp14:anchorId="43975D64" wp14:editId="40D17577">
            <wp:simplePos x="0" y="0"/>
            <wp:positionH relativeFrom="page">
              <wp:align>left</wp:align>
            </wp:positionH>
            <wp:positionV relativeFrom="paragraph">
              <wp:posOffset>180975</wp:posOffset>
            </wp:positionV>
            <wp:extent cx="7562215" cy="462915"/>
            <wp:effectExtent l="0" t="0" r="635" b="0"/>
            <wp:wrapNone/>
            <wp:docPr id="43" name="Picture"/>
            <wp:cNvGraphicFramePr/>
            <a:graphic xmlns:a="http://schemas.openxmlformats.org/drawingml/2006/main">
              <a:graphicData uri="http://schemas.openxmlformats.org/drawingml/2006/picture">
                <pic:pic xmlns:pic="http://schemas.openxmlformats.org/drawingml/2006/picture">
                  <pic:nvPicPr>
                    <pic:cNvPr id="63" name="Picture"/>
                    <pic:cNvPicPr preferRelativeResize="0"/>
                  </pic:nvPicPr>
                  <pic:blipFill>
                    <a:blip r:embed="rId10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2EDD9BDB" w14:textId="01F8BE26" w:rsidR="009757A9" w:rsidRDefault="006B3019" w:rsidP="00E539CA">
      <w:pPr>
        <w:tabs>
          <w:tab w:val="left" w:pos="10872"/>
        </w:tabs>
        <w:spacing w:before="729" w:after="640" w:line="205" w:lineRule="exact"/>
        <w:ind w:left="8856"/>
        <w:textAlignment w:val="baseline"/>
        <w:rPr>
          <w:rFonts w:eastAsia="Times New Roman"/>
          <w:color w:val="000000"/>
          <w:sz w:val="24"/>
        </w:rPr>
      </w:pPr>
      <w:r>
        <w:rPr>
          <w:noProof/>
          <w:lang w:val="en-AU" w:eastAsia="en-AU"/>
        </w:rPr>
        <w:lastRenderedPageBreak/>
        <w:drawing>
          <wp:anchor distT="0" distB="0" distL="114300" distR="114300" simplePos="0" relativeHeight="252033536" behindDoc="1" locked="0" layoutInCell="1" allowOverlap="1" wp14:anchorId="77D90A7F" wp14:editId="5C74985B">
            <wp:simplePos x="0" y="0"/>
            <wp:positionH relativeFrom="column">
              <wp:posOffset>0</wp:posOffset>
            </wp:positionH>
            <wp:positionV relativeFrom="paragraph">
              <wp:posOffset>580390</wp:posOffset>
            </wp:positionV>
            <wp:extent cx="7562215" cy="462915"/>
            <wp:effectExtent l="0" t="0" r="635" b="0"/>
            <wp:wrapNone/>
            <wp:docPr id="72" name="Picture"/>
            <wp:cNvGraphicFramePr/>
            <a:graphic xmlns:a="http://schemas.openxmlformats.org/drawingml/2006/main">
              <a:graphicData uri="http://schemas.openxmlformats.org/drawingml/2006/picture">
                <pic:pic xmlns:pic="http://schemas.openxmlformats.org/drawingml/2006/picture">
                  <pic:nvPicPr>
                    <pic:cNvPr id="72" name="Picture"/>
                    <pic:cNvPicPr preferRelativeResize="0"/>
                  </pic:nvPicPr>
                  <pic:blipFill>
                    <a:blip r:embed="rId111">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D2E34">
        <w:rPr>
          <w:noProof/>
          <w:lang w:val="en-AU" w:eastAsia="en-AU"/>
        </w:rPr>
        <mc:AlternateContent>
          <mc:Choice Requires="wps">
            <w:drawing>
              <wp:anchor distT="0" distB="0" distL="0" distR="0" simplePos="0" relativeHeight="251343360" behindDoc="1" locked="0" layoutInCell="1" allowOverlap="1" wp14:anchorId="136AD4AE" wp14:editId="046DC991">
                <wp:simplePos x="0" y="0"/>
                <wp:positionH relativeFrom="page">
                  <wp:posOffset>0</wp:posOffset>
                </wp:positionH>
                <wp:positionV relativeFrom="page">
                  <wp:posOffset>0</wp:posOffset>
                </wp:positionV>
                <wp:extent cx="7562215" cy="10692130"/>
                <wp:effectExtent l="0" t="0" r="0" b="0"/>
                <wp:wrapSquare wrapText="bothSides"/>
                <wp:docPr id="894"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AA036" w14:textId="77777777" w:rsidR="00490F33" w:rsidRDefault="00490F33">
                            <w:pPr>
                              <w:textAlignment w:val="baseline"/>
                            </w:pPr>
                            <w:r>
                              <w:rPr>
                                <w:noProof/>
                                <w:lang w:val="en-AU" w:eastAsia="en-AU"/>
                              </w:rPr>
                              <w:drawing>
                                <wp:inline distT="0" distB="0" distL="0" distR="0" wp14:anchorId="01AE2DC3" wp14:editId="121E3655">
                                  <wp:extent cx="7562215" cy="10692130"/>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3" name="Picture"/>
                                          <pic:cNvPicPr preferRelativeResize="0"/>
                                        </pic:nvPicPr>
                                        <pic:blipFill>
                                          <a:blip r:embed="rId112"/>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AD4AE" id="Text Box 615" o:spid="_x0000_s1063" type="#_x0000_t202" style="position:absolute;left:0;text-align:left;margin-left:0;margin-top:0;width:595.45pt;height:841.9pt;z-index:-25197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KS8gEAAMQDAAAOAAAAZHJzL2Uyb0RvYy54bWysU9tu2zAMfR+wfxD0vjhO17Q14hRdiw4D&#10;ugvQ7gMYWY6F2aJGKbGzrx8lx1m7vg17EShejg4PqdX10LVir8kbtKXMZ3MptFVYGbst5fen+3eX&#10;UvgAtoIWrS7lQXt5vX77ZtW7Qi+wwbbSJBjE+qJ3pWxCcEWWedXoDvwMnbYcrJE6CHylbVYR9Ize&#10;tdliPl9mPVLlCJX2nr13Y1CuE35daxW+1rXXQbSlZG4hnZTOTTyz9QqKLYFrjDrSgH9g0YGx/OgJ&#10;6g4CiB2ZV1CdUYQe6zBT2GVY10bp1AN3k8//6uaxAadTLyyOdyeZ/P+DVV/230iYqpSXV++lsNDx&#10;kJ70EMQHHMQyP48K9c4XnPjoODUMHOBJp269e0D1wwuLtw3Yrb4hwr7RUDHDPFZmz0pHHB9BNv1n&#10;rPgh2AVMQENNXZSPBRGMzpM6nKYTySh2XpwvFwsmJBTH8vnyapGfpQFmUEz1jnz4qLET0Sgl8fwT&#10;PuwffIh8oJhS4nMW703bph1o7QsHJ0ZP4h8pj+TDsBmSWGcXky4brA7cEeG4WvwV2GiQfknR81qV&#10;0v/cAWkp2k+WVYk7OBk0GZvJAKu4tJRBitG8DeOu7hyZbcPIo+4Wb1i52qSWosQjiyNfXpXU6XGt&#10;4y4+v6esP59v/Rs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K6WQpLyAQAAxAMAAA4AAAAAAAAAAAAAAAAALgIAAGRycy9l&#10;Mm9Eb2MueG1sUEsBAi0AFAAGAAgAAAAhAHsiySLdAAAABwEAAA8AAAAAAAAAAAAAAAAATAQAAGRy&#10;cy9kb3ducmV2LnhtbFBLBQYAAAAABAAEAPMAAABWBQAAAAA=&#10;" filled="f" stroked="f">
                <v:textbox inset="0,0,0,0">
                  <w:txbxContent>
                    <w:p w14:paraId="4B3AA036" w14:textId="77777777" w:rsidR="00490F33" w:rsidRDefault="00490F33">
                      <w:pPr>
                        <w:textAlignment w:val="baseline"/>
                      </w:pPr>
                      <w:r>
                        <w:rPr>
                          <w:noProof/>
                          <w:lang w:val="en-AU" w:eastAsia="en-AU"/>
                        </w:rPr>
                        <w:drawing>
                          <wp:inline distT="0" distB="0" distL="0" distR="0" wp14:anchorId="01AE2DC3" wp14:editId="121E3655">
                            <wp:extent cx="7562215" cy="10692130"/>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3" name="Picture"/>
                                    <pic:cNvPicPr preferRelativeResize="0"/>
                                  </pic:nvPicPr>
                                  <pic:blipFill>
                                    <a:blip r:embed="rId112"/>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44384" behindDoc="1" locked="0" layoutInCell="1" allowOverlap="1" wp14:anchorId="02DA758E" wp14:editId="11DC6CB4">
                <wp:simplePos x="0" y="0"/>
                <wp:positionH relativeFrom="page">
                  <wp:posOffset>835025</wp:posOffset>
                </wp:positionH>
                <wp:positionV relativeFrom="page">
                  <wp:posOffset>982980</wp:posOffset>
                </wp:positionV>
                <wp:extent cx="4121150" cy="858520"/>
                <wp:effectExtent l="0" t="0" r="0" b="0"/>
                <wp:wrapSquare wrapText="bothSides"/>
                <wp:docPr id="893"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E9B0"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5AAFF1CF" w14:textId="77777777" w:rsidR="00490F33" w:rsidRDefault="00490F33">
                            <w:pPr>
                              <w:spacing w:line="450" w:lineRule="exact"/>
                              <w:textAlignment w:val="baseline"/>
                              <w:rPr>
                                <w:rFonts w:ascii="Tahoma" w:eastAsia="Tahoma" w:hAnsi="Tahoma"/>
                                <w:color w:val="BF5B1F"/>
                                <w:spacing w:val="11"/>
                                <w:w w:val="95"/>
                                <w:sz w:val="38"/>
                              </w:rPr>
                            </w:pPr>
                            <w:r>
                              <w:rPr>
                                <w:rFonts w:ascii="Tahoma" w:eastAsia="Tahoma" w:hAnsi="Tahoma"/>
                                <w:color w:val="BF5B1F"/>
                                <w:spacing w:val="11"/>
                                <w:w w:val="95"/>
                                <w:sz w:val="38"/>
                              </w:rPr>
                              <w:t>AUSTRALIAN NATIONAL UNIVERSITY</w:t>
                            </w:r>
                          </w:p>
                          <w:p w14:paraId="2ADC691E" w14:textId="77777777" w:rsidR="00490F33" w:rsidRDefault="00490F33">
                            <w:pPr>
                              <w:spacing w:before="4" w:line="450" w:lineRule="exact"/>
                              <w:textAlignment w:val="baseline"/>
                              <w:rPr>
                                <w:rFonts w:ascii="Tahoma" w:eastAsia="Tahoma" w:hAnsi="Tahoma"/>
                                <w:color w:val="BF5B1F"/>
                                <w:spacing w:val="4"/>
                                <w:w w:val="95"/>
                                <w:sz w:val="38"/>
                              </w:rPr>
                            </w:pPr>
                            <w:r>
                              <w:rPr>
                                <w:rFonts w:ascii="Tahoma" w:eastAsia="Tahoma" w:hAnsi="Tahoma"/>
                                <w:color w:val="BF5B1F"/>
                                <w:spacing w:val="4"/>
                                <w:w w:val="95"/>
                                <w:sz w:val="38"/>
                              </w:rPr>
                              <w:t>ENTRY CRITERIA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A758E" id="Text Box 614" o:spid="_x0000_s1064" type="#_x0000_t202" style="position:absolute;left:0;text-align:left;margin-left:65.75pt;margin-top:77.4pt;width:324.5pt;height:67.6pt;z-index:-25197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3T8AEAAMIDAAAOAAAAZHJzL2Uyb0RvYy54bWysU9tu2zAMfR+wfxD0vjhOmyIz4hRdiw4D&#10;ugvQ7gMYWY6F2aJGKbGzrx8lx1m3vRV9EShejg4PqfX10LXioMkbtKXMZ3MptFVYGbsr5fen+3cr&#10;KXwAW0GLVpfyqL283rx9s+5doRfYYFtpEgxifdG7UjYhuCLLvGp0B36GTlsO1kgdBL7SLqsIekbv&#10;2mwxn19lPVLlCJX2nr13Y1BuEn5daxW+1rXXQbSlZG4hnZTObTyzzRqKHYFrjDrRgBew6MBYfvQM&#10;dQcBxJ7Mf1CdUYQe6zBT2GVY10bp1AN3k8//6eaxAadTLyyOd2eZ/OvBqi+HbyRMVcrV+wspLHQ8&#10;pCc9BPEBB3GVX0aFeucLTnx0nBoGDvCkU7fePaD64YXF2wbsTt8QYd9oqJhhHiuzZ6Ujjo8g2/4z&#10;VvwQ7AMmoKGmLsrHgghG50kdz9OJZBQ7L/NFni85pDi2Wq6WizS+DIqp2pEPHzV2IhqlJJ5+QofD&#10;gw+RDRRTSnzM4r1p27QBrf3LwYnRk9hHwiP1MGyHJNXFalJli9WR+yEcF4s/AhsN0i8pel6qUvqf&#10;eyAtRfvJsiZxAyeDJmM7GWAVl5YySDGat2Hc1L0js2sYeVTd4g3rVpvUUhR4ZHHiy4uSOj0tddzE&#10;5/eU9efrbX4DAAD//wMAUEsDBBQABgAIAAAAIQDpPfgg4AAAAAsBAAAPAAAAZHJzL2Rvd25yZXYu&#10;eG1sTI9BT8MwDIXvSPyHyJO4sWSDja1rOk0ITkhoXTlwTBuvrdY4pcm28u8xJ7j52U/P30u3o+vE&#10;BYfQetIwmyoQSJW3LdUaPorX+xWIEA1Z03lCDd8YYJvd3qQmsf5KOV4OsRYcQiExGpoY+0TKUDXo&#10;TJj6HolvRz84E1kOtbSDuXK46+RcqaV0piX+0JgenxusToez07D7pPyl/Xov9/kxb4tirehtedL6&#10;bjLuNiAijvHPDL/4jA4ZM5X+TDaIjvXDbMFWHhaP3IEdTyvFm1LDfK0UyCyV/ztkPwAAAP//AwBQ&#10;SwECLQAUAAYACAAAACEAtoM4kv4AAADhAQAAEwAAAAAAAAAAAAAAAAAAAAAAW0NvbnRlbnRfVHlw&#10;ZXNdLnhtbFBLAQItABQABgAIAAAAIQA4/SH/1gAAAJQBAAALAAAAAAAAAAAAAAAAAC8BAABfcmVs&#10;cy8ucmVsc1BLAQItABQABgAIAAAAIQBPXg3T8AEAAMIDAAAOAAAAAAAAAAAAAAAAAC4CAABkcnMv&#10;ZTJvRG9jLnhtbFBLAQItABQABgAIAAAAIQDpPfgg4AAAAAsBAAAPAAAAAAAAAAAAAAAAAEoEAABk&#10;cnMvZG93bnJldi54bWxQSwUGAAAAAAQABADzAAAAVwUAAAAA&#10;" filled="f" stroked="f">
                <v:textbox inset="0,0,0,0">
                  <w:txbxContent>
                    <w:p w14:paraId="4936E9B0"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5AAFF1CF" w14:textId="77777777" w:rsidR="00490F33" w:rsidRDefault="00490F33">
                      <w:pPr>
                        <w:spacing w:line="450" w:lineRule="exact"/>
                        <w:textAlignment w:val="baseline"/>
                        <w:rPr>
                          <w:rFonts w:ascii="Tahoma" w:eastAsia="Tahoma" w:hAnsi="Tahoma"/>
                          <w:color w:val="BF5B1F"/>
                          <w:spacing w:val="11"/>
                          <w:w w:val="95"/>
                          <w:sz w:val="38"/>
                        </w:rPr>
                      </w:pPr>
                      <w:r>
                        <w:rPr>
                          <w:rFonts w:ascii="Tahoma" w:eastAsia="Tahoma" w:hAnsi="Tahoma"/>
                          <w:color w:val="BF5B1F"/>
                          <w:spacing w:val="11"/>
                          <w:w w:val="95"/>
                          <w:sz w:val="38"/>
                        </w:rPr>
                        <w:t>AUSTRALIAN NATIONAL UNIVERSITY</w:t>
                      </w:r>
                    </w:p>
                    <w:p w14:paraId="2ADC691E" w14:textId="77777777" w:rsidR="00490F33" w:rsidRDefault="00490F33">
                      <w:pPr>
                        <w:spacing w:before="4" w:line="450" w:lineRule="exact"/>
                        <w:textAlignment w:val="baseline"/>
                        <w:rPr>
                          <w:rFonts w:ascii="Tahoma" w:eastAsia="Tahoma" w:hAnsi="Tahoma"/>
                          <w:color w:val="BF5B1F"/>
                          <w:spacing w:val="4"/>
                          <w:w w:val="95"/>
                          <w:sz w:val="38"/>
                        </w:rPr>
                      </w:pPr>
                      <w:r>
                        <w:rPr>
                          <w:rFonts w:ascii="Tahoma" w:eastAsia="Tahoma" w:hAnsi="Tahoma"/>
                          <w:color w:val="BF5B1F"/>
                          <w:spacing w:val="4"/>
                          <w:w w:val="95"/>
                          <w:sz w:val="38"/>
                        </w:rPr>
                        <w:t>ENTRY CRITERIA</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45408" behindDoc="1" locked="0" layoutInCell="1" allowOverlap="1" wp14:anchorId="5042FDFF" wp14:editId="351710DB">
                <wp:simplePos x="0" y="0"/>
                <wp:positionH relativeFrom="page">
                  <wp:posOffset>908050</wp:posOffset>
                </wp:positionH>
                <wp:positionV relativeFrom="page">
                  <wp:posOffset>2010410</wp:posOffset>
                </wp:positionV>
                <wp:extent cx="5715000" cy="781050"/>
                <wp:effectExtent l="0" t="0" r="0" b="0"/>
                <wp:wrapSquare wrapText="bothSides"/>
                <wp:docPr id="892"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4A0FE" w14:textId="77777777" w:rsidR="00490F33" w:rsidRDefault="00490F33">
                            <w:pPr>
                              <w:spacing w:after="38" w:line="237" w:lineRule="exact"/>
                              <w:textAlignment w:val="baseline"/>
                              <w:rPr>
                                <w:rFonts w:ascii="Tahoma" w:eastAsia="Tahoma" w:hAnsi="Tahoma"/>
                                <w:color w:val="404042"/>
                                <w:spacing w:val="4"/>
                                <w:sz w:val="18"/>
                              </w:rPr>
                            </w:pPr>
                            <w:r>
                              <w:rPr>
                                <w:rFonts w:ascii="Tahoma" w:eastAsia="Tahoma" w:hAnsi="Tahoma"/>
                                <w:color w:val="404042"/>
                                <w:spacing w:val="4"/>
                                <w:sz w:val="18"/>
                              </w:rPr>
                              <w:t>In Semester 1, 2020, the Australian National</w:t>
                            </w:r>
                            <w:r>
                              <w:rPr>
                                <w:rFonts w:ascii="Tahoma" w:eastAsia="Tahoma" w:hAnsi="Tahoma"/>
                                <w:color w:val="464140"/>
                                <w:spacing w:val="4"/>
                                <w:sz w:val="18"/>
                              </w:rPr>
                              <w:t xml:space="preserve"> University (ANU)</w:t>
                            </w:r>
                            <w:r>
                              <w:rPr>
                                <w:rFonts w:ascii="Tahoma" w:eastAsia="Tahoma" w:hAnsi="Tahoma"/>
                                <w:color w:val="404042"/>
                                <w:spacing w:val="4"/>
                                <w:sz w:val="18"/>
                              </w:rPr>
                              <w:t xml:space="preserve"> introduced</w:t>
                            </w:r>
                            <w:r>
                              <w:rPr>
                                <w:rFonts w:ascii="Tahoma" w:eastAsia="Tahoma" w:hAnsi="Tahoma"/>
                                <w:color w:val="464140"/>
                                <w:spacing w:val="4"/>
                                <w:sz w:val="18"/>
                              </w:rPr>
                              <w:t xml:space="preserve"> a new admissions process for </w:t>
                            </w:r>
                            <w:r>
                              <w:rPr>
                                <w:rFonts w:ascii="Tahoma" w:eastAsia="Tahoma" w:hAnsi="Tahoma"/>
                                <w:color w:val="404042"/>
                                <w:spacing w:val="4"/>
                                <w:sz w:val="18"/>
                              </w:rPr>
                              <w:t>all undergraduate domestic school</w:t>
                            </w:r>
                            <w:r>
                              <w:rPr>
                                <w:rFonts w:ascii="Tahoma" w:eastAsia="Tahoma" w:hAnsi="Tahoma"/>
                                <w:color w:val="464140"/>
                                <w:spacing w:val="4"/>
                                <w:sz w:val="18"/>
                              </w:rPr>
                              <w:t xml:space="preserve"> leaver places. As a compulsory</w:t>
                            </w:r>
                            <w:r>
                              <w:rPr>
                                <w:rFonts w:ascii="Tahoma" w:eastAsia="Tahoma" w:hAnsi="Tahoma"/>
                                <w:color w:val="404042"/>
                                <w:spacing w:val="4"/>
                                <w:sz w:val="18"/>
                              </w:rPr>
                              <w:t xml:space="preserve"> condition</w:t>
                            </w:r>
                            <w:r>
                              <w:rPr>
                                <w:rFonts w:ascii="Tahoma" w:eastAsia="Tahoma" w:hAnsi="Tahoma"/>
                                <w:color w:val="464140"/>
                                <w:spacing w:val="4"/>
                                <w:sz w:val="18"/>
                              </w:rPr>
                              <w:t xml:space="preserve"> of entry, students are now </w:t>
                            </w:r>
                            <w:r>
                              <w:rPr>
                                <w:rFonts w:ascii="Tahoma" w:eastAsia="Tahoma" w:hAnsi="Tahoma"/>
                                <w:color w:val="404042"/>
                                <w:spacing w:val="4"/>
                                <w:sz w:val="18"/>
                              </w:rPr>
                              <w:t>required to demonstrate their</w:t>
                            </w:r>
                            <w:r>
                              <w:rPr>
                                <w:rFonts w:ascii="Tahoma" w:eastAsia="Tahoma" w:hAnsi="Tahoma"/>
                                <w:color w:val="464140"/>
                                <w:spacing w:val="4"/>
                                <w:sz w:val="18"/>
                              </w:rPr>
                              <w:t xml:space="preserve"> involvement in activities outside of the</w:t>
                            </w:r>
                            <w:r>
                              <w:rPr>
                                <w:rFonts w:ascii="Tahoma" w:eastAsia="Tahoma" w:hAnsi="Tahoma"/>
                                <w:color w:val="404042"/>
                                <w:spacing w:val="4"/>
                                <w:sz w:val="18"/>
                              </w:rPr>
                              <w:t xml:space="preserve"> classroom</w:t>
                            </w:r>
                            <w:r>
                              <w:rPr>
                                <w:rFonts w:ascii="Tahoma" w:eastAsia="Tahoma" w:hAnsi="Tahoma"/>
                                <w:color w:val="464140"/>
                                <w:spacing w:val="4"/>
                                <w:sz w:val="18"/>
                              </w:rPr>
                              <w:t xml:space="preserve"> from Year 10 to Year 12, </w:t>
                            </w:r>
                            <w:r>
                              <w:rPr>
                                <w:rFonts w:ascii="Tahoma" w:eastAsia="Tahoma" w:hAnsi="Tahoma"/>
                                <w:color w:val="404042"/>
                                <w:spacing w:val="4"/>
                                <w:sz w:val="18"/>
                              </w:rPr>
                              <w:t>such as sports, volunteering,</w:t>
                            </w:r>
                            <w:r>
                              <w:rPr>
                                <w:rFonts w:ascii="Tahoma" w:eastAsia="Tahoma" w:hAnsi="Tahoma"/>
                                <w:color w:val="464140"/>
                                <w:spacing w:val="4"/>
                                <w:sz w:val="18"/>
                              </w:rPr>
                              <w:t xml:space="preserve"> internships, paid and unpaid employment</w:t>
                            </w:r>
                            <w:r>
                              <w:rPr>
                                <w:rFonts w:ascii="Tahoma" w:eastAsia="Tahoma" w:hAnsi="Tahoma"/>
                                <w:color w:val="404042"/>
                                <w:spacing w:val="4"/>
                                <w:sz w:val="18"/>
                              </w:rPr>
                              <w:t xml:space="preserve"> and</w:t>
                            </w:r>
                            <w:r>
                              <w:rPr>
                                <w:rFonts w:ascii="Tahoma" w:eastAsia="Tahoma" w:hAnsi="Tahoma"/>
                                <w:color w:val="464140"/>
                                <w:spacing w:val="4"/>
                                <w:sz w:val="18"/>
                              </w:rPr>
                              <w:t xml:space="preserve"> exchange opportunities. ANU </w:t>
                            </w:r>
                            <w:r>
                              <w:rPr>
                                <w:rFonts w:ascii="Tahoma" w:eastAsia="Tahoma" w:hAnsi="Tahoma"/>
                                <w:color w:val="404042"/>
                                <w:spacing w:val="4"/>
                                <w:sz w:val="18"/>
                              </w:rPr>
                              <w:t>states that the main reasons for</w:t>
                            </w:r>
                            <w:r>
                              <w:rPr>
                                <w:rFonts w:ascii="Tahoma" w:eastAsia="Tahoma" w:hAnsi="Tahoma"/>
                                <w:color w:val="464140"/>
                                <w:spacing w:val="4"/>
                                <w:sz w:val="18"/>
                              </w:rPr>
                              <w:t xml:space="preserve"> this change 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2FDFF" id="Text Box 613" o:spid="_x0000_s1065" type="#_x0000_t202" style="position:absolute;left:0;text-align:left;margin-left:71.5pt;margin-top:158.3pt;width:450pt;height:61.5pt;z-index:-25197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QnN8AEAAMIDAAAOAAAAZHJzL2Uyb0RvYy54bWysU21v0zAQ/o7Ef7D8nSbp1K2Lmk5j0xDS&#10;YEgbP8Bx7MYi8Zmz26T8es5OUwZ8Q3yxzvfy+Lnnzpubse/YQaE3YCteLHLOlJXQGLur+NeXh3dr&#10;znwQthEdWFXxo/L8Zvv2zWZwpVpCC12jkBGI9eXgKt6G4Mos87JVvfALcMpSUAP2ItAVd1mDYiD0&#10;vsuWeX6ZDYCNQ5DKe/LeT0G+TfhaKxmetPYqsK7ixC2kE9NZxzPbbkS5Q+FaI080xD+w6IWx9OgZ&#10;6l4EwfZo/oLqjUTwoMNCQp+B1kaq1AN1U+R/dPPcCqdSLySOd2eZ/P+DlZ8PX5CZpuLr6yVnVvQ0&#10;pBc1BvYeRnZZXESFBudLSnx2lBpGCtCkU7fePYL85pmFu1bYnbpFhKFVoiGGRazMXpVOOD6C1MMn&#10;aOghsQ+QgEaNfZSPBGGETpM6nqcTyUhyrq6KVZ5TSFLsal3kqzS+TJRztUMfPijoWTQqjjT9hC4O&#10;jz5ENqKcU+JjFh5M16UN6OxvDkqMnsQ+Ep6oh7Eek1QX17MqNTRH6gdhWiz6CGS0gD84G2ipKu6/&#10;7wUqzrqPljSJGzgbOBv1bAgrqbTigbPJvAvTpu4dml1LyJPqFm5JN21SS1HgicWJLy1K6vS01HET&#10;X99T1q+vt/0JAAD//wMAUEsDBBQABgAIAAAAIQCYScfn3wAAAAwBAAAPAAAAZHJzL2Rvd25yZXYu&#10;eG1sTI/BTsMwEETvSPyDtUjcqF1SWTTEqSoEJyREGg4cnXibWI3XIXbb8Pe4XOA4s6PZN8VmdgM7&#10;4RSsJwXLhQCG1HpjqVPwUb/cPQALUZPRgydU8I0BNuX1VaFz489U4WkXO5ZKKORaQR/jmHMe2h6d&#10;Dgs/IqXb3k9OxySnjptJn1O5G/i9EJI7bSl96PWITz22h93RKdh+UvVsv96a92pf2bpeC3qVB6Vu&#10;b+btI7CIc/wLwwU/oUOZmBp/JBPYkPQqS1uigmwpJbBLQvxajYJVtpbAy4L/H1H+AAAA//8DAFBL&#10;AQItABQABgAIAAAAIQC2gziS/gAAAOEBAAATAAAAAAAAAAAAAAAAAAAAAABbQ29udGVudF9UeXBl&#10;c10ueG1sUEsBAi0AFAAGAAgAAAAhADj9If/WAAAAlAEAAAsAAAAAAAAAAAAAAAAALwEAAF9yZWxz&#10;Ly5yZWxzUEsBAi0AFAAGAAgAAAAhALfBCc3wAQAAwgMAAA4AAAAAAAAAAAAAAAAALgIAAGRycy9l&#10;Mm9Eb2MueG1sUEsBAi0AFAAGAAgAAAAhAJhJx+ffAAAADAEAAA8AAAAAAAAAAAAAAAAASgQAAGRy&#10;cy9kb3ducmV2LnhtbFBLBQYAAAAABAAEAPMAAABWBQAAAAA=&#10;" filled="f" stroked="f">
                <v:textbox inset="0,0,0,0">
                  <w:txbxContent>
                    <w:p w14:paraId="3964A0FE" w14:textId="77777777" w:rsidR="00490F33" w:rsidRDefault="00490F33">
                      <w:pPr>
                        <w:spacing w:after="38" w:line="237" w:lineRule="exact"/>
                        <w:textAlignment w:val="baseline"/>
                        <w:rPr>
                          <w:rFonts w:ascii="Tahoma" w:eastAsia="Tahoma" w:hAnsi="Tahoma"/>
                          <w:color w:val="404042"/>
                          <w:spacing w:val="4"/>
                          <w:sz w:val="18"/>
                        </w:rPr>
                      </w:pPr>
                      <w:r>
                        <w:rPr>
                          <w:rFonts w:ascii="Tahoma" w:eastAsia="Tahoma" w:hAnsi="Tahoma"/>
                          <w:color w:val="404042"/>
                          <w:spacing w:val="4"/>
                          <w:sz w:val="18"/>
                        </w:rPr>
                        <w:t>In Semester 1, 2020, the Australian National</w:t>
                      </w:r>
                      <w:r>
                        <w:rPr>
                          <w:rFonts w:ascii="Tahoma" w:eastAsia="Tahoma" w:hAnsi="Tahoma"/>
                          <w:color w:val="464140"/>
                          <w:spacing w:val="4"/>
                          <w:sz w:val="18"/>
                        </w:rPr>
                        <w:t xml:space="preserve"> University (ANU)</w:t>
                      </w:r>
                      <w:r>
                        <w:rPr>
                          <w:rFonts w:ascii="Tahoma" w:eastAsia="Tahoma" w:hAnsi="Tahoma"/>
                          <w:color w:val="404042"/>
                          <w:spacing w:val="4"/>
                          <w:sz w:val="18"/>
                        </w:rPr>
                        <w:t xml:space="preserve"> introduced</w:t>
                      </w:r>
                      <w:r>
                        <w:rPr>
                          <w:rFonts w:ascii="Tahoma" w:eastAsia="Tahoma" w:hAnsi="Tahoma"/>
                          <w:color w:val="464140"/>
                          <w:spacing w:val="4"/>
                          <w:sz w:val="18"/>
                        </w:rPr>
                        <w:t xml:space="preserve"> a new admissions process for </w:t>
                      </w:r>
                      <w:r>
                        <w:rPr>
                          <w:rFonts w:ascii="Tahoma" w:eastAsia="Tahoma" w:hAnsi="Tahoma"/>
                          <w:color w:val="404042"/>
                          <w:spacing w:val="4"/>
                          <w:sz w:val="18"/>
                        </w:rPr>
                        <w:t>all undergraduate domestic school</w:t>
                      </w:r>
                      <w:r>
                        <w:rPr>
                          <w:rFonts w:ascii="Tahoma" w:eastAsia="Tahoma" w:hAnsi="Tahoma"/>
                          <w:color w:val="464140"/>
                          <w:spacing w:val="4"/>
                          <w:sz w:val="18"/>
                        </w:rPr>
                        <w:t xml:space="preserve"> leaver places. As a compulsory</w:t>
                      </w:r>
                      <w:r>
                        <w:rPr>
                          <w:rFonts w:ascii="Tahoma" w:eastAsia="Tahoma" w:hAnsi="Tahoma"/>
                          <w:color w:val="404042"/>
                          <w:spacing w:val="4"/>
                          <w:sz w:val="18"/>
                        </w:rPr>
                        <w:t xml:space="preserve"> condition</w:t>
                      </w:r>
                      <w:r>
                        <w:rPr>
                          <w:rFonts w:ascii="Tahoma" w:eastAsia="Tahoma" w:hAnsi="Tahoma"/>
                          <w:color w:val="464140"/>
                          <w:spacing w:val="4"/>
                          <w:sz w:val="18"/>
                        </w:rPr>
                        <w:t xml:space="preserve"> of entry, students are now </w:t>
                      </w:r>
                      <w:r>
                        <w:rPr>
                          <w:rFonts w:ascii="Tahoma" w:eastAsia="Tahoma" w:hAnsi="Tahoma"/>
                          <w:color w:val="404042"/>
                          <w:spacing w:val="4"/>
                          <w:sz w:val="18"/>
                        </w:rPr>
                        <w:t>required to demonstrate their</w:t>
                      </w:r>
                      <w:r>
                        <w:rPr>
                          <w:rFonts w:ascii="Tahoma" w:eastAsia="Tahoma" w:hAnsi="Tahoma"/>
                          <w:color w:val="464140"/>
                          <w:spacing w:val="4"/>
                          <w:sz w:val="18"/>
                        </w:rPr>
                        <w:t xml:space="preserve"> involvement in activities outside of the</w:t>
                      </w:r>
                      <w:r>
                        <w:rPr>
                          <w:rFonts w:ascii="Tahoma" w:eastAsia="Tahoma" w:hAnsi="Tahoma"/>
                          <w:color w:val="404042"/>
                          <w:spacing w:val="4"/>
                          <w:sz w:val="18"/>
                        </w:rPr>
                        <w:t xml:space="preserve"> classroom</w:t>
                      </w:r>
                      <w:r>
                        <w:rPr>
                          <w:rFonts w:ascii="Tahoma" w:eastAsia="Tahoma" w:hAnsi="Tahoma"/>
                          <w:color w:val="464140"/>
                          <w:spacing w:val="4"/>
                          <w:sz w:val="18"/>
                        </w:rPr>
                        <w:t xml:space="preserve"> from Year 10 to Year 12, </w:t>
                      </w:r>
                      <w:r>
                        <w:rPr>
                          <w:rFonts w:ascii="Tahoma" w:eastAsia="Tahoma" w:hAnsi="Tahoma"/>
                          <w:color w:val="404042"/>
                          <w:spacing w:val="4"/>
                          <w:sz w:val="18"/>
                        </w:rPr>
                        <w:t>such as sports, volunteering,</w:t>
                      </w:r>
                      <w:r>
                        <w:rPr>
                          <w:rFonts w:ascii="Tahoma" w:eastAsia="Tahoma" w:hAnsi="Tahoma"/>
                          <w:color w:val="464140"/>
                          <w:spacing w:val="4"/>
                          <w:sz w:val="18"/>
                        </w:rPr>
                        <w:t xml:space="preserve"> internships, paid and unpaid employment</w:t>
                      </w:r>
                      <w:r>
                        <w:rPr>
                          <w:rFonts w:ascii="Tahoma" w:eastAsia="Tahoma" w:hAnsi="Tahoma"/>
                          <w:color w:val="404042"/>
                          <w:spacing w:val="4"/>
                          <w:sz w:val="18"/>
                        </w:rPr>
                        <w:t xml:space="preserve"> and</w:t>
                      </w:r>
                      <w:r>
                        <w:rPr>
                          <w:rFonts w:ascii="Tahoma" w:eastAsia="Tahoma" w:hAnsi="Tahoma"/>
                          <w:color w:val="464140"/>
                          <w:spacing w:val="4"/>
                          <w:sz w:val="18"/>
                        </w:rPr>
                        <w:t xml:space="preserve"> exchange opportunities. ANU </w:t>
                      </w:r>
                      <w:r>
                        <w:rPr>
                          <w:rFonts w:ascii="Tahoma" w:eastAsia="Tahoma" w:hAnsi="Tahoma"/>
                          <w:color w:val="404042"/>
                          <w:spacing w:val="4"/>
                          <w:sz w:val="18"/>
                        </w:rPr>
                        <w:t>states that the main reasons for</w:t>
                      </w:r>
                      <w:r>
                        <w:rPr>
                          <w:rFonts w:ascii="Tahoma" w:eastAsia="Tahoma" w:hAnsi="Tahoma"/>
                          <w:color w:val="464140"/>
                          <w:spacing w:val="4"/>
                          <w:sz w:val="18"/>
                        </w:rPr>
                        <w:t xml:space="preserve"> this change are:</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46432" behindDoc="1" locked="0" layoutInCell="1" allowOverlap="1" wp14:anchorId="50EE66A4" wp14:editId="64E48D8C">
                <wp:simplePos x="0" y="0"/>
                <wp:positionH relativeFrom="page">
                  <wp:posOffset>914400</wp:posOffset>
                </wp:positionH>
                <wp:positionV relativeFrom="page">
                  <wp:posOffset>2879090</wp:posOffset>
                </wp:positionV>
                <wp:extent cx="5550535" cy="691515"/>
                <wp:effectExtent l="0" t="0" r="0" b="0"/>
                <wp:wrapSquare wrapText="bothSides"/>
                <wp:docPr id="891"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535" cy="69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FB979" w14:textId="77777777" w:rsidR="00490F33" w:rsidRDefault="00490F33">
                            <w:pPr>
                              <w:numPr>
                                <w:ilvl w:val="0"/>
                                <w:numId w:val="16"/>
                              </w:numPr>
                              <w:spacing w:before="7" w:line="221" w:lineRule="exact"/>
                              <w:textAlignment w:val="baseline"/>
                              <w:rPr>
                                <w:rFonts w:ascii="Tahoma" w:eastAsia="Tahoma" w:hAnsi="Tahoma"/>
                                <w:color w:val="404042"/>
                                <w:spacing w:val="7"/>
                                <w:sz w:val="18"/>
                              </w:rPr>
                            </w:pPr>
                            <w:r>
                              <w:rPr>
                                <w:rFonts w:ascii="Tahoma" w:eastAsia="Tahoma" w:hAnsi="Tahoma"/>
                                <w:color w:val="404042"/>
                                <w:spacing w:val="7"/>
                                <w:sz w:val="18"/>
                              </w:rPr>
                              <w:t>to promote community engagement</w:t>
                            </w:r>
                            <w:r>
                              <w:rPr>
                                <w:rFonts w:ascii="Tahoma" w:eastAsia="Tahoma" w:hAnsi="Tahoma"/>
                                <w:color w:val="464140"/>
                                <w:spacing w:val="7"/>
                                <w:sz w:val="18"/>
                              </w:rPr>
                              <w:t xml:space="preserve"> and well-roundedness</w:t>
                            </w:r>
                          </w:p>
                          <w:p w14:paraId="5BFB20E9" w14:textId="77777777" w:rsidR="00490F33" w:rsidRDefault="00490F33">
                            <w:pPr>
                              <w:numPr>
                                <w:ilvl w:val="0"/>
                                <w:numId w:val="16"/>
                              </w:numPr>
                              <w:spacing w:before="191" w:line="221" w:lineRule="exact"/>
                              <w:textAlignment w:val="baseline"/>
                              <w:rPr>
                                <w:rFonts w:ascii="Tahoma" w:eastAsia="Tahoma" w:hAnsi="Tahoma"/>
                                <w:color w:val="404042"/>
                                <w:spacing w:val="6"/>
                                <w:sz w:val="18"/>
                              </w:rPr>
                            </w:pPr>
                            <w:r>
                              <w:rPr>
                                <w:rFonts w:ascii="Tahoma" w:eastAsia="Tahoma" w:hAnsi="Tahoma"/>
                                <w:color w:val="404042"/>
                                <w:spacing w:val="6"/>
                                <w:sz w:val="18"/>
                              </w:rPr>
                              <w:t>to highlight skills that enhance</w:t>
                            </w:r>
                            <w:r>
                              <w:rPr>
                                <w:rFonts w:ascii="Tahoma" w:eastAsia="Tahoma" w:hAnsi="Tahoma"/>
                                <w:color w:val="464140"/>
                                <w:spacing w:val="6"/>
                                <w:sz w:val="18"/>
                              </w:rPr>
                              <w:t xml:space="preserve"> employability outcomes of students</w:t>
                            </w:r>
                          </w:p>
                          <w:p w14:paraId="4C2A6F33" w14:textId="77777777" w:rsidR="00490F33" w:rsidRDefault="00490F33">
                            <w:pPr>
                              <w:numPr>
                                <w:ilvl w:val="0"/>
                                <w:numId w:val="16"/>
                              </w:numPr>
                              <w:spacing w:before="187" w:after="34" w:line="221" w:lineRule="exact"/>
                              <w:textAlignment w:val="baseline"/>
                              <w:rPr>
                                <w:rFonts w:ascii="Tahoma" w:eastAsia="Tahoma" w:hAnsi="Tahoma"/>
                                <w:color w:val="404042"/>
                                <w:spacing w:val="3"/>
                                <w:sz w:val="18"/>
                              </w:rPr>
                            </w:pPr>
                            <w:r>
                              <w:rPr>
                                <w:rFonts w:ascii="Tahoma" w:eastAsia="Tahoma" w:hAnsi="Tahoma"/>
                                <w:color w:val="404042"/>
                                <w:spacing w:val="3"/>
                                <w:sz w:val="18"/>
                              </w:rPr>
                              <w:t>to give students an opportunity to</w:t>
                            </w:r>
                            <w:r>
                              <w:rPr>
                                <w:rFonts w:ascii="Tahoma" w:eastAsia="Tahoma" w:hAnsi="Tahoma"/>
                                <w:color w:val="464140"/>
                                <w:spacing w:val="3"/>
                                <w:sz w:val="18"/>
                              </w:rPr>
                              <w:t xml:space="preserve"> tell the ANU more about</w:t>
                            </w:r>
                            <w:r>
                              <w:rPr>
                                <w:rFonts w:ascii="Tahoma" w:eastAsia="Tahoma" w:hAnsi="Tahoma"/>
                                <w:color w:val="404042"/>
                                <w:spacing w:val="3"/>
                                <w:sz w:val="18"/>
                              </w:rPr>
                              <w:t xml:space="preserve"> themselves</w:t>
                            </w:r>
                            <w:r>
                              <w:rPr>
                                <w:rFonts w:ascii="Tahoma" w:eastAsia="Tahoma" w:hAnsi="Tahoma"/>
                                <w:color w:val="464140"/>
                                <w:spacing w:val="3"/>
                                <w:sz w:val="18"/>
                              </w:rPr>
                              <w:t xml:space="preserve"> and for this to be recognised.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E66A4" id="Text Box 612" o:spid="_x0000_s1066" type="#_x0000_t202" style="position:absolute;left:0;text-align:left;margin-left:1in;margin-top:226.7pt;width:437.05pt;height:54.45pt;z-index:-25197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u8AEAAMIDAAAOAAAAZHJzL2Uyb0RvYy54bWysU8tu2zAQvBfoPxC817LcykgEy0GaIEWB&#10;9AEk/YA1RVlEJS67pC25X98lZTtpewtyIVbkcjgzO1pdjX0n9pq8QVvJfDaXQluFtbHbSv54vHt3&#10;IYUPYGvo0OpKHrSXV+u3b1aDK/UCW+xqTYJBrC8HV8k2BFdmmVet7sHP0GnLhw1SD4E/aZvVBAOj&#10;9122mM+X2YBUO0Klvefd2+lQrhN+02gVvjWN10F0lWRuIa2U1k1cs/UKyi2Ba4060oAXsOjBWH70&#10;DHULAcSOzH9QvVGEHpswU9hn2DRG6aSB1eTzf9Q8tOB00sLmeHe2yb8erPq6/07C1JW8uMylsNDz&#10;kB71GMRHHMUyX0SHBudLbnxw3BpGPuBJJ7Xe3aP66YXFmxbsVl8T4dBqqJlhHm9mz65OOD6CbIYv&#10;WPNDsAuYgMaG+mgfGyIYnSd1OE8nklG8WRTFvHhfSKH4bHmZF3mRnoDydNuRD5809iIWlSSefkKH&#10;/b0PkQ2Up5b4mMU703UpAZ39a4Mb405iHwlP1MO4GZNVH1JuorQN1gfWQzgFi38ELlqk31IMHKpK&#10;+l87IC1F99myJzGBp4JOxeZUgFV8tZJBiqm8CVNSd47MtmXkyXWL1+xbY5KkJxZHvhyUpPQY6pjE&#10;59+p6+nXW/8BAAD//wMAUEsDBBQABgAIAAAAIQDiYmtM4QAAAAwBAAAPAAAAZHJzL2Rvd25yZXYu&#10;eG1sTI8xT8MwFIR3JP6D9ZDYqJ02jUqIU1UIJiREGgZGJ35NrMbPIXbb8O9xJxhPd7r7rtjOdmBn&#10;nLxxJCFZCGBIrdOGOgmf9evDBpgPirQaHKGEH/SwLW9vCpVrd6EKz/vQsVhCPlcS+hDGnHPf9miV&#10;X7gRKXoHN1kVopw6rid1ieV24EshMm6VobjQqxGfe2yP+5OVsPui6sV8vzcf1aEydf0o6C07Snl/&#10;N++egAWcw18YrvgRHcrI1LgTac+GqNM0fgkS0vUqBXZNiGSTAGskrLPlCnhZ8P8nyl8AAAD//wMA&#10;UEsBAi0AFAAGAAgAAAAhALaDOJL+AAAA4QEAABMAAAAAAAAAAAAAAAAAAAAAAFtDb250ZW50X1R5&#10;cGVzXS54bWxQSwECLQAUAAYACAAAACEAOP0h/9YAAACUAQAACwAAAAAAAAAAAAAAAAAvAQAAX3Jl&#10;bHMvLnJlbHNQSwECLQAUAAYACAAAACEA/df4bvABAADCAwAADgAAAAAAAAAAAAAAAAAuAgAAZHJz&#10;L2Uyb0RvYy54bWxQSwECLQAUAAYACAAAACEA4mJrTOEAAAAMAQAADwAAAAAAAAAAAAAAAABKBAAA&#10;ZHJzL2Rvd25yZXYueG1sUEsFBgAAAAAEAAQA8wAAAFgFAAAAAA==&#10;" filled="f" stroked="f">
                <v:textbox inset="0,0,0,0">
                  <w:txbxContent>
                    <w:p w14:paraId="417FB979" w14:textId="77777777" w:rsidR="00490F33" w:rsidRDefault="00490F33">
                      <w:pPr>
                        <w:numPr>
                          <w:ilvl w:val="0"/>
                          <w:numId w:val="16"/>
                        </w:numPr>
                        <w:spacing w:before="7" w:line="221" w:lineRule="exact"/>
                        <w:textAlignment w:val="baseline"/>
                        <w:rPr>
                          <w:rFonts w:ascii="Tahoma" w:eastAsia="Tahoma" w:hAnsi="Tahoma"/>
                          <w:color w:val="404042"/>
                          <w:spacing w:val="7"/>
                          <w:sz w:val="18"/>
                        </w:rPr>
                      </w:pPr>
                      <w:r>
                        <w:rPr>
                          <w:rFonts w:ascii="Tahoma" w:eastAsia="Tahoma" w:hAnsi="Tahoma"/>
                          <w:color w:val="404042"/>
                          <w:spacing w:val="7"/>
                          <w:sz w:val="18"/>
                        </w:rPr>
                        <w:t>to promote community engagement</w:t>
                      </w:r>
                      <w:r>
                        <w:rPr>
                          <w:rFonts w:ascii="Tahoma" w:eastAsia="Tahoma" w:hAnsi="Tahoma"/>
                          <w:color w:val="464140"/>
                          <w:spacing w:val="7"/>
                          <w:sz w:val="18"/>
                        </w:rPr>
                        <w:t xml:space="preserve"> and well-roundedness</w:t>
                      </w:r>
                    </w:p>
                    <w:p w14:paraId="5BFB20E9" w14:textId="77777777" w:rsidR="00490F33" w:rsidRDefault="00490F33">
                      <w:pPr>
                        <w:numPr>
                          <w:ilvl w:val="0"/>
                          <w:numId w:val="16"/>
                        </w:numPr>
                        <w:spacing w:before="191" w:line="221" w:lineRule="exact"/>
                        <w:textAlignment w:val="baseline"/>
                        <w:rPr>
                          <w:rFonts w:ascii="Tahoma" w:eastAsia="Tahoma" w:hAnsi="Tahoma"/>
                          <w:color w:val="404042"/>
                          <w:spacing w:val="6"/>
                          <w:sz w:val="18"/>
                        </w:rPr>
                      </w:pPr>
                      <w:r>
                        <w:rPr>
                          <w:rFonts w:ascii="Tahoma" w:eastAsia="Tahoma" w:hAnsi="Tahoma"/>
                          <w:color w:val="404042"/>
                          <w:spacing w:val="6"/>
                          <w:sz w:val="18"/>
                        </w:rPr>
                        <w:t>to highlight skills that enhance</w:t>
                      </w:r>
                      <w:r>
                        <w:rPr>
                          <w:rFonts w:ascii="Tahoma" w:eastAsia="Tahoma" w:hAnsi="Tahoma"/>
                          <w:color w:val="464140"/>
                          <w:spacing w:val="6"/>
                          <w:sz w:val="18"/>
                        </w:rPr>
                        <w:t xml:space="preserve"> employability outcomes of students</w:t>
                      </w:r>
                    </w:p>
                    <w:p w14:paraId="4C2A6F33" w14:textId="77777777" w:rsidR="00490F33" w:rsidRDefault="00490F33">
                      <w:pPr>
                        <w:numPr>
                          <w:ilvl w:val="0"/>
                          <w:numId w:val="16"/>
                        </w:numPr>
                        <w:spacing w:before="187" w:after="34" w:line="221" w:lineRule="exact"/>
                        <w:textAlignment w:val="baseline"/>
                        <w:rPr>
                          <w:rFonts w:ascii="Tahoma" w:eastAsia="Tahoma" w:hAnsi="Tahoma"/>
                          <w:color w:val="404042"/>
                          <w:spacing w:val="3"/>
                          <w:sz w:val="18"/>
                        </w:rPr>
                      </w:pPr>
                      <w:r>
                        <w:rPr>
                          <w:rFonts w:ascii="Tahoma" w:eastAsia="Tahoma" w:hAnsi="Tahoma"/>
                          <w:color w:val="404042"/>
                          <w:spacing w:val="3"/>
                          <w:sz w:val="18"/>
                        </w:rPr>
                        <w:t>to give students an opportunity to</w:t>
                      </w:r>
                      <w:r>
                        <w:rPr>
                          <w:rFonts w:ascii="Tahoma" w:eastAsia="Tahoma" w:hAnsi="Tahoma"/>
                          <w:color w:val="464140"/>
                          <w:spacing w:val="3"/>
                          <w:sz w:val="18"/>
                        </w:rPr>
                        <w:t xml:space="preserve"> tell the ANU more about</w:t>
                      </w:r>
                      <w:r>
                        <w:rPr>
                          <w:rFonts w:ascii="Tahoma" w:eastAsia="Tahoma" w:hAnsi="Tahoma"/>
                          <w:color w:val="404042"/>
                          <w:spacing w:val="3"/>
                          <w:sz w:val="18"/>
                        </w:rPr>
                        <w:t xml:space="preserve"> themselves</w:t>
                      </w:r>
                      <w:r>
                        <w:rPr>
                          <w:rFonts w:ascii="Tahoma" w:eastAsia="Tahoma" w:hAnsi="Tahoma"/>
                          <w:color w:val="464140"/>
                          <w:spacing w:val="3"/>
                          <w:sz w:val="18"/>
                        </w:rPr>
                        <w:t xml:space="preserve"> and for this to be recognised.</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47456" behindDoc="1" locked="0" layoutInCell="1" allowOverlap="1" wp14:anchorId="2F172A3F" wp14:editId="4E15550C">
                <wp:simplePos x="0" y="0"/>
                <wp:positionH relativeFrom="page">
                  <wp:posOffset>899160</wp:posOffset>
                </wp:positionH>
                <wp:positionV relativeFrom="page">
                  <wp:posOffset>3709035</wp:posOffset>
                </wp:positionV>
                <wp:extent cx="5706110" cy="1969770"/>
                <wp:effectExtent l="0" t="0" r="8890" b="0"/>
                <wp:wrapSquare wrapText="bothSides"/>
                <wp:docPr id="89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1969770"/>
                        </a:xfrm>
                        <a:prstGeom prst="rect">
                          <a:avLst/>
                        </a:prstGeom>
                        <a:solidFill>
                          <a:srgbClr val="F9E7D7"/>
                        </a:solidFill>
                        <a:ln>
                          <a:noFill/>
                        </a:ln>
                      </wps:spPr>
                      <wps:txbx>
                        <w:txbxContent>
                          <w:tbl>
                            <w:tblPr>
                              <w:tblW w:w="0" w:type="auto"/>
                              <w:tblInd w:w="10" w:type="dxa"/>
                              <w:tblLayout w:type="fixed"/>
                              <w:tblCellMar>
                                <w:left w:w="0" w:type="dxa"/>
                                <w:right w:w="0" w:type="dxa"/>
                              </w:tblCellMar>
                              <w:tblLook w:val="04A0" w:firstRow="1" w:lastRow="0" w:firstColumn="1" w:lastColumn="0" w:noHBand="0" w:noVBand="1"/>
                            </w:tblPr>
                            <w:tblGrid>
                              <w:gridCol w:w="4526"/>
                              <w:gridCol w:w="4440"/>
                            </w:tblGrid>
                            <w:tr w:rsidR="00490F33" w14:paraId="7EB689C5" w14:textId="77777777" w:rsidTr="004E1A7A">
                              <w:trPr>
                                <w:trHeight w:hRule="exact" w:val="302"/>
                              </w:trPr>
                              <w:tc>
                                <w:tcPr>
                                  <w:tcW w:w="4526" w:type="dxa"/>
                                  <w:tcBorders>
                                    <w:top w:val="none" w:sz="0" w:space="0" w:color="020000"/>
                                    <w:left w:val="single" w:sz="4" w:space="0" w:color="000000"/>
                                    <w:bottom w:val="single" w:sz="4" w:space="0" w:color="000000"/>
                                    <w:right w:val="single" w:sz="4" w:space="0" w:color="000000"/>
                                  </w:tcBorders>
                                  <w:shd w:val="clear" w:color="004E66" w:fill="004E66"/>
                                  <w:vAlign w:val="center"/>
                                </w:tcPr>
                                <w:p w14:paraId="6D262498" w14:textId="77777777" w:rsidR="00490F33" w:rsidRDefault="00490F33">
                                  <w:pPr>
                                    <w:spacing w:before="63" w:after="17" w:line="217" w:lineRule="exact"/>
                                    <w:ind w:left="86"/>
                                    <w:textAlignment w:val="baseline"/>
                                    <w:rPr>
                                      <w:rFonts w:ascii="Arial" w:eastAsia="Arial" w:hAnsi="Arial"/>
                                      <w:b/>
                                      <w:color w:val="FFFFFF"/>
                                      <w:sz w:val="19"/>
                                    </w:rPr>
                                  </w:pPr>
                                  <w:r>
                                    <w:rPr>
                                      <w:rFonts w:ascii="Arial" w:eastAsia="Arial" w:hAnsi="Arial"/>
                                      <w:b/>
                                      <w:color w:val="FFFFFF"/>
                                      <w:sz w:val="19"/>
                                    </w:rPr>
                                    <w:t>SKILLS</w:t>
                                  </w:r>
                                </w:p>
                              </w:tc>
                              <w:tc>
                                <w:tcPr>
                                  <w:tcW w:w="4440" w:type="dxa"/>
                                  <w:tcBorders>
                                    <w:top w:val="none" w:sz="0" w:space="0" w:color="020000"/>
                                    <w:left w:val="single" w:sz="4" w:space="0" w:color="000000"/>
                                    <w:right w:val="none" w:sz="0" w:space="0" w:color="020000"/>
                                  </w:tcBorders>
                                  <w:shd w:val="clear" w:color="BF5B1F" w:fill="BF5B1F"/>
                                  <w:vAlign w:val="center"/>
                                </w:tcPr>
                                <w:p w14:paraId="6B56DF04" w14:textId="77777777" w:rsidR="00490F33" w:rsidRDefault="00490F33">
                                  <w:pPr>
                                    <w:spacing w:before="63" w:after="17" w:line="217" w:lineRule="exact"/>
                                    <w:ind w:left="82"/>
                                    <w:textAlignment w:val="baseline"/>
                                    <w:rPr>
                                      <w:rFonts w:ascii="Arial" w:eastAsia="Arial" w:hAnsi="Arial"/>
                                      <w:b/>
                                      <w:color w:val="FFFFFF"/>
                                      <w:sz w:val="19"/>
                                    </w:rPr>
                                  </w:pPr>
                                  <w:r>
                                    <w:rPr>
                                      <w:rFonts w:ascii="Arial" w:eastAsia="Arial" w:hAnsi="Arial"/>
                                      <w:b/>
                                      <w:color w:val="FFFFFF"/>
                                      <w:sz w:val="19"/>
                                    </w:rPr>
                                    <w:t>CLUSTERS/ACTIVITIES</w:t>
                                  </w:r>
                                </w:p>
                              </w:tc>
                            </w:tr>
                            <w:tr w:rsidR="00490F33" w14:paraId="27C3E18C" w14:textId="77777777" w:rsidTr="004E1A7A">
                              <w:trPr>
                                <w:trHeight w:hRule="exact" w:val="274"/>
                              </w:trPr>
                              <w:tc>
                                <w:tcPr>
                                  <w:tcW w:w="4526" w:type="dxa"/>
                                  <w:tcBorders>
                                    <w:top w:val="single" w:sz="4" w:space="0" w:color="000000"/>
                                    <w:left w:val="single" w:sz="4" w:space="0" w:color="000000"/>
                                    <w:bottom w:val="none" w:sz="0" w:space="0" w:color="020000"/>
                                  </w:tcBorders>
                                  <w:shd w:val="clear" w:color="E9ECEF" w:fill="E9ECEF"/>
                                  <w:vAlign w:val="center"/>
                                </w:tcPr>
                                <w:p w14:paraId="3BD04B5E" w14:textId="77777777" w:rsidR="00490F33" w:rsidRDefault="00490F33">
                                  <w:pPr>
                                    <w:spacing w:before="58" w:line="211" w:lineRule="exact"/>
                                    <w:ind w:left="86"/>
                                    <w:textAlignment w:val="baseline"/>
                                    <w:rPr>
                                      <w:rFonts w:ascii="Arial" w:eastAsia="Arial" w:hAnsi="Arial"/>
                                      <w:b/>
                                      <w:color w:val="404042"/>
                                      <w:sz w:val="19"/>
                                    </w:rPr>
                                  </w:pPr>
                                  <w:r>
                                    <w:rPr>
                                      <w:rFonts w:ascii="Arial" w:eastAsia="Arial" w:hAnsi="Arial"/>
                                      <w:b/>
                                      <w:color w:val="404042"/>
                                      <w:sz w:val="19"/>
                                    </w:rPr>
                                    <w:t>There are seven skills that are acknowledged</w:t>
                                  </w:r>
                                </w:p>
                              </w:tc>
                              <w:tc>
                                <w:tcPr>
                                  <w:tcW w:w="4440" w:type="dxa"/>
                                  <w:shd w:val="clear" w:color="auto" w:fill="FBE4D5" w:themeFill="accent2" w:themeFillTint="33"/>
                                  <w:vAlign w:val="center"/>
                                </w:tcPr>
                                <w:p w14:paraId="40E83847" w14:textId="77777777" w:rsidR="00490F33" w:rsidRDefault="00490F33">
                                  <w:pPr>
                                    <w:spacing w:before="58" w:line="211" w:lineRule="exact"/>
                                    <w:ind w:left="82"/>
                                    <w:textAlignment w:val="baseline"/>
                                    <w:rPr>
                                      <w:rFonts w:ascii="Arial" w:eastAsia="Arial" w:hAnsi="Arial"/>
                                      <w:b/>
                                      <w:color w:val="404042"/>
                                      <w:sz w:val="19"/>
                                    </w:rPr>
                                  </w:pPr>
                                  <w:r>
                                    <w:rPr>
                                      <w:rFonts w:ascii="Arial" w:eastAsia="Arial" w:hAnsi="Arial"/>
                                      <w:b/>
                                      <w:color w:val="404042"/>
                                      <w:sz w:val="19"/>
                                    </w:rPr>
                                    <w:t>These skills</w:t>
                                  </w:r>
                                  <w:r>
                                    <w:rPr>
                                      <w:rFonts w:ascii="Arial" w:eastAsia="Arial" w:hAnsi="Arial"/>
                                      <w:b/>
                                      <w:color w:val="464140"/>
                                      <w:sz w:val="19"/>
                                    </w:rPr>
                                    <w:t xml:space="preserve"> are matched against activities in</w:t>
                                  </w:r>
                                </w:p>
                              </w:tc>
                            </w:tr>
                            <w:tr w:rsidR="00490F33" w14:paraId="54D2C801" w14:textId="77777777" w:rsidTr="004E1A7A">
                              <w:trPr>
                                <w:trHeight w:hRule="exact" w:val="269"/>
                              </w:trPr>
                              <w:tc>
                                <w:tcPr>
                                  <w:tcW w:w="4526" w:type="dxa"/>
                                  <w:tcBorders>
                                    <w:top w:val="none" w:sz="0" w:space="0" w:color="020000"/>
                                    <w:left w:val="single" w:sz="4" w:space="0" w:color="000000"/>
                                    <w:bottom w:val="none" w:sz="0" w:space="0" w:color="020000"/>
                                  </w:tcBorders>
                                  <w:shd w:val="clear" w:color="E9ECEF" w:fill="E9ECEF"/>
                                  <w:vAlign w:val="center"/>
                                </w:tcPr>
                                <w:p w14:paraId="20B084F6" w14:textId="77777777" w:rsidR="00490F33" w:rsidRDefault="00490F33">
                                  <w:pPr>
                                    <w:spacing w:after="28" w:line="217" w:lineRule="exact"/>
                                    <w:ind w:left="86"/>
                                    <w:textAlignment w:val="baseline"/>
                                    <w:rPr>
                                      <w:rFonts w:ascii="Arial" w:eastAsia="Arial" w:hAnsi="Arial"/>
                                      <w:b/>
                                      <w:color w:val="404042"/>
                                      <w:sz w:val="19"/>
                                    </w:rPr>
                                  </w:pPr>
                                  <w:r>
                                    <w:rPr>
                                      <w:rFonts w:ascii="Arial" w:eastAsia="Arial" w:hAnsi="Arial"/>
                                      <w:b/>
                                      <w:color w:val="404042"/>
                                      <w:sz w:val="19"/>
                                    </w:rPr>
                                    <w:t>as part of the process:</w:t>
                                  </w:r>
                                </w:p>
                              </w:tc>
                              <w:tc>
                                <w:tcPr>
                                  <w:tcW w:w="4440" w:type="dxa"/>
                                  <w:shd w:val="clear" w:color="auto" w:fill="FBE4D5" w:themeFill="accent2" w:themeFillTint="33"/>
                                  <w:vAlign w:val="center"/>
                                </w:tcPr>
                                <w:p w14:paraId="2EE9A7B0" w14:textId="77777777" w:rsidR="00490F33" w:rsidRDefault="00490F33">
                                  <w:pPr>
                                    <w:spacing w:after="28" w:line="217" w:lineRule="exact"/>
                                    <w:ind w:left="82"/>
                                    <w:textAlignment w:val="baseline"/>
                                    <w:rPr>
                                      <w:rFonts w:ascii="Arial" w:eastAsia="Arial" w:hAnsi="Arial"/>
                                      <w:b/>
                                      <w:color w:val="404042"/>
                                      <w:sz w:val="19"/>
                                    </w:rPr>
                                  </w:pPr>
                                  <w:r>
                                    <w:rPr>
                                      <w:rFonts w:ascii="Arial" w:eastAsia="Arial" w:hAnsi="Arial"/>
                                      <w:b/>
                                      <w:color w:val="404042"/>
                                      <w:sz w:val="19"/>
                                    </w:rPr>
                                    <w:t>the following</w:t>
                                  </w:r>
                                  <w:r>
                                    <w:rPr>
                                      <w:rFonts w:ascii="Arial" w:eastAsia="Arial" w:hAnsi="Arial"/>
                                      <w:b/>
                                      <w:color w:val="464140"/>
                                      <w:sz w:val="19"/>
                                    </w:rPr>
                                    <w:t xml:space="preserve"> clusters/activities:</w:t>
                                  </w:r>
                                </w:p>
                              </w:tc>
                            </w:tr>
                            <w:tr w:rsidR="00490F33" w14:paraId="3293DDA0" w14:textId="77777777" w:rsidTr="004E1A7A">
                              <w:trPr>
                                <w:trHeight w:hRule="exact" w:val="297"/>
                              </w:trPr>
                              <w:tc>
                                <w:tcPr>
                                  <w:tcW w:w="4526" w:type="dxa"/>
                                  <w:tcBorders>
                                    <w:top w:val="none" w:sz="0" w:space="0" w:color="020000"/>
                                    <w:left w:val="single" w:sz="4" w:space="0" w:color="000000"/>
                                  </w:tcBorders>
                                  <w:shd w:val="clear" w:color="E9ECEF" w:fill="E9ECEF"/>
                                  <w:vAlign w:val="center"/>
                                </w:tcPr>
                                <w:p w14:paraId="354FA9A0" w14:textId="77777777" w:rsidR="00490F33" w:rsidRDefault="00490F33">
                                  <w:pPr>
                                    <w:numPr>
                                      <w:ilvl w:val="0"/>
                                      <w:numId w:val="17"/>
                                    </w:numPr>
                                    <w:tabs>
                                      <w:tab w:val="clear" w:pos="144"/>
                                      <w:tab w:val="left" w:pos="216"/>
                                    </w:tabs>
                                    <w:spacing w:before="44" w:after="24" w:line="220" w:lineRule="exact"/>
                                    <w:ind w:left="72"/>
                                    <w:textAlignment w:val="baseline"/>
                                    <w:rPr>
                                      <w:rFonts w:ascii="Tahoma" w:eastAsia="Tahoma" w:hAnsi="Tahoma"/>
                                      <w:color w:val="404042"/>
                                      <w:sz w:val="18"/>
                                    </w:rPr>
                                  </w:pPr>
                                  <w:r>
                                    <w:rPr>
                                      <w:rFonts w:ascii="Tahoma" w:eastAsia="Tahoma" w:hAnsi="Tahoma"/>
                                      <w:color w:val="404042"/>
                                      <w:sz w:val="18"/>
                                    </w:rPr>
                                    <w:t>Community Engagement</w:t>
                                  </w:r>
                                </w:p>
                              </w:tc>
                              <w:tc>
                                <w:tcPr>
                                  <w:tcW w:w="4440" w:type="dxa"/>
                                  <w:shd w:val="clear" w:color="auto" w:fill="FBE4D5" w:themeFill="accent2" w:themeFillTint="33"/>
                                  <w:vAlign w:val="center"/>
                                </w:tcPr>
                                <w:p w14:paraId="4C2B421B" w14:textId="77777777" w:rsidR="00490F33" w:rsidRDefault="00490F33">
                                  <w:pPr>
                                    <w:spacing w:before="44" w:after="26" w:line="218" w:lineRule="exact"/>
                                    <w:ind w:left="82"/>
                                    <w:textAlignment w:val="baseline"/>
                                    <w:rPr>
                                      <w:rFonts w:ascii="Tahoma" w:eastAsia="Tahoma" w:hAnsi="Tahoma"/>
                                      <w:color w:val="404042"/>
                                      <w:sz w:val="18"/>
                                    </w:rPr>
                                  </w:pPr>
                                  <w:r>
                                    <w:rPr>
                                      <w:rFonts w:ascii="Tahoma" w:eastAsia="Tahoma" w:hAnsi="Tahoma"/>
                                      <w:color w:val="404042"/>
                                      <w:sz w:val="18"/>
                                    </w:rPr>
                                    <w:t>- Academic Extension</w:t>
                                  </w:r>
                                  <w:r>
                                    <w:rPr>
                                      <w:rFonts w:ascii="Tahoma" w:eastAsia="Tahoma" w:hAnsi="Tahoma"/>
                                      <w:color w:val="464140"/>
                                      <w:sz w:val="18"/>
                                    </w:rPr>
                                    <w:t xml:space="preserve"> Activities</w:t>
                                  </w:r>
                                </w:p>
                              </w:tc>
                            </w:tr>
                            <w:tr w:rsidR="00490F33" w14:paraId="1E8FD485" w14:textId="77777777" w:rsidTr="004E1A7A">
                              <w:trPr>
                                <w:trHeight w:hRule="exact" w:val="298"/>
                              </w:trPr>
                              <w:tc>
                                <w:tcPr>
                                  <w:tcW w:w="4526" w:type="dxa"/>
                                  <w:shd w:val="clear" w:color="E9ECEF" w:fill="E9ECEF"/>
                                  <w:vAlign w:val="center"/>
                                </w:tcPr>
                                <w:p w14:paraId="6DAA1877" w14:textId="77777777" w:rsidR="00490F33" w:rsidRDefault="00490F33">
                                  <w:pPr>
                                    <w:numPr>
                                      <w:ilvl w:val="0"/>
                                      <w:numId w:val="17"/>
                                    </w:numPr>
                                    <w:tabs>
                                      <w:tab w:val="clear" w:pos="144"/>
                                      <w:tab w:val="left" w:pos="216"/>
                                    </w:tabs>
                                    <w:spacing w:before="45" w:after="28" w:line="220" w:lineRule="exact"/>
                                    <w:ind w:left="72"/>
                                    <w:textAlignment w:val="baseline"/>
                                    <w:rPr>
                                      <w:rFonts w:ascii="Tahoma" w:eastAsia="Tahoma" w:hAnsi="Tahoma"/>
                                      <w:color w:val="404042"/>
                                      <w:sz w:val="18"/>
                                    </w:rPr>
                                  </w:pPr>
                                  <w:r>
                                    <w:rPr>
                                      <w:rFonts w:ascii="Tahoma" w:eastAsia="Tahoma" w:hAnsi="Tahoma"/>
                                      <w:color w:val="404042"/>
                                      <w:sz w:val="18"/>
                                    </w:rPr>
                                    <w:t>Inclusion and Awareness of Diversity</w:t>
                                  </w:r>
                                </w:p>
                              </w:tc>
                              <w:tc>
                                <w:tcPr>
                                  <w:tcW w:w="4440" w:type="dxa"/>
                                  <w:shd w:val="clear" w:color="auto" w:fill="FBE4D5" w:themeFill="accent2" w:themeFillTint="33"/>
                                  <w:vAlign w:val="center"/>
                                </w:tcPr>
                                <w:p w14:paraId="3179892A" w14:textId="77777777" w:rsidR="00490F33" w:rsidRDefault="00490F33">
                                  <w:pPr>
                                    <w:spacing w:before="45" w:after="30" w:line="218" w:lineRule="exact"/>
                                    <w:ind w:left="82"/>
                                    <w:textAlignment w:val="baseline"/>
                                    <w:rPr>
                                      <w:rFonts w:ascii="Tahoma" w:eastAsia="Tahoma" w:hAnsi="Tahoma"/>
                                      <w:color w:val="404042"/>
                                      <w:sz w:val="18"/>
                                    </w:rPr>
                                  </w:pPr>
                                  <w:r>
                                    <w:rPr>
                                      <w:rFonts w:ascii="Tahoma" w:eastAsia="Tahoma" w:hAnsi="Tahoma"/>
                                      <w:color w:val="404042"/>
                                      <w:sz w:val="18"/>
                                    </w:rPr>
                                    <w:t>- Educational and</w:t>
                                  </w:r>
                                  <w:r>
                                    <w:rPr>
                                      <w:rFonts w:ascii="Tahoma" w:eastAsia="Tahoma" w:hAnsi="Tahoma"/>
                                      <w:color w:val="464140"/>
                                      <w:sz w:val="18"/>
                                    </w:rPr>
                                    <w:t xml:space="preserve"> Scholastic Activities</w:t>
                                  </w:r>
                                </w:p>
                              </w:tc>
                            </w:tr>
                            <w:tr w:rsidR="00490F33" w14:paraId="46A11BB1" w14:textId="77777777" w:rsidTr="004E1A7A">
                              <w:trPr>
                                <w:trHeight w:hRule="exact" w:val="298"/>
                              </w:trPr>
                              <w:tc>
                                <w:tcPr>
                                  <w:tcW w:w="4526" w:type="dxa"/>
                                  <w:tcBorders>
                                    <w:left w:val="single" w:sz="4" w:space="0" w:color="000000"/>
                                    <w:bottom w:val="none" w:sz="0" w:space="0" w:color="020000"/>
                                  </w:tcBorders>
                                  <w:shd w:val="clear" w:color="E9ECEF" w:fill="E9ECEF"/>
                                  <w:vAlign w:val="center"/>
                                </w:tcPr>
                                <w:p w14:paraId="0ED8B801" w14:textId="77777777" w:rsidR="00490F33" w:rsidRDefault="00490F33">
                                  <w:pPr>
                                    <w:numPr>
                                      <w:ilvl w:val="0"/>
                                      <w:numId w:val="17"/>
                                    </w:numPr>
                                    <w:tabs>
                                      <w:tab w:val="clear" w:pos="144"/>
                                      <w:tab w:val="left" w:pos="216"/>
                                    </w:tabs>
                                    <w:spacing w:before="44" w:after="35" w:line="218" w:lineRule="exact"/>
                                    <w:ind w:left="72"/>
                                    <w:textAlignment w:val="baseline"/>
                                    <w:rPr>
                                      <w:rFonts w:ascii="Tahoma" w:eastAsia="Tahoma" w:hAnsi="Tahoma"/>
                                      <w:color w:val="404042"/>
                                      <w:sz w:val="18"/>
                                    </w:rPr>
                                  </w:pPr>
                                  <w:r>
                                    <w:rPr>
                                      <w:rFonts w:ascii="Tahoma" w:eastAsia="Tahoma" w:hAnsi="Tahoma"/>
                                      <w:color w:val="404042"/>
                                      <w:sz w:val="18"/>
                                    </w:rPr>
                                    <w:t>Communication</w:t>
                                  </w:r>
                                </w:p>
                              </w:tc>
                              <w:tc>
                                <w:tcPr>
                                  <w:tcW w:w="4440" w:type="dxa"/>
                                  <w:shd w:val="clear" w:color="auto" w:fill="FBE4D5" w:themeFill="accent2" w:themeFillTint="33"/>
                                  <w:vAlign w:val="center"/>
                                </w:tcPr>
                                <w:p w14:paraId="2B17AEFE" w14:textId="77777777" w:rsidR="00490F33" w:rsidRDefault="00490F33">
                                  <w:pPr>
                                    <w:spacing w:before="44" w:after="33" w:line="220" w:lineRule="exact"/>
                                    <w:ind w:left="82"/>
                                    <w:textAlignment w:val="baseline"/>
                                    <w:rPr>
                                      <w:rFonts w:ascii="Tahoma" w:eastAsia="Tahoma" w:hAnsi="Tahoma"/>
                                      <w:color w:val="404042"/>
                                      <w:sz w:val="18"/>
                                    </w:rPr>
                                  </w:pPr>
                                  <w:r>
                                    <w:rPr>
                                      <w:rFonts w:ascii="Tahoma" w:eastAsia="Tahoma" w:hAnsi="Tahoma"/>
                                      <w:color w:val="404042"/>
                                      <w:sz w:val="18"/>
                                    </w:rPr>
                                    <w:t>- Community and</w:t>
                                  </w:r>
                                  <w:r>
                                    <w:rPr>
                                      <w:rFonts w:ascii="Tahoma" w:eastAsia="Tahoma" w:hAnsi="Tahoma"/>
                                      <w:color w:val="464140"/>
                                      <w:sz w:val="18"/>
                                    </w:rPr>
                                    <w:t xml:space="preserve"> Service Activities</w:t>
                                  </w:r>
                                </w:p>
                              </w:tc>
                            </w:tr>
                            <w:tr w:rsidR="00490F33" w14:paraId="29BA0834" w14:textId="77777777" w:rsidTr="004E1A7A">
                              <w:trPr>
                                <w:trHeight w:hRule="exact" w:val="297"/>
                              </w:trPr>
                              <w:tc>
                                <w:tcPr>
                                  <w:tcW w:w="4526" w:type="dxa"/>
                                  <w:tcBorders>
                                    <w:top w:val="none" w:sz="0" w:space="0" w:color="020000"/>
                                    <w:left w:val="single" w:sz="4" w:space="0" w:color="000000"/>
                                    <w:bottom w:val="none" w:sz="0" w:space="0" w:color="020000"/>
                                  </w:tcBorders>
                                  <w:shd w:val="clear" w:color="E9ECEF" w:fill="E9ECEF"/>
                                  <w:vAlign w:val="center"/>
                                </w:tcPr>
                                <w:p w14:paraId="2DB031D7" w14:textId="77777777" w:rsidR="00490F33" w:rsidRDefault="00490F33">
                                  <w:pPr>
                                    <w:numPr>
                                      <w:ilvl w:val="0"/>
                                      <w:numId w:val="17"/>
                                    </w:numPr>
                                    <w:tabs>
                                      <w:tab w:val="clear" w:pos="144"/>
                                      <w:tab w:val="left" w:pos="216"/>
                                    </w:tabs>
                                    <w:spacing w:before="44" w:after="23" w:line="220" w:lineRule="exact"/>
                                    <w:ind w:left="72"/>
                                    <w:textAlignment w:val="baseline"/>
                                    <w:rPr>
                                      <w:rFonts w:ascii="Tahoma" w:eastAsia="Tahoma" w:hAnsi="Tahoma"/>
                                      <w:color w:val="404042"/>
                                      <w:sz w:val="18"/>
                                    </w:rPr>
                                  </w:pPr>
                                  <w:r>
                                    <w:rPr>
                                      <w:rFonts w:ascii="Tahoma" w:eastAsia="Tahoma" w:hAnsi="Tahoma"/>
                                      <w:color w:val="404042"/>
                                      <w:sz w:val="18"/>
                                    </w:rPr>
                                    <w:t>Leadership</w:t>
                                  </w:r>
                                </w:p>
                              </w:tc>
                              <w:tc>
                                <w:tcPr>
                                  <w:tcW w:w="4440" w:type="dxa"/>
                                  <w:shd w:val="clear" w:color="auto" w:fill="FBE4D5" w:themeFill="accent2" w:themeFillTint="33"/>
                                  <w:vAlign w:val="center"/>
                                </w:tcPr>
                                <w:p w14:paraId="5B74C518" w14:textId="77777777" w:rsidR="00490F33" w:rsidRDefault="00490F33">
                                  <w:pPr>
                                    <w:spacing w:before="44" w:after="23" w:line="220" w:lineRule="exact"/>
                                    <w:ind w:left="82"/>
                                    <w:textAlignment w:val="baseline"/>
                                    <w:rPr>
                                      <w:rFonts w:ascii="Tahoma" w:eastAsia="Tahoma" w:hAnsi="Tahoma"/>
                                      <w:color w:val="404042"/>
                                      <w:sz w:val="18"/>
                                    </w:rPr>
                                  </w:pPr>
                                  <w:r>
                                    <w:rPr>
                                      <w:rFonts w:ascii="Tahoma" w:eastAsia="Tahoma" w:hAnsi="Tahoma"/>
                                      <w:color w:val="404042"/>
                                      <w:sz w:val="18"/>
                                    </w:rPr>
                                    <w:t>- Employment</w:t>
                                  </w:r>
                                </w:p>
                              </w:tc>
                            </w:tr>
                            <w:tr w:rsidR="00490F33" w14:paraId="68EF71F6" w14:textId="77777777" w:rsidTr="004E1A7A">
                              <w:trPr>
                                <w:trHeight w:hRule="exact" w:val="293"/>
                              </w:trPr>
                              <w:tc>
                                <w:tcPr>
                                  <w:tcW w:w="4526" w:type="dxa"/>
                                  <w:tcBorders>
                                    <w:top w:val="none" w:sz="0" w:space="0" w:color="020000"/>
                                    <w:left w:val="single" w:sz="4" w:space="0" w:color="000000"/>
                                    <w:bottom w:val="none" w:sz="0" w:space="0" w:color="020000"/>
                                  </w:tcBorders>
                                  <w:shd w:val="clear" w:color="E9ECEF" w:fill="E9ECEF"/>
                                  <w:vAlign w:val="center"/>
                                </w:tcPr>
                                <w:p w14:paraId="60D98E9A" w14:textId="77777777" w:rsidR="00490F33" w:rsidRDefault="00490F33">
                                  <w:pPr>
                                    <w:numPr>
                                      <w:ilvl w:val="0"/>
                                      <w:numId w:val="17"/>
                                    </w:numPr>
                                    <w:tabs>
                                      <w:tab w:val="clear" w:pos="144"/>
                                      <w:tab w:val="left" w:pos="216"/>
                                    </w:tabs>
                                    <w:spacing w:before="40" w:after="18" w:line="220" w:lineRule="exact"/>
                                    <w:ind w:left="72"/>
                                    <w:textAlignment w:val="baseline"/>
                                    <w:rPr>
                                      <w:rFonts w:ascii="Tahoma" w:eastAsia="Tahoma" w:hAnsi="Tahoma"/>
                                      <w:color w:val="404042"/>
                                      <w:sz w:val="18"/>
                                    </w:rPr>
                                  </w:pPr>
                                  <w:r>
                                    <w:rPr>
                                      <w:rFonts w:ascii="Tahoma" w:eastAsia="Tahoma" w:hAnsi="Tahoma"/>
                                      <w:color w:val="404042"/>
                                      <w:sz w:val="18"/>
                                    </w:rPr>
                                    <w:t>Personal Responsibility</w:t>
                                  </w:r>
                                </w:p>
                              </w:tc>
                              <w:tc>
                                <w:tcPr>
                                  <w:tcW w:w="4440" w:type="dxa"/>
                                  <w:shd w:val="clear" w:color="auto" w:fill="FBE4D5" w:themeFill="accent2" w:themeFillTint="33"/>
                                  <w:vAlign w:val="center"/>
                                </w:tcPr>
                                <w:p w14:paraId="15409060" w14:textId="77777777" w:rsidR="00490F33" w:rsidRDefault="00490F33">
                                  <w:pPr>
                                    <w:spacing w:before="40" w:after="20" w:line="218" w:lineRule="exact"/>
                                    <w:ind w:left="82"/>
                                    <w:textAlignment w:val="baseline"/>
                                    <w:rPr>
                                      <w:rFonts w:ascii="Tahoma" w:eastAsia="Tahoma" w:hAnsi="Tahoma"/>
                                      <w:color w:val="404042"/>
                                      <w:sz w:val="18"/>
                                    </w:rPr>
                                  </w:pPr>
                                  <w:r>
                                    <w:rPr>
                                      <w:rFonts w:ascii="Tahoma" w:eastAsia="Tahoma" w:hAnsi="Tahoma"/>
                                      <w:color w:val="404042"/>
                                      <w:sz w:val="18"/>
                                    </w:rPr>
                                    <w:t>- Creative and Performance Activities</w:t>
                                  </w:r>
                                </w:p>
                              </w:tc>
                            </w:tr>
                            <w:tr w:rsidR="00490F33" w14:paraId="7E331AC9" w14:textId="77777777" w:rsidTr="004E1A7A">
                              <w:trPr>
                                <w:trHeight w:hRule="exact" w:val="298"/>
                              </w:trPr>
                              <w:tc>
                                <w:tcPr>
                                  <w:tcW w:w="4526" w:type="dxa"/>
                                  <w:tcBorders>
                                    <w:top w:val="none" w:sz="0" w:space="0" w:color="020000"/>
                                    <w:left w:val="single" w:sz="4" w:space="0" w:color="000000"/>
                                    <w:bottom w:val="none" w:sz="0" w:space="0" w:color="020000"/>
                                  </w:tcBorders>
                                  <w:shd w:val="clear" w:color="E9ECEF" w:fill="E9ECEF"/>
                                  <w:vAlign w:val="center"/>
                                </w:tcPr>
                                <w:p w14:paraId="44F3E852" w14:textId="77777777" w:rsidR="00490F33" w:rsidRDefault="00490F33">
                                  <w:pPr>
                                    <w:numPr>
                                      <w:ilvl w:val="0"/>
                                      <w:numId w:val="17"/>
                                    </w:numPr>
                                    <w:tabs>
                                      <w:tab w:val="clear" w:pos="144"/>
                                      <w:tab w:val="left" w:pos="216"/>
                                    </w:tabs>
                                    <w:spacing w:before="44" w:after="26" w:line="218" w:lineRule="exact"/>
                                    <w:ind w:left="72"/>
                                    <w:textAlignment w:val="baseline"/>
                                    <w:rPr>
                                      <w:rFonts w:ascii="Tahoma" w:eastAsia="Tahoma" w:hAnsi="Tahoma"/>
                                      <w:color w:val="404042"/>
                                      <w:sz w:val="18"/>
                                    </w:rPr>
                                  </w:pPr>
                                  <w:r>
                                    <w:rPr>
                                      <w:rFonts w:ascii="Tahoma" w:eastAsia="Tahoma" w:hAnsi="Tahoma"/>
                                      <w:color w:val="404042"/>
                                      <w:sz w:val="18"/>
                                    </w:rPr>
                                    <w:t>Teamwork</w:t>
                                  </w:r>
                                </w:p>
                              </w:tc>
                              <w:tc>
                                <w:tcPr>
                                  <w:tcW w:w="4440" w:type="dxa"/>
                                  <w:shd w:val="clear" w:color="auto" w:fill="FBE4D5" w:themeFill="accent2" w:themeFillTint="33"/>
                                  <w:vAlign w:val="center"/>
                                </w:tcPr>
                                <w:p w14:paraId="5C247897" w14:textId="77777777" w:rsidR="00490F33" w:rsidRDefault="00490F33">
                                  <w:pPr>
                                    <w:spacing w:before="44" w:after="24" w:line="220" w:lineRule="exact"/>
                                    <w:ind w:left="82"/>
                                    <w:textAlignment w:val="baseline"/>
                                    <w:rPr>
                                      <w:rFonts w:ascii="Tahoma" w:eastAsia="Tahoma" w:hAnsi="Tahoma"/>
                                      <w:color w:val="404042"/>
                                      <w:sz w:val="18"/>
                                    </w:rPr>
                                  </w:pPr>
                                  <w:r>
                                    <w:rPr>
                                      <w:rFonts w:ascii="Tahoma" w:eastAsia="Tahoma" w:hAnsi="Tahoma"/>
                                      <w:color w:val="404042"/>
                                      <w:sz w:val="18"/>
                                    </w:rPr>
                                    <w:t>- Gaming, Sport and Fitness Activities</w:t>
                                  </w:r>
                                </w:p>
                              </w:tc>
                            </w:tr>
                            <w:tr w:rsidR="00490F33" w14:paraId="58B53EB7" w14:textId="77777777" w:rsidTr="004E1A7A">
                              <w:trPr>
                                <w:trHeight w:hRule="exact" w:val="456"/>
                              </w:trPr>
                              <w:tc>
                                <w:tcPr>
                                  <w:tcW w:w="4526" w:type="dxa"/>
                                  <w:tcBorders>
                                    <w:top w:val="none" w:sz="0" w:space="0" w:color="020000"/>
                                    <w:left w:val="single" w:sz="4" w:space="0" w:color="000000"/>
                                    <w:bottom w:val="single" w:sz="4" w:space="0" w:color="000000"/>
                                  </w:tcBorders>
                                  <w:shd w:val="clear" w:color="E9ECEF" w:fill="E9ECEF"/>
                                </w:tcPr>
                                <w:p w14:paraId="09977A5F" w14:textId="77777777" w:rsidR="00490F33" w:rsidRDefault="00490F33">
                                  <w:pPr>
                                    <w:numPr>
                                      <w:ilvl w:val="0"/>
                                      <w:numId w:val="17"/>
                                    </w:numPr>
                                    <w:tabs>
                                      <w:tab w:val="clear" w:pos="144"/>
                                      <w:tab w:val="left" w:pos="216"/>
                                    </w:tabs>
                                    <w:spacing w:before="44" w:after="187" w:line="220" w:lineRule="exact"/>
                                    <w:ind w:left="72"/>
                                    <w:textAlignment w:val="baseline"/>
                                    <w:rPr>
                                      <w:rFonts w:ascii="Tahoma" w:eastAsia="Tahoma" w:hAnsi="Tahoma"/>
                                      <w:color w:val="404042"/>
                                      <w:sz w:val="18"/>
                                    </w:rPr>
                                  </w:pPr>
                                  <w:r>
                                    <w:rPr>
                                      <w:rFonts w:ascii="Tahoma" w:eastAsia="Tahoma" w:hAnsi="Tahoma"/>
                                      <w:color w:val="404042"/>
                                      <w:sz w:val="18"/>
                                    </w:rPr>
                                    <w:t>Creative and Critical Thinking</w:t>
                                  </w:r>
                                </w:p>
                              </w:tc>
                              <w:tc>
                                <w:tcPr>
                                  <w:tcW w:w="4440" w:type="dxa"/>
                                  <w:shd w:val="clear" w:color="auto" w:fill="FBE4D5" w:themeFill="accent2" w:themeFillTint="33"/>
                                </w:tcPr>
                                <w:p w14:paraId="133E50FA" w14:textId="77777777" w:rsidR="00490F33" w:rsidRDefault="00490F33">
                                  <w:pPr>
                                    <w:textAlignment w:val="baseline"/>
                                    <w:rPr>
                                      <w:rFonts w:ascii="Arial" w:eastAsia="Arial" w:hAnsi="Arial"/>
                                      <w:color w:val="000000"/>
                                      <w:sz w:val="24"/>
                                    </w:rPr>
                                  </w:pPr>
                                  <w:r>
                                    <w:rPr>
                                      <w:rFonts w:ascii="Arial" w:eastAsia="Arial" w:hAnsi="Arial"/>
                                      <w:color w:val="000000"/>
                                      <w:sz w:val="24"/>
                                    </w:rPr>
                                    <w:t xml:space="preserve"> </w:t>
                                  </w:r>
                                </w:p>
                              </w:tc>
                            </w:tr>
                          </w:tbl>
                          <w:p w14:paraId="3C33DFA7"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72A3F" id="Text Box 611" o:spid="_x0000_s1067" type="#_x0000_t202" style="position:absolute;left:0;text-align:left;margin-left:70.8pt;margin-top:292.05pt;width:449.3pt;height:155.1pt;z-index:-25196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EYBQIAAOwDAAAOAAAAZHJzL2Uyb0RvYy54bWysU9uO0zAQfUfiHyy/06QraLdR09XSUoS0&#10;XKRdPsBxnMTC8Zix26R8PWOnLQu8IV6isWfm+Jwzk/Xd2Bt2VOg12JLPZzlnykqotW1L/vVp/+qW&#10;Mx+ErYUBq0p+Up7fbV6+WA+uUDfQgakVMgKxvhhcybsQXJFlXnaqF34GTllKNoC9CHTENqtRDITe&#10;m+wmzxfZAFg7BKm8p9vdlOSbhN80SobPTeNVYKbkxC2kL6ZvFb/ZZi2KFoXrtDzTEP/Aohfa0qNX&#10;qJ0Igh1Q/wXVa4ngoQkzCX0GTaOlShpIzTz/Q81jJ5xKWsgc7642+f8HKz8dvyDTdclvV+SPFT0N&#10;6UmNgb2FkS3m8+jQ4HxBhY+OSsNICZp0UuvdA8hvnlnYdsK26h4Rhk6JmhimzuxZ64TjI0g1fISa&#10;HhKHAAlobLCP9pEhjNCJyek6nUhG0uWbZU58KCUpN18tVstlml8miku7Qx/eK+hZDEqONP4EL44P&#10;PpAQKr2UxNc8GF3vtTHpgG21NciOglZlv3q33C2jdmr5rczYWGwhtk3peJN0RmmTyDBWYzL19dW/&#10;CuoTKUeYVpB+GQo6wB+cDbR+JfffDwIVZ+aDJffirl4CvATVJRBWUmvJA2dTuA3TTh8c6rYj5Gk+&#10;Fu7J4UYn7XEUE4szX1qppO+8/nFnn59T1a+fdPMTAAD//wMAUEsDBBQABgAIAAAAIQANRE274gAA&#10;AAwBAAAPAAAAZHJzL2Rvd25yZXYueG1sTI/LasMwEEX3hf6DmEI3pZGcqsFxLIcSSKGLJuRB14o9&#10;tU2lkbGU2Pn7Kqt2eZnDvWfy5WgNu2DvW0cKkokAhlS6qqVawfGwfk6B+aCp0sYRKriih2Vxf5fr&#10;rHID7fCyDzWLJeQzraAJocs492WDVvuJ65Di7dv1VocY+5pXvR5iuTV8KsSMW91SXGh0h6sGy5/9&#10;2SoY5OrIw/t2/XGoze5TbvjX9Wmr1OPD+LYAFnAMfzDc9KM6FNHp5M5UeWZilsksogpeU5kAuxFC&#10;iimwk4J0Ll+AFzn//0TxCwAA//8DAFBLAQItABQABgAIAAAAIQC2gziS/gAAAOEBAAATAAAAAAAA&#10;AAAAAAAAAAAAAABbQ29udGVudF9UeXBlc10ueG1sUEsBAi0AFAAGAAgAAAAhADj9If/WAAAAlAEA&#10;AAsAAAAAAAAAAAAAAAAALwEAAF9yZWxzLy5yZWxzUEsBAi0AFAAGAAgAAAAhAGXMQRgFAgAA7AMA&#10;AA4AAAAAAAAAAAAAAAAALgIAAGRycy9lMm9Eb2MueG1sUEsBAi0AFAAGAAgAAAAhAA1ETbviAAAA&#10;DAEAAA8AAAAAAAAAAAAAAAAAXwQAAGRycy9kb3ducmV2LnhtbFBLBQYAAAAABAAEAPMAAABuBQAA&#10;AAA=&#10;" fillcolor="#f9e7d7" stroked="f">
                <v:textbox inset="0,0,0,0">
                  <w:txbxContent>
                    <w:tbl>
                      <w:tblPr>
                        <w:tblW w:w="0" w:type="auto"/>
                        <w:tblInd w:w="10" w:type="dxa"/>
                        <w:tblLayout w:type="fixed"/>
                        <w:tblCellMar>
                          <w:left w:w="0" w:type="dxa"/>
                          <w:right w:w="0" w:type="dxa"/>
                        </w:tblCellMar>
                        <w:tblLook w:val="04A0" w:firstRow="1" w:lastRow="0" w:firstColumn="1" w:lastColumn="0" w:noHBand="0" w:noVBand="1"/>
                      </w:tblPr>
                      <w:tblGrid>
                        <w:gridCol w:w="4526"/>
                        <w:gridCol w:w="4440"/>
                      </w:tblGrid>
                      <w:tr w:rsidR="00490F33" w14:paraId="7EB689C5" w14:textId="77777777" w:rsidTr="004E1A7A">
                        <w:trPr>
                          <w:trHeight w:hRule="exact" w:val="302"/>
                        </w:trPr>
                        <w:tc>
                          <w:tcPr>
                            <w:tcW w:w="4526" w:type="dxa"/>
                            <w:tcBorders>
                              <w:top w:val="none" w:sz="0" w:space="0" w:color="020000"/>
                              <w:left w:val="single" w:sz="4" w:space="0" w:color="000000"/>
                              <w:bottom w:val="single" w:sz="4" w:space="0" w:color="000000"/>
                              <w:right w:val="single" w:sz="4" w:space="0" w:color="000000"/>
                            </w:tcBorders>
                            <w:shd w:val="clear" w:color="004E66" w:fill="004E66"/>
                            <w:vAlign w:val="center"/>
                          </w:tcPr>
                          <w:p w14:paraId="6D262498" w14:textId="77777777" w:rsidR="00490F33" w:rsidRDefault="00490F33">
                            <w:pPr>
                              <w:spacing w:before="63" w:after="17" w:line="217" w:lineRule="exact"/>
                              <w:ind w:left="86"/>
                              <w:textAlignment w:val="baseline"/>
                              <w:rPr>
                                <w:rFonts w:ascii="Arial" w:eastAsia="Arial" w:hAnsi="Arial"/>
                                <w:b/>
                                <w:color w:val="FFFFFF"/>
                                <w:sz w:val="19"/>
                              </w:rPr>
                            </w:pPr>
                            <w:r>
                              <w:rPr>
                                <w:rFonts w:ascii="Arial" w:eastAsia="Arial" w:hAnsi="Arial"/>
                                <w:b/>
                                <w:color w:val="FFFFFF"/>
                                <w:sz w:val="19"/>
                              </w:rPr>
                              <w:t>SKILLS</w:t>
                            </w:r>
                          </w:p>
                        </w:tc>
                        <w:tc>
                          <w:tcPr>
                            <w:tcW w:w="4440" w:type="dxa"/>
                            <w:tcBorders>
                              <w:top w:val="none" w:sz="0" w:space="0" w:color="020000"/>
                              <w:left w:val="single" w:sz="4" w:space="0" w:color="000000"/>
                              <w:right w:val="none" w:sz="0" w:space="0" w:color="020000"/>
                            </w:tcBorders>
                            <w:shd w:val="clear" w:color="BF5B1F" w:fill="BF5B1F"/>
                            <w:vAlign w:val="center"/>
                          </w:tcPr>
                          <w:p w14:paraId="6B56DF04" w14:textId="77777777" w:rsidR="00490F33" w:rsidRDefault="00490F33">
                            <w:pPr>
                              <w:spacing w:before="63" w:after="17" w:line="217" w:lineRule="exact"/>
                              <w:ind w:left="82"/>
                              <w:textAlignment w:val="baseline"/>
                              <w:rPr>
                                <w:rFonts w:ascii="Arial" w:eastAsia="Arial" w:hAnsi="Arial"/>
                                <w:b/>
                                <w:color w:val="FFFFFF"/>
                                <w:sz w:val="19"/>
                              </w:rPr>
                            </w:pPr>
                            <w:r>
                              <w:rPr>
                                <w:rFonts w:ascii="Arial" w:eastAsia="Arial" w:hAnsi="Arial"/>
                                <w:b/>
                                <w:color w:val="FFFFFF"/>
                                <w:sz w:val="19"/>
                              </w:rPr>
                              <w:t>CLUSTERS/ACTIVITIES</w:t>
                            </w:r>
                          </w:p>
                        </w:tc>
                      </w:tr>
                      <w:tr w:rsidR="00490F33" w14:paraId="27C3E18C" w14:textId="77777777" w:rsidTr="004E1A7A">
                        <w:trPr>
                          <w:trHeight w:hRule="exact" w:val="274"/>
                        </w:trPr>
                        <w:tc>
                          <w:tcPr>
                            <w:tcW w:w="4526" w:type="dxa"/>
                            <w:tcBorders>
                              <w:top w:val="single" w:sz="4" w:space="0" w:color="000000"/>
                              <w:left w:val="single" w:sz="4" w:space="0" w:color="000000"/>
                              <w:bottom w:val="none" w:sz="0" w:space="0" w:color="020000"/>
                            </w:tcBorders>
                            <w:shd w:val="clear" w:color="E9ECEF" w:fill="E9ECEF"/>
                            <w:vAlign w:val="center"/>
                          </w:tcPr>
                          <w:p w14:paraId="3BD04B5E" w14:textId="77777777" w:rsidR="00490F33" w:rsidRDefault="00490F33">
                            <w:pPr>
                              <w:spacing w:before="58" w:line="211" w:lineRule="exact"/>
                              <w:ind w:left="86"/>
                              <w:textAlignment w:val="baseline"/>
                              <w:rPr>
                                <w:rFonts w:ascii="Arial" w:eastAsia="Arial" w:hAnsi="Arial"/>
                                <w:b/>
                                <w:color w:val="404042"/>
                                <w:sz w:val="19"/>
                              </w:rPr>
                            </w:pPr>
                            <w:r>
                              <w:rPr>
                                <w:rFonts w:ascii="Arial" w:eastAsia="Arial" w:hAnsi="Arial"/>
                                <w:b/>
                                <w:color w:val="404042"/>
                                <w:sz w:val="19"/>
                              </w:rPr>
                              <w:t>There are seven skills that are acknowledged</w:t>
                            </w:r>
                          </w:p>
                        </w:tc>
                        <w:tc>
                          <w:tcPr>
                            <w:tcW w:w="4440" w:type="dxa"/>
                            <w:shd w:val="clear" w:color="auto" w:fill="FBE4D5" w:themeFill="accent2" w:themeFillTint="33"/>
                            <w:vAlign w:val="center"/>
                          </w:tcPr>
                          <w:p w14:paraId="40E83847" w14:textId="77777777" w:rsidR="00490F33" w:rsidRDefault="00490F33">
                            <w:pPr>
                              <w:spacing w:before="58" w:line="211" w:lineRule="exact"/>
                              <w:ind w:left="82"/>
                              <w:textAlignment w:val="baseline"/>
                              <w:rPr>
                                <w:rFonts w:ascii="Arial" w:eastAsia="Arial" w:hAnsi="Arial"/>
                                <w:b/>
                                <w:color w:val="404042"/>
                                <w:sz w:val="19"/>
                              </w:rPr>
                            </w:pPr>
                            <w:r>
                              <w:rPr>
                                <w:rFonts w:ascii="Arial" w:eastAsia="Arial" w:hAnsi="Arial"/>
                                <w:b/>
                                <w:color w:val="404042"/>
                                <w:sz w:val="19"/>
                              </w:rPr>
                              <w:t>These skills</w:t>
                            </w:r>
                            <w:r>
                              <w:rPr>
                                <w:rFonts w:ascii="Arial" w:eastAsia="Arial" w:hAnsi="Arial"/>
                                <w:b/>
                                <w:color w:val="464140"/>
                                <w:sz w:val="19"/>
                              </w:rPr>
                              <w:t xml:space="preserve"> are matched against activities in</w:t>
                            </w:r>
                          </w:p>
                        </w:tc>
                      </w:tr>
                      <w:tr w:rsidR="00490F33" w14:paraId="54D2C801" w14:textId="77777777" w:rsidTr="004E1A7A">
                        <w:trPr>
                          <w:trHeight w:hRule="exact" w:val="269"/>
                        </w:trPr>
                        <w:tc>
                          <w:tcPr>
                            <w:tcW w:w="4526" w:type="dxa"/>
                            <w:tcBorders>
                              <w:top w:val="none" w:sz="0" w:space="0" w:color="020000"/>
                              <w:left w:val="single" w:sz="4" w:space="0" w:color="000000"/>
                              <w:bottom w:val="none" w:sz="0" w:space="0" w:color="020000"/>
                            </w:tcBorders>
                            <w:shd w:val="clear" w:color="E9ECEF" w:fill="E9ECEF"/>
                            <w:vAlign w:val="center"/>
                          </w:tcPr>
                          <w:p w14:paraId="20B084F6" w14:textId="77777777" w:rsidR="00490F33" w:rsidRDefault="00490F33">
                            <w:pPr>
                              <w:spacing w:after="28" w:line="217" w:lineRule="exact"/>
                              <w:ind w:left="86"/>
                              <w:textAlignment w:val="baseline"/>
                              <w:rPr>
                                <w:rFonts w:ascii="Arial" w:eastAsia="Arial" w:hAnsi="Arial"/>
                                <w:b/>
                                <w:color w:val="404042"/>
                                <w:sz w:val="19"/>
                              </w:rPr>
                            </w:pPr>
                            <w:r>
                              <w:rPr>
                                <w:rFonts w:ascii="Arial" w:eastAsia="Arial" w:hAnsi="Arial"/>
                                <w:b/>
                                <w:color w:val="404042"/>
                                <w:sz w:val="19"/>
                              </w:rPr>
                              <w:t>as part of the process:</w:t>
                            </w:r>
                          </w:p>
                        </w:tc>
                        <w:tc>
                          <w:tcPr>
                            <w:tcW w:w="4440" w:type="dxa"/>
                            <w:shd w:val="clear" w:color="auto" w:fill="FBE4D5" w:themeFill="accent2" w:themeFillTint="33"/>
                            <w:vAlign w:val="center"/>
                          </w:tcPr>
                          <w:p w14:paraId="2EE9A7B0" w14:textId="77777777" w:rsidR="00490F33" w:rsidRDefault="00490F33">
                            <w:pPr>
                              <w:spacing w:after="28" w:line="217" w:lineRule="exact"/>
                              <w:ind w:left="82"/>
                              <w:textAlignment w:val="baseline"/>
                              <w:rPr>
                                <w:rFonts w:ascii="Arial" w:eastAsia="Arial" w:hAnsi="Arial"/>
                                <w:b/>
                                <w:color w:val="404042"/>
                                <w:sz w:val="19"/>
                              </w:rPr>
                            </w:pPr>
                            <w:r>
                              <w:rPr>
                                <w:rFonts w:ascii="Arial" w:eastAsia="Arial" w:hAnsi="Arial"/>
                                <w:b/>
                                <w:color w:val="404042"/>
                                <w:sz w:val="19"/>
                              </w:rPr>
                              <w:t>the following</w:t>
                            </w:r>
                            <w:r>
                              <w:rPr>
                                <w:rFonts w:ascii="Arial" w:eastAsia="Arial" w:hAnsi="Arial"/>
                                <w:b/>
                                <w:color w:val="464140"/>
                                <w:sz w:val="19"/>
                              </w:rPr>
                              <w:t xml:space="preserve"> clusters/activities:</w:t>
                            </w:r>
                          </w:p>
                        </w:tc>
                      </w:tr>
                      <w:tr w:rsidR="00490F33" w14:paraId="3293DDA0" w14:textId="77777777" w:rsidTr="004E1A7A">
                        <w:trPr>
                          <w:trHeight w:hRule="exact" w:val="297"/>
                        </w:trPr>
                        <w:tc>
                          <w:tcPr>
                            <w:tcW w:w="4526" w:type="dxa"/>
                            <w:tcBorders>
                              <w:top w:val="none" w:sz="0" w:space="0" w:color="020000"/>
                              <w:left w:val="single" w:sz="4" w:space="0" w:color="000000"/>
                            </w:tcBorders>
                            <w:shd w:val="clear" w:color="E9ECEF" w:fill="E9ECEF"/>
                            <w:vAlign w:val="center"/>
                          </w:tcPr>
                          <w:p w14:paraId="354FA9A0" w14:textId="77777777" w:rsidR="00490F33" w:rsidRDefault="00490F33">
                            <w:pPr>
                              <w:numPr>
                                <w:ilvl w:val="0"/>
                                <w:numId w:val="17"/>
                              </w:numPr>
                              <w:tabs>
                                <w:tab w:val="clear" w:pos="144"/>
                                <w:tab w:val="left" w:pos="216"/>
                              </w:tabs>
                              <w:spacing w:before="44" w:after="24" w:line="220" w:lineRule="exact"/>
                              <w:ind w:left="72"/>
                              <w:textAlignment w:val="baseline"/>
                              <w:rPr>
                                <w:rFonts w:ascii="Tahoma" w:eastAsia="Tahoma" w:hAnsi="Tahoma"/>
                                <w:color w:val="404042"/>
                                <w:sz w:val="18"/>
                              </w:rPr>
                            </w:pPr>
                            <w:r>
                              <w:rPr>
                                <w:rFonts w:ascii="Tahoma" w:eastAsia="Tahoma" w:hAnsi="Tahoma"/>
                                <w:color w:val="404042"/>
                                <w:sz w:val="18"/>
                              </w:rPr>
                              <w:t>Community Engagement</w:t>
                            </w:r>
                          </w:p>
                        </w:tc>
                        <w:tc>
                          <w:tcPr>
                            <w:tcW w:w="4440" w:type="dxa"/>
                            <w:shd w:val="clear" w:color="auto" w:fill="FBE4D5" w:themeFill="accent2" w:themeFillTint="33"/>
                            <w:vAlign w:val="center"/>
                          </w:tcPr>
                          <w:p w14:paraId="4C2B421B" w14:textId="77777777" w:rsidR="00490F33" w:rsidRDefault="00490F33">
                            <w:pPr>
                              <w:spacing w:before="44" w:after="26" w:line="218" w:lineRule="exact"/>
                              <w:ind w:left="82"/>
                              <w:textAlignment w:val="baseline"/>
                              <w:rPr>
                                <w:rFonts w:ascii="Tahoma" w:eastAsia="Tahoma" w:hAnsi="Tahoma"/>
                                <w:color w:val="404042"/>
                                <w:sz w:val="18"/>
                              </w:rPr>
                            </w:pPr>
                            <w:r>
                              <w:rPr>
                                <w:rFonts w:ascii="Tahoma" w:eastAsia="Tahoma" w:hAnsi="Tahoma"/>
                                <w:color w:val="404042"/>
                                <w:sz w:val="18"/>
                              </w:rPr>
                              <w:t>- Academic Extension</w:t>
                            </w:r>
                            <w:r>
                              <w:rPr>
                                <w:rFonts w:ascii="Tahoma" w:eastAsia="Tahoma" w:hAnsi="Tahoma"/>
                                <w:color w:val="464140"/>
                                <w:sz w:val="18"/>
                              </w:rPr>
                              <w:t xml:space="preserve"> Activities</w:t>
                            </w:r>
                          </w:p>
                        </w:tc>
                      </w:tr>
                      <w:tr w:rsidR="00490F33" w14:paraId="1E8FD485" w14:textId="77777777" w:rsidTr="004E1A7A">
                        <w:trPr>
                          <w:trHeight w:hRule="exact" w:val="298"/>
                        </w:trPr>
                        <w:tc>
                          <w:tcPr>
                            <w:tcW w:w="4526" w:type="dxa"/>
                            <w:shd w:val="clear" w:color="E9ECEF" w:fill="E9ECEF"/>
                            <w:vAlign w:val="center"/>
                          </w:tcPr>
                          <w:p w14:paraId="6DAA1877" w14:textId="77777777" w:rsidR="00490F33" w:rsidRDefault="00490F33">
                            <w:pPr>
                              <w:numPr>
                                <w:ilvl w:val="0"/>
                                <w:numId w:val="17"/>
                              </w:numPr>
                              <w:tabs>
                                <w:tab w:val="clear" w:pos="144"/>
                                <w:tab w:val="left" w:pos="216"/>
                              </w:tabs>
                              <w:spacing w:before="45" w:after="28" w:line="220" w:lineRule="exact"/>
                              <w:ind w:left="72"/>
                              <w:textAlignment w:val="baseline"/>
                              <w:rPr>
                                <w:rFonts w:ascii="Tahoma" w:eastAsia="Tahoma" w:hAnsi="Tahoma"/>
                                <w:color w:val="404042"/>
                                <w:sz w:val="18"/>
                              </w:rPr>
                            </w:pPr>
                            <w:r>
                              <w:rPr>
                                <w:rFonts w:ascii="Tahoma" w:eastAsia="Tahoma" w:hAnsi="Tahoma"/>
                                <w:color w:val="404042"/>
                                <w:sz w:val="18"/>
                              </w:rPr>
                              <w:t>Inclusion and Awareness of Diversity</w:t>
                            </w:r>
                          </w:p>
                        </w:tc>
                        <w:tc>
                          <w:tcPr>
                            <w:tcW w:w="4440" w:type="dxa"/>
                            <w:shd w:val="clear" w:color="auto" w:fill="FBE4D5" w:themeFill="accent2" w:themeFillTint="33"/>
                            <w:vAlign w:val="center"/>
                          </w:tcPr>
                          <w:p w14:paraId="3179892A" w14:textId="77777777" w:rsidR="00490F33" w:rsidRDefault="00490F33">
                            <w:pPr>
                              <w:spacing w:before="45" w:after="30" w:line="218" w:lineRule="exact"/>
                              <w:ind w:left="82"/>
                              <w:textAlignment w:val="baseline"/>
                              <w:rPr>
                                <w:rFonts w:ascii="Tahoma" w:eastAsia="Tahoma" w:hAnsi="Tahoma"/>
                                <w:color w:val="404042"/>
                                <w:sz w:val="18"/>
                              </w:rPr>
                            </w:pPr>
                            <w:r>
                              <w:rPr>
                                <w:rFonts w:ascii="Tahoma" w:eastAsia="Tahoma" w:hAnsi="Tahoma"/>
                                <w:color w:val="404042"/>
                                <w:sz w:val="18"/>
                              </w:rPr>
                              <w:t>- Educational and</w:t>
                            </w:r>
                            <w:r>
                              <w:rPr>
                                <w:rFonts w:ascii="Tahoma" w:eastAsia="Tahoma" w:hAnsi="Tahoma"/>
                                <w:color w:val="464140"/>
                                <w:sz w:val="18"/>
                              </w:rPr>
                              <w:t xml:space="preserve"> Scholastic Activities</w:t>
                            </w:r>
                          </w:p>
                        </w:tc>
                      </w:tr>
                      <w:tr w:rsidR="00490F33" w14:paraId="46A11BB1" w14:textId="77777777" w:rsidTr="004E1A7A">
                        <w:trPr>
                          <w:trHeight w:hRule="exact" w:val="298"/>
                        </w:trPr>
                        <w:tc>
                          <w:tcPr>
                            <w:tcW w:w="4526" w:type="dxa"/>
                            <w:tcBorders>
                              <w:left w:val="single" w:sz="4" w:space="0" w:color="000000"/>
                              <w:bottom w:val="none" w:sz="0" w:space="0" w:color="020000"/>
                            </w:tcBorders>
                            <w:shd w:val="clear" w:color="E9ECEF" w:fill="E9ECEF"/>
                            <w:vAlign w:val="center"/>
                          </w:tcPr>
                          <w:p w14:paraId="0ED8B801" w14:textId="77777777" w:rsidR="00490F33" w:rsidRDefault="00490F33">
                            <w:pPr>
                              <w:numPr>
                                <w:ilvl w:val="0"/>
                                <w:numId w:val="17"/>
                              </w:numPr>
                              <w:tabs>
                                <w:tab w:val="clear" w:pos="144"/>
                                <w:tab w:val="left" w:pos="216"/>
                              </w:tabs>
                              <w:spacing w:before="44" w:after="35" w:line="218" w:lineRule="exact"/>
                              <w:ind w:left="72"/>
                              <w:textAlignment w:val="baseline"/>
                              <w:rPr>
                                <w:rFonts w:ascii="Tahoma" w:eastAsia="Tahoma" w:hAnsi="Tahoma"/>
                                <w:color w:val="404042"/>
                                <w:sz w:val="18"/>
                              </w:rPr>
                            </w:pPr>
                            <w:r>
                              <w:rPr>
                                <w:rFonts w:ascii="Tahoma" w:eastAsia="Tahoma" w:hAnsi="Tahoma"/>
                                <w:color w:val="404042"/>
                                <w:sz w:val="18"/>
                              </w:rPr>
                              <w:t>Communication</w:t>
                            </w:r>
                          </w:p>
                        </w:tc>
                        <w:tc>
                          <w:tcPr>
                            <w:tcW w:w="4440" w:type="dxa"/>
                            <w:shd w:val="clear" w:color="auto" w:fill="FBE4D5" w:themeFill="accent2" w:themeFillTint="33"/>
                            <w:vAlign w:val="center"/>
                          </w:tcPr>
                          <w:p w14:paraId="2B17AEFE" w14:textId="77777777" w:rsidR="00490F33" w:rsidRDefault="00490F33">
                            <w:pPr>
                              <w:spacing w:before="44" w:after="33" w:line="220" w:lineRule="exact"/>
                              <w:ind w:left="82"/>
                              <w:textAlignment w:val="baseline"/>
                              <w:rPr>
                                <w:rFonts w:ascii="Tahoma" w:eastAsia="Tahoma" w:hAnsi="Tahoma"/>
                                <w:color w:val="404042"/>
                                <w:sz w:val="18"/>
                              </w:rPr>
                            </w:pPr>
                            <w:r>
                              <w:rPr>
                                <w:rFonts w:ascii="Tahoma" w:eastAsia="Tahoma" w:hAnsi="Tahoma"/>
                                <w:color w:val="404042"/>
                                <w:sz w:val="18"/>
                              </w:rPr>
                              <w:t>- Community and</w:t>
                            </w:r>
                            <w:r>
                              <w:rPr>
                                <w:rFonts w:ascii="Tahoma" w:eastAsia="Tahoma" w:hAnsi="Tahoma"/>
                                <w:color w:val="464140"/>
                                <w:sz w:val="18"/>
                              </w:rPr>
                              <w:t xml:space="preserve"> Service Activities</w:t>
                            </w:r>
                          </w:p>
                        </w:tc>
                      </w:tr>
                      <w:tr w:rsidR="00490F33" w14:paraId="29BA0834" w14:textId="77777777" w:rsidTr="004E1A7A">
                        <w:trPr>
                          <w:trHeight w:hRule="exact" w:val="297"/>
                        </w:trPr>
                        <w:tc>
                          <w:tcPr>
                            <w:tcW w:w="4526" w:type="dxa"/>
                            <w:tcBorders>
                              <w:top w:val="none" w:sz="0" w:space="0" w:color="020000"/>
                              <w:left w:val="single" w:sz="4" w:space="0" w:color="000000"/>
                              <w:bottom w:val="none" w:sz="0" w:space="0" w:color="020000"/>
                            </w:tcBorders>
                            <w:shd w:val="clear" w:color="E9ECEF" w:fill="E9ECEF"/>
                            <w:vAlign w:val="center"/>
                          </w:tcPr>
                          <w:p w14:paraId="2DB031D7" w14:textId="77777777" w:rsidR="00490F33" w:rsidRDefault="00490F33">
                            <w:pPr>
                              <w:numPr>
                                <w:ilvl w:val="0"/>
                                <w:numId w:val="17"/>
                              </w:numPr>
                              <w:tabs>
                                <w:tab w:val="clear" w:pos="144"/>
                                <w:tab w:val="left" w:pos="216"/>
                              </w:tabs>
                              <w:spacing w:before="44" w:after="23" w:line="220" w:lineRule="exact"/>
                              <w:ind w:left="72"/>
                              <w:textAlignment w:val="baseline"/>
                              <w:rPr>
                                <w:rFonts w:ascii="Tahoma" w:eastAsia="Tahoma" w:hAnsi="Tahoma"/>
                                <w:color w:val="404042"/>
                                <w:sz w:val="18"/>
                              </w:rPr>
                            </w:pPr>
                            <w:r>
                              <w:rPr>
                                <w:rFonts w:ascii="Tahoma" w:eastAsia="Tahoma" w:hAnsi="Tahoma"/>
                                <w:color w:val="404042"/>
                                <w:sz w:val="18"/>
                              </w:rPr>
                              <w:t>Leadership</w:t>
                            </w:r>
                          </w:p>
                        </w:tc>
                        <w:tc>
                          <w:tcPr>
                            <w:tcW w:w="4440" w:type="dxa"/>
                            <w:shd w:val="clear" w:color="auto" w:fill="FBE4D5" w:themeFill="accent2" w:themeFillTint="33"/>
                            <w:vAlign w:val="center"/>
                          </w:tcPr>
                          <w:p w14:paraId="5B74C518" w14:textId="77777777" w:rsidR="00490F33" w:rsidRDefault="00490F33">
                            <w:pPr>
                              <w:spacing w:before="44" w:after="23" w:line="220" w:lineRule="exact"/>
                              <w:ind w:left="82"/>
                              <w:textAlignment w:val="baseline"/>
                              <w:rPr>
                                <w:rFonts w:ascii="Tahoma" w:eastAsia="Tahoma" w:hAnsi="Tahoma"/>
                                <w:color w:val="404042"/>
                                <w:sz w:val="18"/>
                              </w:rPr>
                            </w:pPr>
                            <w:r>
                              <w:rPr>
                                <w:rFonts w:ascii="Tahoma" w:eastAsia="Tahoma" w:hAnsi="Tahoma"/>
                                <w:color w:val="404042"/>
                                <w:sz w:val="18"/>
                              </w:rPr>
                              <w:t>- Employment</w:t>
                            </w:r>
                          </w:p>
                        </w:tc>
                      </w:tr>
                      <w:tr w:rsidR="00490F33" w14:paraId="68EF71F6" w14:textId="77777777" w:rsidTr="004E1A7A">
                        <w:trPr>
                          <w:trHeight w:hRule="exact" w:val="293"/>
                        </w:trPr>
                        <w:tc>
                          <w:tcPr>
                            <w:tcW w:w="4526" w:type="dxa"/>
                            <w:tcBorders>
                              <w:top w:val="none" w:sz="0" w:space="0" w:color="020000"/>
                              <w:left w:val="single" w:sz="4" w:space="0" w:color="000000"/>
                              <w:bottom w:val="none" w:sz="0" w:space="0" w:color="020000"/>
                            </w:tcBorders>
                            <w:shd w:val="clear" w:color="E9ECEF" w:fill="E9ECEF"/>
                            <w:vAlign w:val="center"/>
                          </w:tcPr>
                          <w:p w14:paraId="60D98E9A" w14:textId="77777777" w:rsidR="00490F33" w:rsidRDefault="00490F33">
                            <w:pPr>
                              <w:numPr>
                                <w:ilvl w:val="0"/>
                                <w:numId w:val="17"/>
                              </w:numPr>
                              <w:tabs>
                                <w:tab w:val="clear" w:pos="144"/>
                                <w:tab w:val="left" w:pos="216"/>
                              </w:tabs>
                              <w:spacing w:before="40" w:after="18" w:line="220" w:lineRule="exact"/>
                              <w:ind w:left="72"/>
                              <w:textAlignment w:val="baseline"/>
                              <w:rPr>
                                <w:rFonts w:ascii="Tahoma" w:eastAsia="Tahoma" w:hAnsi="Tahoma"/>
                                <w:color w:val="404042"/>
                                <w:sz w:val="18"/>
                              </w:rPr>
                            </w:pPr>
                            <w:r>
                              <w:rPr>
                                <w:rFonts w:ascii="Tahoma" w:eastAsia="Tahoma" w:hAnsi="Tahoma"/>
                                <w:color w:val="404042"/>
                                <w:sz w:val="18"/>
                              </w:rPr>
                              <w:t>Personal Responsibility</w:t>
                            </w:r>
                          </w:p>
                        </w:tc>
                        <w:tc>
                          <w:tcPr>
                            <w:tcW w:w="4440" w:type="dxa"/>
                            <w:shd w:val="clear" w:color="auto" w:fill="FBE4D5" w:themeFill="accent2" w:themeFillTint="33"/>
                            <w:vAlign w:val="center"/>
                          </w:tcPr>
                          <w:p w14:paraId="15409060" w14:textId="77777777" w:rsidR="00490F33" w:rsidRDefault="00490F33">
                            <w:pPr>
                              <w:spacing w:before="40" w:after="20" w:line="218" w:lineRule="exact"/>
                              <w:ind w:left="82"/>
                              <w:textAlignment w:val="baseline"/>
                              <w:rPr>
                                <w:rFonts w:ascii="Tahoma" w:eastAsia="Tahoma" w:hAnsi="Tahoma"/>
                                <w:color w:val="404042"/>
                                <w:sz w:val="18"/>
                              </w:rPr>
                            </w:pPr>
                            <w:r>
                              <w:rPr>
                                <w:rFonts w:ascii="Tahoma" w:eastAsia="Tahoma" w:hAnsi="Tahoma"/>
                                <w:color w:val="404042"/>
                                <w:sz w:val="18"/>
                              </w:rPr>
                              <w:t>- Creative and Performance Activities</w:t>
                            </w:r>
                          </w:p>
                        </w:tc>
                      </w:tr>
                      <w:tr w:rsidR="00490F33" w14:paraId="7E331AC9" w14:textId="77777777" w:rsidTr="004E1A7A">
                        <w:trPr>
                          <w:trHeight w:hRule="exact" w:val="298"/>
                        </w:trPr>
                        <w:tc>
                          <w:tcPr>
                            <w:tcW w:w="4526" w:type="dxa"/>
                            <w:tcBorders>
                              <w:top w:val="none" w:sz="0" w:space="0" w:color="020000"/>
                              <w:left w:val="single" w:sz="4" w:space="0" w:color="000000"/>
                              <w:bottom w:val="none" w:sz="0" w:space="0" w:color="020000"/>
                            </w:tcBorders>
                            <w:shd w:val="clear" w:color="E9ECEF" w:fill="E9ECEF"/>
                            <w:vAlign w:val="center"/>
                          </w:tcPr>
                          <w:p w14:paraId="44F3E852" w14:textId="77777777" w:rsidR="00490F33" w:rsidRDefault="00490F33">
                            <w:pPr>
                              <w:numPr>
                                <w:ilvl w:val="0"/>
                                <w:numId w:val="17"/>
                              </w:numPr>
                              <w:tabs>
                                <w:tab w:val="clear" w:pos="144"/>
                                <w:tab w:val="left" w:pos="216"/>
                              </w:tabs>
                              <w:spacing w:before="44" w:after="26" w:line="218" w:lineRule="exact"/>
                              <w:ind w:left="72"/>
                              <w:textAlignment w:val="baseline"/>
                              <w:rPr>
                                <w:rFonts w:ascii="Tahoma" w:eastAsia="Tahoma" w:hAnsi="Tahoma"/>
                                <w:color w:val="404042"/>
                                <w:sz w:val="18"/>
                              </w:rPr>
                            </w:pPr>
                            <w:r>
                              <w:rPr>
                                <w:rFonts w:ascii="Tahoma" w:eastAsia="Tahoma" w:hAnsi="Tahoma"/>
                                <w:color w:val="404042"/>
                                <w:sz w:val="18"/>
                              </w:rPr>
                              <w:t>Teamwork</w:t>
                            </w:r>
                          </w:p>
                        </w:tc>
                        <w:tc>
                          <w:tcPr>
                            <w:tcW w:w="4440" w:type="dxa"/>
                            <w:shd w:val="clear" w:color="auto" w:fill="FBE4D5" w:themeFill="accent2" w:themeFillTint="33"/>
                            <w:vAlign w:val="center"/>
                          </w:tcPr>
                          <w:p w14:paraId="5C247897" w14:textId="77777777" w:rsidR="00490F33" w:rsidRDefault="00490F33">
                            <w:pPr>
                              <w:spacing w:before="44" w:after="24" w:line="220" w:lineRule="exact"/>
                              <w:ind w:left="82"/>
                              <w:textAlignment w:val="baseline"/>
                              <w:rPr>
                                <w:rFonts w:ascii="Tahoma" w:eastAsia="Tahoma" w:hAnsi="Tahoma"/>
                                <w:color w:val="404042"/>
                                <w:sz w:val="18"/>
                              </w:rPr>
                            </w:pPr>
                            <w:r>
                              <w:rPr>
                                <w:rFonts w:ascii="Tahoma" w:eastAsia="Tahoma" w:hAnsi="Tahoma"/>
                                <w:color w:val="404042"/>
                                <w:sz w:val="18"/>
                              </w:rPr>
                              <w:t>- Gaming, Sport and Fitness Activities</w:t>
                            </w:r>
                          </w:p>
                        </w:tc>
                      </w:tr>
                      <w:tr w:rsidR="00490F33" w14:paraId="58B53EB7" w14:textId="77777777" w:rsidTr="004E1A7A">
                        <w:trPr>
                          <w:trHeight w:hRule="exact" w:val="456"/>
                        </w:trPr>
                        <w:tc>
                          <w:tcPr>
                            <w:tcW w:w="4526" w:type="dxa"/>
                            <w:tcBorders>
                              <w:top w:val="none" w:sz="0" w:space="0" w:color="020000"/>
                              <w:left w:val="single" w:sz="4" w:space="0" w:color="000000"/>
                              <w:bottom w:val="single" w:sz="4" w:space="0" w:color="000000"/>
                            </w:tcBorders>
                            <w:shd w:val="clear" w:color="E9ECEF" w:fill="E9ECEF"/>
                          </w:tcPr>
                          <w:p w14:paraId="09977A5F" w14:textId="77777777" w:rsidR="00490F33" w:rsidRDefault="00490F33">
                            <w:pPr>
                              <w:numPr>
                                <w:ilvl w:val="0"/>
                                <w:numId w:val="17"/>
                              </w:numPr>
                              <w:tabs>
                                <w:tab w:val="clear" w:pos="144"/>
                                <w:tab w:val="left" w:pos="216"/>
                              </w:tabs>
                              <w:spacing w:before="44" w:after="187" w:line="220" w:lineRule="exact"/>
                              <w:ind w:left="72"/>
                              <w:textAlignment w:val="baseline"/>
                              <w:rPr>
                                <w:rFonts w:ascii="Tahoma" w:eastAsia="Tahoma" w:hAnsi="Tahoma"/>
                                <w:color w:val="404042"/>
                                <w:sz w:val="18"/>
                              </w:rPr>
                            </w:pPr>
                            <w:r>
                              <w:rPr>
                                <w:rFonts w:ascii="Tahoma" w:eastAsia="Tahoma" w:hAnsi="Tahoma"/>
                                <w:color w:val="404042"/>
                                <w:sz w:val="18"/>
                              </w:rPr>
                              <w:t>Creative and Critical Thinking</w:t>
                            </w:r>
                          </w:p>
                        </w:tc>
                        <w:tc>
                          <w:tcPr>
                            <w:tcW w:w="4440" w:type="dxa"/>
                            <w:shd w:val="clear" w:color="auto" w:fill="FBE4D5" w:themeFill="accent2" w:themeFillTint="33"/>
                          </w:tcPr>
                          <w:p w14:paraId="133E50FA" w14:textId="77777777" w:rsidR="00490F33" w:rsidRDefault="00490F33">
                            <w:pPr>
                              <w:textAlignment w:val="baseline"/>
                              <w:rPr>
                                <w:rFonts w:ascii="Arial" w:eastAsia="Arial" w:hAnsi="Arial"/>
                                <w:color w:val="000000"/>
                                <w:sz w:val="24"/>
                              </w:rPr>
                            </w:pPr>
                            <w:r>
                              <w:rPr>
                                <w:rFonts w:ascii="Arial" w:eastAsia="Arial" w:hAnsi="Arial"/>
                                <w:color w:val="000000"/>
                                <w:sz w:val="24"/>
                              </w:rPr>
                              <w:t xml:space="preserve"> </w:t>
                            </w:r>
                          </w:p>
                        </w:tc>
                      </w:tr>
                    </w:tbl>
                    <w:p w14:paraId="3C33DFA7" w14:textId="77777777" w:rsidR="00490F33" w:rsidRDefault="00490F33"/>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48480" behindDoc="1" locked="0" layoutInCell="1" allowOverlap="1" wp14:anchorId="2A640DC3" wp14:editId="5B70B559">
                <wp:simplePos x="0" y="0"/>
                <wp:positionH relativeFrom="page">
                  <wp:posOffset>905510</wp:posOffset>
                </wp:positionH>
                <wp:positionV relativeFrom="page">
                  <wp:posOffset>5868670</wp:posOffset>
                </wp:positionV>
                <wp:extent cx="5745480" cy="297180"/>
                <wp:effectExtent l="0" t="0" r="0" b="0"/>
                <wp:wrapSquare wrapText="bothSides"/>
                <wp:docPr id="889"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D3B0D"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 xml:space="preserve">The new process does not competitively rank students by types of activity undertaken, change a student’s </w:t>
                            </w:r>
                            <w:r>
                              <w:rPr>
                                <w:rFonts w:ascii="Verdana" w:eastAsia="Verdana" w:hAnsi="Verdana"/>
                                <w:color w:val="404042"/>
                                <w:sz w:val="17"/>
                              </w:rPr>
                              <w:t>entrance rank, or impact other entry requirements, such as specific subject prerequisites or portfolios.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40DC3" id="Text Box 610" o:spid="_x0000_s1068" type="#_x0000_t202" style="position:absolute;left:0;text-align:left;margin-left:71.3pt;margin-top:462.1pt;width:452.4pt;height:23.4pt;z-index:-25196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uD8AEAAMIDAAAOAAAAZHJzL2Uyb0RvYy54bWysU9tu2zAMfR+wfxD0vjgO0jY14hRdiw4D&#10;ugvQ7gNkWbKF2aJGKbGzrx8lx2m3vQ17ESiSOjw8pLY3Y9+xg0JvwJY8Xyw5U1ZCbWxT8m/PD+82&#10;nPkgbC06sKrkR+X5ze7tm+3gCrWCFrpaISMQ64vBlbwNwRVZ5mWreuEX4JSloAbsRaArNlmNYiD0&#10;vstWy+VlNgDWDkEq78l7PwX5LuFrrWT4orVXgXUlJ24hnZjOKp7ZbiuKBoVrjTzREP/AohfGUtEz&#10;1L0Igu3R/AXVG4ngQYeFhD4DrY1UqQfqJl/+0c1TK5xKvZA43p1l8v8PVn4+fEVm6pJvNtecWdHT&#10;kJ7VGNh7GNllnhQanC8o8clRahgpQJNO3Xr3CPK7ZxbuWmEbdYsIQ6tETQzzqG326mmciS98BKmG&#10;T1BTIbEPkIBGjX2UjwRhhE6TOp6nE8lIcl5crS/WGwpJiq2ur3KyYwlRzK8d+vBBQc+iUXKk6Sd0&#10;cXj0YUqdU2IxCw+m69IGdPY3B2FGT2IfCU/Uw1iNSar1KhaO3VRQH6kfhGmx6COQ0QL+5GygpSq5&#10;/7EXqDjrPlrSJG7gbOBsVLMhrKSnJQ+cTeZdmDZ179A0LSFPqlu4Jd20SS29sDjxpUVJopyWOm7i&#10;63vKevl6u18AAAD//wMAUEsDBBQABgAIAAAAIQC656QN4AAAAAwBAAAPAAAAZHJzL2Rvd25yZXYu&#10;eG1sTI/BTsMwDIbvSLxDZCRuLFlVdaw0nSYEJyS0rhw4po3XRmuc0mRbeXuy0zj+9qffn4vNbAd2&#10;xskbRxKWCwEMqXXaUCfhq35/egbmgyKtBkco4Rc9bMr7u0Ll2l2owvM+dCyWkM+VhD6EMefctz1a&#10;5RduRIq7g5usCjFOHdeTusRyO/BEiIxbZShe6NWIrz22x/3JSth+U/Vmfj6bXXWoTF2vBX1kRykf&#10;H+btC7CAc7jBcNWP6lBGp8adSHs2xJwmWUQlrJM0AXYlRLpKgTVxtFoK4GXB/z9R/gEAAP//AwBQ&#10;SwECLQAUAAYACAAAACEAtoM4kv4AAADhAQAAEwAAAAAAAAAAAAAAAAAAAAAAW0NvbnRlbnRfVHlw&#10;ZXNdLnhtbFBLAQItABQABgAIAAAAIQA4/SH/1gAAAJQBAAALAAAAAAAAAAAAAAAAAC8BAABfcmVs&#10;cy8ucmVsc1BLAQItABQABgAIAAAAIQDdz8uD8AEAAMIDAAAOAAAAAAAAAAAAAAAAAC4CAABkcnMv&#10;ZTJvRG9jLnhtbFBLAQItABQABgAIAAAAIQC656QN4AAAAAwBAAAPAAAAAAAAAAAAAAAAAEoEAABk&#10;cnMvZG93bnJldi54bWxQSwUGAAAAAAQABADzAAAAVwUAAAAA&#10;" filled="f" stroked="f">
                <v:textbox inset="0,0,0,0">
                  <w:txbxContent>
                    <w:p w14:paraId="067D3B0D"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 xml:space="preserve">The new process does not competitively rank students by types of activity undertaken, change a student’s </w:t>
                      </w:r>
                      <w:r>
                        <w:rPr>
                          <w:rFonts w:ascii="Verdana" w:eastAsia="Verdana" w:hAnsi="Verdana"/>
                          <w:color w:val="404042"/>
                          <w:sz w:val="17"/>
                        </w:rPr>
                        <w:t>entrance rank, or impact other entry requirements, such as specific subject prerequisites or portfolios.</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49504" behindDoc="1" locked="0" layoutInCell="1" allowOverlap="1" wp14:anchorId="0DEA0A6D" wp14:editId="669EAB12">
                <wp:simplePos x="0" y="0"/>
                <wp:positionH relativeFrom="page">
                  <wp:posOffset>905510</wp:posOffset>
                </wp:positionH>
                <wp:positionV relativeFrom="page">
                  <wp:posOffset>6280150</wp:posOffset>
                </wp:positionV>
                <wp:extent cx="5674995" cy="297180"/>
                <wp:effectExtent l="0" t="0" r="0" b="0"/>
                <wp:wrapSquare wrapText="bothSides"/>
                <wp:docPr id="888"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C28D8"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The co-curricular or service requirement needs students to demonstrate that they meet the threshold of at least three of seven skills, which are matched against six clusters/activities (see above).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A0A6D" id="Text Box 609" o:spid="_x0000_s1069" type="#_x0000_t202" style="position:absolute;left:0;text-align:left;margin-left:71.3pt;margin-top:494.5pt;width:446.85pt;height:23.4pt;z-index:-25196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4Z8QEAAMIDAAAOAAAAZHJzL2Uyb0RvYy54bWysU9tu2zAMfR+wfxD0vjjJ2jQx4hRdiw4D&#10;ugvQ7gMYWY6F2aJGKbGzrx8lx1m7vg17EShejg4PqfV13zbioMkbtIWcTaZSaKuwNHZXyO9P9++W&#10;UvgAtoQGrS7kUXt5vXn7Zt25XM+xxqbUJBjE+rxzhaxDcHmWeVXrFvwEnbYcrJBaCHylXVYSdIze&#10;Ntl8Ol1kHVLpCJX2nr13Q1BuEn5VaRW+VpXXQTSFZG4hnZTObTyzzRryHYGrjTrRgH9g0YKx/OgZ&#10;6g4CiD2ZV1CtUYQeqzBR2GZYVUbp1AN3M5v+1c1jDU6nXlgc784y+f8Hq74cvpEwZSGXSx6VhZaH&#10;9KT7ID5gLxbTVVSocz7nxEfHqaHnAE86devdA6ofXli8rcHu9A0RdrWGkhnOYmX2rHTA8RFk233G&#10;kh+CfcAE1FfURvlYEMHoPKnjeTqRjGLn5eLqYrW6lEJxbL66mi3T+DLIx2pHPnzU2IpoFJJ4+gkd&#10;Dg8+RDaQjynxMYv3pmnSBjT2hYMToyexj4QH6qHf9kmqi/ejKlssj9wP4bBY/BHYqJF+SdHxUhXS&#10;/9wDaSmaT5Y1iRs4GjQa29EAq7i0kEGKwbwNw6buHZldzciD6hZvWLfKpJaiwAOLE19elNTpaanj&#10;Jj6/p6w/X2/zGwAA//8DAFBLAwQUAAYACAAAACEAzjFayOAAAAANAQAADwAAAGRycy9kb3ducmV2&#10;LnhtbEyPPU/DMBCGdyT+g3VIbNSmhSgJcaoKwYSESMPA6MRuYjU+h9htw7/nylK2e3WP3o9iPbuB&#10;Hc0UrEcJ9wsBzGDrtcVOwmf9epcCC1GhVoNHI+HHBFiX11eFyrU/YWWO29gxMsGQKwl9jGPOeWh7&#10;41RY+NEg/XZ+ciqSnDquJ3UiczfwpRAJd8oiJfRqNM+9affbg5Ow+cLqxX6/Nx/VrrJ1nQl8S/ZS&#10;3t7Mmydg0czxAsO5PlWHkjo1/oA6sIH0wzIhVEKWZjTqTIhVsgLW/F2PKfCy4P9XlL8AAAD//wMA&#10;UEsBAi0AFAAGAAgAAAAhALaDOJL+AAAA4QEAABMAAAAAAAAAAAAAAAAAAAAAAFtDb250ZW50X1R5&#10;cGVzXS54bWxQSwECLQAUAAYACAAAACEAOP0h/9YAAACUAQAACwAAAAAAAAAAAAAAAAAvAQAAX3Jl&#10;bHMvLnJlbHNQSwECLQAUAAYACAAAACEADs2eGfEBAADCAwAADgAAAAAAAAAAAAAAAAAuAgAAZHJz&#10;L2Uyb0RvYy54bWxQSwECLQAUAAYACAAAACEAzjFayOAAAAANAQAADwAAAAAAAAAAAAAAAABLBAAA&#10;ZHJzL2Rvd25yZXYueG1sUEsFBgAAAAAEAAQA8wAAAFgFAAAAAA==&#10;" filled="f" stroked="f">
                <v:textbox inset="0,0,0,0">
                  <w:txbxContent>
                    <w:p w14:paraId="2F2C28D8"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The co-curricular or service requirement needs students to demonstrate that they meet the threshold of at least three of seven skills, which are matched against six clusters/activities (see above).</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50528" behindDoc="1" locked="0" layoutInCell="1" allowOverlap="1" wp14:anchorId="7015C992" wp14:editId="0EE2E5CC">
                <wp:simplePos x="0" y="0"/>
                <wp:positionH relativeFrom="page">
                  <wp:posOffset>914400</wp:posOffset>
                </wp:positionH>
                <wp:positionV relativeFrom="page">
                  <wp:posOffset>6694805</wp:posOffset>
                </wp:positionV>
                <wp:extent cx="5672455" cy="449580"/>
                <wp:effectExtent l="0" t="0" r="0" b="0"/>
                <wp:wrapSquare wrapText="bothSides"/>
                <wp:docPr id="887"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8441B" w14:textId="77777777" w:rsidR="00490F33" w:rsidRDefault="00490F33">
                            <w:pPr>
                              <w:spacing w:line="234" w:lineRule="exact"/>
                              <w:textAlignment w:val="baseline"/>
                              <w:rPr>
                                <w:rFonts w:ascii="Tahoma" w:eastAsia="Tahoma" w:hAnsi="Tahoma"/>
                                <w:color w:val="404042"/>
                                <w:sz w:val="18"/>
                              </w:rPr>
                            </w:pPr>
                            <w:r>
                              <w:rPr>
                                <w:rFonts w:ascii="Tahoma" w:eastAsia="Tahoma" w:hAnsi="Tahoma"/>
                                <w:color w:val="404042"/>
                                <w:sz w:val="18"/>
                              </w:rPr>
                              <w:t>For example, a student can use volunteering experience (at least 40 hours over one year) to demonstrate having met skills such as community engagement, inclusion and awareness of diversity, communication, personal responsibility and teamwork.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5C992" id="Text Box 608" o:spid="_x0000_s1070" type="#_x0000_t202" style="position:absolute;left:0;text-align:left;margin-left:1in;margin-top:527.15pt;width:446.65pt;height:35.4pt;z-index:-25196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Md8QEAAMIDAAAOAAAAZHJzL2Uyb0RvYy54bWysU9tu2zAMfR+wfxD0vjgJkjQz4hRdiw4D&#10;ugvQ7gMYWY6F2aJGKbGzrx8lx1m3vRV9EShejg4Pqc113zbiqMkbtIWcTaZSaKuwNHZfyO9P9+/W&#10;UvgAtoQGrS7kSXt5vX37ZtO5XM+xxqbUJBjE+rxzhaxDcHmWeVXrFvwEnbYcrJBaCHylfVYSdIze&#10;Ntl8Ol1lHVLpCJX2nr13Q1BuE35VaRW+VpXXQTSFZG4hnZTOXTyz7QbyPYGrjTrTgBewaMFYfvQC&#10;dQcBxIHMf1CtUYQeqzBR2GZYVUbp1AN3M5v+081jDU6nXlgc7y4y+deDVV+O30iYspDr9ZUUFloe&#10;0pPug/iAvVhN11GhzvmcEx8dp4aeAzzp1K13D6h+eGHxtga71zdE2NUaSmY4i5XZs9IBx0eQXfcZ&#10;S34IDgETUF9RG+VjQQSj86ROl+lEMoqdy9XVfLFcSqE4tli8X67T+DLIx2pHPnzU2IpoFJJ4+gkd&#10;jg8+RDaQjynxMYv3pmnSBjT2LwcnRk9iHwkP1EO/65NUi8Woyg7LE/dDOCwWfwQ2aqRfUnS8VIX0&#10;Pw9AWormk2VN4gaOBo3GbjTAKi4tZJBiMG/DsKkHR2ZfM/KgusUb1q0yqaUo8MDizJcXJXV6Xuq4&#10;ic/vKevP19v+BgAA//8DAFBLAwQUAAYACAAAACEA7H6JDuEAAAAOAQAADwAAAGRycy9kb3ducmV2&#10;LnhtbEyPwU7DMBBE70j8g7VI3KidNi0lxKkqBCckRBoOPTqxm1iN1yF22/D3bE9we6Mdzc7km8n1&#10;7GzGYD1KSGYCmMHGa4uthK/q7WENLESFWvUejYQfE2BT3N7kKtP+gqU572LLKARDpiR0MQ4Z56Hp&#10;jFNh5geDdDv40alIcmy5HtWFwl3P50KsuFMW6UOnBvPSmea4OzkJ2z2Wr/b7o/4sD6WtqieB76uj&#10;lPd30/YZWDRT/DPDtT5Vh4I61f6EOrCedJrSlkgglukC2NUiFo9ENVEyXybAi5z/n1H8AgAA//8D&#10;AFBLAQItABQABgAIAAAAIQC2gziS/gAAAOEBAAATAAAAAAAAAAAAAAAAAAAAAABbQ29udGVudF9U&#10;eXBlc10ueG1sUEsBAi0AFAAGAAgAAAAhADj9If/WAAAAlAEAAAsAAAAAAAAAAAAAAAAALwEAAF9y&#10;ZWxzLy5yZWxzUEsBAi0AFAAGAAgAAAAhAJAJQx3xAQAAwgMAAA4AAAAAAAAAAAAAAAAALgIAAGRy&#10;cy9lMm9Eb2MueG1sUEsBAi0AFAAGAAgAAAAhAOx+iQ7hAAAADgEAAA8AAAAAAAAAAAAAAAAASwQA&#10;AGRycy9kb3ducmV2LnhtbFBLBQYAAAAABAAEAPMAAABZBQAAAAA=&#10;" filled="f" stroked="f">
                <v:textbox inset="0,0,0,0">
                  <w:txbxContent>
                    <w:p w14:paraId="2C68441B" w14:textId="77777777" w:rsidR="00490F33" w:rsidRDefault="00490F33">
                      <w:pPr>
                        <w:spacing w:line="234" w:lineRule="exact"/>
                        <w:textAlignment w:val="baseline"/>
                        <w:rPr>
                          <w:rFonts w:ascii="Tahoma" w:eastAsia="Tahoma" w:hAnsi="Tahoma"/>
                          <w:color w:val="404042"/>
                          <w:sz w:val="18"/>
                        </w:rPr>
                      </w:pPr>
                      <w:r>
                        <w:rPr>
                          <w:rFonts w:ascii="Tahoma" w:eastAsia="Tahoma" w:hAnsi="Tahoma"/>
                          <w:color w:val="404042"/>
                          <w:sz w:val="18"/>
                        </w:rPr>
                        <w:t>For example, a student can use volunteering experience (at least 40 hours over one year) to demonstrate having met skills such as community engagement, inclusion and awareness of diversity, communication, personal responsibility and teamwork.</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51552" behindDoc="1" locked="0" layoutInCell="1" allowOverlap="1" wp14:anchorId="31966B0C" wp14:editId="72957E14">
                <wp:simplePos x="0" y="0"/>
                <wp:positionH relativeFrom="page">
                  <wp:posOffset>905510</wp:posOffset>
                </wp:positionH>
                <wp:positionV relativeFrom="page">
                  <wp:posOffset>7258685</wp:posOffset>
                </wp:positionV>
                <wp:extent cx="5510530" cy="297180"/>
                <wp:effectExtent l="0" t="0" r="0" b="0"/>
                <wp:wrapSquare wrapText="bothSides"/>
                <wp:docPr id="886"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50BD7"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A student can use paid or unpaid work experience (at least 75 hours in one year) to demonstrate skills such as personal responsibility, communication or teamwork.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66B0C" id="Text Box 607" o:spid="_x0000_s1071" type="#_x0000_t202" style="position:absolute;left:0;text-align:left;margin-left:71.3pt;margin-top:571.55pt;width:433.9pt;height:23.4pt;z-index:-25196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A8AEAAMIDAAAOAAAAZHJzL2Uyb0RvYy54bWysU9uO0zAQfUfiHyy/06SFdkvUdLXsahHS&#10;cpF2+YCp4zQWiceM3Sbl6xk7TVngDfFijedyfObMeHM9dK04avIGbSnns1wKbRVWxu5L+fXp/tVa&#10;Ch/AVtCi1aU8aS+vty9fbHpX6AU22FaaBINYX/SulE0IrsgyrxrdgZ+h05aDNVIHga+0zyqCntG7&#10;Nlvk+SrrkSpHqLT37L0bg3Kb8Otaq/C5rr0Ooi0lcwvppHTu4pltN1DsCVxj1JkG/AOLDozlRy9Q&#10;dxBAHMj8BdUZReixDjOFXYZ1bZROPXA38/yPbh4bcDr1wuJ4d5HJ/z9Y9en4hYSpSrler6Sw0PGQ&#10;nvQQxDscxCq/igr1zhec+Og4NQwc4Emnbr17QPXNC4u3Ddi9viHCvtFQMcN5rMyelY44PoLs+o9Y&#10;8UNwCJiAhpq6KB8LIhidJ3W6TCeSUexcLuf58jWHFMcWb6/m6zS+DIqp2pEP7zV2IhqlJJ5+Qofj&#10;gw+RDRRTSnzM4r1p27QBrf3NwYnRk9hHwiP1MOyGJNWb5aTKDqsT90M4LhZ/BDYapB9S9LxUpfTf&#10;D0BaivaDZU3iBk4GTcZuMsAqLi1lkGI0b8O4qQdHZt8w8qi6xRvWrTappSjwyOLMlxcldXpe6riJ&#10;z+8p69fX2/4EAAD//wMAUEsDBBQABgAIAAAAIQCoYdRa4QAAAA4BAAAPAAAAZHJzL2Rvd25yZXYu&#10;eG1sTI/BboMwEETvlfIP1kbqrbFJEQoUE0VVe6pUldBDjwY7gILXFDsJ/fsup/a2szuafZPvZzuw&#10;q5l871BCtBHADDZO99hK+KxeH3bAfFCo1eDQSPgxHvbF6i5XmXY3LM31GFpGIegzJaELYcw4901n&#10;rPIbNxqk28lNVgWSU8v1pG4Ubge+FSLhVvVIHzo1mufONOfjxUo4fGH50n+/1x/lqeyrKhX4lpyl&#10;vF/PhydgwczhzwwLPqFDQUy1u6D2bCAdbxOy0hDFjxGwxSIiEQOrl90uTYEXOf9fo/gFAAD//wMA&#10;UEsBAi0AFAAGAAgAAAAhALaDOJL+AAAA4QEAABMAAAAAAAAAAAAAAAAAAAAAAFtDb250ZW50X1R5&#10;cGVzXS54bWxQSwECLQAUAAYACAAAACEAOP0h/9YAAACUAQAACwAAAAAAAAAAAAAAAAAvAQAAX3Jl&#10;bHMvLnJlbHNQSwECLQAUAAYACAAAACEAPqOUwPABAADCAwAADgAAAAAAAAAAAAAAAAAuAgAAZHJz&#10;L2Uyb0RvYy54bWxQSwECLQAUAAYACAAAACEAqGHUWuEAAAAOAQAADwAAAAAAAAAAAAAAAABKBAAA&#10;ZHJzL2Rvd25yZXYueG1sUEsFBgAAAAAEAAQA8wAAAFgFAAAAAA==&#10;" filled="f" stroked="f">
                <v:textbox inset="0,0,0,0">
                  <w:txbxContent>
                    <w:p w14:paraId="03250BD7"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A student can use paid or unpaid work experience (at least 75 hours in one year) to demonstrate skills such as personal responsibility, communication or teamwork.</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52576" behindDoc="1" locked="0" layoutInCell="1" allowOverlap="1" wp14:anchorId="6C12B37C" wp14:editId="247C7D61">
                <wp:simplePos x="0" y="0"/>
                <wp:positionH relativeFrom="page">
                  <wp:posOffset>908050</wp:posOffset>
                </wp:positionH>
                <wp:positionV relativeFrom="page">
                  <wp:posOffset>7740650</wp:posOffset>
                </wp:positionV>
                <wp:extent cx="5736590" cy="571500"/>
                <wp:effectExtent l="0" t="0" r="0" b="0"/>
                <wp:wrapSquare wrapText="bothSides"/>
                <wp:docPr id="885"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3A20F" w14:textId="77777777" w:rsidR="00490F33" w:rsidRDefault="00490F33">
                            <w:pPr>
                              <w:spacing w:line="179" w:lineRule="exact"/>
                              <w:textAlignment w:val="baseline"/>
                              <w:rPr>
                                <w:rFonts w:ascii="Tahoma" w:eastAsia="Tahoma" w:hAnsi="Tahoma"/>
                                <w:color w:val="000000"/>
                                <w:spacing w:val="8"/>
                                <w:sz w:val="13"/>
                              </w:rPr>
                            </w:pPr>
                            <w:r>
                              <w:rPr>
                                <w:rFonts w:ascii="Tahoma" w:eastAsia="Tahoma" w:hAnsi="Tahoma"/>
                                <w:color w:val="000000"/>
                                <w:spacing w:val="8"/>
                                <w:sz w:val="13"/>
                              </w:rPr>
                              <w:t xml:space="preserve">Sources: Australian National University, ‘Co-curricular or service requirement’, webpage (accessed 20 May 2020), https://www.anu.edu.au/ study/apply/domestic-applications-anu-undergraduate/applying-to-anu-application-details/co; O’Connell, M., Milligan, S. and Bentley, T. (2019), Beyond ATAR: A proposal for change, Australian Learning Lecture position paper; and Australian National University, ‘Admissions process – domestic direct applications’, webpage (accessed 15 October 2019), </w:t>
                            </w:r>
                            <w:hyperlink r:id="rId113">
                              <w:r>
                                <w:rPr>
                                  <w:rFonts w:ascii="Tahoma" w:eastAsia="Tahoma" w:hAnsi="Tahoma"/>
                                  <w:color w:val="0000FF"/>
                                  <w:spacing w:val="8"/>
                                  <w:sz w:val="13"/>
                                  <w:u w:val="single"/>
                                </w:rPr>
                                <w:t>https://www.anu.edu.au/study/apply/domestic-applications-a</w:t>
                              </w:r>
                            </w:hyperlink>
                            <w:r>
                              <w:rPr>
                                <w:rFonts w:ascii="Tahoma" w:eastAsia="Tahoma" w:hAnsi="Tahoma"/>
                                <w:color w:val="000000"/>
                                <w:spacing w:val="8"/>
                                <w:sz w:val="13"/>
                              </w:rPr>
                              <w:t xml:space="preserve"> nu-undergraduate/applying-to-anu-application-details/admission.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2B37C" id="Text Box 606" o:spid="_x0000_s1072" type="#_x0000_t202" style="position:absolute;left:0;text-align:left;margin-left:71.5pt;margin-top:609.5pt;width:451.7pt;height:45pt;z-index:-25196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0yq8AEAAMIDAAAOAAAAZHJzL2Uyb0RvYy54bWysU9tu2zAMfR+wfxD0vtjpljQ14hRdiw4D&#10;ugvQ7gMYWY6F2aJGKbGzrx8lx1m7vQ17EShejg4PqfX10LXioMkbtKWcz3IptFVYGbsr5ben+zcr&#10;KXwAW0GLVpfyqL283rx+te5doS+wwbbSJBjE+qJ3pWxCcEWWedXoDvwMnbYcrJE6CHylXVYR9Ize&#10;tdlFni+zHqlyhEp7z967MSg3Cb+utQpf6trrINpSMreQTkrnNp7ZZg3FjsA1Rp1owD+w6MBYfvQM&#10;dQcBxJ7MX1CdUYQe6zBT2GVY10bp1AN3M8//6OaxAadTLyyOd2eZ/P+DVZ8PX0mYqpSr1UIKCx0P&#10;6UkPQbzHQSzzZVSod77gxEfHqWHgAE86devdA6rvXli8bcDu9A0R9o2GihnOY2X2rHTE8RFk23/C&#10;ih+CfcAENNTURflYEMHoPKnjeTqRjGLn4vLtcnHFIcWxxeV8kafxZVBM1Y58+KCxE9EoJfH0Ezoc&#10;HnyIbKCYUuJjFu9N26YNaO0LBydGT2IfCY/Uw7AdklTvzqpssTpyP4TjYvFHYKNB+ilFz0tVSv9j&#10;D6SlaD9a1iRu4GTQZGwnA6zi0lIGKUbzNoybundkdg0jj6pbvGHdapNaigKPLE58eVFSp6eljpv4&#10;/J6yfn+9zS8AAAD//wMAUEsDBBQABgAIAAAAIQByN55V3wAAAA4BAAAPAAAAZHJzL2Rvd25yZXYu&#10;eG1sTE9BTsMwELwj8QdrkbhRu20U0RCnqhCckBBpOHB0km1iNV6H2G3D79me4DazM5qdybezG8QZ&#10;p2A9aVguFAikxreWOg2f1evDI4gQDbVm8IQafjDAtri9yU3W+guVeN7HTnAIhcxo6GMcMylD06Mz&#10;YeFHJNYOfnImMp062U7mwuFukCulUumMJf7QmxGfe2yO+5PTsPui8sV+v9cf5aG0VbVR9JYetb6/&#10;m3dPICLO8c8M1/pcHQruVPsTtUEMzJM1b4kMVssNo6tFJWkComa0VnyTRS7/zyh+AQAA//8DAFBL&#10;AQItABQABgAIAAAAIQC2gziS/gAAAOEBAAATAAAAAAAAAAAAAAAAAAAAAABbQ29udGVudF9UeXBl&#10;c10ueG1sUEsBAi0AFAAGAAgAAAAhADj9If/WAAAAlAEAAAsAAAAAAAAAAAAAAAAALwEAAF9yZWxz&#10;Ly5yZWxzUEsBAi0AFAAGAAgAAAAhANQ7TKrwAQAAwgMAAA4AAAAAAAAAAAAAAAAALgIAAGRycy9l&#10;Mm9Eb2MueG1sUEsBAi0AFAAGAAgAAAAhAHI3nlXfAAAADgEAAA8AAAAAAAAAAAAAAAAASgQAAGRy&#10;cy9kb3ducmV2LnhtbFBLBQYAAAAABAAEAPMAAABWBQAAAAA=&#10;" filled="f" stroked="f">
                <v:textbox inset="0,0,0,0">
                  <w:txbxContent>
                    <w:p w14:paraId="2943A20F" w14:textId="77777777" w:rsidR="00490F33" w:rsidRDefault="00490F33">
                      <w:pPr>
                        <w:spacing w:line="179" w:lineRule="exact"/>
                        <w:textAlignment w:val="baseline"/>
                        <w:rPr>
                          <w:rFonts w:ascii="Tahoma" w:eastAsia="Tahoma" w:hAnsi="Tahoma"/>
                          <w:color w:val="000000"/>
                          <w:spacing w:val="8"/>
                          <w:sz w:val="13"/>
                        </w:rPr>
                      </w:pPr>
                      <w:r>
                        <w:rPr>
                          <w:rFonts w:ascii="Tahoma" w:eastAsia="Tahoma" w:hAnsi="Tahoma"/>
                          <w:color w:val="000000"/>
                          <w:spacing w:val="8"/>
                          <w:sz w:val="13"/>
                        </w:rPr>
                        <w:t xml:space="preserve">Sources: Australian National University, ‘Co-curricular or service requirement’, webpage (accessed 20 May 2020), https://www.anu.edu.au/ study/apply/domestic-applications-anu-undergraduate/applying-to-anu-application-details/co; O’Connell, M., Milligan, S. and Bentley, T. (2019), Beyond ATAR: A proposal for change, Australian Learning Lecture position paper; and Australian National University, ‘Admissions process – domestic direct applications’, webpage (accessed 15 October 2019), </w:t>
                      </w:r>
                      <w:hyperlink r:id="rId114">
                        <w:r>
                          <w:rPr>
                            <w:rFonts w:ascii="Tahoma" w:eastAsia="Tahoma" w:hAnsi="Tahoma"/>
                            <w:color w:val="0000FF"/>
                            <w:spacing w:val="8"/>
                            <w:sz w:val="13"/>
                            <w:u w:val="single"/>
                          </w:rPr>
                          <w:t>https://www.anu.edu.au/study/apply/domestic-applications-a</w:t>
                        </w:r>
                      </w:hyperlink>
                      <w:r>
                        <w:rPr>
                          <w:rFonts w:ascii="Tahoma" w:eastAsia="Tahoma" w:hAnsi="Tahoma"/>
                          <w:color w:val="000000"/>
                          <w:spacing w:val="8"/>
                          <w:sz w:val="13"/>
                        </w:rPr>
                        <w:t xml:space="preserve"> nu-undergraduate/applying-to-anu-application-details/admission.</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353600" behindDoc="1" locked="0" layoutInCell="1" allowOverlap="1" wp14:anchorId="56E2CA47" wp14:editId="5576F00A">
                <wp:simplePos x="0" y="0"/>
                <wp:positionH relativeFrom="page">
                  <wp:posOffset>539750</wp:posOffset>
                </wp:positionH>
                <wp:positionV relativeFrom="page">
                  <wp:posOffset>9692640</wp:posOffset>
                </wp:positionV>
                <wp:extent cx="1224915" cy="149860"/>
                <wp:effectExtent l="0" t="0" r="0" b="0"/>
                <wp:wrapSquare wrapText="bothSides"/>
                <wp:docPr id="884"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317A5" w14:textId="77777777" w:rsidR="00490F33" w:rsidRDefault="00490F33">
                            <w:pPr>
                              <w:tabs>
                                <w:tab w:val="right" w:pos="1944"/>
                              </w:tabs>
                              <w:spacing w:before="27" w:after="23" w:line="180" w:lineRule="exact"/>
                              <w:textAlignment w:val="baseline"/>
                              <w:rPr>
                                <w:rFonts w:ascii="Arial" w:eastAsia="Arial" w:hAnsi="Arial"/>
                                <w:b/>
                                <w:color w:val="5556A1"/>
                                <w:sz w:val="19"/>
                              </w:rPr>
                            </w:pPr>
                            <w:r>
                              <w:rPr>
                                <w:rFonts w:ascii="Arial" w:eastAsia="Arial" w:hAnsi="Arial"/>
                                <w:b/>
                                <w:color w:val="5556A1"/>
                                <w:sz w:val="19"/>
                              </w:rPr>
                              <w:t>46</w:t>
                            </w:r>
                            <w:r>
                              <w:rPr>
                                <w:rFonts w:ascii="Tahoma" w:eastAsia="Tahoma" w:hAnsi="Tahoma"/>
                                <w:color w:val="404042"/>
                                <w:sz w:val="13"/>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2CA47" id="Text Box 605" o:spid="_x0000_s1073" type="#_x0000_t202" style="position:absolute;left:0;text-align:left;margin-left:42.5pt;margin-top:763.2pt;width:96.45pt;height:11.8pt;z-index:-25196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rjw8QEAAMIDAAAOAAAAZHJzL2Uyb0RvYy54bWysU9tu2zAMfR+wfxD0vjgJ0iw14hRdiw4D&#10;ugvQ7gNoWY6F2aJGKbGzrx8lx1m3vQ17ESiRPDw8pLY3Q9eKoyZv0BZyMZtLoa3Cyth9Ib8+P7zZ&#10;SOED2ApatLqQJ+3lze71q23vcr3EBttKk2AQ6/PeFbIJweVZ5lWjO/AzdNqys0bqIPCV9llF0DN6&#10;12bL+Xyd9UiVI1Tae369H51yl/DrWqvwua69DqItJHML6aR0lvHMdlvI9wSuMepMA/6BRQfGctEL&#10;1D0EEAcyf0F1RhF6rMNMYZdhXRulUw/czWL+RzdPDTidemFxvLvI5P8frPp0/ELCVIXcbFZSWOh4&#10;SM96COIdDmI9v4oK9c7nHPjkODQM7OBJp269e0T1zQuLdw3Yvb4lwr7RUDHDRczMXqSOOD6ClP1H&#10;rLgQHAImoKGmLsrHgghG50mdLtOJZFQsuVyurhdXUij2LVbXm3UaXwb5lO3Ih/caOxGNQhJPP6HD&#10;8dGHyAbyKSQWs/hg2jZtQGt/e+DA+JLYR8Ij9TCUQ5Jq9XZSpcTqxP0QjovFH4GNBumHFD0vVSH9&#10;9wOQlqL9YFmTuIGTQZNRTgZYxamFDFKM5l0YN/XgyOwbRh5Vt3jLutUmtRQFHlmc+fKipE7PSx03&#10;8eU9Rf36erufAAAA//8DAFBLAwQUAAYACAAAACEAe/as0eEAAAAMAQAADwAAAGRycy9kb3ducmV2&#10;LnhtbEyPwU7DMBBE70j8g7VI3KhNRNI2xKkqBCckRBoOHJ3YTazG6xC7bfh7tqdy3NnRzJtiM7uB&#10;ncwUrEcJjwsBzGDrtcVOwlf99rACFqJCrQaPRsKvCbApb28KlWt/xsqcdrFjFIIhVxL6GMec89D2&#10;xqmw8KNB+u395FSkc+q4ntSZwt3AEyEy7pRFaujVaF560x52Rydh+43Vq/35aD6rfWXrei3wPTtI&#10;eX83b5+BRTPHqxku+IQOJTE1/og6sEHCKqUpkfQ0yZ6AkSNZLtfAmouUCgG8LPj/EeUfAAAA//8D&#10;AFBLAQItABQABgAIAAAAIQC2gziS/gAAAOEBAAATAAAAAAAAAAAAAAAAAAAAAABbQ29udGVudF9U&#10;eXBlc10ueG1sUEsBAi0AFAAGAAgAAAAhADj9If/WAAAAlAEAAAsAAAAAAAAAAAAAAAAALwEAAF9y&#10;ZWxzLy5yZWxzUEsBAi0AFAAGAAgAAAAhADhmuPDxAQAAwgMAAA4AAAAAAAAAAAAAAAAALgIAAGRy&#10;cy9lMm9Eb2MueG1sUEsBAi0AFAAGAAgAAAAhAHv2rNHhAAAADAEAAA8AAAAAAAAAAAAAAAAASwQA&#10;AGRycy9kb3ducmV2LnhtbFBLBQYAAAAABAAEAPMAAABZBQAAAAA=&#10;" filled="f" stroked="f">
                <v:textbox inset="0,0,0,0">
                  <w:txbxContent>
                    <w:p w14:paraId="5C8317A5" w14:textId="77777777" w:rsidR="00490F33" w:rsidRDefault="00490F33">
                      <w:pPr>
                        <w:tabs>
                          <w:tab w:val="right" w:pos="1944"/>
                        </w:tabs>
                        <w:spacing w:before="27" w:after="23" w:line="180" w:lineRule="exact"/>
                        <w:textAlignment w:val="baseline"/>
                        <w:rPr>
                          <w:rFonts w:ascii="Arial" w:eastAsia="Arial" w:hAnsi="Arial"/>
                          <w:b/>
                          <w:color w:val="5556A1"/>
                          <w:sz w:val="19"/>
                        </w:rPr>
                      </w:pPr>
                      <w:r>
                        <w:rPr>
                          <w:rFonts w:ascii="Arial" w:eastAsia="Arial" w:hAnsi="Arial"/>
                          <w:b/>
                          <w:color w:val="5556A1"/>
                          <w:sz w:val="19"/>
                        </w:rPr>
                        <w:t>46</w:t>
                      </w:r>
                      <w:r>
                        <w:rPr>
                          <w:rFonts w:ascii="Tahoma" w:eastAsia="Tahoma" w:hAnsi="Tahoma"/>
                          <w:color w:val="404042"/>
                          <w:sz w:val="13"/>
                        </w:rPr>
                        <w:tab/>
                        <w:t>Looking to the future</w:t>
                      </w:r>
                    </w:p>
                  </w:txbxContent>
                </v:textbox>
                <w10:wrap type="square" anchorx="page" anchory="page"/>
              </v:shape>
            </w:pict>
          </mc:Fallback>
        </mc:AlternateContent>
      </w:r>
    </w:p>
    <w:p w14:paraId="06B0E067" w14:textId="77777777" w:rsidR="009757A9" w:rsidRDefault="009757A9">
      <w:pPr>
        <w:sectPr w:rsidR="009757A9" w:rsidSect="00E3201E">
          <w:pgSz w:w="11909" w:h="16838"/>
          <w:pgMar w:top="851" w:right="1440" w:bottom="0" w:left="1440" w:header="720" w:footer="720" w:gutter="0"/>
          <w:cols w:space="720"/>
        </w:sectPr>
      </w:pPr>
    </w:p>
    <w:p w14:paraId="4A9D799A" w14:textId="77777777" w:rsidR="009757A9" w:rsidRDefault="00083242">
      <w:pPr>
        <w:spacing w:after="542" w:line="240" w:lineRule="exact"/>
        <w:ind w:left="864" w:right="1656"/>
        <w:textAlignment w:val="baseline"/>
        <w:rPr>
          <w:rFonts w:ascii="Tahoma" w:eastAsia="Tahoma" w:hAnsi="Tahoma"/>
          <w:color w:val="404042"/>
          <w:sz w:val="18"/>
        </w:rPr>
      </w:pPr>
      <w:r>
        <w:rPr>
          <w:rFonts w:ascii="Tahoma" w:eastAsia="Tahoma" w:hAnsi="Tahoma"/>
          <w:color w:val="404042"/>
          <w:sz w:val="18"/>
        </w:rPr>
        <w:lastRenderedPageBreak/>
        <w:t>For students, awareness of the different schemes for university entrance is mixed. The requirements are often institution specific, meaning students may be forced to go through multiple application processes.</w:t>
      </w:r>
    </w:p>
    <w:p w14:paraId="164EECE7" w14:textId="77777777" w:rsidR="009757A9" w:rsidRDefault="000D2E34">
      <w:pPr>
        <w:spacing w:before="104" w:line="299" w:lineRule="exact"/>
        <w:ind w:left="1296" w:right="2448"/>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46144" behindDoc="0" locked="0" layoutInCell="1" allowOverlap="1" wp14:anchorId="4EE39F33" wp14:editId="0D5F5321">
                <wp:simplePos x="0" y="0"/>
                <wp:positionH relativeFrom="page">
                  <wp:posOffset>826135</wp:posOffset>
                </wp:positionH>
                <wp:positionV relativeFrom="page">
                  <wp:posOffset>1344295</wp:posOffset>
                </wp:positionV>
                <wp:extent cx="5907405" cy="0"/>
                <wp:effectExtent l="0" t="0" r="0" b="0"/>
                <wp:wrapNone/>
                <wp:docPr id="883"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74DC4" id="Line 604" o:spid="_x0000_s1026" style="position:absolute;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05.85pt" to="530.2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PJ0AEAAIYDAAAOAAAAZHJzL2Uyb0RvYy54bWysU8Fu2zAMvQ/YPwi6L3baJk2MOD0k6y7Z&#10;FqDdBzCSbAuTREFSYufvJ8lJum63YReBEsnHx0dq9TRoRU7CeYmmptNJSYkwDLk0bU1/vD5/WlDi&#10;AxgOCo2o6Vl4+rT++GHV20rcYYeKC0ciiPFVb2vahWCrovCsExr8BK0w0dmg0xDi1bUFd9BHdK2K&#10;u7KcFz06bh0y4X183Y5Ous74TSNY+N40XgSiahq5hXy6fB7SWaxXULUObCfZhQb8AwsN0sSiN6gt&#10;BCBHJ/+C0pI59NiECUNdYNNIJnIPsZtp+Uc3Lx1YkXuJ4nh7k8n/P1j27bR3RPKaLhb3lBjQcUg7&#10;aQSZlw9Jnd76KgZtzN6l/thgXuwO2U9PDG46MK3ILF/PNiZOU0bxLiVdvI01Dv1X5DEGjgGzVEPj&#10;dIKMIpAhT+R8m4gYAmHxcbYsHx/KGSXs6iuguiZa58MXgZoko6Yqss7AcNr5kIhAdQ1JdQw+S6Xy&#10;wJUhfU3n97MyJ3hUkidnCvOuPWyUIydIK1M+LpdZhwj2Liwhb8F3Y1x2jcvk8Gh4rtIJ4J8vdgCp&#10;RjsCKXNRKQkzSnxAft67q3px2Jn+ZTHTNv1+z9lv32f9CwAA//8DAFBLAwQUAAYACAAAACEARrkk&#10;NtwAAAAMAQAADwAAAGRycy9kb3ducmV2LnhtbEyPwU7DMAyG70i8Q2QkbizpgIFK0wkN7bQLbEhc&#10;vca0hcapmqzr3h5PQoLjb3/6/blYTr5TIw2xDWwhmxlQxFVwLdcW3nfrm0dQMSE77AKThRNFWJaX&#10;FwXmLhz5jcZtqpWUcMzRQpNSn2sdq4Y8xlnoiWX3GQaPSeJQazfgUcp9p+fGLLTHluVCgz2tGqq+&#10;twdvYY1m9+o2m/AVP+5PK0zavdBo7fXV9PwEKtGU/mA464s6lOK0Dwd2UXWSb00mqIV5lj2AOhNm&#10;Ye5A7X9Huiz0/yfKHwAAAP//AwBQSwECLQAUAAYACAAAACEAtoM4kv4AAADhAQAAEwAAAAAAAAAA&#10;AAAAAAAAAAAAW0NvbnRlbnRfVHlwZXNdLnhtbFBLAQItABQABgAIAAAAIQA4/SH/1gAAAJQBAAAL&#10;AAAAAAAAAAAAAAAAAC8BAABfcmVscy8ucmVsc1BLAQItABQABgAIAAAAIQDh1ePJ0AEAAIYDAAAO&#10;AAAAAAAAAAAAAAAAAC4CAABkcnMvZTJvRG9jLnhtbFBLAQItABQABgAIAAAAIQBGuSQ23AAAAAwB&#10;AAAPAAAAAAAAAAAAAAAAACoEAABkcnMvZG93bnJldi54bWxQSwUGAAAAAAQABADzAAAAMwUAAAAA&#10;" strokecolor="#007994" strokeweight=".5pt">
                <w10:wrap anchorx="page" anchory="page"/>
              </v:line>
            </w:pict>
          </mc:Fallback>
        </mc:AlternateContent>
      </w:r>
      <w:r w:rsidR="00083242">
        <w:rPr>
          <w:rFonts w:ascii="Tahoma" w:eastAsia="Tahoma" w:hAnsi="Tahoma"/>
          <w:i/>
          <w:color w:val="007994"/>
          <w:sz w:val="21"/>
        </w:rPr>
        <w:t>“Universities have been quietly changing the ways in which school leavers can access undergraduate degrees for a decade in NSW but that message is not getting through.”</w:t>
      </w:r>
    </w:p>
    <w:p w14:paraId="6CE3193B" w14:textId="77777777" w:rsidR="009757A9" w:rsidRDefault="00083242">
      <w:pPr>
        <w:spacing w:before="2" w:after="215" w:line="299" w:lineRule="exact"/>
        <w:ind w:left="5184" w:right="1440" w:hanging="1368"/>
        <w:textAlignment w:val="baseline"/>
        <w:rPr>
          <w:rFonts w:ascii="Tahoma" w:eastAsia="Tahoma" w:hAnsi="Tahoma"/>
          <w:i/>
          <w:color w:val="007994"/>
          <w:sz w:val="21"/>
        </w:rPr>
      </w:pPr>
      <w:r>
        <w:rPr>
          <w:rFonts w:ascii="Tahoma" w:eastAsia="Tahoma" w:hAnsi="Tahoma"/>
          <w:i/>
          <w:color w:val="007994"/>
          <w:sz w:val="21"/>
        </w:rPr>
        <w:t>Principal, Year 11–12 metropolitan special assistance school, quoted in Association of Independent Schools of NSW submission</w:t>
      </w:r>
    </w:p>
    <w:p w14:paraId="5F4BD8EE" w14:textId="77777777" w:rsidR="009757A9" w:rsidRDefault="000D2E34">
      <w:pPr>
        <w:spacing w:before="419" w:line="240" w:lineRule="exact"/>
        <w:ind w:left="864" w:right="1008"/>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47168" behindDoc="0" locked="0" layoutInCell="1" allowOverlap="1" wp14:anchorId="1D04C62C" wp14:editId="5B334DC4">
                <wp:simplePos x="0" y="0"/>
                <wp:positionH relativeFrom="page">
                  <wp:posOffset>826135</wp:posOffset>
                </wp:positionH>
                <wp:positionV relativeFrom="page">
                  <wp:posOffset>2316480</wp:posOffset>
                </wp:positionV>
                <wp:extent cx="5907405" cy="0"/>
                <wp:effectExtent l="0" t="0" r="0" b="0"/>
                <wp:wrapNone/>
                <wp:docPr id="882"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76068" id="Line 603" o:spid="_x0000_s1026" style="position:absolute;z-index:25184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82.4pt" to="530.2pt,1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Kw0gEAAIYDAAAOAAAAZHJzL2Uyb0RvYy54bWysU01vGyEQvVfqf0Dc6107sWOvvM7Bbnpx&#10;W0tJf8AY2F1UYBBg7/rfF/BH0vYW5YIGZubNmzfD8nHQihyF8xJNTcejkhJhGHJp2pr+enn6MqfE&#10;BzAcFBpR05Pw9HH1+dOyt5WYYIeKC0ciiPFVb2vahWCrovCsExr8CK0w0dmg0xDi1bUFd9BHdK2K&#10;SVnOih4dtw6Z8D6+bs5Ousr4TSNY+Nk0XgSiahq5hXy6fO7TWayWULUObCfZhQa8g4UGaWLRG9QG&#10;ApCDk/9BackcemzCiKEusGkkE7mH2M24/Keb5w6syL1Ecby9yeQ/Dpb9OO4ckbym8/mEEgM6Dmkr&#10;jSCz8i6p01tfxaC12bnUHxvMs90i++2JwXUHphWZ5cvJxsRxyij+SkkXb2ONff8deYyBQ8As1dA4&#10;nSCjCGTIEzndJiKGQFh8nC7Kh/tySgm7+gqoronW+fBNoCbJqKmKrDMwHLc+JCJQXUNSHYNPUqk8&#10;cGVIX9PZ3bTMCR6V5MmZwrxr92vlyBHSypQPi8V97ip63oYl5A347hyXXedlcngwPFfpBPCvFzuA&#10;VGc7slLmolIS5izxHvlp567qxWFn+pfFTNv09p6zX7/P6g8AAAD//wMAUEsDBBQABgAIAAAAIQAP&#10;WjE83AAAAAwBAAAPAAAAZHJzL2Rvd25yZXYueG1sTI9BS8NAEIXvgv9hGcGb3a2tQWI2RSo99aKt&#10;4HWaHZNodjZkt2n6752CoMf35uPNe8Vq8p0aaYhtYAvzmQFFXAXXcm3hfb+5ewQVE7LDLjBZOFOE&#10;VXl9VWDuwonfaNylWkkIxxwtNCn1udaxashjnIWeWG6fYfCYRA61dgOeJNx3+t6YTHtsWT402NO6&#10;oep7d/QWNmj2r267DV/x4+G8xqTdC43W3t5Mz0+gEk3pD4ZLfakOpXQ6hCO7qDrRCzMX1MIiW8qG&#10;C2EyswR1+LV0Wej/I8ofAAAA//8DAFBLAQItABQABgAIAAAAIQC2gziS/gAAAOEBAAATAAAAAAAA&#10;AAAAAAAAAAAAAABbQ29udGVudF9UeXBlc10ueG1sUEsBAi0AFAAGAAgAAAAhADj9If/WAAAAlAEA&#10;AAsAAAAAAAAAAAAAAAAALwEAAF9yZWxzLy5yZWxzUEsBAi0AFAAGAAgAAAAhAIKVcrDSAQAAhgMA&#10;AA4AAAAAAAAAAAAAAAAALgIAAGRycy9lMm9Eb2MueG1sUEsBAi0AFAAGAAgAAAAhAA9aMTzcAAAA&#10;DAEAAA8AAAAAAAAAAAAAAAAALAQAAGRycy9kb3ducmV2LnhtbFBLBQYAAAAABAAEAPMAAAA1BQAA&#10;AAA=&#10;" strokecolor="#007994" strokeweight=".5pt">
                <w10:wrap anchorx="page" anchory="page"/>
              </v:line>
            </w:pict>
          </mc:Fallback>
        </mc:AlternateContent>
      </w:r>
      <w:r w:rsidR="00083242">
        <w:rPr>
          <w:rFonts w:ascii="Tahoma" w:eastAsia="Tahoma" w:hAnsi="Tahoma"/>
          <w:color w:val="404042"/>
          <w:sz w:val="18"/>
        </w:rPr>
        <w:t>The Panel accepts that the ATAR has merit as a limited ranking device for the immediate future. For universities, the rise of direct admissions and early offer schemes often requires greater evidence, and can present challenges in both resourcing and transparency of assessment. ATAR is convenient.</w:t>
      </w:r>
    </w:p>
    <w:p w14:paraId="7BCDFCE5"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The challenge with any process that complements or replaces the ATAR will be to maintain efficiency and transparency, while managing increasing complexity across a proliferation of entry pathways.</w:t>
      </w:r>
    </w:p>
    <w:p w14:paraId="286BE69D" w14:textId="77777777" w:rsidR="009757A9" w:rsidRDefault="00083242">
      <w:pPr>
        <w:spacing w:before="173"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What the Panel does believe strongly is that the ATAR cannot continue to dominate the choices made by senior secondary students. Performance in a range of academic subjects needs to be assessed, but at the same time vocational education needs to be accorded higher status. And the wider range of skills necessary for a young person’s successful future needs to be framed, made explicit and assessed. It is clear that the ATAR, while useful for ranking students efficiently for university entry, cannot measure the full range of skills and attributes students have gained through their years of schooling. It distorts the broader goals of senior secondary education.</w:t>
      </w:r>
    </w:p>
    <w:p w14:paraId="4E7ACD9B" w14:textId="77777777" w:rsidR="009757A9" w:rsidRDefault="00083242">
      <w:pPr>
        <w:spacing w:before="168" w:line="240" w:lineRule="exact"/>
        <w:ind w:left="864" w:right="1296"/>
        <w:textAlignment w:val="baseline"/>
        <w:rPr>
          <w:rFonts w:ascii="Tahoma" w:eastAsia="Tahoma" w:hAnsi="Tahoma"/>
          <w:color w:val="404042"/>
          <w:sz w:val="18"/>
        </w:rPr>
      </w:pPr>
      <w:r>
        <w:rPr>
          <w:rFonts w:ascii="Tahoma" w:eastAsia="Tahoma" w:hAnsi="Tahoma"/>
          <w:color w:val="404042"/>
          <w:sz w:val="18"/>
        </w:rPr>
        <w:t>The Panel is not recommending that we get rid of the ATAR. In its absence, it is likely another mechanism would be introduced in its place. What we wish to emphasise is that the ATAR is not sufficient to measure the outcomes of 13 years of schooling. It does not provide a holistic view of each student’s capabilities or achievement. It suggests to capable students that they should direct their efforts to entering university even if they are attracted to vocational education, apprenticeships or training. It privileges academic achievement above the broad range of skills and attributes that are required for life.</w:t>
      </w:r>
    </w:p>
    <w:p w14:paraId="582E9277" w14:textId="77777777" w:rsidR="009757A9" w:rsidRDefault="00083242">
      <w:pPr>
        <w:spacing w:before="169" w:line="240" w:lineRule="exact"/>
        <w:ind w:left="864" w:right="1008"/>
        <w:textAlignment w:val="baseline"/>
        <w:rPr>
          <w:rFonts w:ascii="Tahoma" w:eastAsia="Tahoma" w:hAnsi="Tahoma"/>
          <w:color w:val="404042"/>
          <w:sz w:val="18"/>
        </w:rPr>
      </w:pPr>
      <w:r>
        <w:rPr>
          <w:rFonts w:ascii="Tahoma" w:eastAsia="Tahoma" w:hAnsi="Tahoma"/>
          <w:color w:val="404042"/>
          <w:sz w:val="18"/>
        </w:rPr>
        <w:t>So if not the ATAR, then what? The Panel is convinced that a much better approach is for senior secondary students to leave school with a document that captures the range of learning that they possess, some gained in school, some outside of it. It would record the ATAR (where relevant) and scholastic achievement but include much else besides. We call it the Learner Profile.</w:t>
      </w:r>
    </w:p>
    <w:p w14:paraId="0DB5D34C" w14:textId="77777777" w:rsidR="009757A9" w:rsidRPr="004E1A7A" w:rsidRDefault="00083242" w:rsidP="006B3019">
      <w:pPr>
        <w:pStyle w:val="Heading2"/>
        <w:rPr>
          <w:rFonts w:eastAsia="Tahoma"/>
          <w:sz w:val="25"/>
          <w:szCs w:val="25"/>
        </w:rPr>
      </w:pPr>
      <w:r w:rsidRPr="004E1A7A">
        <w:rPr>
          <w:rFonts w:eastAsia="Tahoma"/>
          <w:sz w:val="25"/>
          <w:szCs w:val="25"/>
        </w:rPr>
        <w:t>Learner Profiles</w:t>
      </w:r>
    </w:p>
    <w:p w14:paraId="1377CBF3" w14:textId="77777777" w:rsidR="009757A9" w:rsidRDefault="00083242">
      <w:pPr>
        <w:spacing w:before="172" w:line="240" w:lineRule="exact"/>
        <w:ind w:left="864" w:right="864"/>
        <w:jc w:val="both"/>
        <w:textAlignment w:val="baseline"/>
        <w:rPr>
          <w:rFonts w:ascii="Tahoma" w:eastAsia="Tahoma" w:hAnsi="Tahoma"/>
          <w:color w:val="404042"/>
          <w:sz w:val="18"/>
        </w:rPr>
      </w:pPr>
      <w:r>
        <w:rPr>
          <w:rFonts w:ascii="Tahoma" w:eastAsia="Tahoma" w:hAnsi="Tahoma"/>
          <w:color w:val="404042"/>
          <w:sz w:val="18"/>
        </w:rPr>
        <w:t>On completing their senior secondary schooling, students who meet eligibility requirements receive a Senior Secondary Certificate of Education (SSCE). In some states and territories, these eligibility requirements include demonstration that minimum literacy and numeracy requirements have been met. This is accompanied by a statement of achievement that lists the subjects, grades and scores for study that count toward the SSCE, which may include workplace learning or VET studies. Students who do not meet the eligibility requirements for a SSCE can still receive a statement of achievement.</w:t>
      </w:r>
    </w:p>
    <w:p w14:paraId="75D7EBBC" w14:textId="77777777" w:rsidR="009757A9" w:rsidRDefault="00083242">
      <w:pPr>
        <w:spacing w:before="168" w:after="902"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The SSCE is intended to perform a range of functions to support students in their future pathways. Universities use the SSCE to confirm achievement in specific subjects that may be relevant for entry into the desired university course,</w:t>
      </w:r>
      <w:r>
        <w:rPr>
          <w:rFonts w:ascii="Tahoma" w:eastAsia="Tahoma" w:hAnsi="Tahoma"/>
          <w:color w:val="404042"/>
          <w:spacing w:val="4"/>
          <w:sz w:val="18"/>
          <w:vertAlign w:val="superscript"/>
        </w:rPr>
        <w:t>46</w:t>
      </w:r>
      <w:r>
        <w:rPr>
          <w:rFonts w:ascii="Tahoma" w:eastAsia="Tahoma" w:hAnsi="Tahoma"/>
          <w:color w:val="404042"/>
          <w:spacing w:val="4"/>
          <w:sz w:val="18"/>
        </w:rPr>
        <w:t xml:space="preserve"> while VET providers use the SSCE to ascertain Year 12 attainment. Employers may use the SSCE to determine completion of Year 12, to assist in confirming literacy and numeracy skills, whether subjects studied in Years 11 and 12 are relevant to the workplace, and to assess any completed VET qualifications and units of competency.</w:t>
      </w:r>
    </w:p>
    <w:p w14:paraId="777B8FEB" w14:textId="77777777" w:rsidR="009757A9" w:rsidRDefault="000D2E34">
      <w:pPr>
        <w:spacing w:before="48" w:line="201" w:lineRule="exact"/>
        <w:ind w:left="1080" w:right="1296"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48192" behindDoc="0" locked="0" layoutInCell="1" allowOverlap="1" wp14:anchorId="5A3B327E" wp14:editId="2C0CE0E5">
                <wp:simplePos x="0" y="0"/>
                <wp:positionH relativeFrom="page">
                  <wp:posOffset>539750</wp:posOffset>
                </wp:positionH>
                <wp:positionV relativeFrom="page">
                  <wp:posOffset>8942705</wp:posOffset>
                </wp:positionV>
                <wp:extent cx="917575" cy="0"/>
                <wp:effectExtent l="0" t="0" r="0" b="0"/>
                <wp:wrapNone/>
                <wp:docPr id="881"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9855" id="Line 602" o:spid="_x0000_s1026" style="position:absolute;z-index:25184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04.15pt" to="114.75pt,7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gEzAEAAIUDAAAOAAAAZHJzL2Uyb0RvYy54bWysU01v2zAMvQ/YfxB0X2wHaJsacXpI1l2y&#10;LUC7H8BIsi1MFgVRiZ1/P0n5aLfdhvkgiCL5+PhIL5+mwbCj8qTRNryalZwpK1Bq2zX8x+vzpwVn&#10;FMBKMGhVw0+K+NPq44fl6Go1xx6NVJ5FEEv16Breh+DqoiDRqwFohk7Z6GzRDxCi6btCehgj+mCK&#10;eVneFyN66TwKRRRfN2cnX2X8tlUifG9bUoGZhkduIZ8+n/t0Fqsl1J0H12txoQH/wGIAbWPRG9QG&#10;ArCD139BDVp4JGzDTOBQYNtqoXIPsZuq/KOblx6cyr1EccjdZKL/Byu+HXeeadnwxaLizMIQh7TV&#10;VrH7cp7UGR3VMWhtdz71Jyb74rYofhKzuO7BdiqzfD25mFiljOK3lGSQizX241eUMQYOAbNUU+uH&#10;BBlFYFOeyOk2ETUFJuLjY/Vw93DHmbi6Cqivec5T+KJwYOnScBNJZ1w4bikkHlBfQ1IZi8/amDxv&#10;Y9mYGn4scwKh0TI5Uxj5br82nh0hbUz+clPR8z4sIW+A+nNcdp13yePBylylVyA/X+4BtDnfIytj&#10;LyIlXc4K71Gedv4qXpx1pn/Zy7RM7+2c/fb3rH4BAAD//wMAUEsDBBQABgAIAAAAIQCj0x8r4AAA&#10;AAwBAAAPAAAAZHJzL2Rvd25yZXYueG1sTI/BTsMwEETvSPyDtUhcUOsQaBVCnCoUuOSARFL17MQm&#10;CcTryHbb8PdsDwiOOzuaeZNtZjOyo3Z+sCjgdhkB09haNWAnYFe/LhJgPkhUcrSoBXxrD5v88iKT&#10;qbInfNfHKnSMQtCnUkAfwpRy7tteG+mXdtJIvw/rjAx0uo4rJ08UbkYeR9GaGzkgNfRy0ttet1/V&#10;wQhoXor1ti7t7q3eN6W7KT+L6ulZiOuruXgEFvQc/sxwxid0yImpsQdUno0CkhVNCaTfR8kdMHLE&#10;8cMKWPMr8Tzj/0fkPwAAAP//AwBQSwECLQAUAAYACAAAACEAtoM4kv4AAADhAQAAEwAAAAAAAAAA&#10;AAAAAAAAAAAAW0NvbnRlbnRfVHlwZXNdLnhtbFBLAQItABQABgAIAAAAIQA4/SH/1gAAAJQBAAAL&#10;AAAAAAAAAAAAAAAAAC8BAABfcmVscy8ucmVsc1BLAQItABQABgAIAAAAIQANtkgEzAEAAIUDAAAO&#10;AAAAAAAAAAAAAAAAAC4CAABkcnMvZTJvRG9jLnhtbFBLAQItABQABgAIAAAAIQCj0x8r4AAAAAwB&#10;AAAPAAAAAAAAAAAAAAAAACYEAABkcnMvZG93bnJldi54bWxQSwUGAAAAAAQABADzAAAAMwUAAAAA&#10;" strokeweight=".7pt">
                <w10:wrap anchorx="page" anchory="page"/>
              </v:line>
            </w:pict>
          </mc:Fallback>
        </mc:AlternateContent>
      </w:r>
      <w:r w:rsidR="00083242">
        <w:rPr>
          <w:rFonts w:ascii="Tahoma" w:eastAsia="Tahoma" w:hAnsi="Tahoma"/>
          <w:color w:val="404042"/>
          <w:sz w:val="14"/>
        </w:rPr>
        <w:t xml:space="preserve">46 Australian Government, ‘What to do if you didn’t get the ATAR required for your course’, Job Jumpstart webpage (accessed 12 December 2019), </w:t>
      </w:r>
      <w:hyperlink r:id="rId115">
        <w:r w:rsidR="00083242">
          <w:rPr>
            <w:rFonts w:ascii="Tahoma" w:eastAsia="Tahoma" w:hAnsi="Tahoma"/>
            <w:color w:val="0000FF"/>
            <w:sz w:val="14"/>
            <w:u w:val="single"/>
          </w:rPr>
          <w:t>https://www.jobjumpstart.gov.au/article/what-do-if-you-didnt-get-atar-required-your-course</w:t>
        </w:r>
      </w:hyperlink>
      <w:r w:rsidR="00083242">
        <w:rPr>
          <w:rFonts w:ascii="Tahoma" w:eastAsia="Tahoma" w:hAnsi="Tahoma"/>
          <w:color w:val="404042"/>
          <w:sz w:val="14"/>
        </w:rPr>
        <w:t>.</w:t>
      </w:r>
    </w:p>
    <w:p w14:paraId="5A4D17B1" w14:textId="76810380" w:rsidR="009757A9" w:rsidRDefault="00E3201E">
      <w:pPr>
        <w:tabs>
          <w:tab w:val="left" w:pos="10872"/>
        </w:tabs>
        <w:spacing w:before="729" w:after="640" w:line="205" w:lineRule="exact"/>
        <w:ind w:left="8856"/>
        <w:textAlignment w:val="baseline"/>
        <w:rPr>
          <w:rFonts w:ascii="Tahoma" w:eastAsia="Tahoma" w:hAnsi="Tahoma"/>
          <w:color w:val="404042"/>
          <w:sz w:val="14"/>
        </w:rPr>
      </w:pPr>
      <w:r>
        <w:rPr>
          <w:noProof/>
          <w:lang w:val="en-AU" w:eastAsia="en-AU"/>
        </w:rPr>
        <w:drawing>
          <wp:anchor distT="0" distB="0" distL="114300" distR="114300" simplePos="0" relativeHeight="252047872" behindDoc="1" locked="0" layoutInCell="1" allowOverlap="1" wp14:anchorId="57EABE5B" wp14:editId="4E703358">
            <wp:simplePos x="0" y="0"/>
            <wp:positionH relativeFrom="margin">
              <wp:align>right</wp:align>
            </wp:positionH>
            <wp:positionV relativeFrom="paragraph">
              <wp:posOffset>904240</wp:posOffset>
            </wp:positionV>
            <wp:extent cx="7562215" cy="462915"/>
            <wp:effectExtent l="0" t="0" r="635" b="0"/>
            <wp:wrapNone/>
            <wp:docPr id="44" name="Picture"/>
            <wp:cNvGraphicFramePr/>
            <a:graphic xmlns:a="http://schemas.openxmlformats.org/drawingml/2006/main">
              <a:graphicData uri="http://schemas.openxmlformats.org/drawingml/2006/picture">
                <pic:pic xmlns:pic="http://schemas.openxmlformats.org/drawingml/2006/picture">
                  <pic:nvPicPr>
                    <pic:cNvPr id="63" name="Picture"/>
                    <pic:cNvPicPr preferRelativeResize="0"/>
                  </pic:nvPicPr>
                  <pic:blipFill>
                    <a:blip r:embed="rId10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1: Essential skills</w:t>
      </w:r>
      <w:r w:rsidR="00083242">
        <w:rPr>
          <w:rFonts w:ascii="Arial" w:eastAsia="Arial" w:hAnsi="Arial"/>
          <w:b/>
          <w:color w:val="5556A1"/>
          <w:sz w:val="18"/>
        </w:rPr>
        <w:tab/>
        <w:t>47</w:t>
      </w:r>
    </w:p>
    <w:p w14:paraId="5A92BBBD" w14:textId="083441F1" w:rsidR="009757A9" w:rsidRDefault="009757A9">
      <w:pPr>
        <w:textAlignment w:val="baseline"/>
      </w:pPr>
    </w:p>
    <w:p w14:paraId="4A3924B7" w14:textId="5C45A2BD" w:rsidR="009757A9" w:rsidRDefault="009757A9">
      <w:pPr>
        <w:sectPr w:rsidR="009757A9">
          <w:pgSz w:w="11909" w:h="16838"/>
          <w:pgMar w:top="1080" w:right="0" w:bottom="0" w:left="0" w:header="720" w:footer="720" w:gutter="0"/>
          <w:cols w:space="720"/>
        </w:sectPr>
      </w:pPr>
    </w:p>
    <w:p w14:paraId="0D425F45" w14:textId="77777777" w:rsidR="009757A9" w:rsidRDefault="00083242">
      <w:pPr>
        <w:spacing w:after="547" w:line="240" w:lineRule="exact"/>
        <w:ind w:left="792" w:right="1152"/>
        <w:textAlignment w:val="baseline"/>
        <w:rPr>
          <w:rFonts w:ascii="Tahoma" w:eastAsia="Tahoma" w:hAnsi="Tahoma"/>
          <w:color w:val="404042"/>
          <w:sz w:val="18"/>
        </w:rPr>
      </w:pPr>
      <w:r>
        <w:rPr>
          <w:rFonts w:ascii="Tahoma" w:eastAsia="Tahoma" w:hAnsi="Tahoma"/>
          <w:color w:val="404042"/>
          <w:sz w:val="18"/>
        </w:rPr>
        <w:lastRenderedPageBreak/>
        <w:t>This is necessary but not sufficient. What the SSCE does not provide is a compelling and consistent way to depict the full range of an individual’s strengths, capabilities and achievements. Consequently, it is not well utilised by tertiary institutions or employers.</w:t>
      </w:r>
    </w:p>
    <w:p w14:paraId="464D84ED" w14:textId="77777777" w:rsidR="009757A9" w:rsidRPr="00E539CA" w:rsidRDefault="000D2E34">
      <w:pPr>
        <w:spacing w:before="157" w:line="247" w:lineRule="exact"/>
        <w:ind w:left="1296"/>
        <w:textAlignment w:val="baseline"/>
        <w:rPr>
          <w:rFonts w:ascii="Tahoma" w:eastAsia="Tahoma" w:hAnsi="Tahoma" w:cs="Tahoma"/>
          <w:i/>
          <w:color w:val="007994"/>
          <w:spacing w:val="1"/>
          <w:sz w:val="21"/>
          <w:szCs w:val="21"/>
        </w:rPr>
      </w:pPr>
      <w:r w:rsidRPr="00E539CA">
        <w:rPr>
          <w:rFonts w:ascii="Tahoma" w:hAnsi="Tahoma" w:cs="Tahoma"/>
          <w:noProof/>
          <w:sz w:val="21"/>
          <w:szCs w:val="21"/>
          <w:lang w:val="en-AU" w:eastAsia="en-AU"/>
        </w:rPr>
        <mc:AlternateContent>
          <mc:Choice Requires="wps">
            <w:drawing>
              <wp:anchor distT="0" distB="0" distL="114300" distR="114300" simplePos="0" relativeHeight="251849216" behindDoc="0" locked="0" layoutInCell="1" allowOverlap="1" wp14:anchorId="126FA2E5" wp14:editId="5FC8EEA0">
                <wp:simplePos x="0" y="0"/>
                <wp:positionH relativeFrom="page">
                  <wp:posOffset>826135</wp:posOffset>
                </wp:positionH>
                <wp:positionV relativeFrom="page">
                  <wp:posOffset>1496695</wp:posOffset>
                </wp:positionV>
                <wp:extent cx="5907405" cy="0"/>
                <wp:effectExtent l="0" t="0" r="0" b="0"/>
                <wp:wrapNone/>
                <wp:docPr id="880"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AAFB4" id="Line 601" o:spid="_x0000_s1026" style="position:absolute;z-index:25184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17.85pt" to="530.2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sbS0QEAAIYDAAAOAAAAZHJzL2Uyb0RvYy54bWysU01v2zAMvQ/YfxB0X+x0TZoYcXpI1l2y&#10;LUDbH8BIcixMFgVJiZ1/P0r52Lrdil0EiXx8JB+pxePQGXZUPmi0NR+PSs6UFSi13df89eXp04yz&#10;EMFKMGhVzU8q8Mflxw+L3lXqDls0UnlGJDZUvat5G6OriiKIVnUQRuiUJWeDvoNIT78vpIee2DtT&#10;3JXltOjRS+dRqBDIuj47+TLzN40S8UfTBBWZqTnVFvPp87lLZ7FcQLX34FotLmXAO6roQFtKeqNa&#10;QwR28Pofqk4LjwGbOBLYFdg0WqjcA3UzLv/q5rkFp3IvJE5wN5nC/6MV349bz7Ss+WxG+ljoaEgb&#10;bRWbluOkTu9CRaCV3frUnxjss9ug+BmYxVULdq9ylS8nR4E5ongTkh7BUY5d/w0lYeAQMUs1NL5L&#10;lCQCG/JETreJqCEyQcbJvHy4LyeciauvgOoa6HyIXxV2LF1qbqjqTAzHTYhUOkGvkJTH4pM2Jg/c&#10;WNbXfPp5UuaAgEbL5Eyw4Pe7lfHsCGllyof5/D7pQGRvYIl5DaE947LrvEweD1bmLK0C+eVyj6DN&#10;+U5ExhLfVZizxDuUp61PeZKdhp0zXhYzbdOf74z6/X2WvwAAAP//AwBQSwMEFAAGAAgAAAAhAEhZ&#10;oPjcAAAADAEAAA8AAABkcnMvZG93bnJldi54bWxMj8FOwzAMhu9IvENkJG4s2cYGKk0nNLTTLrAh&#10;cfUa0xYap2qyrnt7PAkJjr/96ffnfDX6Vg3UxyawhenEgCIug2u4svC+39w9gooJ2WEbmCycKcKq&#10;uL7KMXPhxG807FKlpIRjhhbqlLpM61jW5DFOQkcsu8/Qe0wS+0q7Hk9S7ls9M2apPTYsF2rsaF1T&#10;+b07egsbNPtXt92Gr/ixOK8xafdCg7W3N+PzE6hEY/qD4aIv6lCI0yEc2UXVSp6bqaAWZvPFA6gL&#10;YZbmHtThd6SLXP9/ovgBAAD//wMAUEsBAi0AFAAGAAgAAAAhALaDOJL+AAAA4QEAABMAAAAAAAAA&#10;AAAAAAAAAAAAAFtDb250ZW50X1R5cGVzXS54bWxQSwECLQAUAAYACAAAACEAOP0h/9YAAACUAQAA&#10;CwAAAAAAAAAAAAAAAAAvAQAAX3JlbHMvLnJlbHNQSwECLQAUAAYACAAAACEA5vbG0tEBAACGAwAA&#10;DgAAAAAAAAAAAAAAAAAuAgAAZHJzL2Uyb0RvYy54bWxQSwECLQAUAAYACAAAACEASFmg+NwAAAAM&#10;AQAADwAAAAAAAAAAAAAAAAArBAAAZHJzL2Rvd25yZXYueG1sUEsFBgAAAAAEAAQA8wAAADQFAAAA&#10;AA==&#10;" strokecolor="#007994" strokeweight=".5pt">
                <w10:wrap anchorx="page" anchory="page"/>
              </v:line>
            </w:pict>
          </mc:Fallback>
        </mc:AlternateContent>
      </w:r>
      <w:r w:rsidR="00083242" w:rsidRPr="00E539CA">
        <w:rPr>
          <w:rFonts w:ascii="Tahoma" w:eastAsia="Tahoma" w:hAnsi="Tahoma" w:cs="Tahoma"/>
          <w:i/>
          <w:color w:val="007994"/>
          <w:spacing w:val="1"/>
          <w:sz w:val="21"/>
          <w:szCs w:val="21"/>
        </w:rPr>
        <w:t>“It is timely for educators to shift their focus away from easy-to-measure metrics that may not</w:t>
      </w:r>
    </w:p>
    <w:p w14:paraId="26F14E0B" w14:textId="77777777" w:rsidR="009757A9" w:rsidRPr="00E539CA" w:rsidRDefault="00083242">
      <w:pPr>
        <w:spacing w:before="55" w:line="243" w:lineRule="exact"/>
        <w:ind w:left="1296"/>
        <w:textAlignment w:val="baseline"/>
        <w:rPr>
          <w:rFonts w:ascii="Tahoma" w:eastAsia="Verdana" w:hAnsi="Tahoma" w:cs="Tahoma"/>
          <w:i/>
          <w:color w:val="007994"/>
          <w:spacing w:val="-1"/>
          <w:sz w:val="21"/>
          <w:szCs w:val="21"/>
        </w:rPr>
      </w:pPr>
      <w:r w:rsidRPr="00E539CA">
        <w:rPr>
          <w:rFonts w:ascii="Tahoma" w:eastAsia="Verdana" w:hAnsi="Tahoma" w:cs="Tahoma"/>
          <w:i/>
          <w:color w:val="007994"/>
          <w:spacing w:val="-1"/>
          <w:sz w:val="21"/>
          <w:szCs w:val="21"/>
        </w:rPr>
        <w:t>assess what is intended, or present an accurate reflection of student achievement.”</w:t>
      </w:r>
    </w:p>
    <w:p w14:paraId="124BBC96" w14:textId="77777777" w:rsidR="009757A9" w:rsidRPr="00E539CA" w:rsidRDefault="00083242">
      <w:pPr>
        <w:spacing w:before="55" w:after="216" w:line="247" w:lineRule="exact"/>
        <w:ind w:left="6912"/>
        <w:textAlignment w:val="baseline"/>
        <w:rPr>
          <w:rFonts w:ascii="Tahoma" w:eastAsia="Tahoma" w:hAnsi="Tahoma" w:cs="Tahoma"/>
          <w:i/>
          <w:color w:val="007994"/>
          <w:spacing w:val="2"/>
          <w:sz w:val="21"/>
          <w:szCs w:val="21"/>
        </w:rPr>
      </w:pPr>
      <w:r w:rsidRPr="00E539CA">
        <w:rPr>
          <w:rFonts w:ascii="Tahoma" w:eastAsia="Tahoma" w:hAnsi="Tahoma" w:cs="Tahoma"/>
          <w:i/>
          <w:color w:val="007994"/>
          <w:spacing w:val="2"/>
          <w:sz w:val="21"/>
          <w:szCs w:val="21"/>
        </w:rPr>
        <w:t>Hassan Mekawy, personal submission</w:t>
      </w:r>
    </w:p>
    <w:p w14:paraId="7E8E8FFE" w14:textId="77777777" w:rsidR="009757A9" w:rsidRDefault="000D2E34">
      <w:pPr>
        <w:spacing w:before="414" w:line="240" w:lineRule="exact"/>
        <w:ind w:left="864" w:right="1296"/>
        <w:textAlignment w:val="baseline"/>
        <w:rPr>
          <w:rFonts w:ascii="Tahoma" w:eastAsia="Tahoma" w:hAnsi="Tahoma"/>
          <w:color w:val="404042"/>
          <w:spacing w:val="3"/>
          <w:sz w:val="18"/>
        </w:rPr>
      </w:pPr>
      <w:r>
        <w:rPr>
          <w:noProof/>
          <w:lang w:val="en-AU" w:eastAsia="en-AU"/>
        </w:rPr>
        <mc:AlternateContent>
          <mc:Choice Requires="wps">
            <w:drawing>
              <wp:anchor distT="0" distB="0" distL="114300" distR="114300" simplePos="0" relativeHeight="251850240" behindDoc="0" locked="0" layoutInCell="1" allowOverlap="1" wp14:anchorId="3A775C3F" wp14:editId="101ABADA">
                <wp:simplePos x="0" y="0"/>
                <wp:positionH relativeFrom="page">
                  <wp:posOffset>826135</wp:posOffset>
                </wp:positionH>
                <wp:positionV relativeFrom="page">
                  <wp:posOffset>2279650</wp:posOffset>
                </wp:positionV>
                <wp:extent cx="5907405" cy="0"/>
                <wp:effectExtent l="0" t="0" r="0" b="0"/>
                <wp:wrapNone/>
                <wp:docPr id="879"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D6B31" id="Line 600" o:spid="_x0000_s1026" style="position:absolute;z-index:25185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79.5pt" to="530.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RD0gEAAIYDAAAOAAAAZHJzL2Uyb0RvYy54bWysU01v2zAMvQ/YfxB0X+x0TdIYcXpI1l2y&#10;LUDbH8BIsi1MFgVRiZN/P0n5WLfdil0ESiQfHx+pxeOxN+ygPGm0NR+PSs6UFSi1bWv++vL06YEz&#10;CmAlGLSq5idF/HH58cNicJW6ww6NVJ5FEEvV4GreheCqoiDRqR5ohE7Z6GzQ9xDi1beF9DBE9N4U&#10;d2U5LQb00nkUiii+rs9Ovsz4TaNE+NE0pAIzNY/cQj59PnfpLJYLqFoPrtPiQgPewaIHbWPRG9Qa&#10;ArC91/9A9Vp4JGzCSGBfYNNooXIPsZtx+Vc3zx04lXuJ4pC7yUT/D1Z8P2w907LmD7M5Zxb6OKSN&#10;topNy6zO4KiKQSu79ak/cbTPboPiJzGLqw5sqzLLl5OLieOkZ/FHSrqQizV2wzeUMQb2AbNUx8b3&#10;CTKKwI55IqfbRNQxMBEfJ/Nydl9OOBNXXwHVNdF5Cl8V9iwZNTeRdQaGw4ZCIgLVNSTVsfikjckD&#10;N5YNNZ9+npQ5gdBomZwpjHy7WxnPDpBWppzN5/e5q+h5G5aQ10DdOS67zsvkcW9lrtIpkF8udgBt&#10;znZkZexFpSRMWlWqdihPW39VLw47078sZtqmt/ec/fv7LH8BAAD//wMAUEsDBBQABgAIAAAAIQAd&#10;/QXT3AAAAAwBAAAPAAAAZHJzL2Rvd25yZXYueG1sTI/BTsMwEETvSPyDtUjcqF1KKwhxKlTUUy/Q&#10;InHdxksSiNdR7Kbp37OVkMpxZp9mZ/Ll6Fs1UB+bwBamEwOKuAyu4crCx2599wgqJmSHbWCycKII&#10;y+L6KsfMhSO/07BNlZIQjhlaqFPqMq1jWZPHOAkdsdy+Qu8xiewr7Xo8Srhv9b0xC+2xYflQY0er&#10;msqf7cFbWKPZvbnNJnzHz/lphUm7Vxqsvb0ZX55BJRrTBYZzfakOhXTahwO7qFrRMzMV1MJs/iSj&#10;zoRZmAdQ+z9LF7n+P6L4BQAA//8DAFBLAQItABQABgAIAAAAIQC2gziS/gAAAOEBAAATAAAAAAAA&#10;AAAAAAAAAAAAAABbQ29udGVudF9UeXBlc10ueG1sUEsBAi0AFAAGAAgAAAAhADj9If/WAAAAlAEA&#10;AAsAAAAAAAAAAAAAAAAALwEAAF9yZWxzLy5yZWxzUEsBAi0AFAAGAAgAAAAhACbJ1EPSAQAAhgMA&#10;AA4AAAAAAAAAAAAAAAAALgIAAGRycy9lMm9Eb2MueG1sUEsBAi0AFAAGAAgAAAAhAB39BdPcAAAA&#10;DAEAAA8AAAAAAAAAAAAAAAAALAQAAGRycy9kb3ducmV2LnhtbFBLBQYAAAAABAAEAPMAAAA1BQAA&#10;AAA=&#10;" strokecolor="#007994" strokeweight=".5pt">
                <w10:wrap anchorx="page" anchory="page"/>
              </v:line>
            </w:pict>
          </mc:Fallback>
        </mc:AlternateContent>
      </w:r>
      <w:r w:rsidR="00083242">
        <w:rPr>
          <w:rFonts w:ascii="Tahoma" w:eastAsia="Tahoma" w:hAnsi="Tahoma"/>
          <w:color w:val="404042"/>
          <w:spacing w:val="3"/>
          <w:sz w:val="18"/>
        </w:rPr>
        <w:t>Some critics have argued that a singular focus on the ATAR means “young people may abandon their real interests, push aside extra-curricular activities and part-time employment to focus on achieving a score.”</w:t>
      </w:r>
      <w:r w:rsidR="00083242">
        <w:rPr>
          <w:rFonts w:ascii="Tahoma" w:eastAsia="Tahoma" w:hAnsi="Tahoma"/>
          <w:color w:val="404042"/>
          <w:spacing w:val="3"/>
          <w:sz w:val="18"/>
          <w:vertAlign w:val="superscript"/>
        </w:rPr>
        <w:t>47</w:t>
      </w:r>
      <w:r w:rsidR="00083242">
        <w:rPr>
          <w:rFonts w:ascii="Tahoma" w:eastAsia="Tahoma" w:hAnsi="Tahoma"/>
          <w:color w:val="404042"/>
          <w:spacing w:val="3"/>
          <w:sz w:val="18"/>
        </w:rPr>
        <w:t xml:space="preserve"> The Panel concurs with this judgement. Students have emphasised to us their wish that school could assess their qualities as a whole person. They were able to convey to us a remarkably clear understanding of the skills and attributes they have to develop, and a desire to be able to develop and communicate these to tertiary education institutions, training organisations, and employers.</w:t>
      </w:r>
    </w:p>
    <w:p w14:paraId="3E370ABF" w14:textId="77777777" w:rsidR="009757A9" w:rsidRDefault="00083242">
      <w:pPr>
        <w:spacing w:before="173"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Young people emphasised to the Panel the importance of social skills, emotional skills and personal attributes for future success. They indicated a strong desire for personalised support to attain and communicate the skills they need and will have to offer when entering their post-secondary pathways. They have suggested the need for a stronger focus on taking into account their extracurricular activities and passions as important attributes to be included in entry criteria for further education or employment.</w:t>
      </w:r>
    </w:p>
    <w:p w14:paraId="60A40472" w14:textId="77777777" w:rsidR="009757A9" w:rsidRDefault="00083242">
      <w:pPr>
        <w:spacing w:before="168" w:after="552"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To further these goals, the Panel undertook substantial consultation on the concept of a Learner Profile. We found general agreement with the proposal to measure and value experience that is outside the traditional ‘academic’ reporting for the purpose of creating a more rounded and nuanced student profile. In particular, participants at a specially convened youth forum were of the view that a Learner Profile that demonstrated the skills, capabilities and interests of students as they leave school would be significantly more useful than the current SSCE.</w:t>
      </w:r>
      <w:r>
        <w:rPr>
          <w:rFonts w:ascii="Tahoma" w:eastAsia="Tahoma" w:hAnsi="Tahoma"/>
          <w:color w:val="404042"/>
          <w:spacing w:val="4"/>
          <w:sz w:val="18"/>
          <w:vertAlign w:val="superscript"/>
        </w:rPr>
        <w:t>48</w:t>
      </w:r>
      <w:r>
        <w:rPr>
          <w:rFonts w:ascii="Tahoma" w:eastAsia="Tahoma" w:hAnsi="Tahoma"/>
          <w:color w:val="404042"/>
          <w:spacing w:val="4"/>
          <w:sz w:val="18"/>
        </w:rPr>
        <w:t xml:space="preserve"> We also talked to educators and employers, who were equally attracted to the concept.</w:t>
      </w:r>
    </w:p>
    <w:p w14:paraId="0F4B790F" w14:textId="77777777" w:rsidR="009757A9" w:rsidRPr="00E539CA" w:rsidRDefault="000D2E34">
      <w:pPr>
        <w:spacing w:before="160" w:line="242" w:lineRule="exact"/>
        <w:ind w:left="1296"/>
        <w:textAlignment w:val="baseline"/>
        <w:rPr>
          <w:rFonts w:ascii="Tahoma" w:eastAsia="Verdana" w:hAnsi="Tahoma" w:cs="Tahoma"/>
          <w:i/>
          <w:color w:val="007994"/>
          <w:spacing w:val="-1"/>
          <w:sz w:val="21"/>
          <w:szCs w:val="21"/>
        </w:rPr>
      </w:pPr>
      <w:r w:rsidRPr="00E539CA">
        <w:rPr>
          <w:rFonts w:ascii="Tahoma" w:hAnsi="Tahoma" w:cs="Tahoma"/>
          <w:noProof/>
          <w:sz w:val="21"/>
          <w:szCs w:val="21"/>
          <w:lang w:val="en-AU" w:eastAsia="en-AU"/>
        </w:rPr>
        <mc:AlternateContent>
          <mc:Choice Requires="wps">
            <w:drawing>
              <wp:anchor distT="0" distB="0" distL="114300" distR="114300" simplePos="0" relativeHeight="251851264" behindDoc="0" locked="0" layoutInCell="1" allowOverlap="1" wp14:anchorId="6C7EE820" wp14:editId="5B9C16E6">
                <wp:simplePos x="0" y="0"/>
                <wp:positionH relativeFrom="page">
                  <wp:posOffset>826135</wp:posOffset>
                </wp:positionH>
                <wp:positionV relativeFrom="page">
                  <wp:posOffset>5699760</wp:posOffset>
                </wp:positionV>
                <wp:extent cx="5907405" cy="0"/>
                <wp:effectExtent l="0" t="0" r="0" b="0"/>
                <wp:wrapNone/>
                <wp:docPr id="878"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1BDAF" id="Line 599" o:spid="_x0000_s1026" style="position:absolute;z-index:25185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48.8pt" to="530.2pt,4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30QEAAIYDAAAOAAAAZHJzL2Uyb0RvYy54bWysU01v2zAMvQ/YfxB0X+x0zVIbcXpI1l2y&#10;LUC7H8BIsi1MFgVJiZN/P0r5aLfdhl0ESiQfHx+pxeNxMOygfNBoGz6dlJwpK1Bq2zX8x8vThwfO&#10;QgQrwaBVDT+pwB+X798tRlerO+zRSOUZgdhQj67hfYyuLoogejVAmKBTlpwt+gEiXX1XSA8joQ+m&#10;uCvLT8WIXjqPQoVAr+uzky8zftsqEb+3bVCRmYYTt5hPn89dOovlAurOg+u1uNCAf2AxgLZU9Aa1&#10;hghs7/VfUIMWHgO2cSJwKLBttVC5B+pmWv7RzXMPTuVeSJzgbjKF/wcrvh22nmnZ8Ic5jcrCQEPa&#10;aKvYrKqSOqMLNQWt7Nan/sTRPrsNip+BWVz1YDuVWb6cHCVOU0bxW0q6BEc1duNXlBQD+4hZqmPr&#10;hwRJIrBjnsjpNhF1jEzQ46wq5/fljDNx9RVQXxOdD/GLwoElo+GGWGdgOGxCTESgvoakOhaftDF5&#10;4MayseEfp/NZTghotEzOFBZ8t1sZzw6QVqacV9V97oo8b8MS8hpCf47LrvMyedxbmav0CuTnix1B&#10;m7NNrIy9qJSEOUu8Q3na+qt6NOxM/7KYaZve3nP26/dZ/gIAAP//AwBQSwMEFAAGAAgAAAAhADs+&#10;jbvfAAAADAEAAA8AAABkcnMvZG93bnJldi54bWxMj8FOwzAMhu9IvENkJG4s2YAyStMJkDjsNNgm&#10;IW5ZY9rSxqmabO3eHk+aBMff/vT7c7YYXSsO2Ifak4bpRIFAKrytqdSw3bzdzEGEaMia1hNqOGKA&#10;RX55kZnU+oE+8LCOpeASCqnRUMXYpVKGokJnwsR3SLz79r0zkWNfStubgctdK2dKJdKZmvhCZTp8&#10;rbBo1nunocFSDc1qc1x9hvef++7ly862S62vr8bnJxARx/gHw0mf1SFnp53fkw2i5XyrpoxqmD8+&#10;JCBOhErUHYjdeSTzTP5/Iv8FAAD//wMAUEsBAi0AFAAGAAgAAAAhALaDOJL+AAAA4QEAABMAAAAA&#10;AAAAAAAAAAAAAAAAAFtDb250ZW50X1R5cGVzXS54bWxQSwECLQAUAAYACAAAACEAOP0h/9YAAACU&#10;AQAACwAAAAAAAAAAAAAAAAAvAQAAX3JlbHMvLnJlbHNQSwECLQAUAAYACAAAACEA6Tflt9EBAACG&#10;AwAADgAAAAAAAAAAAAAAAAAuAgAAZHJzL2Uyb0RvYy54bWxQSwECLQAUAAYACAAAACEAOz6Nu98A&#10;AAAMAQAADwAAAAAAAAAAAAAAAAArBAAAZHJzL2Rvd25yZXYueG1sUEsFBgAAAAAEAAQA8wAAADcF&#10;AAAAAA==&#10;" strokecolor="#007994" strokeweight=".25pt">
                <w10:wrap anchorx="page" anchory="page"/>
              </v:line>
            </w:pict>
          </mc:Fallback>
        </mc:AlternateContent>
      </w:r>
      <w:r w:rsidR="00083242" w:rsidRPr="00E539CA">
        <w:rPr>
          <w:rFonts w:ascii="Tahoma" w:eastAsia="Verdana" w:hAnsi="Tahoma" w:cs="Tahoma"/>
          <w:i/>
          <w:color w:val="007994"/>
          <w:spacing w:val="-1"/>
          <w:sz w:val="21"/>
          <w:szCs w:val="21"/>
        </w:rPr>
        <w:t>“The learner profile could broaden what is counted as school success which, at the moment, is</w:t>
      </w:r>
    </w:p>
    <w:p w14:paraId="5D7000A6" w14:textId="77777777" w:rsidR="009757A9" w:rsidRPr="00E539CA" w:rsidRDefault="00083242">
      <w:pPr>
        <w:spacing w:before="56" w:line="247" w:lineRule="exact"/>
        <w:ind w:left="1296"/>
        <w:textAlignment w:val="baseline"/>
        <w:rPr>
          <w:rFonts w:ascii="Tahoma" w:eastAsia="Tahoma" w:hAnsi="Tahoma" w:cs="Tahoma"/>
          <w:i/>
          <w:color w:val="007994"/>
          <w:spacing w:val="1"/>
          <w:sz w:val="21"/>
          <w:szCs w:val="21"/>
        </w:rPr>
      </w:pPr>
      <w:r w:rsidRPr="00E539CA">
        <w:rPr>
          <w:rFonts w:ascii="Tahoma" w:eastAsia="Tahoma" w:hAnsi="Tahoma" w:cs="Tahoma"/>
          <w:i/>
          <w:color w:val="007994"/>
          <w:spacing w:val="1"/>
          <w:sz w:val="21"/>
          <w:szCs w:val="21"/>
        </w:rPr>
        <w:t>constrained by systems like ATAR that only capture knowledge skills and not practical application.</w:t>
      </w:r>
    </w:p>
    <w:p w14:paraId="2CD5D618" w14:textId="77777777" w:rsidR="009757A9" w:rsidRPr="00E539CA" w:rsidRDefault="00083242">
      <w:pPr>
        <w:spacing w:before="51" w:line="246" w:lineRule="exact"/>
        <w:ind w:left="1296"/>
        <w:textAlignment w:val="baseline"/>
        <w:rPr>
          <w:rFonts w:ascii="Tahoma" w:eastAsia="Tahoma" w:hAnsi="Tahoma" w:cs="Tahoma"/>
          <w:i/>
          <w:color w:val="007994"/>
          <w:sz w:val="21"/>
          <w:szCs w:val="21"/>
        </w:rPr>
      </w:pPr>
      <w:r w:rsidRPr="00E539CA">
        <w:rPr>
          <w:rFonts w:ascii="Tahoma" w:eastAsia="Tahoma" w:hAnsi="Tahoma" w:cs="Tahoma"/>
          <w:i/>
          <w:color w:val="007994"/>
          <w:sz w:val="21"/>
          <w:szCs w:val="21"/>
        </w:rPr>
        <w:t>There is little visibility of the development of general capabilities, or qualities such as know-how,</w:t>
      </w:r>
    </w:p>
    <w:p w14:paraId="22831EE0" w14:textId="77777777" w:rsidR="009757A9" w:rsidRPr="00E539CA" w:rsidRDefault="00083242">
      <w:pPr>
        <w:spacing w:before="60" w:line="243" w:lineRule="exact"/>
        <w:ind w:left="1296"/>
        <w:textAlignment w:val="baseline"/>
        <w:rPr>
          <w:rFonts w:ascii="Tahoma" w:eastAsia="Verdana" w:hAnsi="Tahoma" w:cs="Tahoma"/>
          <w:i/>
          <w:color w:val="007994"/>
          <w:spacing w:val="-1"/>
          <w:sz w:val="21"/>
          <w:szCs w:val="21"/>
        </w:rPr>
      </w:pPr>
      <w:r w:rsidRPr="00E539CA">
        <w:rPr>
          <w:rFonts w:ascii="Tahoma" w:eastAsia="Verdana" w:hAnsi="Tahoma" w:cs="Tahoma"/>
          <w:i/>
          <w:color w:val="007994"/>
          <w:spacing w:val="-1"/>
          <w:sz w:val="21"/>
          <w:szCs w:val="21"/>
        </w:rPr>
        <w:t>a good attitude or self-reliance. These attributes would be beneficial for students when</w:t>
      </w:r>
    </w:p>
    <w:p w14:paraId="1B444E25" w14:textId="77777777" w:rsidR="009757A9" w:rsidRPr="00E539CA" w:rsidRDefault="00083242">
      <w:pPr>
        <w:spacing w:before="51" w:line="246" w:lineRule="exact"/>
        <w:ind w:left="1296"/>
        <w:textAlignment w:val="baseline"/>
        <w:rPr>
          <w:rFonts w:ascii="Tahoma" w:eastAsia="Tahoma" w:hAnsi="Tahoma" w:cs="Tahoma"/>
          <w:i/>
          <w:color w:val="007994"/>
          <w:spacing w:val="2"/>
          <w:sz w:val="21"/>
          <w:szCs w:val="21"/>
        </w:rPr>
      </w:pPr>
      <w:r w:rsidRPr="00E539CA">
        <w:rPr>
          <w:rFonts w:ascii="Tahoma" w:eastAsia="Tahoma" w:hAnsi="Tahoma" w:cs="Tahoma"/>
          <w:i/>
          <w:color w:val="007994"/>
          <w:spacing w:val="2"/>
          <w:sz w:val="21"/>
          <w:szCs w:val="21"/>
        </w:rPr>
        <w:t>accessing employment.”</w:t>
      </w:r>
    </w:p>
    <w:p w14:paraId="2676A1F5" w14:textId="77777777" w:rsidR="009757A9" w:rsidRPr="00E539CA" w:rsidRDefault="00083242">
      <w:pPr>
        <w:spacing w:before="56" w:after="228" w:line="244" w:lineRule="exact"/>
        <w:ind w:left="7344"/>
        <w:textAlignment w:val="baseline"/>
        <w:rPr>
          <w:rFonts w:ascii="Tahoma" w:eastAsia="Tahoma" w:hAnsi="Tahoma" w:cs="Tahoma"/>
          <w:i/>
          <w:color w:val="007994"/>
          <w:spacing w:val="1"/>
          <w:sz w:val="21"/>
          <w:szCs w:val="21"/>
        </w:rPr>
      </w:pPr>
      <w:r w:rsidRPr="00E539CA">
        <w:rPr>
          <w:rFonts w:ascii="Tahoma" w:eastAsia="Tahoma" w:hAnsi="Tahoma" w:cs="Tahoma"/>
          <w:i/>
          <w:color w:val="007994"/>
          <w:spacing w:val="1"/>
          <w:sz w:val="21"/>
          <w:szCs w:val="21"/>
        </w:rPr>
        <w:t>Catholic Education WA submission</w:t>
      </w:r>
    </w:p>
    <w:p w14:paraId="302FF68B" w14:textId="77777777" w:rsidR="009757A9" w:rsidRDefault="000D2E34">
      <w:pPr>
        <w:spacing w:before="414" w:after="772" w:line="240" w:lineRule="exact"/>
        <w:ind w:left="864" w:right="1080"/>
        <w:textAlignment w:val="baseline"/>
        <w:rPr>
          <w:rFonts w:ascii="Tahoma" w:eastAsia="Tahoma" w:hAnsi="Tahoma"/>
          <w:color w:val="404042"/>
          <w:spacing w:val="4"/>
          <w:sz w:val="18"/>
        </w:rPr>
      </w:pPr>
      <w:r>
        <w:rPr>
          <w:noProof/>
          <w:lang w:val="en-AU" w:eastAsia="en-AU"/>
        </w:rPr>
        <mc:AlternateContent>
          <mc:Choice Requires="wps">
            <w:drawing>
              <wp:anchor distT="0" distB="0" distL="114300" distR="114300" simplePos="0" relativeHeight="251852288" behindDoc="0" locked="0" layoutInCell="1" allowOverlap="1" wp14:anchorId="0E275863" wp14:editId="167697D9">
                <wp:simplePos x="0" y="0"/>
                <wp:positionH relativeFrom="page">
                  <wp:posOffset>826135</wp:posOffset>
                </wp:positionH>
                <wp:positionV relativeFrom="page">
                  <wp:posOffset>7056120</wp:posOffset>
                </wp:positionV>
                <wp:extent cx="5907405" cy="0"/>
                <wp:effectExtent l="0" t="0" r="0" b="0"/>
                <wp:wrapNone/>
                <wp:docPr id="877" name="Lin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3270C" id="Line 598" o:spid="_x0000_s1026" style="position:absolute;z-index:25185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55.6pt" to="530.2pt,5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gT0QEAAIYDAAAOAAAAZHJzL2Uyb0RvYy54bWysU8Fu2zAMvQ/YPwi6L3a6pkmMOD0k6y7Z&#10;FqDtBzCSbAuTREFSYufvJ8lJ1m23YheBEsnHx0dq9ThoRU7CeYmmptNJSYkwDLk0bU1fX54+LSjx&#10;AQwHhUbU9Cw8fVx//LDqbSXusEPFhSMRxPiqtzXtQrBVUXjWCQ1+glaY6GzQaQjx6tqCO+gjulbF&#10;XVk+FD06bh0y4X183Y5Ous74TSNY+NE0XgSiahq5hXy6fB7SWaxXULUObCfZhQa8g4UGaWLRG9QW&#10;ApCjk/9AackcemzChKEusGkkE7mH2M20/Kub5w6syL1Ecby9yeT/Hyz7fto7InlNF/M5JQZ0HNJO&#10;GkFmy0VSp7e+ikEbs3epPzaYZ7tD9tMTg5sOTCsyy5ezjYnTlFH8kZIu3sYah/4b8hgDx4BZqqFx&#10;OkFGEciQJ3K+TUQMgbD4OFuW8/tyRgm7+gqoronW+fBVoCbJqKmKrDMwnHY+JCJQXUNSHYNPUqk8&#10;cGVIX9OHz7MyJ3hUkidnCvOuPWyUIydIK1POl8v73FX0vA1LyFvw3RiXXeMyOTwanqt0AviXix1A&#10;qtGOrJS5qJSEGSU+ID/v3VW9OOxM/7KYaZve3nP27++z/gUAAP//AwBQSwMEFAAGAAgAAAAhAHTh&#10;VFjbAAAADgEAAA8AAABkcnMvZG93bnJldi54bWxMj0FPwzAMhe9I/IfISNxYsgETKk0nNLTTLrAh&#10;cfUar+1onKrJuu7f4x0Q88nPfnr+nC9G36qB+tgEtjCdGFDEZXANVxa+tquHF1AxITtsA5OFM0VY&#10;FLc3OWYunPiThk2qlIRwzNBCnVKXaR3LmjzGSeiIZbcPvccksq+06/Ek4b7VM2Pm2mPDcqHGjpY1&#10;lT+bo7ewQrP9cOt1OMTv5/MSk3bvNFh7fze+vYJKNKZ/M1zwBR0KYdqFI7uoWtGPZipWaaRmoC4W&#10;MzdPoHZ/M13k+vqN4hcAAP//AwBQSwECLQAUAAYACAAAACEAtoM4kv4AAADhAQAAEwAAAAAAAAAA&#10;AAAAAAAAAAAAW0NvbnRlbnRfVHlwZXNdLnhtbFBLAQItABQABgAIAAAAIQA4/SH/1gAAAJQBAAAL&#10;AAAAAAAAAAAAAAAAAC8BAABfcmVscy8ucmVsc1BLAQItABQABgAIAAAAIQCYAegT0QEAAIYDAAAO&#10;AAAAAAAAAAAAAAAAAC4CAABkcnMvZTJvRG9jLnhtbFBLAQItABQABgAIAAAAIQB04VRY2wAAAA4B&#10;AAAPAAAAAAAAAAAAAAAAACsEAABkcnMvZG93bnJldi54bWxQSwUGAAAAAAQABADzAAAAMwUAAAAA&#10;" strokecolor="#007994" strokeweight=".5pt">
                <w10:wrap anchorx="page" anchory="page"/>
              </v:line>
            </w:pict>
          </mc:Fallback>
        </mc:AlternateContent>
      </w:r>
      <w:r w:rsidR="00083242">
        <w:rPr>
          <w:rFonts w:ascii="Tahoma" w:eastAsia="Tahoma" w:hAnsi="Tahoma"/>
          <w:color w:val="404042"/>
          <w:spacing w:val="4"/>
          <w:sz w:val="18"/>
        </w:rPr>
        <w:t>A Learner Profile would bring a number of significant benefits. A broader view of student achievement will encourage subject selection that aligns with interests and skills, rather than choosing subjects in order to maximise an ATAR. Less reliance on academic scores will allow students to develop skills valued by employers, which in turn can lead to improved tertiary selection and employment outcomes. Focusing on assessing a broader range of attributes beyond the ATAR can help reduce the unnecessary pressure of Year 12 exams, and ill-founded perceptions that the ATAR will determine employment prospects for the rest of a student’s life. It would send out a clear message to students and their parents about how society views success at school. It would help frame career-oriented conversations between students and their teachers. It would centre attention on a student’s range of attributes and potential.</w:t>
      </w:r>
    </w:p>
    <w:p w14:paraId="3B11F15D" w14:textId="77777777" w:rsidR="009757A9" w:rsidRDefault="000D2E34">
      <w:pPr>
        <w:spacing w:before="80" w:line="171" w:lineRule="exact"/>
        <w:ind w:left="792"/>
        <w:textAlignment w:val="baseline"/>
        <w:rPr>
          <w:rFonts w:ascii="Tahoma" w:eastAsia="Tahoma" w:hAnsi="Tahoma"/>
          <w:color w:val="404042"/>
          <w:spacing w:val="3"/>
          <w:sz w:val="14"/>
        </w:rPr>
      </w:pPr>
      <w:r>
        <w:rPr>
          <w:noProof/>
          <w:lang w:val="en-AU" w:eastAsia="en-AU"/>
        </w:rPr>
        <mc:AlternateContent>
          <mc:Choice Requires="wps">
            <w:drawing>
              <wp:anchor distT="0" distB="0" distL="114300" distR="114300" simplePos="0" relativeHeight="251853312" behindDoc="0" locked="0" layoutInCell="1" allowOverlap="1" wp14:anchorId="5EAC170D" wp14:editId="0AFD48E9">
                <wp:simplePos x="0" y="0"/>
                <wp:positionH relativeFrom="page">
                  <wp:posOffset>539750</wp:posOffset>
                </wp:positionH>
                <wp:positionV relativeFrom="page">
                  <wp:posOffset>9034145</wp:posOffset>
                </wp:positionV>
                <wp:extent cx="917575" cy="0"/>
                <wp:effectExtent l="0" t="0" r="0" b="0"/>
                <wp:wrapNone/>
                <wp:docPr id="876" name="Lin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B5ABA" id="Line 597" o:spid="_x0000_s1026" style="position:absolute;z-index:25185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1.35pt" to="114.75pt,7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jsRzQEAAIYDAAAOAAAAZHJzL2Uyb0RvYy54bWysU8GO2jAQvVfqP1i+lwQkYDci7AG6vdAW&#10;abcfMNhOYtXxWLYh8PcdO8Bu21vVHCyPZ+bNmzeT1dO5N+ykfNBoaz6dlJwpK1Bq29b8x+vzpwfO&#10;QgQrwaBVNb+owJ/WHz+sBlepGXZopPKMQGyoBlfzLkZXFUUQneohTNApS84GfQ+RTN8W0sNA6L0p&#10;ZmW5KAb00nkUKgR63Y5Ovs74TaNE/N40QUVmak7cYj59Pg/pLNYrqFoPrtPiSgP+gUUP2lLRO9QW&#10;IrCj139B9Vp4DNjEicC+wKbRQuUeqJtp+Uc3Lx04lXshcYK7yxT+H6z4dtp7pmXNH5YLziz0NKSd&#10;torNH5dJncGFioI2du9Tf+JsX9wOxc/ALG46sK3KLF8vjhKnKaP4LSUZwVGNw/AVJcXAMWKW6tz4&#10;PkGSCOycJ3K5T0SdIxP0+DhdzpdzzsTNVUB1y3M+xC8Ke5YuNTdEOuPCaRdi4gHVLSSVsfisjcnz&#10;NpYNRHZWLuY5I6DRMnlTXPDtYWM8O0FamfzlrsjzPixBbyF0Y1x2jcvk8WhlLtMpkJ+v9wjajHei&#10;ZexVpSTMKPEB5WXvb+rRsDP/62KmbXpv5+y332f9CwAA//8DAFBLAwQUAAYACAAAACEAQdGv+98A&#10;AAAMAQAADwAAAGRycy9kb3ducmV2LnhtbEyPwU7DMBBE70j8g7WVuCDqYKWQpnEqVAluICggenTj&#10;bRIRr6PYbcLfsxwQHHd2NPOmWE+uEyccQutJw/U8AYFUedtSreHt9f4qAxGiIWs6T6jhCwOsy/Oz&#10;wuTWj/SCp22sBYdQyI2GJsY+lzJUDToT5r5H4t/BD85EPoda2sGMHO46qZLkRjrTEjc0psdNg9Xn&#10;9ug0SJlk6fT+MT6mlyFrd5t69/D0rPXFbLpbgYg4xT8z/OAzOpTMtPdHskF0GrIFT4msp0rdgmCH&#10;UssFiP2vJMtC/h9RfgMAAP//AwBQSwECLQAUAAYACAAAACEAtoM4kv4AAADhAQAAEwAAAAAAAAAA&#10;AAAAAAAAAAAAW0NvbnRlbnRfVHlwZXNdLnhtbFBLAQItABQABgAIAAAAIQA4/SH/1gAAAJQBAAAL&#10;AAAAAAAAAAAAAAAAAC8BAABfcmVscy8ucmVsc1BLAQItABQABgAIAAAAIQDx3jsRzQEAAIYDAAAO&#10;AAAAAAAAAAAAAAAAAC4CAABkcnMvZTJvRG9jLnhtbFBLAQItABQABgAIAAAAIQBB0a/73wAAAAwB&#10;AAAPAAAAAAAAAAAAAAAAACcEAABkcnMvZG93bnJldi54bWxQSwUGAAAAAAQABADzAAAAMwUAAAAA&#10;" strokeweight=".95pt">
                <w10:wrap anchorx="page" anchory="page"/>
              </v:line>
            </w:pict>
          </mc:Fallback>
        </mc:AlternateContent>
      </w:r>
      <w:r w:rsidR="00083242">
        <w:rPr>
          <w:rFonts w:ascii="Tahoma" w:eastAsia="Tahoma" w:hAnsi="Tahoma"/>
          <w:color w:val="404042"/>
          <w:spacing w:val="3"/>
          <w:sz w:val="14"/>
        </w:rPr>
        <w:t>47 O’Connell, Milligan and Bentley (2019), p. 7.</w:t>
      </w:r>
    </w:p>
    <w:p w14:paraId="3A653F79" w14:textId="77777777" w:rsidR="009757A9" w:rsidRDefault="00083242">
      <w:pPr>
        <w:spacing w:before="26" w:line="171" w:lineRule="exact"/>
        <w:ind w:left="792"/>
        <w:textAlignment w:val="baseline"/>
        <w:rPr>
          <w:rFonts w:ascii="Tahoma" w:eastAsia="Tahoma" w:hAnsi="Tahoma"/>
          <w:color w:val="404042"/>
          <w:spacing w:val="2"/>
          <w:sz w:val="14"/>
        </w:rPr>
      </w:pPr>
      <w:r>
        <w:rPr>
          <w:rFonts w:ascii="Tahoma" w:eastAsia="Tahoma" w:hAnsi="Tahoma"/>
          <w:color w:val="404042"/>
          <w:spacing w:val="2"/>
          <w:sz w:val="14"/>
        </w:rPr>
        <w:t>48 Social Deck (2020), p. 6.</w:t>
      </w:r>
    </w:p>
    <w:p w14:paraId="5940D1C2" w14:textId="77777777" w:rsidR="009757A9" w:rsidRDefault="00083242">
      <w:pPr>
        <w:tabs>
          <w:tab w:val="left" w:pos="1368"/>
        </w:tabs>
        <w:spacing w:before="592" w:after="638" w:line="205" w:lineRule="exact"/>
        <w:ind w:left="792"/>
        <w:textAlignment w:val="baseline"/>
        <w:rPr>
          <w:rFonts w:ascii="Arial" w:eastAsia="Arial" w:hAnsi="Arial"/>
          <w:b/>
          <w:color w:val="5556A1"/>
          <w:spacing w:val="2"/>
          <w:sz w:val="18"/>
        </w:rPr>
      </w:pPr>
      <w:r>
        <w:rPr>
          <w:rFonts w:ascii="Arial" w:eastAsia="Arial" w:hAnsi="Arial"/>
          <w:b/>
          <w:color w:val="5556A1"/>
          <w:spacing w:val="2"/>
          <w:sz w:val="18"/>
        </w:rPr>
        <w:t>48</w:t>
      </w:r>
      <w:r>
        <w:rPr>
          <w:rFonts w:ascii="Tahoma" w:eastAsia="Tahoma" w:hAnsi="Tahoma"/>
          <w:color w:val="404042"/>
          <w:spacing w:val="2"/>
          <w:sz w:val="14"/>
        </w:rPr>
        <w:tab/>
        <w:t>Looking to the future</w:t>
      </w:r>
    </w:p>
    <w:p w14:paraId="26BBE049" w14:textId="77777777" w:rsidR="009757A9" w:rsidRDefault="00083242">
      <w:pPr>
        <w:textAlignment w:val="baseline"/>
      </w:pPr>
      <w:r>
        <w:rPr>
          <w:noProof/>
          <w:lang w:val="en-AU" w:eastAsia="en-AU"/>
        </w:rPr>
        <w:drawing>
          <wp:inline distT="0" distB="0" distL="0" distR="0" wp14:anchorId="31E2B76F" wp14:editId="61A3FE48">
            <wp:extent cx="7562215" cy="462915"/>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5"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10981E13" w14:textId="77777777" w:rsidR="009757A9" w:rsidRDefault="009757A9">
      <w:pPr>
        <w:sectPr w:rsidR="009757A9">
          <w:pgSz w:w="11909" w:h="16838"/>
          <w:pgMar w:top="1080" w:right="0" w:bottom="0" w:left="0" w:header="720" w:footer="720" w:gutter="0"/>
          <w:cols w:space="720"/>
        </w:sectPr>
      </w:pPr>
    </w:p>
    <w:p w14:paraId="36C6724E" w14:textId="77777777" w:rsidR="009757A9" w:rsidRDefault="00083242">
      <w:pPr>
        <w:spacing w:line="240" w:lineRule="exact"/>
        <w:ind w:left="864" w:right="1368"/>
        <w:textAlignment w:val="baseline"/>
        <w:rPr>
          <w:rFonts w:ascii="Tahoma" w:eastAsia="Tahoma" w:hAnsi="Tahoma"/>
          <w:color w:val="404042"/>
          <w:sz w:val="18"/>
        </w:rPr>
      </w:pPr>
      <w:r>
        <w:rPr>
          <w:rFonts w:ascii="Tahoma" w:eastAsia="Tahoma" w:hAnsi="Tahoma"/>
          <w:color w:val="404042"/>
          <w:sz w:val="18"/>
        </w:rPr>
        <w:lastRenderedPageBreak/>
        <w:t>It is proposed that the Learner Profile include complementary academic and non-academic measures in order to provide a holistic view of each student’s capabilities for employment and active citizenship. These should include:</w:t>
      </w:r>
    </w:p>
    <w:p w14:paraId="761BE509" w14:textId="77777777" w:rsidR="009757A9" w:rsidRDefault="00083242">
      <w:pPr>
        <w:numPr>
          <w:ilvl w:val="0"/>
          <w:numId w:val="6"/>
        </w:numPr>
        <w:tabs>
          <w:tab w:val="clear" w:pos="216"/>
          <w:tab w:val="left" w:pos="1080"/>
        </w:tabs>
        <w:spacing w:before="105" w:line="218" w:lineRule="exact"/>
        <w:ind w:left="1080" w:hanging="216"/>
        <w:textAlignment w:val="baseline"/>
        <w:rPr>
          <w:rFonts w:ascii="Tahoma" w:eastAsia="Tahoma" w:hAnsi="Tahoma"/>
          <w:color w:val="404042"/>
          <w:spacing w:val="2"/>
          <w:sz w:val="18"/>
        </w:rPr>
      </w:pPr>
      <w:r>
        <w:rPr>
          <w:rFonts w:ascii="Tahoma" w:eastAsia="Tahoma" w:hAnsi="Tahoma"/>
          <w:color w:val="404042"/>
          <w:spacing w:val="2"/>
          <w:sz w:val="18"/>
        </w:rPr>
        <w:t>the ATAR (where relevant)</w:t>
      </w:r>
    </w:p>
    <w:p w14:paraId="272E8E25" w14:textId="77777777" w:rsidR="009757A9" w:rsidRDefault="00083242">
      <w:pPr>
        <w:numPr>
          <w:ilvl w:val="0"/>
          <w:numId w:val="6"/>
        </w:numPr>
        <w:tabs>
          <w:tab w:val="clear" w:pos="216"/>
          <w:tab w:val="left" w:pos="1080"/>
        </w:tabs>
        <w:spacing w:before="104"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individual subject results</w:t>
      </w:r>
    </w:p>
    <w:p w14:paraId="400FEF4B" w14:textId="77777777" w:rsidR="009757A9" w:rsidRDefault="00083242">
      <w:pPr>
        <w:numPr>
          <w:ilvl w:val="0"/>
          <w:numId w:val="6"/>
        </w:numPr>
        <w:tabs>
          <w:tab w:val="clear" w:pos="216"/>
          <w:tab w:val="left" w:pos="1080"/>
        </w:tabs>
        <w:spacing w:before="86" w:line="240"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VET competencies and certificates</w:t>
      </w:r>
    </w:p>
    <w:p w14:paraId="3E5BDF85" w14:textId="77777777"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minimum literacy, numeracy and digital literacy achievement</w:t>
      </w:r>
    </w:p>
    <w:p w14:paraId="659AD1E6" w14:textId="77777777" w:rsidR="009757A9" w:rsidRDefault="00083242">
      <w:pPr>
        <w:numPr>
          <w:ilvl w:val="0"/>
          <w:numId w:val="6"/>
        </w:numPr>
        <w:tabs>
          <w:tab w:val="clear" w:pos="216"/>
          <w:tab w:val="left" w:pos="1080"/>
        </w:tabs>
        <w:spacing w:before="83" w:line="240" w:lineRule="exact"/>
        <w:ind w:left="1080" w:right="1008" w:hanging="216"/>
        <w:textAlignment w:val="baseline"/>
        <w:rPr>
          <w:rFonts w:ascii="Tahoma" w:eastAsia="Tahoma" w:hAnsi="Tahoma"/>
          <w:color w:val="404042"/>
          <w:sz w:val="18"/>
        </w:rPr>
      </w:pPr>
      <w:r>
        <w:rPr>
          <w:rFonts w:ascii="Tahoma" w:eastAsia="Tahoma" w:hAnsi="Tahoma"/>
          <w:color w:val="404042"/>
          <w:sz w:val="18"/>
        </w:rPr>
        <w:t>broader capabilities (for example, employment experiences, caring responsibilities, sports achievements, interests and hobbies).</w:t>
      </w:r>
    </w:p>
    <w:p w14:paraId="7F73438F" w14:textId="77777777" w:rsidR="009757A9" w:rsidRDefault="00083242">
      <w:pPr>
        <w:spacing w:before="171" w:line="240" w:lineRule="exact"/>
        <w:ind w:left="864" w:right="864"/>
        <w:textAlignment w:val="baseline"/>
        <w:rPr>
          <w:rFonts w:ascii="Tahoma" w:eastAsia="Tahoma" w:hAnsi="Tahoma"/>
          <w:color w:val="404042"/>
          <w:sz w:val="18"/>
        </w:rPr>
      </w:pPr>
      <w:r>
        <w:rPr>
          <w:rFonts w:ascii="Tahoma" w:eastAsia="Tahoma" w:hAnsi="Tahoma"/>
          <w:color w:val="404042"/>
          <w:sz w:val="18"/>
        </w:rPr>
        <w:t>Students would be encouraged to use a Learner Profile to identify their strengths and weaknesses while they are still studying, and use these both to set goals and see how their profiles match up to potential pathways. Participants at youth forums expressed enthusiasm about the potential benefits of gaining and demonstrating their capabilities during and as they leave school.</w:t>
      </w:r>
      <w:r>
        <w:rPr>
          <w:rFonts w:ascii="Tahoma" w:eastAsia="Tahoma" w:hAnsi="Tahoma"/>
          <w:color w:val="404042"/>
          <w:sz w:val="18"/>
          <w:vertAlign w:val="superscript"/>
        </w:rPr>
        <w:t>49</w:t>
      </w:r>
      <w:r>
        <w:rPr>
          <w:rFonts w:ascii="Tahoma" w:eastAsia="Tahoma" w:hAnsi="Tahoma"/>
          <w:color w:val="404042"/>
          <w:sz w:val="11"/>
        </w:rPr>
        <w:t xml:space="preserve"> </w:t>
      </w:r>
    </w:p>
    <w:p w14:paraId="03F3D172" w14:textId="038D434A" w:rsidR="009757A9" w:rsidRDefault="00083242">
      <w:pPr>
        <w:spacing w:before="168" w:after="413"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The Learner Profile should be something that students could commence working on in Year 9 as part of a pathways planning process. The students should be given agency to identify their own capabilities and assisted to evidence and articulate these. It will be equally important that the Learner Profile does not lead to an additional burden on teachers, but is incorporated in the work they already undertake on assessing students’ general capabilities. It should be seen as an essential element of career guidance and an important contributor to the provision of pastoral care.</w:t>
      </w:r>
    </w:p>
    <w:tbl>
      <w:tblPr>
        <w:tblStyle w:val="TableGrid"/>
        <w:tblW w:w="0" w:type="auto"/>
        <w:tblInd w:w="864" w:type="dxa"/>
        <w:tblLook w:val="04A0" w:firstRow="1" w:lastRow="0" w:firstColumn="1" w:lastColumn="0" w:noHBand="0" w:noVBand="1"/>
      </w:tblPr>
      <w:tblGrid>
        <w:gridCol w:w="9978"/>
      </w:tblGrid>
      <w:tr w:rsidR="00DA1C79" w14:paraId="4DE904D7" w14:textId="77777777" w:rsidTr="00055ADD">
        <w:trPr>
          <w:trHeight w:val="1777"/>
        </w:trPr>
        <w:tc>
          <w:tcPr>
            <w:tcW w:w="9978" w:type="dxa"/>
            <w:tcBorders>
              <w:top w:val="single" w:sz="4" w:space="0" w:color="auto"/>
              <w:left w:val="single" w:sz="4" w:space="0" w:color="auto"/>
              <w:bottom w:val="single" w:sz="4" w:space="0" w:color="auto"/>
              <w:right w:val="single" w:sz="4" w:space="0" w:color="auto"/>
            </w:tcBorders>
            <w:shd w:val="clear" w:color="auto" w:fill="ECF3FA"/>
          </w:tcPr>
          <w:p w14:paraId="0ECD3414" w14:textId="77777777" w:rsidR="00DA1C79" w:rsidRDefault="00DA1C79" w:rsidP="00DA1C79">
            <w:pPr>
              <w:spacing w:before="24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4</w:t>
            </w:r>
          </w:p>
          <w:p w14:paraId="1F279E1A" w14:textId="16A06C33" w:rsidR="00DA1C79" w:rsidRPr="00DA1C79" w:rsidRDefault="00DA1C79" w:rsidP="00DA1C79">
            <w:pPr>
              <w:spacing w:before="160" w:after="230" w:line="240" w:lineRule="exact"/>
              <w:ind w:left="504" w:right="648"/>
              <w:textAlignment w:val="baseline"/>
              <w:rPr>
                <w:rFonts w:ascii="Tahoma" w:eastAsia="Tahoma" w:hAnsi="Tahoma"/>
                <w:color w:val="404042"/>
                <w:spacing w:val="6"/>
                <w:sz w:val="18"/>
              </w:rPr>
            </w:pPr>
            <w:r>
              <w:rPr>
                <w:rFonts w:ascii="Tahoma" w:eastAsia="Tahoma" w:hAnsi="Tahoma"/>
                <w:color w:val="404042"/>
                <w:spacing w:val="6"/>
                <w:sz w:val="18"/>
              </w:rPr>
              <w:t>Students should leave school with a Learner Profile that incorporates not only their ATAR score (where relevant) together with their individual subject results, but that also captures the broader range of evidenced capabilities necessary for employment and active citizenship that they have acquired in senior secondary schooling.</w:t>
            </w:r>
          </w:p>
        </w:tc>
      </w:tr>
    </w:tbl>
    <w:p w14:paraId="3BB6A5B5" w14:textId="1EC28C4D" w:rsidR="009757A9" w:rsidRDefault="00083242" w:rsidP="00DA1C79">
      <w:pPr>
        <w:spacing w:before="240" w:line="215" w:lineRule="exact"/>
        <w:ind w:left="864"/>
        <w:textAlignment w:val="baseline"/>
        <w:rPr>
          <w:rFonts w:ascii="Arial" w:eastAsia="Arial" w:hAnsi="Arial"/>
          <w:i/>
          <w:color w:val="007896"/>
          <w:spacing w:val="1"/>
          <w:sz w:val="18"/>
        </w:rPr>
      </w:pPr>
      <w:r>
        <w:rPr>
          <w:rFonts w:ascii="Arial" w:eastAsia="Arial" w:hAnsi="Arial"/>
          <w:i/>
          <w:color w:val="007896"/>
          <w:spacing w:val="1"/>
          <w:sz w:val="18"/>
        </w:rPr>
        <w:t>Implementation guidance</w:t>
      </w:r>
    </w:p>
    <w:p w14:paraId="68FFD96F" w14:textId="77777777" w:rsidR="009757A9" w:rsidRDefault="00083242">
      <w:pPr>
        <w:spacing w:before="162" w:line="240" w:lineRule="exact"/>
        <w:ind w:left="864" w:right="1224"/>
        <w:textAlignment w:val="baseline"/>
        <w:rPr>
          <w:rFonts w:ascii="Tahoma" w:eastAsia="Tahoma" w:hAnsi="Tahoma"/>
          <w:color w:val="404042"/>
          <w:sz w:val="18"/>
        </w:rPr>
      </w:pPr>
      <w:r>
        <w:rPr>
          <w:rFonts w:ascii="Tahoma" w:eastAsia="Tahoma" w:hAnsi="Tahoma"/>
          <w:color w:val="404042"/>
          <w:sz w:val="18"/>
        </w:rPr>
        <w:t>In developing this recommendation, the Panel has taken guidance from research, best practice and submissions, as well as extensive engagement and an initial co-design process with young people.</w:t>
      </w:r>
    </w:p>
    <w:p w14:paraId="3A455882" w14:textId="77777777" w:rsidR="009757A9" w:rsidRDefault="00083242">
      <w:pPr>
        <w:spacing w:before="165"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Again, introducing a Learner Profile is a bold step. But it is already underway and its benefits are being demonstrated. Work to implement a Learner Profile approach is being trialled in individual schools and in some school systems. There is a lot we can learn from their experiences. These efforts should be accelerated and expanded to implement a Learner Profile for all senior secondary students. What is innovative at the periphery of education should become part of the core of student assessment.</w:t>
      </w:r>
    </w:p>
    <w:p w14:paraId="11613D42" w14:textId="77777777" w:rsidR="009757A9" w:rsidRDefault="00083242">
      <w:pPr>
        <w:spacing w:before="176" w:line="240"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t>The Panel envisages that the Learner Profile would complement rather than replace the current SSCE. While the Learner Profile would not require the development of a single national model, there would be clear benefits to a level of consistency that would allow tertiary institutions and employers to navigate more easily the different state and territory profiles.</w:t>
      </w:r>
    </w:p>
    <w:p w14:paraId="5A77D222" w14:textId="77777777" w:rsidR="009757A9" w:rsidRDefault="00083242">
      <w:pPr>
        <w:spacing w:before="168" w:after="859"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As a first step, Education Council should develop a national framework indicating the elements that should be included in the Learner Profile. It is unrealistic to expect prescriptive uniformity. Rather, the framework would provide guidance to local systems and certifying authorities, while still allowing Learner Profiles to be flexibly adapted for local implementation.</w:t>
      </w:r>
    </w:p>
    <w:p w14:paraId="4D604528" w14:textId="77777777" w:rsidR="00DA1C79" w:rsidRDefault="00DA1C79">
      <w:pPr>
        <w:spacing w:before="75" w:line="171" w:lineRule="exact"/>
        <w:ind w:left="864"/>
        <w:textAlignment w:val="baseline"/>
        <w:rPr>
          <w:rFonts w:ascii="Tahoma" w:eastAsia="Tahoma" w:hAnsi="Tahoma"/>
          <w:color w:val="404042"/>
          <w:spacing w:val="9"/>
          <w:sz w:val="14"/>
        </w:rPr>
      </w:pPr>
    </w:p>
    <w:p w14:paraId="0D6D9D76" w14:textId="2698E7F0" w:rsidR="00DA1C79" w:rsidRDefault="00DA1C79">
      <w:pPr>
        <w:spacing w:before="75" w:line="171" w:lineRule="exact"/>
        <w:ind w:left="864"/>
        <w:textAlignment w:val="baseline"/>
        <w:rPr>
          <w:rFonts w:ascii="Tahoma" w:eastAsia="Tahoma" w:hAnsi="Tahoma"/>
          <w:color w:val="404042"/>
          <w:spacing w:val="9"/>
          <w:sz w:val="14"/>
        </w:rPr>
      </w:pPr>
    </w:p>
    <w:p w14:paraId="53069F8E" w14:textId="5E9A6D31" w:rsidR="001A7473" w:rsidRDefault="001A7473">
      <w:pPr>
        <w:spacing w:before="75" w:line="171" w:lineRule="exact"/>
        <w:ind w:left="864"/>
        <w:textAlignment w:val="baseline"/>
        <w:rPr>
          <w:rFonts w:ascii="Tahoma" w:eastAsia="Tahoma" w:hAnsi="Tahoma"/>
          <w:color w:val="404042"/>
          <w:spacing w:val="9"/>
          <w:sz w:val="14"/>
        </w:rPr>
      </w:pPr>
    </w:p>
    <w:p w14:paraId="41C5554B" w14:textId="655BCE89" w:rsidR="009757A9" w:rsidRDefault="001A7473">
      <w:pPr>
        <w:spacing w:before="75" w:line="171" w:lineRule="exact"/>
        <w:ind w:left="864"/>
        <w:textAlignment w:val="baseline"/>
        <w:rPr>
          <w:rFonts w:ascii="Tahoma" w:eastAsia="Tahoma" w:hAnsi="Tahoma"/>
          <w:color w:val="404042"/>
          <w:spacing w:val="9"/>
          <w:sz w:val="14"/>
        </w:rPr>
      </w:pPr>
      <w:r>
        <w:rPr>
          <w:noProof/>
          <w:lang w:val="en-AU" w:eastAsia="en-AU"/>
        </w:rPr>
        <mc:AlternateContent>
          <mc:Choice Requires="wps">
            <w:drawing>
              <wp:anchor distT="0" distB="0" distL="114300" distR="114300" simplePos="0" relativeHeight="251857408" behindDoc="0" locked="0" layoutInCell="1" allowOverlap="1" wp14:anchorId="20D8893B" wp14:editId="7A2B3DF3">
                <wp:simplePos x="0" y="0"/>
                <wp:positionH relativeFrom="page">
                  <wp:posOffset>539750</wp:posOffset>
                </wp:positionH>
                <wp:positionV relativeFrom="page">
                  <wp:posOffset>9257665</wp:posOffset>
                </wp:positionV>
                <wp:extent cx="917575" cy="0"/>
                <wp:effectExtent l="0" t="0" r="0" b="0"/>
                <wp:wrapNone/>
                <wp:docPr id="868" name="Lin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CDEBE" id="Line 589" o:spid="_x0000_s1026" style="position:absolute;z-index:25185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28.95pt" to="114.75pt,7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nCzgEAAIYDAAAOAAAAZHJzL2Uyb0RvYy54bWysU01v2zAMvQ/YfxB0X+wESJoacXpI1l2y&#10;LUC7H8BIsi1MFgVJiZ1/P0r5aLfdhvkgiCL5+PhIr57G3rCT8kGjrfl0UnKmrECpbVvzH6/Pn5ac&#10;hQhWgkGran5WgT+tP35YDa5SM+zQSOUZgdhQDa7mXYyuKoogOtVDmKBTlpwN+h4imb4tpIeB0HtT&#10;zMpyUQzopfMoVAj0ur04+TrjN40S8XvTBBWZqTlxi/n0+Tyks1ivoGo9uE6LKw34BxY9aEtF71Bb&#10;iMCOXv8F1WvhMWATJwL7AptGC5V7oG6m5R/dvHTgVO6FxAnuLlP4f7Di22nvmZY1Xy5oVBZ6GtJO&#10;W8Xmy8ekzuBCRUEbu/epPzHaF7dD8TMwi5sObKsyy9ezo8Rpyih+S0lGcFTjMHxFSTFwjJilGhvf&#10;J0gSgY15Iuf7RNQYmaDHx+nD/GHOmbi5Cqhuec6H+EVhz9Kl5oZIZ1w47UJMPKC6haQyFp+1MXne&#10;xrKByM7KxTxnBDRaJm+KC749bIxnJ0grk7/cFXnehyXoLYTuEpddl2XyeLQyl+kUyM/XewRtLnei&#10;ZexVpSTMReIDyvPe39SjYWf+18VM2/Teztlvv8/6FwAAAP//AwBQSwMEFAAGAAgAAAAhANO771Tg&#10;AAAADAEAAA8AAABkcnMvZG93bnJldi54bWxMj8FOwzAQRO9I/IO1lbgg6hAlkIY4FaoEN1BpQfTo&#10;xtskIl5HsduEv2c5IHrc2dHMm2I52U6ccPCtIwW38wgEUuVMS7WC9+3TTQbCB01Gd45QwTd6WJaX&#10;F4XOjRvpDU+bUAsOIZ9rBU0IfS6lrxq02s9dj8S/gxusDnwOtTSDHjncdjKOojtpdUvc0OgeVw1W&#10;X5ujVSBllCXTx+f4klz7rN2t6t3z61qpq9n0+AAi4BT+zfCLz+hQMtPeHcl40SnIUp4SWE/S+wUI&#10;dsTxIgWx/5NkWcjzEeUPAAAA//8DAFBLAQItABQABgAIAAAAIQC2gziS/gAAAOEBAAATAAAAAAAA&#10;AAAAAAAAAAAAAABbQ29udGVudF9UeXBlc10ueG1sUEsBAi0AFAAGAAgAAAAhADj9If/WAAAAlAEA&#10;AAsAAAAAAAAAAAAAAAAALwEAAF9yZWxzLy5yZWxzUEsBAi0AFAAGAAgAAAAhAB14GcLOAQAAhgMA&#10;AA4AAAAAAAAAAAAAAAAALgIAAGRycy9lMm9Eb2MueG1sUEsBAi0AFAAGAAgAAAAhANO771TgAAAA&#10;DAEAAA8AAAAAAAAAAAAAAAAAKAQAAGRycy9kb3ducmV2LnhtbFBLBQYAAAAABAAEAPMAAAA1BQAA&#10;AAA=&#10;" strokeweight=".95pt">
                <w10:wrap anchorx="page" anchory="page"/>
              </v:line>
            </w:pict>
          </mc:Fallback>
        </mc:AlternateContent>
      </w:r>
      <w:r w:rsidR="00083242">
        <w:rPr>
          <w:rFonts w:ascii="Tahoma" w:eastAsia="Tahoma" w:hAnsi="Tahoma"/>
          <w:color w:val="404042"/>
          <w:spacing w:val="9"/>
          <w:sz w:val="14"/>
        </w:rPr>
        <w:t>49 Ibid.</w:t>
      </w:r>
    </w:p>
    <w:p w14:paraId="4A65EA26" w14:textId="77777777" w:rsidR="009757A9" w:rsidRDefault="006B3019">
      <w:pPr>
        <w:tabs>
          <w:tab w:val="left" w:pos="10872"/>
        </w:tabs>
        <w:spacing w:before="590" w:after="640" w:line="205" w:lineRule="exact"/>
        <w:ind w:left="8856"/>
        <w:textAlignment w:val="baseline"/>
        <w:rPr>
          <w:rFonts w:ascii="Tahoma" w:eastAsia="Tahoma" w:hAnsi="Tahoma"/>
          <w:color w:val="404042"/>
          <w:sz w:val="14"/>
        </w:rPr>
      </w:pPr>
      <w:r>
        <w:rPr>
          <w:noProof/>
          <w:lang w:val="en-AU" w:eastAsia="en-AU"/>
        </w:rPr>
        <w:drawing>
          <wp:anchor distT="0" distB="0" distL="114300" distR="114300" simplePos="0" relativeHeight="252034560" behindDoc="1" locked="0" layoutInCell="1" allowOverlap="1" wp14:anchorId="3AD319A0" wp14:editId="51157EFB">
            <wp:simplePos x="0" y="0"/>
            <wp:positionH relativeFrom="page">
              <wp:align>right</wp:align>
            </wp:positionH>
            <wp:positionV relativeFrom="paragraph">
              <wp:posOffset>820420</wp:posOffset>
            </wp:positionV>
            <wp:extent cx="7562215" cy="462915"/>
            <wp:effectExtent l="0" t="0" r="635" b="0"/>
            <wp:wrapNone/>
            <wp:docPr id="78" name="Picture"/>
            <wp:cNvGraphicFramePr/>
            <a:graphic xmlns:a="http://schemas.openxmlformats.org/drawingml/2006/main">
              <a:graphicData uri="http://schemas.openxmlformats.org/drawingml/2006/picture">
                <pic:pic xmlns:pic="http://schemas.openxmlformats.org/drawingml/2006/picture">
                  <pic:nvPicPr>
                    <pic:cNvPr id="78" name="Picture"/>
                    <pic:cNvPicPr preferRelativeResize="0"/>
                  </pic:nvPicPr>
                  <pic:blipFill>
                    <a:blip r:embed="rId116">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1: Essential skills</w:t>
      </w:r>
      <w:r w:rsidR="00083242">
        <w:rPr>
          <w:rFonts w:ascii="Arial" w:eastAsia="Arial" w:hAnsi="Arial"/>
          <w:b/>
          <w:color w:val="5556A1"/>
          <w:sz w:val="18"/>
        </w:rPr>
        <w:tab/>
        <w:t>49</w:t>
      </w:r>
    </w:p>
    <w:p w14:paraId="42D48DB8" w14:textId="77777777" w:rsidR="009757A9" w:rsidRDefault="009757A9">
      <w:pPr>
        <w:textAlignment w:val="baseline"/>
      </w:pPr>
    </w:p>
    <w:p w14:paraId="6F4DA47B" w14:textId="77777777" w:rsidR="009757A9" w:rsidRDefault="009757A9">
      <w:pPr>
        <w:sectPr w:rsidR="009757A9">
          <w:pgSz w:w="11909" w:h="16838"/>
          <w:pgMar w:top="1080" w:right="0" w:bottom="0" w:left="0" w:header="720" w:footer="720" w:gutter="0"/>
          <w:cols w:space="720"/>
        </w:sectPr>
      </w:pPr>
    </w:p>
    <w:p w14:paraId="10ABFE52" w14:textId="77777777" w:rsidR="009757A9" w:rsidRDefault="00083242">
      <w:pPr>
        <w:spacing w:line="239"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lastRenderedPageBreak/>
        <w:t>Education Council could usefully sponsor the development of a number of Learner Profile prototypes (such as the example in Figure 6 on pages 52–53) for the purposes of testing and assessment. It is essential that both students and teachers be part of the design process of these reforms. The audience for a Learner Profile should be considered in the development phase and therefore governments, education authorities and industry associations all need to be involved.</w:t>
      </w:r>
    </w:p>
    <w:p w14:paraId="3148382D" w14:textId="77777777" w:rsidR="009757A9" w:rsidRDefault="00083242">
      <w:pPr>
        <w:spacing w:before="171" w:line="240" w:lineRule="exact"/>
        <w:ind w:left="864" w:right="864"/>
        <w:textAlignment w:val="baseline"/>
        <w:rPr>
          <w:rFonts w:ascii="Tahoma" w:eastAsia="Tahoma" w:hAnsi="Tahoma"/>
          <w:color w:val="404042"/>
          <w:sz w:val="18"/>
        </w:rPr>
      </w:pPr>
      <w:r>
        <w:rPr>
          <w:rFonts w:ascii="Tahoma" w:eastAsia="Tahoma" w:hAnsi="Tahoma"/>
          <w:color w:val="404042"/>
          <w:sz w:val="18"/>
        </w:rPr>
        <w:t>There are a number of implementation issues and risks associated with the Learner Profile that will need to be carefully worked through. These include transparency, validity and reliability of information, teacher workload and the need to avoid disadvantaging vulnerable cohorts.</w:t>
      </w:r>
    </w:p>
    <w:p w14:paraId="3A9FEC84" w14:textId="77777777" w:rsidR="009757A9" w:rsidRDefault="00083242">
      <w:pPr>
        <w:spacing w:before="173"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Equity was of particular concern to stakeholders, who were anxious to ensure due consideration was given to acknowledging the issues associated with where a person lives, cultural differences, disability and socioeconomic backgrounds. For instance, Australian Bureau of Statistics data from 2012 shows that close to half of all Australian children living in the most disadvantaged communities did not participate in either sport or cultural activities outside of school hours, compared to nearly one in 10 children living in the most advantaged communities.</w:t>
      </w:r>
      <w:r>
        <w:rPr>
          <w:rFonts w:ascii="Tahoma" w:eastAsia="Tahoma" w:hAnsi="Tahoma"/>
          <w:color w:val="404042"/>
          <w:spacing w:val="5"/>
          <w:sz w:val="18"/>
          <w:vertAlign w:val="superscript"/>
        </w:rPr>
        <w:t>50</w:t>
      </w:r>
      <w:r>
        <w:rPr>
          <w:rFonts w:ascii="Tahoma" w:eastAsia="Tahoma" w:hAnsi="Tahoma"/>
          <w:color w:val="404042"/>
          <w:spacing w:val="5"/>
          <w:sz w:val="10"/>
        </w:rPr>
        <w:t xml:space="preserve"> </w:t>
      </w:r>
    </w:p>
    <w:p w14:paraId="24415973" w14:textId="77777777" w:rsidR="009757A9" w:rsidRDefault="00083242">
      <w:pPr>
        <w:spacing w:before="168"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It is for such reasons that the Panel strongly emphasises the need to incorporate in the Learner Profile the capabilities that students acquire from part-time work. Such skills, deemed on-the-job, have intrinsic value. But the inclusion of workplace experience also has the advantage that students from financially disadvantaged families are more likely to undertake part-time or casual work while at school. Recognition of the value of part-time work in acquiring competencies would help to address concerns that the elements set out in a Learner Profile would inadvertently advantage the children of higher-income and professional families.</w:t>
      </w:r>
    </w:p>
    <w:p w14:paraId="7A114DEA" w14:textId="77777777" w:rsidR="009757A9" w:rsidRDefault="00083242">
      <w:pPr>
        <w:spacing w:before="173"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If implemented thoughtfully, there is potential for the Learner Profile to also highlight the sorts of life skills that children facing more challenging circumstances gain through less traditional extracurricular experiences, such as caring for family members or acting as an interpreter for non-English-speaking parents. It is also possible that, in partnership with communities, the skills and attributes that Aboriginal and Torres Strait Islander students gain through undertaking traditional cultural experiences could be articulated and recognised.</w:t>
      </w:r>
    </w:p>
    <w:p w14:paraId="04E7129B" w14:textId="77777777" w:rsidR="009757A9" w:rsidRDefault="00083242">
      <w:pPr>
        <w:spacing w:before="168"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The implementation of a Learner Profile needs to be verifiable, equitable, trustworthy, comparable and reliable. The most common challenge raised by educators was about how skills would be assessed in a school setting, and recorded consistently and equitably, particularly when learning took place outside the school. Educators noted the importance of ensuring that there is clear guidance and systems to help teachers know how to assess the extent to which the identified attributes have been gained and demonstrated over time.</w:t>
      </w:r>
      <w:r>
        <w:rPr>
          <w:rFonts w:ascii="Tahoma" w:eastAsia="Tahoma" w:hAnsi="Tahoma"/>
          <w:color w:val="404042"/>
          <w:spacing w:val="5"/>
          <w:sz w:val="18"/>
          <w:vertAlign w:val="superscript"/>
        </w:rPr>
        <w:t>51</w:t>
      </w:r>
      <w:r>
        <w:rPr>
          <w:rFonts w:ascii="Tahoma" w:eastAsia="Tahoma" w:hAnsi="Tahoma"/>
          <w:color w:val="404042"/>
          <w:spacing w:val="5"/>
          <w:sz w:val="10"/>
        </w:rPr>
        <w:t xml:space="preserve"> </w:t>
      </w:r>
    </w:p>
    <w:p w14:paraId="2FC17CE1" w14:textId="77777777" w:rsidR="009757A9" w:rsidRDefault="00083242">
      <w:pPr>
        <w:spacing w:before="169"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These issues will all require careful consideration during the implementation process. They should not deter Education Council beginning the process at once in a systematic manner. Each jurisdiction and school authority might be encouraged in a collaborative fashion to trial and pilot approaches. It is the Panel’s belief that implementation issues can be overcome, and that the resulting benefits will lead to overall improvement of outcomes for senior secondary students, education systems, tertiary institutions and employers. We have included two case studies (see pages 51,54) in order to inform further discussion.</w:t>
      </w:r>
    </w:p>
    <w:p w14:paraId="2CE0A2E6" w14:textId="77777777" w:rsidR="009757A9" w:rsidRDefault="00083242">
      <w:pPr>
        <w:spacing w:before="171" w:after="2381"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When senior secondary students can understand and articulate the full range of their capabilities, achievements and strengths, they are far better placed to make informed choices about their pathways beyond school. They will be much more prepared to find employment, gain acceptance by an education provider or undertake training. They will be more prepared for life. Perhaps, most importantly, they will have a greater appreciation of the purpose of school.</w:t>
      </w:r>
    </w:p>
    <w:p w14:paraId="40D61F41" w14:textId="77777777" w:rsidR="009757A9" w:rsidRDefault="000D2E34">
      <w:pPr>
        <w:spacing w:before="48" w:line="202" w:lineRule="exact"/>
        <w:ind w:left="1080" w:right="1080"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58432" behindDoc="0" locked="0" layoutInCell="1" allowOverlap="1" wp14:anchorId="5849AE55" wp14:editId="1DB1C6F3">
                <wp:simplePos x="0" y="0"/>
                <wp:positionH relativeFrom="page">
                  <wp:posOffset>539750</wp:posOffset>
                </wp:positionH>
                <wp:positionV relativeFrom="page">
                  <wp:posOffset>8906510</wp:posOffset>
                </wp:positionV>
                <wp:extent cx="917575" cy="0"/>
                <wp:effectExtent l="0" t="0" r="0" b="0"/>
                <wp:wrapNone/>
                <wp:docPr id="867" name="Lin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118A6" id="Line 588" o:spid="_x0000_s1026" style="position:absolute;z-index:25185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01.3pt" to="114.75pt,7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8azQEAAIYDAAAOAAAAZHJzL2Uyb0RvYy54bWysU8uO2zAMvBfoPwi6N04C5FEjzh6Sbi9p&#10;G2C3H8BIsi1UFgVJiZ2/LyUn6ba9FfVBEEVyOBzSm6ehM+yifNBoKz6bTDlTVqDUtqn499fnD2vO&#10;QgQrwaBVFb+qwJ+2799teleqObZopPKMQGwoe1fxNkZXFkUQreogTNApS84afQeRTN8U0kNP6J0p&#10;5tPpsujRS+dRqBDodT86+Tbj17US8VtdBxWZqThxi/n0+Tyls9huoGw8uFaLGw34BxYdaEtFH1B7&#10;iMDOXv8F1WnhMWAdJwK7AutaC5V7oG5m0z+6eWnBqdwLiRPcQ6bw/2DF18vRMy0rvl6uOLPQ0ZAO&#10;2iq2WK+TOr0LJQXt7NGn/sRgX9wBxY/ALO5asI3KLF+vjhJnKaP4LSUZwVGNU/8FJcXAOWKWaqh9&#10;lyBJBDbkiVwfE1FDZIIeP85Wi9WCM3F3FVDe85wP8bPCjqVLxQ2RzrhwOYSYeEB5D0llLD5rY/K8&#10;jWU9kZ1Pl4ucEdBombwpLvjmtDOeXSCtTP5yV+R5G5ag9xDaMS67xmXyeLYyl2kVyE+3ewRtxjvR&#10;MvamUhJmlPiE8nr0d/Vo2Jn/bTHTNr21c/av32f7EwAA//8DAFBLAwQUAAYACAAAACEASY/5wN8A&#10;AAAMAQAADwAAAGRycy9kb3ducmV2LnhtbEyPwU7DMBBE70j8g7WVuCBqE6VVCHEqVAluIGhB9OjG&#10;2yQiXkex24S/ZzkgetzZ0cybYjW5TpxwCK0nDbdzBQKp8ralWsP79vEmAxGiIWs6T6jhGwOsysuL&#10;wuTWj/SGp02sBYdQyI2GJsY+lzJUDToT5r5H4t/BD85EPoda2sGMHO46mSi1lM60xA2N6XHdYPW1&#10;OToNUqosnT4+x+f0OmTtbl3vnl5etb6aTQ/3ICJO8d8Mv/iMDiUz7f2RbBCdhmzBUyLrqUqWINiR&#10;JHcLEPs/SZaFPB9R/gAAAP//AwBQSwECLQAUAAYACAAAACEAtoM4kv4AAADhAQAAEwAAAAAAAAAA&#10;AAAAAAAAAAAAW0NvbnRlbnRfVHlwZXNdLnhtbFBLAQItABQABgAIAAAAIQA4/SH/1gAAAJQBAAAL&#10;AAAAAAAAAAAAAAAAAC8BAABfcmVscy8ucmVsc1BLAQItABQABgAIAAAAIQAAqT8azQEAAIYDAAAO&#10;AAAAAAAAAAAAAAAAAC4CAABkcnMvZTJvRG9jLnhtbFBLAQItABQABgAIAAAAIQBJj/nA3wAAAAwB&#10;AAAPAAAAAAAAAAAAAAAAACcEAABkcnMvZG93bnJldi54bWxQSwUGAAAAAAQABADzAAAAMwUAAAAA&#10;" strokeweight=".95pt">
                <w10:wrap anchorx="page" anchory="page"/>
              </v:line>
            </w:pict>
          </mc:Fallback>
        </mc:AlternateContent>
      </w:r>
      <w:r w:rsidR="00083242">
        <w:rPr>
          <w:rFonts w:ascii="Tahoma" w:eastAsia="Tahoma" w:hAnsi="Tahoma"/>
          <w:color w:val="404042"/>
          <w:sz w:val="14"/>
        </w:rPr>
        <w:t xml:space="preserve">50 Data cited in Smith Family (2013), ‘Sport, culture and the internet: Are Australian children participating?’, research report, June 2013, p. 2, </w:t>
      </w:r>
      <w:hyperlink r:id="rId117">
        <w:r w:rsidR="00083242">
          <w:rPr>
            <w:rFonts w:ascii="Tahoma" w:eastAsia="Tahoma" w:hAnsi="Tahoma"/>
            <w:color w:val="0000FF"/>
            <w:sz w:val="14"/>
            <w:u w:val="single"/>
          </w:rPr>
          <w:t xml:space="preserve">https:// </w:t>
        </w:r>
      </w:hyperlink>
      <w:r w:rsidR="00083242">
        <w:rPr>
          <w:rFonts w:ascii="Tahoma" w:eastAsia="Tahoma" w:hAnsi="Tahoma"/>
          <w:color w:val="0000FF"/>
          <w:sz w:val="14"/>
          <w:u w:val="single"/>
        </w:rPr>
        <w:t>www.thesmithfamily.com.au/-/media/files/research/reports/participation-research-report-june-2013.pdf</w:t>
      </w:r>
      <w:r w:rsidR="00083242">
        <w:rPr>
          <w:rFonts w:ascii="Tahoma" w:eastAsia="Tahoma" w:hAnsi="Tahoma"/>
          <w:color w:val="404042"/>
          <w:sz w:val="14"/>
        </w:rPr>
        <w:t>.</w:t>
      </w:r>
    </w:p>
    <w:p w14:paraId="7179E850" w14:textId="77777777" w:rsidR="009757A9" w:rsidRDefault="00083242">
      <w:pPr>
        <w:spacing w:before="26" w:line="171" w:lineRule="exact"/>
        <w:ind w:left="864"/>
        <w:textAlignment w:val="baseline"/>
        <w:rPr>
          <w:rFonts w:ascii="Tahoma" w:eastAsia="Tahoma" w:hAnsi="Tahoma"/>
          <w:color w:val="404042"/>
          <w:spacing w:val="1"/>
          <w:sz w:val="14"/>
        </w:rPr>
      </w:pPr>
      <w:r>
        <w:rPr>
          <w:rFonts w:ascii="Tahoma" w:eastAsia="Tahoma" w:hAnsi="Tahoma"/>
          <w:color w:val="404042"/>
          <w:spacing w:val="1"/>
          <w:sz w:val="14"/>
        </w:rPr>
        <w:t>51 Social Deck (2020), p. 14.</w:t>
      </w:r>
    </w:p>
    <w:p w14:paraId="6CD22DE3" w14:textId="77777777" w:rsidR="009757A9" w:rsidRDefault="00083242">
      <w:pPr>
        <w:tabs>
          <w:tab w:val="left" w:pos="1368"/>
        </w:tabs>
        <w:spacing w:before="592" w:after="638"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50</w:t>
      </w:r>
      <w:r>
        <w:rPr>
          <w:rFonts w:ascii="Tahoma" w:eastAsia="Tahoma" w:hAnsi="Tahoma"/>
          <w:color w:val="404042"/>
          <w:spacing w:val="4"/>
          <w:sz w:val="14"/>
        </w:rPr>
        <w:tab/>
        <w:t>Looking to the future</w:t>
      </w:r>
    </w:p>
    <w:p w14:paraId="56373BCC" w14:textId="77777777" w:rsidR="009757A9" w:rsidRDefault="00083242">
      <w:pPr>
        <w:textAlignment w:val="baseline"/>
      </w:pPr>
      <w:r>
        <w:rPr>
          <w:noProof/>
          <w:lang w:val="en-AU" w:eastAsia="en-AU"/>
        </w:rPr>
        <w:drawing>
          <wp:inline distT="0" distB="0" distL="0" distR="0" wp14:anchorId="482A2A79" wp14:editId="14AC47C4">
            <wp:extent cx="7562215" cy="462915"/>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79" name="Picture"/>
                    <pic:cNvPicPr preferRelativeResize="0"/>
                  </pic:nvPicPr>
                  <pic:blipFill>
                    <a:blip r:embed="rId38"/>
                    <a:stretch>
                      <a:fillRect/>
                    </a:stretch>
                  </pic:blipFill>
                  <pic:spPr>
                    <a:xfrm>
                      <a:off x="0" y="0"/>
                      <a:ext cx="7562215" cy="462915"/>
                    </a:xfrm>
                    <a:prstGeom prst="rect">
                      <a:avLst/>
                    </a:prstGeom>
                  </pic:spPr>
                </pic:pic>
              </a:graphicData>
            </a:graphic>
          </wp:inline>
        </w:drawing>
      </w:r>
    </w:p>
    <w:p w14:paraId="1FFDF553" w14:textId="77777777" w:rsidR="009757A9" w:rsidRDefault="009757A9">
      <w:pPr>
        <w:sectPr w:rsidR="009757A9">
          <w:pgSz w:w="11909" w:h="16838"/>
          <w:pgMar w:top="1080" w:right="0" w:bottom="0" w:left="0" w:header="720" w:footer="720" w:gutter="0"/>
          <w:cols w:space="720"/>
        </w:sectPr>
      </w:pPr>
    </w:p>
    <w:p w14:paraId="6CB9406D"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358720" behindDoc="1" locked="0" layoutInCell="1" allowOverlap="1" wp14:anchorId="3049DB95" wp14:editId="1C79B182">
                <wp:simplePos x="0" y="0"/>
                <wp:positionH relativeFrom="page">
                  <wp:posOffset>539750</wp:posOffset>
                </wp:positionH>
                <wp:positionV relativeFrom="page">
                  <wp:posOffset>719455</wp:posOffset>
                </wp:positionV>
                <wp:extent cx="6659880" cy="8387715"/>
                <wp:effectExtent l="0" t="0" r="0" b="0"/>
                <wp:wrapSquare wrapText="bothSides"/>
                <wp:docPr id="866"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838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CAAF" w14:textId="77777777" w:rsidR="00490F33" w:rsidRDefault="00490F33">
                            <w:pPr>
                              <w:textAlignment w:val="baseline"/>
                            </w:pPr>
                            <w:r>
                              <w:rPr>
                                <w:noProof/>
                                <w:lang w:val="en-AU" w:eastAsia="en-AU"/>
                              </w:rPr>
                              <w:drawing>
                                <wp:inline distT="0" distB="0" distL="0" distR="0" wp14:anchorId="70F785F4" wp14:editId="32606334">
                                  <wp:extent cx="6659880" cy="8387715"/>
                                  <wp:effectExtent l="0" t="0" r="0" b="0"/>
                                  <wp:docPr id="80" name="Picture" descr="Rooty Hill high school logo&#10;&#10;computer screen shot of capabilities (text is not legible): Information and communications technology; work and enterprise; literacy; personal, social, and ethical understanding; critical and creative thinking; numeracy; civics, citizenship and sustainability; difference and diversity."/>
                                  <wp:cNvGraphicFramePr/>
                                  <a:graphic xmlns:a="http://schemas.openxmlformats.org/drawingml/2006/main">
                                    <a:graphicData uri="http://schemas.openxmlformats.org/drawingml/2006/picture">
                                      <pic:pic xmlns:pic="http://schemas.openxmlformats.org/drawingml/2006/picture">
                                        <pic:nvPicPr>
                                          <pic:cNvPr id="80" name="Picture" descr="Rooty Hill high school logo&#10;&#10;computer screen shot of capabilities (text is not legible): Information and communications technology; work and enterprise; literacy; personal, social, and ethical understanding; critical and creative thinking; numeracy; civics, citizenship and sustainability; difference and diversity."/>
                                          <pic:cNvPicPr preferRelativeResize="0"/>
                                        </pic:nvPicPr>
                                        <pic:blipFill>
                                          <a:blip r:embed="rId118"/>
                                          <a:stretch>
                                            <a:fillRect/>
                                          </a:stretch>
                                        </pic:blipFill>
                                        <pic:spPr>
                                          <a:xfrm>
                                            <a:off x="0" y="0"/>
                                            <a:ext cx="6659880" cy="83877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9DB95" id="Text Box 587" o:spid="_x0000_s1074" type="#_x0000_t202" style="position:absolute;margin-left:42.5pt;margin-top:56.65pt;width:524.4pt;height:660.45pt;z-index:-25195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q8QEAAMMDAAAOAAAAZHJzL2Uyb0RvYy54bWysU9tu2zAMfR+wfxD0vjjplsQz4hRdiw4D&#10;ugvQ7gMYWY6F2aJGKbGzrx8lx1m3vQ17ESiSOjw8pDbXQ9eKoyZv0JZyMZtLoa3Cyth9Kb8+3b/K&#10;pfABbAUtWl3Kk/byevvyxaZ3hb7CBttKk2AQ64velbIJwRVZ5lWjO/AzdNpysEbqIPCV9llF0DN6&#10;12ZX8/kq65EqR6i09+y9G4Nym/DrWqvwua69DqItJXML6aR07uKZbTdQ7AlcY9SZBvwDiw6M5aIX&#10;qDsIIA5k/oLqjCL0WIeZwi7DujZKpx64m8X8j24eG3A69cLieHeRyf8/WPXp+IWEqUqZr1ZSWOh4&#10;SE96COIdDmKZr6NCvfMFJz46Tg0DB3jSqVvvHlB988LibQN2r2+IsG80VMxwEV9mz56OOD6C7PqP&#10;WHEhOARMQENNXZSPBRGMzpM6XaYTySh2rlbLt3nOIcWx/HW+Xi+WqQYU03NHPrzX2IlolJJ4/Ake&#10;jg8+RDpQTCmxmsV707ZpBVr7m4MToyfRj4xH7mHYDUmrN/kkyw6rEzdEOG4W/wQ2GqQfUvS8VaX0&#10;3w9AWor2g2VR4gpOBk3GbjLAKn5ayiDFaN6GcVUPjsy+YeRRdos3LFxtUktR4ZHFmS9vSur0vNVx&#10;FZ/fU9avv7f9CQAA//8DAFBLAwQUAAYACAAAACEAmqAXIeAAAAAMAQAADwAAAGRycy9kb3ducmV2&#10;LnhtbEyPQU/DMAyF70j8h8hI3Fi6dUyjNJ0mBCckRFcOHNPGa6M1Tmmyrfx7vNO4PdtPz9/LN5Pr&#10;xQnHYD0pmM8SEEiNN5ZaBV/V28MaRIiajO49oYJfDLApbm9ynRl/phJPu9gKDqGQaQVdjEMmZWg6&#10;dDrM/IDEt70fnY48jq00oz5zuOvlIklW0mlL/KHTA7502Bx2R6dg+03lq/35qD/LfWmr6imh99VB&#10;qfu7afsMIuIUr2a44DM6FMxU+yOZIHoF60euEnk/T1MQFwMLLlOzWqbLBcgil/9LFH8AAAD//wMA&#10;UEsBAi0AFAAGAAgAAAAhALaDOJL+AAAA4QEAABMAAAAAAAAAAAAAAAAAAAAAAFtDb250ZW50X1R5&#10;cGVzXS54bWxQSwECLQAUAAYACAAAACEAOP0h/9YAAACUAQAACwAAAAAAAAAAAAAAAAAvAQAAX3Jl&#10;bHMvLnJlbHNQSwECLQAUAAYACAAAACEA7WoP6vEBAADDAwAADgAAAAAAAAAAAAAAAAAuAgAAZHJz&#10;L2Uyb0RvYy54bWxQSwECLQAUAAYACAAAACEAmqAXIeAAAAAMAQAADwAAAAAAAAAAAAAAAABLBAAA&#10;ZHJzL2Rvd25yZXYueG1sUEsFBgAAAAAEAAQA8wAAAFgFAAAAAA==&#10;" filled="f" stroked="f">
                <v:textbox inset="0,0,0,0">
                  <w:txbxContent>
                    <w:p w14:paraId="3960CAAF" w14:textId="77777777" w:rsidR="00490F33" w:rsidRDefault="00490F33">
                      <w:pPr>
                        <w:textAlignment w:val="baseline"/>
                      </w:pPr>
                      <w:r>
                        <w:rPr>
                          <w:noProof/>
                          <w:lang w:val="en-AU" w:eastAsia="en-AU"/>
                        </w:rPr>
                        <w:drawing>
                          <wp:inline distT="0" distB="0" distL="0" distR="0" wp14:anchorId="70F785F4" wp14:editId="32606334">
                            <wp:extent cx="6659880" cy="8387715"/>
                            <wp:effectExtent l="0" t="0" r="0" b="0"/>
                            <wp:docPr id="80" name="Picture" descr="Rooty Hill high school logo&#10;&#10;computer screen shot of capabilities (text is not legible): Information and communications technology; work and enterprise; literacy; personal, social, and ethical understanding; critical and creative thinking; numeracy; civics, citizenship and sustainability; difference and diversity."/>
                            <wp:cNvGraphicFramePr/>
                            <a:graphic xmlns:a="http://schemas.openxmlformats.org/drawingml/2006/main">
                              <a:graphicData uri="http://schemas.openxmlformats.org/drawingml/2006/picture">
                                <pic:pic xmlns:pic="http://schemas.openxmlformats.org/drawingml/2006/picture">
                                  <pic:nvPicPr>
                                    <pic:cNvPr id="80" name="Picture" descr="Rooty Hill high school logo&#10;&#10;computer screen shot of capabilities (text is not legible): Information and communications technology; work and enterprise; literacy; personal, social, and ethical understanding; critical and creative thinking; numeracy; civics, citizenship and sustainability; difference and diversity."/>
                                    <pic:cNvPicPr preferRelativeResize="0"/>
                                  </pic:nvPicPr>
                                  <pic:blipFill>
                                    <a:blip r:embed="rId118"/>
                                    <a:stretch>
                                      <a:fillRect/>
                                    </a:stretch>
                                  </pic:blipFill>
                                  <pic:spPr>
                                    <a:xfrm>
                                      <a:off x="0" y="0"/>
                                      <a:ext cx="6659880" cy="838771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59744" behindDoc="1" locked="0" layoutInCell="1" allowOverlap="1" wp14:anchorId="039B7B8E" wp14:editId="7EDFBA51">
                <wp:simplePos x="0" y="0"/>
                <wp:positionH relativeFrom="page">
                  <wp:posOffset>4182110</wp:posOffset>
                </wp:positionH>
                <wp:positionV relativeFrom="page">
                  <wp:posOffset>951230</wp:posOffset>
                </wp:positionV>
                <wp:extent cx="2371090" cy="2133600"/>
                <wp:effectExtent l="0" t="0" r="0" b="0"/>
                <wp:wrapSquare wrapText="bothSides"/>
                <wp:docPr id="865"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5FC29" w14:textId="77777777" w:rsidR="00490F33" w:rsidRDefault="00490F33">
                            <w:pPr>
                              <w:spacing w:line="239" w:lineRule="exact"/>
                              <w:textAlignment w:val="baseline"/>
                              <w:rPr>
                                <w:rFonts w:ascii="Tahoma" w:eastAsia="Tahoma" w:hAnsi="Tahoma"/>
                                <w:color w:val="424041"/>
                                <w:spacing w:val="4"/>
                                <w:sz w:val="18"/>
                              </w:rPr>
                            </w:pPr>
                            <w:r>
                              <w:rPr>
                                <w:rFonts w:ascii="Tahoma" w:eastAsia="Tahoma" w:hAnsi="Tahoma"/>
                                <w:color w:val="424041"/>
                                <w:spacing w:val="4"/>
                                <w:sz w:val="18"/>
                              </w:rPr>
                              <w:t>The Learning Portfolio supplements the traditional academic reports for students, parents, employers and tertiary partners. As a tool, it allows students to articulate and evidence their skills, capabilities and dispositions when making applications for scholarships, employment and tertiary entry programs. As a self-assessment task, it allows students to go beyond traditional teacher-driven assessment and feedback to a position where students can explain what they know about the ways of knowing, doing and being in each capability and in each subject.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B7B8E" id="Text Box 586" o:spid="_x0000_s1075" type="#_x0000_t202" style="position:absolute;margin-left:329.3pt;margin-top:74.9pt;width:186.7pt;height:168pt;z-index:-25195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nS8gEAAMMDAAAOAAAAZHJzL2Uyb0RvYy54bWysU21v0zAQ/o7Ef7D8nSZtWemiptPYNIQ0&#10;BtLGD7g6TmOR+MzZbTJ+PWenKQO+Ib5Y53t5/Nxz583V0LXiqMkbtKWcz3IptFVYGbsv5denuzdr&#10;KXwAW0GLVpfyWXt5tX39atO7Qi+wwbbSJBjE+qJ3pWxCcEWWedXoDvwMnbYcrJE6CHylfVYR9Ize&#10;tdkiz1dZj1Q5QqW9Z+/tGJTbhF/XWoXPde11EG0pmVtIJ6VzF89su4FiT+Aao0404B9YdGAsP3qG&#10;uoUA4kDmL6jOKEKPdZgp7DKsa6N06oG7med/dPPYgNOpFxbHu7NM/v/BqofjFxKmKuV6dSGFhY6H&#10;9KSHIN7jIC7Wq6hQ73zBiY+OU8PAAZ506ta7e1TfvLB404Dd62si7BsNFTOcx8rsRemI4yPIrv+E&#10;FT8Eh4AJaKipi/KxIILReVLP5+lEMoqdi+W7eX7JIcWxxXy5XOVpfhkUU7kjHz5o7EQ0Skk8/gQP&#10;x3sfIh0oppT4msU707ZpBVr7m4MToyfRj4xH7mHYDUmrt5eTLDusnrkhwnGz+Cew0SD9kKLnrSql&#10;/34A0lK0Hy2LEldwMmgydpMBVnFpKYMUo3kTxlU9ODL7hpFH2S1es3C1SS1FhUcWJ768KanT01bH&#10;VXx5T1m//t72JwAAAP//AwBQSwMEFAAGAAgAAAAhAKbwHCLhAAAADAEAAA8AAABkcnMvZG93bnJl&#10;di54bWxMj8FOwzAQRO9I/IO1lbhRu6WN0hCnqhCckBBpOHB0YjexGq9D7Lbh79meynE1o9n38u3k&#10;enY2Y7AeJSzmApjBxmuLrYSv6u0xBRaiQq16j0bCrwmwLe7vcpVpf8HSnPexZTSCIVMSuhiHjPPQ&#10;dMapMPeDQcoOfnQq0jm2XI/qQuOu50shEu6URfrQqcG8dKY57k9Owu4by1f781F/lofSVtVG4Hty&#10;lPJhNu2egUUzxVsZrviEDgUx1f6EOrBeQrJOE6pSsNqQw7UhnpakV0tYpesUeJHz/xLFHwAAAP//&#10;AwBQSwECLQAUAAYACAAAACEAtoM4kv4AAADhAQAAEwAAAAAAAAAAAAAAAAAAAAAAW0NvbnRlbnRf&#10;VHlwZXNdLnhtbFBLAQItABQABgAIAAAAIQA4/SH/1gAAAJQBAAALAAAAAAAAAAAAAAAAAC8BAABf&#10;cmVscy8ucmVsc1BLAQItABQABgAIAAAAIQChJjnS8gEAAMMDAAAOAAAAAAAAAAAAAAAAAC4CAABk&#10;cnMvZTJvRG9jLnhtbFBLAQItABQABgAIAAAAIQCm8Bwi4QAAAAwBAAAPAAAAAAAAAAAAAAAAAEwE&#10;AABkcnMvZG93bnJldi54bWxQSwUGAAAAAAQABADzAAAAWgUAAAAA&#10;" filled="f" stroked="f">
                <v:textbox inset="0,0,0,0">
                  <w:txbxContent>
                    <w:p w14:paraId="7CA5FC29" w14:textId="77777777" w:rsidR="00490F33" w:rsidRDefault="00490F33">
                      <w:pPr>
                        <w:spacing w:line="239" w:lineRule="exact"/>
                        <w:textAlignment w:val="baseline"/>
                        <w:rPr>
                          <w:rFonts w:ascii="Tahoma" w:eastAsia="Tahoma" w:hAnsi="Tahoma"/>
                          <w:color w:val="424041"/>
                          <w:spacing w:val="4"/>
                          <w:sz w:val="18"/>
                        </w:rPr>
                      </w:pPr>
                      <w:r>
                        <w:rPr>
                          <w:rFonts w:ascii="Tahoma" w:eastAsia="Tahoma" w:hAnsi="Tahoma"/>
                          <w:color w:val="424041"/>
                          <w:spacing w:val="4"/>
                          <w:sz w:val="18"/>
                        </w:rPr>
                        <w:t>The Learning Portfolio supplements the traditional academic reports for students, parents, employers and tertiary partners. As a tool, it allows students to articulate and evidence their skills, capabilities and dispositions when making applications for scholarships, employment and tertiary entry programs. As a self-assessment task, it allows students to go beyond traditional teacher-driven assessment and feedback to a position where students can explain what they know about the ways of knowing, doing and being in each capability and in each subject.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0768" behindDoc="1" locked="0" layoutInCell="1" allowOverlap="1" wp14:anchorId="67FBBD6B" wp14:editId="3F9EA5C9">
                <wp:simplePos x="0" y="0"/>
                <wp:positionH relativeFrom="page">
                  <wp:posOffset>835025</wp:posOffset>
                </wp:positionH>
                <wp:positionV relativeFrom="page">
                  <wp:posOffset>982980</wp:posOffset>
                </wp:positionV>
                <wp:extent cx="2624455" cy="1428115"/>
                <wp:effectExtent l="0" t="0" r="0" b="0"/>
                <wp:wrapSquare wrapText="bothSides"/>
                <wp:docPr id="864"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B6BCC"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F53422F" w14:textId="77777777" w:rsidR="00490F33" w:rsidRDefault="00490F33">
                            <w:pPr>
                              <w:spacing w:line="425"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THE ROOTY HILL</w:t>
                            </w:r>
                          </w:p>
                          <w:p w14:paraId="281ECD15" w14:textId="77777777" w:rsidR="00490F33" w:rsidRDefault="00490F33">
                            <w:pPr>
                              <w:spacing w:line="460" w:lineRule="exact"/>
                              <w:textAlignment w:val="baseline"/>
                              <w:rPr>
                                <w:rFonts w:ascii="Tahoma" w:eastAsia="Tahoma" w:hAnsi="Tahoma"/>
                                <w:color w:val="BF5B1F"/>
                                <w:spacing w:val="20"/>
                                <w:w w:val="95"/>
                                <w:sz w:val="38"/>
                              </w:rPr>
                            </w:pPr>
                            <w:r>
                              <w:rPr>
                                <w:rFonts w:ascii="Tahoma" w:eastAsia="Tahoma" w:hAnsi="Tahoma"/>
                                <w:color w:val="BF5B1F"/>
                                <w:spacing w:val="20"/>
                                <w:w w:val="95"/>
                                <w:sz w:val="38"/>
                              </w:rPr>
                              <w:t>HIGH SCHOOL</w:t>
                            </w:r>
                          </w:p>
                          <w:p w14:paraId="40AE6776" w14:textId="77777777" w:rsidR="00490F33" w:rsidRDefault="00490F33">
                            <w:pPr>
                              <w:spacing w:before="1" w:line="460" w:lineRule="exact"/>
                              <w:textAlignment w:val="baseline"/>
                              <w:rPr>
                                <w:rFonts w:ascii="Tahoma" w:eastAsia="Tahoma" w:hAnsi="Tahoma"/>
                                <w:color w:val="BF5B1F"/>
                                <w:spacing w:val="9"/>
                                <w:w w:val="95"/>
                                <w:sz w:val="38"/>
                              </w:rPr>
                            </w:pPr>
                            <w:r>
                              <w:rPr>
                                <w:rFonts w:ascii="Tahoma" w:eastAsia="Tahoma" w:hAnsi="Tahoma"/>
                                <w:color w:val="BF5B1F"/>
                                <w:spacing w:val="9"/>
                                <w:w w:val="95"/>
                                <w:sz w:val="38"/>
                              </w:rPr>
                              <w:t>LEARNING PORTFOLIO,</w:t>
                            </w:r>
                          </w:p>
                          <w:p w14:paraId="7DC3E29E" w14:textId="77777777" w:rsidR="00490F33" w:rsidRDefault="00490F33">
                            <w:pPr>
                              <w:spacing w:before="1" w:line="450" w:lineRule="exact"/>
                              <w:textAlignment w:val="baseline"/>
                              <w:rPr>
                                <w:rFonts w:ascii="Tahoma" w:eastAsia="Tahoma" w:hAnsi="Tahoma"/>
                                <w:color w:val="BF5B1F"/>
                                <w:spacing w:val="18"/>
                                <w:w w:val="95"/>
                                <w:sz w:val="38"/>
                              </w:rPr>
                            </w:pPr>
                            <w:r>
                              <w:rPr>
                                <w:rFonts w:ascii="Tahoma" w:eastAsia="Tahoma" w:hAnsi="Tahoma"/>
                                <w:color w:val="BF5B1F"/>
                                <w:spacing w:val="18"/>
                                <w:w w:val="95"/>
                                <w:sz w:val="38"/>
                              </w:rPr>
                              <w:t>NEW SOUTH 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BBD6B" id="Text Box 585" o:spid="_x0000_s1076" type="#_x0000_t202" style="position:absolute;margin-left:65.75pt;margin-top:77.4pt;width:206.65pt;height:112.45pt;z-index:-25195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LN8AEAAMMDAAAOAAAAZHJzL2Uyb0RvYy54bWysU8tu2zAQvBfoPxC817IM2zAEy0GaIEWB&#10;9AEk/YAVRVlEJS67pC25X98lZTtpeyt6IVbkcjgzO9rejH0njpq8QVvKfDaXQluFtbH7Un57fni3&#10;kcIHsDV0aHUpT9rLm93bN9vBFXqBLXa1JsEg1heDK2UbgiuyzKtW9+Bn6LTlwwaph8CftM9qgoHR&#10;+y5bzOfrbECqHaHS3vPu/XQodwm/abQKX5rG6yC6UjK3kFZKaxXXbLeFYk/gWqPONOAfWPRgLD96&#10;hbqHAOJA5i+o3ihCj02YKewzbBqjdNLAavL5H2qeWnA6aWFzvLva5P8frPp8/ErC1KXcrJdSWOh5&#10;SM96DOI9jmK1WUWHBucLbnxy3BpGPuBJJ7XePaL67oXFuxbsXt8S4dBqqJlhHm9mr65OOD6CVMMn&#10;rPkhOARMQGNDfbSPDRGMzpM6XacTySjeXKwXy+VqJYXis3y52OR5YpdBcbnuyIcPGnsRi1ISjz/B&#10;w/HRh0gHiktLfM3ig+m6FIHO/rbBjXEn0Y+MJ+5hrMbk1SoFJ2qrsD6xIMIpWfwncNEi/ZRi4FSV&#10;0v84AGkpuo+WTYkRvBR0KapLAVbx1VIGKabyLkxRPTgy+5aRJ9st3rJxjUmSXlic+XJSktJzqmMU&#10;X3+nrpd/b/cLAAD//wMAUEsDBBQABgAIAAAAIQD18wTf4AAAAAsBAAAPAAAAZHJzL2Rvd25yZXYu&#10;eG1sTI/NTsMwEITvSLyDtUjcqFPa9CeNU1UITkiINBw4Osk2sRqvQ+y24e3ZnsptRvtpdibdjrYT&#10;Zxy8caRgOolAIFWuNtQo+CrenlYgfNBU684RKvhFD9vs/i7VSe0ulON5HxrBIeQTraANoU+k9FWL&#10;VvuJ65H4dnCD1YHt0Mh60BcOt518jqKFtNoQf2h1jy8tVsf9ySrYfVP+an4+ys/8kJuiWEf0vjgq&#10;9fgw7jYgAo7hBsO1PleHjDuV7kS1Fx372TRmlEU85w1MxPOrKBXMluslyCyV/zdkfwAAAP//AwBQ&#10;SwECLQAUAAYACAAAACEAtoM4kv4AAADhAQAAEwAAAAAAAAAAAAAAAAAAAAAAW0NvbnRlbnRfVHlw&#10;ZXNdLnhtbFBLAQItABQABgAIAAAAIQA4/SH/1gAAAJQBAAALAAAAAAAAAAAAAAAAAC8BAABfcmVs&#10;cy8ucmVsc1BLAQItABQABgAIAAAAIQCOxpLN8AEAAMMDAAAOAAAAAAAAAAAAAAAAAC4CAABkcnMv&#10;ZTJvRG9jLnhtbFBLAQItABQABgAIAAAAIQD18wTf4AAAAAsBAAAPAAAAAAAAAAAAAAAAAEoEAABk&#10;cnMvZG93bnJldi54bWxQSwUGAAAAAAQABADzAAAAVwUAAAAA&#10;" filled="f" stroked="f">
                <v:textbox inset="0,0,0,0">
                  <w:txbxContent>
                    <w:p w14:paraId="34AB6BCC"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F53422F" w14:textId="77777777" w:rsidR="00490F33" w:rsidRDefault="00490F33">
                      <w:pPr>
                        <w:spacing w:line="425"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THE ROOTY HILL</w:t>
                      </w:r>
                    </w:p>
                    <w:p w14:paraId="281ECD15" w14:textId="77777777" w:rsidR="00490F33" w:rsidRDefault="00490F33">
                      <w:pPr>
                        <w:spacing w:line="460" w:lineRule="exact"/>
                        <w:textAlignment w:val="baseline"/>
                        <w:rPr>
                          <w:rFonts w:ascii="Tahoma" w:eastAsia="Tahoma" w:hAnsi="Tahoma"/>
                          <w:color w:val="BF5B1F"/>
                          <w:spacing w:val="20"/>
                          <w:w w:val="95"/>
                          <w:sz w:val="38"/>
                        </w:rPr>
                      </w:pPr>
                      <w:r>
                        <w:rPr>
                          <w:rFonts w:ascii="Tahoma" w:eastAsia="Tahoma" w:hAnsi="Tahoma"/>
                          <w:color w:val="BF5B1F"/>
                          <w:spacing w:val="20"/>
                          <w:w w:val="95"/>
                          <w:sz w:val="38"/>
                        </w:rPr>
                        <w:t>HIGH SCHOOL</w:t>
                      </w:r>
                    </w:p>
                    <w:p w14:paraId="40AE6776" w14:textId="77777777" w:rsidR="00490F33" w:rsidRDefault="00490F33">
                      <w:pPr>
                        <w:spacing w:before="1" w:line="460" w:lineRule="exact"/>
                        <w:textAlignment w:val="baseline"/>
                        <w:rPr>
                          <w:rFonts w:ascii="Tahoma" w:eastAsia="Tahoma" w:hAnsi="Tahoma"/>
                          <w:color w:val="BF5B1F"/>
                          <w:spacing w:val="9"/>
                          <w:w w:val="95"/>
                          <w:sz w:val="38"/>
                        </w:rPr>
                      </w:pPr>
                      <w:r>
                        <w:rPr>
                          <w:rFonts w:ascii="Tahoma" w:eastAsia="Tahoma" w:hAnsi="Tahoma"/>
                          <w:color w:val="BF5B1F"/>
                          <w:spacing w:val="9"/>
                          <w:w w:val="95"/>
                          <w:sz w:val="38"/>
                        </w:rPr>
                        <w:t>LEARNING PORTFOLIO,</w:t>
                      </w:r>
                    </w:p>
                    <w:p w14:paraId="7DC3E29E" w14:textId="77777777" w:rsidR="00490F33" w:rsidRDefault="00490F33">
                      <w:pPr>
                        <w:spacing w:before="1" w:line="450" w:lineRule="exact"/>
                        <w:textAlignment w:val="baseline"/>
                        <w:rPr>
                          <w:rFonts w:ascii="Tahoma" w:eastAsia="Tahoma" w:hAnsi="Tahoma"/>
                          <w:color w:val="BF5B1F"/>
                          <w:spacing w:val="18"/>
                          <w:w w:val="95"/>
                          <w:sz w:val="38"/>
                        </w:rPr>
                      </w:pPr>
                      <w:r>
                        <w:rPr>
                          <w:rFonts w:ascii="Tahoma" w:eastAsia="Tahoma" w:hAnsi="Tahoma"/>
                          <w:color w:val="BF5B1F"/>
                          <w:spacing w:val="18"/>
                          <w:w w:val="95"/>
                          <w:sz w:val="38"/>
                        </w:rPr>
                        <w:t>NEW SOUTH WALES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1792" behindDoc="1" locked="0" layoutInCell="1" allowOverlap="1" wp14:anchorId="444AE9C9" wp14:editId="08F78EBA">
                <wp:simplePos x="0" y="0"/>
                <wp:positionH relativeFrom="page">
                  <wp:posOffset>905510</wp:posOffset>
                </wp:positionH>
                <wp:positionV relativeFrom="page">
                  <wp:posOffset>2587625</wp:posOffset>
                </wp:positionV>
                <wp:extent cx="2379980" cy="1520825"/>
                <wp:effectExtent l="0" t="0" r="0" b="0"/>
                <wp:wrapSquare wrapText="bothSides"/>
                <wp:docPr id="863"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152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03810" w14:textId="77777777" w:rsidR="00490F33" w:rsidRDefault="00490F33">
                            <w:pPr>
                              <w:spacing w:line="239" w:lineRule="exact"/>
                              <w:textAlignment w:val="baseline"/>
                              <w:rPr>
                                <w:rFonts w:ascii="Tahoma" w:eastAsia="Tahoma" w:hAnsi="Tahoma"/>
                                <w:color w:val="424041"/>
                                <w:spacing w:val="7"/>
                                <w:sz w:val="18"/>
                              </w:rPr>
                            </w:pPr>
                            <w:r>
                              <w:rPr>
                                <w:rFonts w:ascii="Tahoma" w:eastAsia="Tahoma" w:hAnsi="Tahoma"/>
                                <w:color w:val="424041"/>
                                <w:spacing w:val="7"/>
                                <w:sz w:val="18"/>
                              </w:rPr>
                              <w:t>Rooty Hill High School in Western Sydney is committed to student agency as a core platform of the school’s commitment to ensuring every student is “known, valued and cared for”. One of the key strategies by which students are encouraged to be active contributors and owners of their personalised learning experience is through the use of a Learning Portfolio called #MyLearningHub.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AE9C9" id="Text Box 584" o:spid="_x0000_s1077" type="#_x0000_t202" style="position:absolute;margin-left:71.3pt;margin-top:203.75pt;width:187.4pt;height:119.75pt;z-index:-25195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vm8QEAAMMDAAAOAAAAZHJzL2Uyb0RvYy54bWysU9tu2zAMfR+wfxD0vjhxly414hRdiw4D&#10;ugvQ7gMYWbaF2aJGKbGzrx8lJ2m3vQ17ESiROjrnkFpfj30n9pq8QVvKxWwuhbYKK2ObUn57un+z&#10;ksIHsBV0aHUpD9rL683rV+vBFTrHFrtKk2AQ64vBlbINwRVZ5lWre/AzdNpyskbqIfCWmqwiGBi9&#10;77J8Pr/MBqTKESrtPZ/eTUm5Sfh1rVX4UtdeB9GVkrmFtFJat3HNNmsoGgLXGnWkAf/Aogdj+dEz&#10;1B0EEDsyf0H1RhF6rMNMYZ9hXRulkwZWs5j/oeaxBaeTFjbHu7NN/v/Bqs/7ryRMVcrV5YUUFnpu&#10;0pMeg3iPo1iu3kaHBucLLnx0XBpGTnCnk1rvHlB998LibQu20TdEOLQaKma4iDezF1cnHB9BtsMn&#10;rPgh2AVMQGNNfbSPDRGMzp06nLsTySg+zC/eXV2tOKU4t1jm81W+TG9AcbruyIcPGnsRg1IStz/B&#10;w/7Bh0gHilNJfM3ivem6NAKd/e2AC+NJoh8ZT9zDuB2TV8skLmrbYnVgQYTTZPFP4KBF+inFwFNV&#10;Sv9jB6Sl6D5aNiWO4CmgU7A9BWAVXy1lkGIKb8M0qjtHpmkZebLd4g0bV5sk6ZnFkS9PSlJ6nOo4&#10;ii/3qer5721+AQAA//8DAFBLAwQUAAYACAAAACEAQXf2++AAAAALAQAADwAAAGRycy9kb3ducmV2&#10;LnhtbEyPwU7DMBBE70j8g7VI3KjdKk1oiFNVCE5IiDQcenRiN7Ear0PstuHvWU5wHO3TzNtiO7uB&#10;XcwUrEcJy4UAZrD12mIn4bN+fXgEFqJCrQaPRsK3CbAtb28KlWt/xcpc9rFjVIIhVxL6GMec89D2&#10;xqmw8KNBuh395FSkOHVcT+pK5W7gKyFS7pRFWujVaJ570572Zydhd8DqxX69Nx/VsbJ1vRH4lp6k&#10;vL+bd0/AopnjHwy/+qQOJTk1/ow6sIFyskoJlZCIbA2MiPUyS4A1EtIkE8DLgv//ofwBAAD//wMA&#10;UEsBAi0AFAAGAAgAAAAhALaDOJL+AAAA4QEAABMAAAAAAAAAAAAAAAAAAAAAAFtDb250ZW50X1R5&#10;cGVzXS54bWxQSwECLQAUAAYACAAAACEAOP0h/9YAAACUAQAACwAAAAAAAAAAAAAAAAAvAQAAX3Jl&#10;bHMvLnJlbHNQSwECLQAUAAYACAAAACEAoHbr5vEBAADDAwAADgAAAAAAAAAAAAAAAAAuAgAAZHJz&#10;L2Uyb0RvYy54bWxQSwECLQAUAAYACAAAACEAQXf2++AAAAALAQAADwAAAAAAAAAAAAAAAABLBAAA&#10;ZHJzL2Rvd25yZXYueG1sUEsFBgAAAAAEAAQA8wAAAFgFAAAAAA==&#10;" filled="f" stroked="f">
                <v:textbox inset="0,0,0,0">
                  <w:txbxContent>
                    <w:p w14:paraId="65F03810" w14:textId="77777777" w:rsidR="00490F33" w:rsidRDefault="00490F33">
                      <w:pPr>
                        <w:spacing w:line="239" w:lineRule="exact"/>
                        <w:textAlignment w:val="baseline"/>
                        <w:rPr>
                          <w:rFonts w:ascii="Tahoma" w:eastAsia="Tahoma" w:hAnsi="Tahoma"/>
                          <w:color w:val="424041"/>
                          <w:spacing w:val="7"/>
                          <w:sz w:val="18"/>
                        </w:rPr>
                      </w:pPr>
                      <w:r>
                        <w:rPr>
                          <w:rFonts w:ascii="Tahoma" w:eastAsia="Tahoma" w:hAnsi="Tahoma"/>
                          <w:color w:val="424041"/>
                          <w:spacing w:val="7"/>
                          <w:sz w:val="18"/>
                        </w:rPr>
                        <w:t>Rooty Hill High School in Western Sydney is committed to student agency as a core platform of the school’s commitment to ensuring every student is “known, valued and cared for”. One of the key strategies by which students are encouraged to be active contributors and owners of their personalised learning experience is through the use of a Learning Portfolio called #MyLearningHub.</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2816" behindDoc="1" locked="0" layoutInCell="1" allowOverlap="1" wp14:anchorId="1C2B2CB8" wp14:editId="3F5F5CB2">
                <wp:simplePos x="0" y="0"/>
                <wp:positionH relativeFrom="page">
                  <wp:posOffset>4182110</wp:posOffset>
                </wp:positionH>
                <wp:positionV relativeFrom="page">
                  <wp:posOffset>3191510</wp:posOffset>
                </wp:positionV>
                <wp:extent cx="2471420" cy="914400"/>
                <wp:effectExtent l="0" t="0" r="0" b="0"/>
                <wp:wrapSquare wrapText="bothSides"/>
                <wp:docPr id="862"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91C1E" w14:textId="77777777" w:rsidR="00490F33" w:rsidRDefault="00490F33">
                            <w:pPr>
                              <w:spacing w:line="239" w:lineRule="exact"/>
                              <w:textAlignment w:val="baseline"/>
                              <w:rPr>
                                <w:rFonts w:ascii="Tahoma" w:eastAsia="Tahoma" w:hAnsi="Tahoma"/>
                                <w:color w:val="424041"/>
                                <w:spacing w:val="6"/>
                                <w:sz w:val="18"/>
                              </w:rPr>
                            </w:pPr>
                            <w:r>
                              <w:rPr>
                                <w:rFonts w:ascii="Tahoma" w:eastAsia="Tahoma" w:hAnsi="Tahoma"/>
                                <w:color w:val="424041"/>
                                <w:spacing w:val="6"/>
                                <w:sz w:val="18"/>
                              </w:rPr>
                              <w:t>Given the demography of the school community at Rooty Hill High School, building the capacity of students to self-assess, self-report and articulate their knowledge and capability is fundamental to their agency at and beyond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B2CB8" id="Text Box 583" o:spid="_x0000_s1078" type="#_x0000_t202" style="position:absolute;margin-left:329.3pt;margin-top:251.3pt;width:194.6pt;height:1in;z-index:-25195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HZ8AEAAMIDAAAOAAAAZHJzL2Uyb0RvYy54bWysU9tu2zAMfR+wfxD0vjjx0i414hRdiw4D&#10;ugvQ7gMYWY6F2aJGKbGzrx8lx1m7vQ17EShejg4PqfX10LXioMkbtKVczOZSaKuwMnZXym9P929W&#10;UvgAtoIWrS7lUXt5vXn9at27QufYYFtpEgxifdG7UjYhuCLLvGp0B36GTlsO1kgdBL7SLqsIekbv&#10;2iyfzy+zHqlyhEp7z967MSg3Cb+utQpf6trrINpSMreQTkrnNp7ZZg3FjsA1Rp1owD+w6MBYfvQM&#10;dQcBxJ7MX1CdUYQe6zBT2GVY10bp1AN3s5j/0c1jA06nXlgc784y+f8Hqz4fvpIwVSlXl7kUFjoe&#10;0pMegniPg7hYvY0K9c4XnPjoODUMHOBJp269e0D13QuLtw3Ynb4hwr7RUDHDRazMnpWOOD6CbPtP&#10;WPFDsA+YgIaauigfCyIYnSd1PE8nklHszJfvFsucQ4pjV4vlcp7Gl0ExVTvy4YPGTkSjlMTTT+hw&#10;ePAhsoFiSomPWbw3bZs2oLUvHJwYPYl9JDxSD8N2SFJd5JMqW6yO3A/huFj8EdhokH5K0fNSldL/&#10;2ANpKdqPljWJGzgZNBnbyQCruLSUQYrRvA3jpu4dmV3DyKPqFm9Yt9qklqLAI4sTX16U1OlpqeMm&#10;Pr+nrN9fb/MLAAD//wMAUEsDBBQABgAIAAAAIQBjKbus4AAAAAwBAAAPAAAAZHJzL2Rvd25yZXYu&#10;eG1sTI/BTsMwEETvSPyDtUjcqE3VmjaNU1UITkiINBw4OrGbWI3XIXbb8PdsT3Db0TzNzuTbyffs&#10;bMfoAip4nAlgFptgHLYKPqvXhxWwmDQa3Qe0Cn5shG1xe5PrzIQLlva8Ty2jEIyZVtClNGScx6az&#10;XsdZGCySdwij14nk2HIz6guF+57PhZDca4f0odODfe5sc9yfvILdF5Yv7vu9/igPpauqtcA3eVTq&#10;/m7abYAlO6U/GK71qToU1KkOJzSR9QrkciUJVbAUczquhFg80ZqavIWUwIuc/x9R/AIAAP//AwBQ&#10;SwECLQAUAAYACAAAACEAtoM4kv4AAADhAQAAEwAAAAAAAAAAAAAAAAAAAAAAW0NvbnRlbnRfVHlw&#10;ZXNdLnhtbFBLAQItABQABgAIAAAAIQA4/SH/1gAAAJQBAAALAAAAAAAAAAAAAAAAAC8BAABfcmVs&#10;cy8ucmVsc1BLAQItABQABgAIAAAAIQAal8HZ8AEAAMIDAAAOAAAAAAAAAAAAAAAAAC4CAABkcnMv&#10;ZTJvRG9jLnhtbFBLAQItABQABgAIAAAAIQBjKbus4AAAAAwBAAAPAAAAAAAAAAAAAAAAAEoEAABk&#10;cnMvZG93bnJldi54bWxQSwUGAAAAAAQABADzAAAAVwUAAAAA&#10;" filled="f" stroked="f">
                <v:textbox inset="0,0,0,0">
                  <w:txbxContent>
                    <w:p w14:paraId="62C91C1E" w14:textId="77777777" w:rsidR="00490F33" w:rsidRDefault="00490F33">
                      <w:pPr>
                        <w:spacing w:line="239" w:lineRule="exact"/>
                        <w:textAlignment w:val="baseline"/>
                        <w:rPr>
                          <w:rFonts w:ascii="Tahoma" w:eastAsia="Tahoma" w:hAnsi="Tahoma"/>
                          <w:color w:val="424041"/>
                          <w:spacing w:val="6"/>
                          <w:sz w:val="18"/>
                        </w:rPr>
                      </w:pPr>
                      <w:r>
                        <w:rPr>
                          <w:rFonts w:ascii="Tahoma" w:eastAsia="Tahoma" w:hAnsi="Tahoma"/>
                          <w:color w:val="424041"/>
                          <w:spacing w:val="6"/>
                          <w:sz w:val="18"/>
                        </w:rPr>
                        <w:t>Given the demography of the school community at Rooty Hill High School, building the capacity of students to self-assess, self-report and articulate their knowledge and capability is fundamental to their agency at and beyond school.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3840" behindDoc="1" locked="0" layoutInCell="1" allowOverlap="1" wp14:anchorId="4873E7F0" wp14:editId="2195C2C6">
                <wp:simplePos x="0" y="0"/>
                <wp:positionH relativeFrom="page">
                  <wp:posOffset>905510</wp:posOffset>
                </wp:positionH>
                <wp:positionV relativeFrom="page">
                  <wp:posOffset>4218305</wp:posOffset>
                </wp:positionV>
                <wp:extent cx="2444115" cy="1981200"/>
                <wp:effectExtent l="0" t="0" r="0" b="0"/>
                <wp:wrapSquare wrapText="bothSides"/>
                <wp:docPr id="861"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87071" w14:textId="77777777" w:rsidR="00490F33" w:rsidRDefault="00490F33">
                            <w:pPr>
                              <w:spacing w:line="238" w:lineRule="exact"/>
                              <w:textAlignment w:val="baseline"/>
                              <w:rPr>
                                <w:rFonts w:ascii="Tahoma" w:eastAsia="Tahoma" w:hAnsi="Tahoma"/>
                                <w:color w:val="424041"/>
                                <w:spacing w:val="5"/>
                                <w:sz w:val="18"/>
                              </w:rPr>
                            </w:pPr>
                            <w:r>
                              <w:rPr>
                                <w:rFonts w:ascii="Tahoma" w:eastAsia="Tahoma" w:hAnsi="Tahoma"/>
                                <w:color w:val="424041"/>
                                <w:spacing w:val="5"/>
                                <w:sz w:val="18"/>
                              </w:rPr>
                              <w:t>Each Rooty Hill High School student uses their Learning Portfolio from Year 7 to provide work samples demonstrating their progress towards or achievement of capabilities in the curriculum. Each individual portfolio and the uploaded documents are held electronically on the school’s Google domain. Students are responsible for identifying specific work samples (from curricular, co-curricular and extracurricular learning as well as other community, business and learning contexts), which they then upload to the portfolio and annotate.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3E7F0" id="Text Box 582" o:spid="_x0000_s1079" type="#_x0000_t202" style="position:absolute;margin-left:71.3pt;margin-top:332.15pt;width:192.45pt;height:156pt;z-index:-25195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hA8QEAAMMDAAAOAAAAZHJzL2Uyb0RvYy54bWysU1GP0zAMfkfiP0R5Z13HdhrVutNxp0NI&#10;B4d0xw/w0nSNaOPgZGvHr8dJ13HAG+Ilcmzn8+fPzuZ66Fpx1OQN2lLms7kU2iqsjN2X8uvz/Zu1&#10;FD6AraBFq0t50l5eb1+/2vSu0AtssK00CQaxvuhdKZsQXJFlXjW6Az9Dpy0Ha6QOAl9pn1UEPaN3&#10;bbaYz6+yHqlyhEp7z967MSi3Cb+utQqPde11EG0pmVtIJ6VzF89su4FiT+Aao8404B9YdGAsF71A&#10;3UEAcSDzF1RnFKHHOswUdhnWtVE69cDd5PM/unlqwOnUC4vj3UUm//9g1efjFxKmKuX6KpfCQsdD&#10;etZDEO9xEKv1IirUO19w4pPj1DBwgCeduvXuAdU3LyzeNmD3+oYI+0ZDxQzz+DJ78XTE8RFk13/C&#10;igvBIWACGmrqonwsiGB0ntTpMp1IRrFzsVwu83wlheJY/m6d8/xTDSim5458+KCxE9EoJfH4Ezwc&#10;H3yIdKCYUmI1i/embdMKtPY3BydGT6IfGY/cw7Abklart5MsO6xO3BDhuFn8E9hokH5I0fNWldJ/&#10;PwBpKdqPlkWJKzgZNBm7yQCr+GkpgxSjeRvGVT04MvuGkUfZLd6wcLVJLUWFRxZnvrwpqdPzVsdV&#10;fHlPWb/+3vYnAAAA//8DAFBLAwQUAAYACAAAACEA1+vC3+EAAAALAQAADwAAAGRycy9kb3ducmV2&#10;LnhtbEyPwU7DMBBE70j8g7VI3KhD2rptiFNVCE5IiDQcenRiN7Ear0PstuHvWU5wHO3TzNt8O7me&#10;XcwYrEcJj7MEmMHGa4uthM/q9WENLESFWvUejYRvE2Bb3N7kKtP+iqW57GPLqARDpiR0MQ4Z56Hp&#10;jFNh5geDdDv60alIcWy5HtWVyl3P0yQR3CmLtNCpwTx3pjntz07C7oDli/16rz/KY2mrapPgmzhJ&#10;eX837Z6ARTPFPxh+9UkdCnKq/Rl1YD3lRSoIlSDEYg6MiGW6WgKrJWxWYg68yPn/H4ofAAAA//8D&#10;AFBLAQItABQABgAIAAAAIQC2gziS/gAAAOEBAAATAAAAAAAAAAAAAAAAAAAAAABbQ29udGVudF9U&#10;eXBlc10ueG1sUEsBAi0AFAAGAAgAAAAhADj9If/WAAAAlAEAAAsAAAAAAAAAAAAAAAAALwEAAF9y&#10;ZWxzLy5yZWxzUEsBAi0AFAAGAAgAAAAhANqhCEDxAQAAwwMAAA4AAAAAAAAAAAAAAAAALgIAAGRy&#10;cy9lMm9Eb2MueG1sUEsBAi0AFAAGAAgAAAAhANfrwt/hAAAACwEAAA8AAAAAAAAAAAAAAAAASwQA&#10;AGRycy9kb3ducmV2LnhtbFBLBQYAAAAABAAEAPMAAABZBQAAAAA=&#10;" filled="f" stroked="f">
                <v:textbox inset="0,0,0,0">
                  <w:txbxContent>
                    <w:p w14:paraId="71C87071" w14:textId="77777777" w:rsidR="00490F33" w:rsidRDefault="00490F33">
                      <w:pPr>
                        <w:spacing w:line="238" w:lineRule="exact"/>
                        <w:textAlignment w:val="baseline"/>
                        <w:rPr>
                          <w:rFonts w:ascii="Tahoma" w:eastAsia="Tahoma" w:hAnsi="Tahoma"/>
                          <w:color w:val="424041"/>
                          <w:spacing w:val="5"/>
                          <w:sz w:val="18"/>
                        </w:rPr>
                      </w:pPr>
                      <w:r>
                        <w:rPr>
                          <w:rFonts w:ascii="Tahoma" w:eastAsia="Tahoma" w:hAnsi="Tahoma"/>
                          <w:color w:val="424041"/>
                          <w:spacing w:val="5"/>
                          <w:sz w:val="18"/>
                        </w:rPr>
                        <w:t>Each Rooty Hill High School student uses their Learning Portfolio from Year 7 to provide work samples demonstrating their progress towards or achievement of capabilities in the curriculum. Each individual portfolio and the uploaded documents are held electronically on the school’s Google domain. Students are responsible for identifying specific work samples (from curricular, co-curricular and extracurricular learning as well as other community, business and learning contexts), which they then upload to the portfolio and annotate.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4864" behindDoc="1" locked="0" layoutInCell="1" allowOverlap="1" wp14:anchorId="095DDE94" wp14:editId="71309387">
                <wp:simplePos x="0" y="0"/>
                <wp:positionH relativeFrom="page">
                  <wp:posOffset>905510</wp:posOffset>
                </wp:positionH>
                <wp:positionV relativeFrom="page">
                  <wp:posOffset>6306185</wp:posOffset>
                </wp:positionV>
                <wp:extent cx="2401570" cy="914400"/>
                <wp:effectExtent l="0" t="0" r="0" b="0"/>
                <wp:wrapSquare wrapText="bothSides"/>
                <wp:docPr id="860"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197CF" w14:textId="77777777" w:rsidR="00490F33" w:rsidRDefault="00490F33">
                            <w:pPr>
                              <w:spacing w:line="238" w:lineRule="exact"/>
                              <w:textAlignment w:val="baseline"/>
                              <w:rPr>
                                <w:rFonts w:ascii="Tahoma" w:eastAsia="Tahoma" w:hAnsi="Tahoma"/>
                                <w:color w:val="424041"/>
                                <w:sz w:val="18"/>
                              </w:rPr>
                            </w:pPr>
                            <w:r>
                              <w:rPr>
                                <w:rFonts w:ascii="Tahoma" w:eastAsia="Tahoma" w:hAnsi="Tahoma"/>
                                <w:color w:val="424041"/>
                                <w:sz w:val="18"/>
                              </w:rPr>
                              <w:t>The annotation is a key step as students have to use the language of the capabilities and explain how their work samples provide evidence of progress or achievement. Each entry is validated by a teacher, peer, or community or business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DDE94" id="Text Box 581" o:spid="_x0000_s1080" type="#_x0000_t202" style="position:absolute;margin-left:71.3pt;margin-top:496.55pt;width:189.1pt;height:1in;z-index:-25195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AU7wEAAMIDAAAOAAAAZHJzL2Uyb0RvYy54bWysU8GO0zAQvSPxD5bvNEnVLiVqulp2tQhp&#10;YZF2+QDHsRuLxGPGbpPy9YydpixwQ1yssWf8/N6b8fZ67Dt2VOgN2IoXi5wzZSU0xu4r/vX5/s2G&#10;Mx+EbUQHVlX8pDy/3r1+tR1cqZbQQtcoZARifTm4irchuDLLvGxVL/wCnLKU1IC9CLTFfdagGAi9&#10;77Jlnl9lA2DjEKTynk7vpiTfJXytlQyPWnsVWFdx4hbSimmt45rttqLco3CtkWca4h9Y9MJYevQC&#10;dSeCYAc0f0H1RiJ40GEhoc9AayNV0kBqivwPNU+tcCppIXO8u9jk/x+s/Hz8gsw0Fd9ckT9W9NSk&#10;ZzUG9h5Gtt4U0aHB+ZIKnxyVhpES1Omk1rsHkN88s3DbCrtXN4gwtEo0xDDdzF5cnXB8BKmHT9DQ&#10;Q+IQIAGNGvtoHxnCCJ2YnC7diWQkHS5XebF+SylJuXfFapWn9mWinG879OGDgp7FoOJI3U/o4vjg&#10;A+mg0rkkPmbh3nRdmoDO/nZAhfEksY+EJ+phrMdk1Xo1u1JDcyI9CNNg0UegoAX8wdlAQ1Vx//0g&#10;UHHWfbTkSZzAOcA5qOdAWElXKx44m8LbME3qwaHZt4Q8uW7hhnzTJkmKBk8sznxpUJLS81DHSXy5&#10;T1W/vt7uJwAAAP//AwBQSwMEFAAGAAgAAAAhAGiLqePgAAAADAEAAA8AAABkcnMvZG93bnJldi54&#10;bWxMjzFPwzAUhHck/oP1kNionRQCCXGqCsGEhEjDwOjEbmI1fg6x24Z/z2OC8XSnu+/KzeJGdjJz&#10;sB4lJCsBzGDntcVewkfzcvMALESFWo0ejYRvE2BTXV6UqtD+jLU57WLPqARDoSQMMU4F56EbjFNh&#10;5SeD5O397FQkOfdcz+pM5W7kqRAZd8oiLQxqMk+D6Q67o5Ow/cT62X69te/1vrZNkwt8zQ5SXl8t&#10;20dg0SzxLwy/+IQOFTG1/og6sJH0bZpRVEKerxNglLhLBZ1pyUrW9wnwquT/T1Q/AAAA//8DAFBL&#10;AQItABQABgAIAAAAIQC2gziS/gAAAOEBAAATAAAAAAAAAAAAAAAAAAAAAABbQ29udGVudF9UeXBl&#10;c10ueG1sUEsBAi0AFAAGAAgAAAAhADj9If/WAAAAlAEAAAsAAAAAAAAAAAAAAAAALwEAAF9yZWxz&#10;Ly5yZWxzUEsBAi0AFAAGAAgAAAAhAA8eoBTvAQAAwgMAAA4AAAAAAAAAAAAAAAAALgIAAGRycy9l&#10;Mm9Eb2MueG1sUEsBAi0AFAAGAAgAAAAhAGiLqePgAAAADAEAAA8AAAAAAAAAAAAAAAAASQQAAGRy&#10;cy9kb3ducmV2LnhtbFBLBQYAAAAABAAEAPMAAABWBQAAAAA=&#10;" filled="f" stroked="f">
                <v:textbox inset="0,0,0,0">
                  <w:txbxContent>
                    <w:p w14:paraId="444197CF" w14:textId="77777777" w:rsidR="00490F33" w:rsidRDefault="00490F33">
                      <w:pPr>
                        <w:spacing w:line="238" w:lineRule="exact"/>
                        <w:textAlignment w:val="baseline"/>
                        <w:rPr>
                          <w:rFonts w:ascii="Tahoma" w:eastAsia="Tahoma" w:hAnsi="Tahoma"/>
                          <w:color w:val="424041"/>
                          <w:sz w:val="18"/>
                        </w:rPr>
                      </w:pPr>
                      <w:r>
                        <w:rPr>
                          <w:rFonts w:ascii="Tahoma" w:eastAsia="Tahoma" w:hAnsi="Tahoma"/>
                          <w:color w:val="424041"/>
                          <w:sz w:val="18"/>
                        </w:rPr>
                        <w:t>The annotation is a key step as students have to use the language of the capabilities and explain how their work samples provide evidence of progress or achievement. Each entry is validated by a teacher, peer, or community or business partner.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5888" behindDoc="1" locked="0" layoutInCell="1" allowOverlap="1" wp14:anchorId="6F9891FC" wp14:editId="4B2558C6">
                <wp:simplePos x="0" y="0"/>
                <wp:positionH relativeFrom="page">
                  <wp:posOffset>905510</wp:posOffset>
                </wp:positionH>
                <wp:positionV relativeFrom="page">
                  <wp:posOffset>7330440</wp:posOffset>
                </wp:positionV>
                <wp:extent cx="2407920" cy="1520825"/>
                <wp:effectExtent l="0" t="0" r="0" b="0"/>
                <wp:wrapSquare wrapText="bothSides"/>
                <wp:docPr id="859"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52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A690E" w14:textId="77777777" w:rsidR="00490F33" w:rsidRDefault="00490F33">
                            <w:pPr>
                              <w:spacing w:line="238" w:lineRule="exact"/>
                              <w:textAlignment w:val="baseline"/>
                              <w:rPr>
                                <w:rFonts w:ascii="Tahoma" w:eastAsia="Tahoma" w:hAnsi="Tahoma"/>
                                <w:color w:val="424041"/>
                                <w:spacing w:val="6"/>
                                <w:sz w:val="18"/>
                              </w:rPr>
                            </w:pPr>
                            <w:r>
                              <w:rPr>
                                <w:rFonts w:ascii="Tahoma" w:eastAsia="Tahoma" w:hAnsi="Tahoma"/>
                                <w:color w:val="424041"/>
                                <w:spacing w:val="6"/>
                                <w:sz w:val="18"/>
                              </w:rPr>
                              <w:t>By using the Learning Portfolio, students learn over time to recognise that capabilities and dispositions are learned, demonstrated and deployed in a wide range of contexts. Student-led curation of their own learning enables them to see and make connections between their academic and non-academic activities, and the learning transfer to and from the real world of work and further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891FC" id="Text Box 580" o:spid="_x0000_s1081" type="#_x0000_t202" style="position:absolute;margin-left:71.3pt;margin-top:577.2pt;width:189.6pt;height:119.75pt;z-index:-25195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7j8QEAAMMDAAAOAAAAZHJzL2Uyb0RvYy54bWysU8Fu2zAMvQ/YPwi6L3aMZUuNOEXXosOA&#10;bh3Q7gMYWY6F2aJGKbGzrx8lJ2m33opdBFqkHt97pFeXY9+JvSZv0FZyPsul0FZhbey2kj8eb98t&#10;pfABbA0dWl3Jg/bycv32zWpwpS6wxa7WJBjE+nJwlWxDcGWWedXqHvwMnbacbJB6CPxJ26wmGBi9&#10;77Iizz9kA1LtCJX2nm9vpqRcJ/ym0SrcN43XQXSVZG4hnZTOTTyz9QrKLYFrjTrSgFew6MFYbnqG&#10;uoEAYkfmBVRvFKHHJswU9hk2jVE6aWA18/wfNQ8tOJ20sDnenW3y/w9Wfdt/J2HqSi4XF1JY6HlI&#10;j3oM4hOOYrFMDg3Ol1z44Lg0jJzgSSe13t2h+umFxesW7FZfEeHQaqiZ4Tx6mz17GmfiSx9BNsNX&#10;rLkR7AImoLGhPtrHhghG50kdztOJZBRfFu/zjxcFpxTn5osiXxaL1APK03NHPnzW2IsYVJJ4/Ake&#10;9nc+RDpQnkpiN4u3puvSCnT2rwsujDeJfmQ8cQ/jZkxeLVLjKGeD9YEFEU6bxX8CBy3SbykG3qpK&#10;+l87IC1F98WyKXEFTwGdgs0pAKv4aSWDFFN4HaZV3Tky25aRJ9stXrFxjUmSnlgc+fKmJKXHrY6r&#10;+Pw7VT39e+s/AAAA//8DAFBLAwQUAAYACAAAACEAzXAQieEAAAANAQAADwAAAGRycy9kb3ducmV2&#10;LnhtbEyPQU+DQBCF7yb+h82YeLMLlBJBlqYxejIxUjx4XNgtbMrOIrtt8d87nupt3szLm++V28WO&#10;7KxnbxwKiFcRMI2dUwZ7AZ/N68MjMB8kKjk61AJ+tIdtdXtTykK5C9b6vA89oxD0hRQwhDAVnPtu&#10;0Fb6lZs00u3gZisDybnnapYXCrcjT6Io41YapA+DnPTzoLvj/mQF7L6wfjHf7+1HfahN0+QRvmVH&#10;Ie7vlt0TsKCXcDXDHz6hQ0VMrTuh8mwknSYZWWmIN2kKjCybJKY2La3W+ToHXpX8f4vqFwAA//8D&#10;AFBLAQItABQABgAIAAAAIQC2gziS/gAAAOEBAAATAAAAAAAAAAAAAAAAAAAAAABbQ29udGVudF9U&#10;eXBlc10ueG1sUEsBAi0AFAAGAAgAAAAhADj9If/WAAAAlAEAAAsAAAAAAAAAAAAAAAAALwEAAF9y&#10;ZWxzLy5yZWxzUEsBAi0AFAAGAAgAAAAhAJHlvuPxAQAAwwMAAA4AAAAAAAAAAAAAAAAALgIAAGRy&#10;cy9lMm9Eb2MueG1sUEsBAi0AFAAGAAgAAAAhAM1wEInhAAAADQEAAA8AAAAAAAAAAAAAAAAASwQA&#10;AGRycy9kb3ducmV2LnhtbFBLBQYAAAAABAAEAPMAAABZBQAAAAA=&#10;" filled="f" stroked="f">
                <v:textbox inset="0,0,0,0">
                  <w:txbxContent>
                    <w:p w14:paraId="2C5A690E" w14:textId="77777777" w:rsidR="00490F33" w:rsidRDefault="00490F33">
                      <w:pPr>
                        <w:spacing w:line="238" w:lineRule="exact"/>
                        <w:textAlignment w:val="baseline"/>
                        <w:rPr>
                          <w:rFonts w:ascii="Tahoma" w:eastAsia="Tahoma" w:hAnsi="Tahoma"/>
                          <w:color w:val="424041"/>
                          <w:spacing w:val="6"/>
                          <w:sz w:val="18"/>
                        </w:rPr>
                      </w:pPr>
                      <w:r>
                        <w:rPr>
                          <w:rFonts w:ascii="Tahoma" w:eastAsia="Tahoma" w:hAnsi="Tahoma"/>
                          <w:color w:val="424041"/>
                          <w:spacing w:val="6"/>
                          <w:sz w:val="18"/>
                        </w:rPr>
                        <w:t>By using the Learning Portfolio, students learn over time to recognise that capabilities and dispositions are learned, demonstrated and deployed in a wide range of contexts. Student-led curation of their own learning enables them to see and make connections between their academic and non-academic activities, and the learning transfer to and from the real world of work and further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6912" behindDoc="1" locked="0" layoutInCell="1" allowOverlap="1" wp14:anchorId="72CB70E1" wp14:editId="01B6567D">
                <wp:simplePos x="0" y="0"/>
                <wp:positionH relativeFrom="page">
                  <wp:posOffset>4184650</wp:posOffset>
                </wp:positionH>
                <wp:positionV relativeFrom="page">
                  <wp:posOffset>8609965</wp:posOffset>
                </wp:positionV>
                <wp:extent cx="1743710" cy="113665"/>
                <wp:effectExtent l="0" t="0" r="0" b="0"/>
                <wp:wrapSquare wrapText="bothSides"/>
                <wp:docPr id="858"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746F6" w14:textId="77777777" w:rsidR="00490F33" w:rsidRDefault="00490F33">
                            <w:pPr>
                              <w:spacing w:before="7" w:line="171" w:lineRule="exact"/>
                              <w:textAlignment w:val="baseline"/>
                              <w:rPr>
                                <w:rFonts w:ascii="Tahoma" w:eastAsia="Tahoma" w:hAnsi="Tahoma"/>
                                <w:color w:val="000000"/>
                                <w:sz w:val="14"/>
                              </w:rPr>
                            </w:pPr>
                            <w:r>
                              <w:rPr>
                                <w:rFonts w:ascii="Tahoma" w:eastAsia="Tahoma" w:hAnsi="Tahoma"/>
                                <w:color w:val="000000"/>
                                <w:sz w:val="14"/>
                              </w:rPr>
                              <w:t>Source: Rooty Hill High School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B70E1" id="Text Box 579" o:spid="_x0000_s1082" type="#_x0000_t202" style="position:absolute;margin-left:329.5pt;margin-top:677.95pt;width:137.3pt;height:8.95pt;z-index:-25194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0W8AEAAMIDAAAOAAAAZHJzL2Uyb0RvYy54bWysU8Fu2zAMvQ/YPwi6L47bJemMOEXXosOA&#10;rhvQ7gMYWY6F2aJGKbGzrx8lx1m33YZdBEokHx8fqfX10LXioMkbtKXMZ3MptFVYGbsr5dfn+zdX&#10;UvgAtoIWrS7lUXt5vXn9at27Ql9gg22lSTCI9UXvStmE4Ios86rRHfgZOm3ZWSN1EPhKu6wi6Bm9&#10;a7OL+XyZ9UiVI1Tae369G51yk/DrWqvwua69DqItJXML6aR0buOZbdZQ7AhcY9SJBvwDiw6M5aJn&#10;qDsIIPZk/oLqjCL0WIeZwi7DujZKpx64m3z+RzdPDTidemFxvDvL5P8frHo8fCFhqlJeLXhUFjoe&#10;0rMegniPg1is3kWFeucLDnxyHBoGdvCkU7fePaD65oXF2wbsTt8QYd9oqJhhHjOzF6kjjo8g2/4T&#10;VlwI9gET0FBTF+VjQQSj86SO5+lEMiqWXL29XOXsUuzL88vlcpFKQDFlO/Lhg8ZORKOUxNNP6HB4&#10;8CGygWIKicUs3pu2TRvQ2t8eODC+JPaR8Eg9DNshSbVYTqpssTpyP4TjYvFHYKNB+iFFz0tVSv99&#10;D6SlaD9a1iRu4GTQZGwnA6zi1FIGKUbzNoybundkdg0jj6pbvGHdapNaigKPLE58eVFSp6eljpv4&#10;8p6ifn29zU8AAAD//wMAUEsDBBQABgAIAAAAIQBdhnaL4QAAAA0BAAAPAAAAZHJzL2Rvd25yZXYu&#10;eG1sTI9BT4NAEIXvJv6HzZh4s4sSsCBL0xg9mRgpHjwuMIVN2Vlkty3+e6cnPc57L2++V2wWO4oT&#10;zt44UnC/ikAgta4z1Cv4rF/v1iB80NTp0REq+EEPm/L6qtB5585U4WkXesEl5HOtYAhhyqX07YBW&#10;+5WbkNjbu9nqwOfcy27WZy63o3yIolRabYg/DHrC5wHbw+5oFWy/qHox3+/NR7WvTF1nEb2lB6Vu&#10;b5btE4iAS/gLwwWf0aFkpsYdqfNiVJAmGW8JbMRJkoHgSBbHKYjmIj3Ga5BlIf+vKH8BAAD//wMA&#10;UEsBAi0AFAAGAAgAAAAhALaDOJL+AAAA4QEAABMAAAAAAAAAAAAAAAAAAAAAAFtDb250ZW50X1R5&#10;cGVzXS54bWxQSwECLQAUAAYACAAAACEAOP0h/9YAAACUAQAACwAAAAAAAAAAAAAAAAAvAQAAX3Jl&#10;bHMvLnJlbHNQSwECLQAUAAYACAAAACEAucb9FvABAADCAwAADgAAAAAAAAAAAAAAAAAuAgAAZHJz&#10;L2Uyb0RvYy54bWxQSwECLQAUAAYACAAAACEAXYZ2i+EAAAANAQAADwAAAAAAAAAAAAAAAABKBAAA&#10;ZHJzL2Rvd25yZXYueG1sUEsFBgAAAAAEAAQA8wAAAFgFAAAAAA==&#10;" filled="f" stroked="f">
                <v:textbox inset="0,0,0,0">
                  <w:txbxContent>
                    <w:p w14:paraId="0C5746F6" w14:textId="77777777" w:rsidR="00490F33" w:rsidRDefault="00490F33">
                      <w:pPr>
                        <w:spacing w:before="7" w:line="171" w:lineRule="exact"/>
                        <w:textAlignment w:val="baseline"/>
                        <w:rPr>
                          <w:rFonts w:ascii="Tahoma" w:eastAsia="Tahoma" w:hAnsi="Tahoma"/>
                          <w:color w:val="000000"/>
                          <w:sz w:val="14"/>
                        </w:rPr>
                      </w:pPr>
                      <w:r>
                        <w:rPr>
                          <w:rFonts w:ascii="Tahoma" w:eastAsia="Tahoma" w:hAnsi="Tahoma"/>
                          <w:color w:val="000000"/>
                          <w:sz w:val="14"/>
                        </w:rPr>
                        <w:t>Source: Rooty Hill High School submission.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7936" behindDoc="1" locked="0" layoutInCell="1" allowOverlap="1" wp14:anchorId="4B209881" wp14:editId="3C877551">
                <wp:simplePos x="0" y="0"/>
                <wp:positionH relativeFrom="page">
                  <wp:posOffset>0</wp:posOffset>
                </wp:positionH>
                <wp:positionV relativeFrom="page">
                  <wp:posOffset>9692640</wp:posOffset>
                </wp:positionV>
                <wp:extent cx="7562215" cy="536575"/>
                <wp:effectExtent l="0" t="0" r="0" b="0"/>
                <wp:wrapSquare wrapText="bothSides"/>
                <wp:docPr id="857"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F9645" w14:textId="77777777" w:rsidR="00490F33" w:rsidRDefault="00490F33">
                            <w:pPr>
                              <w:tabs>
                                <w:tab w:val="left" w:pos="10872"/>
                              </w:tabs>
                              <w:spacing w:after="640" w:line="195" w:lineRule="exact"/>
                              <w:ind w:left="8856"/>
                              <w:textAlignment w:val="baseline"/>
                              <w:rPr>
                                <w:rFonts w:ascii="Tahoma" w:eastAsia="Tahoma" w:hAnsi="Tahoma"/>
                                <w:color w:val="424041"/>
                                <w:sz w:val="14"/>
                              </w:rPr>
                            </w:pPr>
                            <w:r>
                              <w:rPr>
                                <w:rFonts w:ascii="Tahoma" w:eastAsia="Tahoma" w:hAnsi="Tahoma"/>
                                <w:color w:val="424041"/>
                                <w:sz w:val="14"/>
                              </w:rPr>
                              <w:t>Chapter 1: Essential skills</w:t>
                            </w:r>
                            <w:r>
                              <w:rPr>
                                <w:rFonts w:ascii="Arial" w:eastAsia="Arial" w:hAnsi="Arial"/>
                                <w:b/>
                                <w:color w:val="57579E"/>
                                <w:sz w:val="18"/>
                              </w:rPr>
                              <w:tab/>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09881" id="Text Box 578" o:spid="_x0000_s1083" type="#_x0000_t202" style="position:absolute;margin-left:0;margin-top:763.2pt;width:595.45pt;height:42.25pt;z-index:-25194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w98QEAAMIDAAAOAAAAZHJzL2Uyb0RvYy54bWysU9tu2zAMfR+wfxD0vjjJ4CQw4hRdiw4D&#10;ugvQ7gMYWY6F2aJGKbGzrx8lx1m3vQ17ESiSOjw8pLY3Q9eKkyZv0JZyMZtLoa3CythDKb8+P7zZ&#10;SOED2ApatLqUZ+3lze71q23vCr3EBttKk2AQ64velbIJwRVZ5lWjO/AzdNpysEbqIPCVDllF0DN6&#10;12bL+XyV9UiVI1Tae/bej0G5S/h1rVX4XNdeB9GWkrmFdFI69/HMdlsoDgSuMepCA/6BRQfGctEr&#10;1D0EEEcyf0F1RhF6rMNMYZdhXRulUw/czWL+RzdPDTidemFxvLvK5P8frPp0+kLCVKXc5GspLHQ8&#10;pGc9BPEOB5GvN1Gh3vmCE58cp4aBAzzp1K13j6i+eWHxrgF70LdE2DcaKma4iC+zF09HHB9B9v1H&#10;rLgQHAMmoKGmLsrHgghG50mdr9OJZBQ71/lquVzkUiiO5W9X+TpPJaCYXjvy4b3GTkSjlMTTT+hw&#10;evQhsoFiSonFLD6Ytk0b0NrfHJwYPYl9JDxSD8N+SFKxUhdV9liduR/CcbH4I7DRIP2QouelKqX/&#10;fgTSUrQfLGsSN3AyaDL2kwFW8dNSBilG8y6Mm3p0ZA4NI4+qW7xl3WqTWooCjywufHlRUqeXpY6b&#10;+PKesn59vd1PAAAA//8DAFBLAwQUAAYACAAAACEAR2iERd8AAAALAQAADwAAAGRycy9kb3ducmV2&#10;LnhtbEyPQU/DMAyF70j8h8hI3FjSCSpamk4TghMSoisHjmnrtdEapzTZVv493gluz37W8/eKzeJG&#10;ccI5WE8akpUCgdT6zlKv4bN+vXsEEaKhzoyeUMMPBtiU11eFyTt/pgpPu9gLDqGQGw1DjFMuZWgH&#10;dCas/ITE3t7PzkQe5152szlzuBvlWqlUOmOJPwxmwucB28Pu6DRsv6h6sd/vzUe1r2xdZ4re0oPW&#10;tzfL9glExCX+HcMFn9GhZKbGH6kLYtTARSJvH9bpPYiLn2QqA9GwShNWsizk/w7lLwAAAP//AwBQ&#10;SwECLQAUAAYACAAAACEAtoM4kv4AAADhAQAAEwAAAAAAAAAAAAAAAAAAAAAAW0NvbnRlbnRfVHlw&#10;ZXNdLnhtbFBLAQItABQABgAIAAAAIQA4/SH/1gAAAJQBAAALAAAAAAAAAAAAAAAAAC8BAABfcmVs&#10;cy8ucmVsc1BLAQItABQABgAIAAAAIQApJNw98QEAAMIDAAAOAAAAAAAAAAAAAAAAAC4CAABkcnMv&#10;ZTJvRG9jLnhtbFBLAQItABQABgAIAAAAIQBHaIRF3wAAAAsBAAAPAAAAAAAAAAAAAAAAAEsEAABk&#10;cnMvZG93bnJldi54bWxQSwUGAAAAAAQABADzAAAAVwUAAAAA&#10;" filled="f" stroked="f">
                <v:textbox inset="0,0,0,0">
                  <w:txbxContent>
                    <w:p w14:paraId="30BF9645" w14:textId="77777777" w:rsidR="00490F33" w:rsidRDefault="00490F33">
                      <w:pPr>
                        <w:tabs>
                          <w:tab w:val="left" w:pos="10872"/>
                        </w:tabs>
                        <w:spacing w:after="640" w:line="195" w:lineRule="exact"/>
                        <w:ind w:left="8856"/>
                        <w:textAlignment w:val="baseline"/>
                        <w:rPr>
                          <w:rFonts w:ascii="Tahoma" w:eastAsia="Tahoma" w:hAnsi="Tahoma"/>
                          <w:color w:val="424041"/>
                          <w:sz w:val="14"/>
                        </w:rPr>
                      </w:pPr>
                      <w:r>
                        <w:rPr>
                          <w:rFonts w:ascii="Tahoma" w:eastAsia="Tahoma" w:hAnsi="Tahoma"/>
                          <w:color w:val="424041"/>
                          <w:sz w:val="14"/>
                        </w:rPr>
                        <w:t>Chapter 1: Essential skills</w:t>
                      </w:r>
                      <w:r>
                        <w:rPr>
                          <w:rFonts w:ascii="Arial" w:eastAsia="Arial" w:hAnsi="Arial"/>
                          <w:b/>
                          <w:color w:val="57579E"/>
                          <w:sz w:val="18"/>
                        </w:rPr>
                        <w:tab/>
                        <w:t>51</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68960" behindDoc="1" locked="0" layoutInCell="1" allowOverlap="1" wp14:anchorId="33AC76D9" wp14:editId="7A58352D">
                <wp:simplePos x="0" y="0"/>
                <wp:positionH relativeFrom="page">
                  <wp:posOffset>0</wp:posOffset>
                </wp:positionH>
                <wp:positionV relativeFrom="page">
                  <wp:posOffset>10229215</wp:posOffset>
                </wp:positionV>
                <wp:extent cx="7562215" cy="462915"/>
                <wp:effectExtent l="0" t="0" r="0" b="0"/>
                <wp:wrapSquare wrapText="bothSides"/>
                <wp:docPr id="856"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A59F" w14:textId="77777777" w:rsidR="00490F33" w:rsidRDefault="00490F33">
                            <w:pPr>
                              <w:textAlignment w:val="baseline"/>
                            </w:pPr>
                            <w:r>
                              <w:rPr>
                                <w:noProof/>
                                <w:lang w:val="en-AU" w:eastAsia="en-AU"/>
                              </w:rPr>
                              <w:drawing>
                                <wp:inline distT="0" distB="0" distL="0" distR="0" wp14:anchorId="7DB2FFB4" wp14:editId="57089C38">
                                  <wp:extent cx="7562215" cy="462915"/>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1"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C76D9" id="Text Box 577" o:spid="_x0000_s1084" type="#_x0000_t202" style="position:absolute;margin-left:0;margin-top:805.45pt;width:595.45pt;height:36.45pt;z-index:-25194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u8AEAAMIDAAAOAAAAZHJzL2Uyb0RvYy54bWysU9tu2zAMfR+wfxD0vjgJlsuMOEXXosOA&#10;bh3Q7gMYWY6F2aJGKbGzrx8lx1m3vhV7ESiSOjw8pDZXfduIoyZv0BZyNplKoa3C0th9Ib8/3b1b&#10;S+ED2BIatLqQJ+3l1fbtm03ncj3HGptSk2AQ6/POFbIOweVZ5lWtW/ATdNpysEJqIfCV9llJ0DF6&#10;22Tz6XSZdUilI1Tae/beDkG5TfhVpVV4qCqvg2gKydxCOimdu3hm2w3kewJXG3WmAa9g0YKxXPQC&#10;dQsBxIHMC6jWKEKPVZgobDOsKqN06oG7mU3/6eaxBqdTLyyOdxeZ/P+DVV+P30iYspDrxVIKCy0P&#10;6Un3QXzEXixWq6hQ53zOiY+OU0PPAZ506ta7e1Q/vLB4U4Pd62si7GoNJTOcxZfZs6cDjo8gu+4L&#10;llwIDgETUF9RG+VjQQSj86ROl+lEMoqdq8VyPp8tpFAce7+cf2A7loB8fO3Ih08aWxGNQhJPP6HD&#10;8d6HIXVMicUs3pmmYT/kjf3LwZjRk9hHwgP10O/6JNViPaqyw/LE/RAOi8UfgY0a6ZcUHS9VIf3P&#10;A5CWovlsWZO4gaNBo7EbDbCKnxYySDGYN2HY1IMjs68ZeVDd4jXrVpnUUhR4YHHmy4uSRDkvddzE&#10;5/eU9efrbX8D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BvmJ7vABAADCAwAADgAAAAAAAAAAAAAAAAAuAgAAZHJzL2Uy&#10;b0RvYy54bWxQSwECLQAUAAYACAAAACEAOwbrv94AAAALAQAADwAAAAAAAAAAAAAAAABKBAAAZHJz&#10;L2Rvd25yZXYueG1sUEsFBgAAAAAEAAQA8wAAAFUFAAAAAA==&#10;" filled="f" stroked="f">
                <v:textbox inset="0,0,0,0">
                  <w:txbxContent>
                    <w:p w14:paraId="0673A59F" w14:textId="77777777" w:rsidR="00490F33" w:rsidRDefault="00490F33">
                      <w:pPr>
                        <w:textAlignment w:val="baseline"/>
                      </w:pPr>
                      <w:r>
                        <w:rPr>
                          <w:noProof/>
                          <w:lang w:val="en-AU" w:eastAsia="en-AU"/>
                        </w:rPr>
                        <w:drawing>
                          <wp:inline distT="0" distB="0" distL="0" distR="0" wp14:anchorId="7DB2FFB4" wp14:editId="57089C38">
                            <wp:extent cx="7562215" cy="462915"/>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1"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19E9762F" w14:textId="77777777" w:rsidR="009757A9" w:rsidRDefault="009757A9">
      <w:pPr>
        <w:sectPr w:rsidR="009757A9">
          <w:pgSz w:w="11909" w:h="16838"/>
          <w:pgMar w:top="832" w:right="0" w:bottom="0" w:left="0" w:header="720" w:footer="720" w:gutter="0"/>
          <w:cols w:space="720"/>
        </w:sectPr>
      </w:pPr>
    </w:p>
    <w:p w14:paraId="2C67A1CC" w14:textId="77777777" w:rsidR="009757A9" w:rsidRDefault="00083242">
      <w:pPr>
        <w:spacing w:before="21" w:after="330" w:line="225" w:lineRule="exact"/>
        <w:ind w:left="864"/>
        <w:textAlignment w:val="baseline"/>
        <w:rPr>
          <w:rFonts w:ascii="Arial" w:eastAsia="Arial" w:hAnsi="Arial"/>
          <w:b/>
          <w:color w:val="404042"/>
          <w:spacing w:val="3"/>
          <w:sz w:val="19"/>
        </w:rPr>
      </w:pPr>
      <w:r>
        <w:rPr>
          <w:rFonts w:ascii="Arial" w:eastAsia="Arial" w:hAnsi="Arial"/>
          <w:b/>
          <w:color w:val="404042"/>
          <w:spacing w:val="3"/>
          <w:sz w:val="19"/>
        </w:rPr>
        <w:lastRenderedPageBreak/>
        <w:t xml:space="preserve">Figure 6: </w:t>
      </w:r>
      <w:r>
        <w:rPr>
          <w:rFonts w:ascii="Tahoma" w:eastAsia="Tahoma" w:hAnsi="Tahoma"/>
          <w:color w:val="404042"/>
          <w:spacing w:val="3"/>
          <w:sz w:val="18"/>
        </w:rPr>
        <w:t>Example of a Learner Profile</w:t>
      </w:r>
    </w:p>
    <w:p w14:paraId="1EB6D5D8" w14:textId="77777777" w:rsidR="009757A9" w:rsidRDefault="00083242">
      <w:pPr>
        <w:spacing w:after="178"/>
        <w:ind w:left="2179" w:right="2923"/>
        <w:textAlignment w:val="baseline"/>
      </w:pPr>
      <w:r>
        <w:rPr>
          <w:noProof/>
          <w:lang w:val="en-AU" w:eastAsia="en-AU"/>
        </w:rPr>
        <w:drawing>
          <wp:inline distT="0" distB="0" distL="0" distR="0" wp14:anchorId="24FCF117" wp14:editId="75748832">
            <wp:extent cx="4322445" cy="8524875"/>
            <wp:effectExtent l="0" t="0" r="0" b="0"/>
            <wp:docPr id="82" name="Picture" descr="Example of a Learner Profile. First page provides name, USI, academic results, vocational results, and achievement of minimum standards in literacy, numeracy and digital literacy, and space to include work, caring and community experience. The second page includes, demonstration of capabilities for employment and active citizenship. Capabilities are: communication, critical and creative thinking, personal and social capability, ethical understanding, intercultural understanding, teamwork, leadership, entrepreneurial capability. These can be evidenced through: school-based learning/activities; home and community service; work experience. The levels are: Developing, some evidence, range of evidence, fully evidenced."/>
            <wp:cNvGraphicFramePr/>
            <a:graphic xmlns:a="http://schemas.openxmlformats.org/drawingml/2006/main">
              <a:graphicData uri="http://schemas.openxmlformats.org/drawingml/2006/picture">
                <pic:pic xmlns:pic="http://schemas.openxmlformats.org/drawingml/2006/picture">
                  <pic:nvPicPr>
                    <pic:cNvPr id="82" name="Picture" descr="Example of a Learner Profile. First page provides name, USI, academic results, vocational results, and achievement of minimum standards in literacy, numeracy and digital literacy, and space to include work, caring and community experience. The second page includes, demonstration of capabilities for employment and active citizenship. Capabilities are: communication, critical and creative thinking, personal and social capability, ethical understanding, intercultural understanding, teamwork, leadership, entrepreneurial capability. These can be evidenced through: school-based learning/activities; home and community service; work experience. The levels are: Developing, some evidence, range of evidence, fully evidenced."/>
                    <pic:cNvPicPr preferRelativeResize="0"/>
                  </pic:nvPicPr>
                  <pic:blipFill>
                    <a:blip r:embed="rId119"/>
                    <a:stretch>
                      <a:fillRect/>
                    </a:stretch>
                  </pic:blipFill>
                  <pic:spPr>
                    <a:xfrm>
                      <a:off x="0" y="0"/>
                      <a:ext cx="4322445" cy="8524875"/>
                    </a:xfrm>
                    <a:prstGeom prst="rect">
                      <a:avLst/>
                    </a:prstGeom>
                  </pic:spPr>
                </pic:pic>
              </a:graphicData>
            </a:graphic>
          </wp:inline>
        </w:drawing>
      </w:r>
    </w:p>
    <w:p w14:paraId="673684ED" w14:textId="77777777" w:rsidR="009757A9" w:rsidRDefault="00083242">
      <w:pPr>
        <w:tabs>
          <w:tab w:val="left" w:pos="1368"/>
        </w:tabs>
        <w:spacing w:after="628" w:line="207" w:lineRule="exact"/>
        <w:ind w:left="864"/>
        <w:textAlignment w:val="baseline"/>
        <w:rPr>
          <w:rFonts w:ascii="Arial" w:eastAsia="Arial" w:hAnsi="Arial"/>
          <w:b/>
          <w:color w:val="5556A1"/>
          <w:spacing w:val="4"/>
          <w:sz w:val="19"/>
        </w:rPr>
      </w:pPr>
      <w:r>
        <w:rPr>
          <w:rFonts w:ascii="Arial" w:eastAsia="Arial" w:hAnsi="Arial"/>
          <w:b/>
          <w:color w:val="5556A1"/>
          <w:spacing w:val="4"/>
          <w:sz w:val="19"/>
        </w:rPr>
        <w:t>52</w:t>
      </w:r>
      <w:r>
        <w:rPr>
          <w:rFonts w:ascii="Tahoma" w:eastAsia="Tahoma" w:hAnsi="Tahoma"/>
          <w:color w:val="404042"/>
          <w:spacing w:val="4"/>
          <w:sz w:val="14"/>
        </w:rPr>
        <w:tab/>
        <w:t>Looking to the future</w:t>
      </w:r>
    </w:p>
    <w:p w14:paraId="3196608D" w14:textId="77777777" w:rsidR="009757A9" w:rsidRDefault="00083242">
      <w:pPr>
        <w:textAlignment w:val="baseline"/>
      </w:pPr>
      <w:r>
        <w:rPr>
          <w:noProof/>
          <w:lang w:val="en-AU" w:eastAsia="en-AU"/>
        </w:rPr>
        <w:drawing>
          <wp:inline distT="0" distB="0" distL="0" distR="0" wp14:anchorId="7147366C" wp14:editId="53FFBE00">
            <wp:extent cx="7562215" cy="462915"/>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3"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p w14:paraId="7102BCA3" w14:textId="77777777" w:rsidR="009757A9" w:rsidRDefault="009757A9">
      <w:pPr>
        <w:sectPr w:rsidR="009757A9">
          <w:pgSz w:w="11909" w:h="16838"/>
          <w:pgMar w:top="1080" w:right="0" w:bottom="0" w:left="0" w:header="720" w:footer="720" w:gutter="0"/>
          <w:cols w:space="720"/>
        </w:sectPr>
      </w:pPr>
    </w:p>
    <w:p w14:paraId="110BBAFE" w14:textId="77777777" w:rsidR="009757A9" w:rsidRDefault="00083242">
      <w:pPr>
        <w:spacing w:before="16" w:after="677"/>
        <w:ind w:left="2270" w:right="2832"/>
        <w:textAlignment w:val="baseline"/>
      </w:pPr>
      <w:r>
        <w:rPr>
          <w:noProof/>
          <w:lang w:val="en-AU" w:eastAsia="en-AU"/>
        </w:rPr>
        <w:lastRenderedPageBreak/>
        <w:drawing>
          <wp:inline distT="0" distB="0" distL="0" distR="0" wp14:anchorId="1528EE14" wp14:editId="338F4843">
            <wp:extent cx="4322445" cy="5800090"/>
            <wp:effectExtent l="0" t="0" r="0" b="0"/>
            <wp:docPr id="84" name="Picture" descr="Example of a Learner Profile. First page provides name, USI, academic results, vocational results, and achievement of minimum standards in literacy, numeracy and digital literacy, and space to include work, caring and community experience. The second page includes, demonstration of capabilities for employment and active citizenship. Capabilities are: communication, critical and creative thinking, personal and social capability, ethical understanding, intercultural understanding, teamwork, leadership, entrepreneurial capability. These can be evidenced through: school-based learning/activities; home and community service; work experience. The levels are: Developing, some evidence, range of evidence, fully evidenced."/>
            <wp:cNvGraphicFramePr/>
            <a:graphic xmlns:a="http://schemas.openxmlformats.org/drawingml/2006/main">
              <a:graphicData uri="http://schemas.openxmlformats.org/drawingml/2006/picture">
                <pic:pic xmlns:pic="http://schemas.openxmlformats.org/drawingml/2006/picture">
                  <pic:nvPicPr>
                    <pic:cNvPr id="84" name="Picture" descr="Example of a Learner Profile. First page provides name, USI, academic results, vocational results, and achievement of minimum standards in literacy, numeracy and digital literacy, and space to include work, caring and community experience. The second page includes, demonstration of capabilities for employment and active citizenship. Capabilities are: communication, critical and creative thinking, personal and social capability, ethical understanding, intercultural understanding, teamwork, leadership, entrepreneurial capability. These can be evidenced through: school-based learning/activities; home and community service; work experience. The levels are: Developing, some evidence, range of evidence, fully evidenced."/>
                    <pic:cNvPicPr preferRelativeResize="0"/>
                  </pic:nvPicPr>
                  <pic:blipFill>
                    <a:blip r:embed="rId120"/>
                    <a:stretch>
                      <a:fillRect/>
                    </a:stretch>
                  </pic:blipFill>
                  <pic:spPr>
                    <a:xfrm>
                      <a:off x="0" y="0"/>
                      <a:ext cx="4322445" cy="5800090"/>
                    </a:xfrm>
                    <a:prstGeom prst="rect">
                      <a:avLst/>
                    </a:prstGeom>
                  </pic:spPr>
                </pic:pic>
              </a:graphicData>
            </a:graphic>
          </wp:inline>
        </w:drawing>
      </w:r>
    </w:p>
    <w:p w14:paraId="0A116CD5" w14:textId="77777777" w:rsidR="009757A9" w:rsidRDefault="00083242">
      <w:pPr>
        <w:spacing w:after="2702"/>
        <w:ind w:left="2285" w:right="1858"/>
        <w:textAlignment w:val="baseline"/>
      </w:pPr>
      <w:r>
        <w:rPr>
          <w:noProof/>
          <w:lang w:val="en-AU" w:eastAsia="en-AU"/>
        </w:rPr>
        <w:drawing>
          <wp:inline distT="0" distB="0" distL="0" distR="0" wp14:anchorId="2CD99EE9" wp14:editId="0FFA6564">
            <wp:extent cx="4931410" cy="695325"/>
            <wp:effectExtent l="0" t="0" r="0" b="0"/>
            <wp:docPr id="85" name="Picture" descr="School-based learning/activities means demonstrated through classroom or school activities (such as sport and creative arts) and/or learning.&#10;&#10;Home and community service means demonstrated in a range of situations, including sport, lived experiences such as caring responsibilities (care of siblings or older relatives, cooking for the family) or running fundraisers for a community event.&#10;&#10;Work experience can be unpaid or paid part-time work within a family business, volunteer work or work experience organised in or outside of school."/>
            <wp:cNvGraphicFramePr/>
            <a:graphic xmlns:a="http://schemas.openxmlformats.org/drawingml/2006/main">
              <a:graphicData uri="http://schemas.openxmlformats.org/drawingml/2006/picture">
                <pic:pic xmlns:pic="http://schemas.openxmlformats.org/drawingml/2006/picture">
                  <pic:nvPicPr>
                    <pic:cNvPr id="85" name="Picture" descr="School-based learning/activities means demonstrated through classroom or school activities (such as sport and creative arts) and/or learning.&#10;&#10;Home and community service means demonstrated in a range of situations, including sport, lived experiences such as caring responsibilities (care of siblings or older relatives, cooking for the family) or running fundraisers for a community event.&#10;&#10;Work experience can be unpaid or paid part-time work within a family business, volunteer work or work experience organised in or outside of school."/>
                    <pic:cNvPicPr preferRelativeResize="0"/>
                  </pic:nvPicPr>
                  <pic:blipFill>
                    <a:blip r:embed="rId121"/>
                    <a:stretch>
                      <a:fillRect/>
                    </a:stretch>
                  </pic:blipFill>
                  <pic:spPr>
                    <a:xfrm>
                      <a:off x="0" y="0"/>
                      <a:ext cx="4931410" cy="695325"/>
                    </a:xfrm>
                    <a:prstGeom prst="rect">
                      <a:avLst/>
                    </a:prstGeom>
                  </pic:spPr>
                </pic:pic>
              </a:graphicData>
            </a:graphic>
          </wp:inline>
        </w:drawing>
      </w:r>
    </w:p>
    <w:p w14:paraId="5988D097" w14:textId="77777777" w:rsidR="009757A9" w:rsidRDefault="00083242">
      <w:pPr>
        <w:tabs>
          <w:tab w:val="left" w:pos="10872"/>
        </w:tabs>
        <w:spacing w:after="640" w:line="195" w:lineRule="exact"/>
        <w:ind w:left="8856"/>
        <w:textAlignment w:val="baseline"/>
        <w:rPr>
          <w:rFonts w:ascii="Tahoma" w:eastAsia="Tahoma" w:hAnsi="Tahoma"/>
          <w:color w:val="404042"/>
          <w:sz w:val="14"/>
        </w:rPr>
      </w:pPr>
      <w:r>
        <w:rPr>
          <w:rFonts w:ascii="Tahoma" w:eastAsia="Tahoma" w:hAnsi="Tahoma"/>
          <w:color w:val="404042"/>
          <w:sz w:val="14"/>
        </w:rPr>
        <w:t>Chapter 1: Essential skills</w:t>
      </w:r>
      <w:r>
        <w:rPr>
          <w:rFonts w:ascii="Arial" w:eastAsia="Arial" w:hAnsi="Arial"/>
          <w:b/>
          <w:color w:val="5556A1"/>
          <w:sz w:val="18"/>
        </w:rPr>
        <w:tab/>
        <w:t>53</w:t>
      </w:r>
    </w:p>
    <w:p w14:paraId="70B706F2" w14:textId="77777777" w:rsidR="009757A9" w:rsidRDefault="00083242">
      <w:pPr>
        <w:textAlignment w:val="baseline"/>
      </w:pPr>
      <w:r>
        <w:rPr>
          <w:noProof/>
          <w:lang w:val="en-AU" w:eastAsia="en-AU"/>
        </w:rPr>
        <w:drawing>
          <wp:inline distT="0" distB="0" distL="0" distR="0" wp14:anchorId="52826655" wp14:editId="6F9CBB45">
            <wp:extent cx="7562215" cy="462915"/>
            <wp:effectExtent l="0" t="0" r="0" b="0"/>
            <wp:docPr id="86" name="Picture"/>
            <wp:cNvGraphicFramePr/>
            <a:graphic xmlns:a="http://schemas.openxmlformats.org/drawingml/2006/main">
              <a:graphicData uri="http://schemas.openxmlformats.org/drawingml/2006/picture">
                <pic:pic xmlns:pic="http://schemas.openxmlformats.org/drawingml/2006/picture">
                  <pic:nvPicPr>
                    <pic:cNvPr id="86"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389266CE" w14:textId="77777777" w:rsidR="009757A9" w:rsidRDefault="009757A9">
      <w:pPr>
        <w:sectPr w:rsidR="009757A9">
          <w:pgSz w:w="11909" w:h="16838"/>
          <w:pgMar w:top="1640" w:right="0" w:bottom="0" w:left="0" w:header="720" w:footer="720" w:gutter="0"/>
          <w:cols w:space="720"/>
        </w:sectPr>
      </w:pPr>
    </w:p>
    <w:p w14:paraId="637EAE19"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369984" behindDoc="1" locked="0" layoutInCell="1" allowOverlap="1" wp14:anchorId="6AC93196" wp14:editId="43803A82">
                <wp:simplePos x="0" y="0"/>
                <wp:positionH relativeFrom="page">
                  <wp:posOffset>0</wp:posOffset>
                </wp:positionH>
                <wp:positionV relativeFrom="page">
                  <wp:posOffset>0</wp:posOffset>
                </wp:positionV>
                <wp:extent cx="7562215" cy="10692130"/>
                <wp:effectExtent l="0" t="0" r="0" b="0"/>
                <wp:wrapSquare wrapText="bothSides"/>
                <wp:docPr id="85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D4010" w14:textId="77777777" w:rsidR="00490F33" w:rsidRDefault="00490F33">
                            <w:pPr>
                              <w:textAlignment w:val="baseline"/>
                            </w:pPr>
                            <w:r>
                              <w:rPr>
                                <w:noProof/>
                                <w:lang w:val="en-AU" w:eastAsia="en-AU"/>
                              </w:rPr>
                              <w:drawing>
                                <wp:inline distT="0" distB="0" distL="0" distR="0" wp14:anchorId="005DE5B1" wp14:editId="17A2C4F5">
                                  <wp:extent cx="7562215" cy="10692130"/>
                                  <wp:effectExtent l="0" t="0" r="0" b="0"/>
                                  <wp:docPr id="87" name="Picture" descr="example of a potential SA prototype. It is more decorative than informative with much of the text illegible. However it includes: record of achievement; capabilities; underpinning skills and entrepreneurial thinking.&#10;&#10;Extract from page 27 of The Advertiser newspaper, Friday 4 October 2019. Again this is more decorative then informative, however it shows the potential SA prototype and writing about it (illegible). "/>
                                  <wp:cNvGraphicFramePr/>
                                  <a:graphic xmlns:a="http://schemas.openxmlformats.org/drawingml/2006/main">
                                    <a:graphicData uri="http://schemas.openxmlformats.org/drawingml/2006/picture">
                                      <pic:pic xmlns:pic="http://schemas.openxmlformats.org/drawingml/2006/picture">
                                        <pic:nvPicPr>
                                          <pic:cNvPr id="87" name="Picture" descr="example of a potential SA prototype. It is more decorative than informative with much of the text illegible. However it includes: record of achievement; capabilities; underpinning skills and entrepreneurial thinking.&#10;&#10;Extract from page 27 of The Advertiser newspaper, Friday 4 October 2019. Again this is more decorative then informative, however it shows the potential SA prototype and writing about it (illegible). "/>
                                          <pic:cNvPicPr preferRelativeResize="0"/>
                                        </pic:nvPicPr>
                                        <pic:blipFill>
                                          <a:blip r:embed="rId122"/>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93196" id="Text Box 576" o:spid="_x0000_s1085" type="#_x0000_t202" style="position:absolute;margin-left:0;margin-top:0;width:595.45pt;height:841.9pt;z-index:-25194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Wh8gEAAMQDAAAOAAAAZHJzL2Uyb0RvYy54bWysU9tu2zAMfR+wfxD0vjjOkLQ14hRdiw4D&#10;ugvQ7gMYWY6F2aJGKbGzrx8lx1m3vhV7EShejg4PqfX10LXioMkbtKXMZ3MptFVYGbsr5fen+3eX&#10;UvgAtoIWrS7lUXt5vXn7Zt27Qi+wwbbSJBjE+qJ3pWxCcEWWedXoDvwMnbYcrJE6CHylXVYR9Ize&#10;tdliPl9lPVLlCJX2nr13Y1BuEn5daxW+1rXXQbSlZG4hnZTObTyzzRqKHYFrjDrRgFew6MBYfvQM&#10;dQcBxJ7MC6jOKEKPdZgp7DKsa6N06oG7yef/dPPYgNOpFxbHu7NM/v/Bqi+HbyRMVcrL5VIKCx0P&#10;6UkPQXzAQSwvVlGh3vmCEx8dp4aBAzzp1K13D6h+eGHxtgG70zdE2DcaKmaYx8rsWemI4yPItv+M&#10;FT8E+4AJaKipi/KxIILReVLH83QiGcXOi+VqsciZpOJYPl9dLfL3aYAZFFO9Ix8+auxENEpJPP+E&#10;D4cHHyIfKKaU+JzFe9O2aQda+5eDE6Mn8Y+UR/Jh2A5JrOXVpMsWqyN3RDiuFn8FNhqkX1L0vFal&#10;9D/3QFqK9pNlVeIOTgZNxnYywCouLWWQYjRvw7ire0dm1zDyqLvFG1auNqmlKPHI4sSXVyV1elrr&#10;uIvP7ynrz+fb/AY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KwQ5aHyAQAAxAMAAA4AAAAAAAAAAAAAAAAALgIAAGRycy9l&#10;Mm9Eb2MueG1sUEsBAi0AFAAGAAgAAAAhAHsiySLdAAAABwEAAA8AAAAAAAAAAAAAAAAATAQAAGRy&#10;cy9kb3ducmV2LnhtbFBLBQYAAAAABAAEAPMAAABWBQAAAAA=&#10;" filled="f" stroked="f">
                <v:textbox inset="0,0,0,0">
                  <w:txbxContent>
                    <w:p w14:paraId="6E6D4010" w14:textId="77777777" w:rsidR="00490F33" w:rsidRDefault="00490F33">
                      <w:pPr>
                        <w:textAlignment w:val="baseline"/>
                      </w:pPr>
                      <w:r>
                        <w:rPr>
                          <w:noProof/>
                          <w:lang w:val="en-AU" w:eastAsia="en-AU"/>
                        </w:rPr>
                        <w:drawing>
                          <wp:inline distT="0" distB="0" distL="0" distR="0" wp14:anchorId="005DE5B1" wp14:editId="17A2C4F5">
                            <wp:extent cx="7562215" cy="10692130"/>
                            <wp:effectExtent l="0" t="0" r="0" b="0"/>
                            <wp:docPr id="87" name="Picture" descr="example of a potential SA prototype. It is more decorative than informative with much of the text illegible. However it includes: record of achievement; capabilities; underpinning skills and entrepreneurial thinking.&#10;&#10;Extract from page 27 of The Advertiser newspaper, Friday 4 October 2019. Again this is more decorative then informative, however it shows the potential SA prototype and writing about it (illegible). "/>
                            <wp:cNvGraphicFramePr/>
                            <a:graphic xmlns:a="http://schemas.openxmlformats.org/drawingml/2006/main">
                              <a:graphicData uri="http://schemas.openxmlformats.org/drawingml/2006/picture">
                                <pic:pic xmlns:pic="http://schemas.openxmlformats.org/drawingml/2006/picture">
                                  <pic:nvPicPr>
                                    <pic:cNvPr id="87" name="Picture" descr="example of a potential SA prototype. It is more decorative than informative with much of the text illegible. However it includes: record of achievement; capabilities; underpinning skills and entrepreneurial thinking.&#10;&#10;Extract from page 27 of The Advertiser newspaper, Friday 4 October 2019. Again this is more decorative then informative, however it shows the potential SA prototype and writing about it (illegible). "/>
                                    <pic:cNvPicPr preferRelativeResize="0"/>
                                  </pic:nvPicPr>
                                  <pic:blipFill>
                                    <a:blip r:embed="rId122"/>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1008" behindDoc="1" locked="0" layoutInCell="1" allowOverlap="1" wp14:anchorId="2951602D" wp14:editId="31E354BF">
                <wp:simplePos x="0" y="0"/>
                <wp:positionH relativeFrom="page">
                  <wp:posOffset>835025</wp:posOffset>
                </wp:positionH>
                <wp:positionV relativeFrom="page">
                  <wp:posOffset>982980</wp:posOffset>
                </wp:positionV>
                <wp:extent cx="2551430" cy="858520"/>
                <wp:effectExtent l="0" t="0" r="0" b="0"/>
                <wp:wrapSquare wrapText="bothSides"/>
                <wp:docPr id="854"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71033"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F55648C" w14:textId="77777777" w:rsidR="00490F33" w:rsidRDefault="00490F33">
                            <w:pPr>
                              <w:spacing w:line="45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A SOUTH AUSTRALIAN</w:t>
                            </w:r>
                          </w:p>
                          <w:p w14:paraId="29FF178B" w14:textId="77777777" w:rsidR="00490F33" w:rsidRDefault="00490F33">
                            <w:pPr>
                              <w:spacing w:before="4" w:line="45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LEARNER PROFILE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1602D" id="Text Box 575" o:spid="_x0000_s1086" type="#_x0000_t202" style="position:absolute;margin-left:65.75pt;margin-top:77.4pt;width:200.9pt;height:67.6pt;z-index:-25194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f/8AEAAMIDAAAOAAAAZHJzL2Uyb0RvYy54bWysU9tu2zAMfR+wfxD0vjjJ6i4w4hRdiw4D&#10;ugvQ7gMYWY6F2aJGKbGzrx8lx2m3vRV9ESiROjrnkFpfDV0rDpq8QVvKxWwuhbYKK2N3pfzxePdu&#10;JYUPYCto0epSHrWXV5u3b9a9K/QSG2wrTYJBrC96V8omBFdkmVeN7sDP0GnLyRqpg8Bb2mUVQc/o&#10;XZst5/PLrEeqHKHS3vPp7ZiUm4Rf11qFb3XtdRBtKZlbSCuldRvXbLOGYkfgGqNONOAFLDowlh89&#10;Q91CALEn8x9UZxShxzrMFHYZ1rVROmlgNYv5P2oeGnA6aWFzvDvb5F8PVn09fCdhqlKu8gspLHTc&#10;pEc9BPERB5F/yKNDvfMFFz44Lg0DJ7jTSa1396h+emHxpgG709dE2DcaKma4iDezZ1dHHB9Btv0X&#10;rPgh2AdMQENNXbSPDRGMzp06nrsTySg+XOb54uI9pxTnVvkqX6b2ZVBMtx358EljJ2JQSuLuJ3Q4&#10;3PsQ2UAxlcTHLN6Ztk0T0Nq/DrgwniT2kfBIPQzbIVl1mR6O0rZYHVkP4ThY/BE4aJB+S9HzUJXS&#10;/9oDaSnaz5Y9iRM4BTQF2ykAq/hqKYMUY3gTxkndOzK7hpFH1y1es2+1SZKeWJz48qAkpaehjpP4&#10;fJ+qnr7e5g8AAAD//wMAUEsDBBQABgAIAAAAIQBwslTh3wAAAAsBAAAPAAAAZHJzL2Rvd25yZXYu&#10;eG1sTI89T8MwEIZ3JP6DdUhs1G5DKhriVBWCCQmRhoHRSa6J1fgcYrcN/55jgu1e3aP3I9/ObhBn&#10;nIL1pGG5UCCQGt9a6jR8VC93DyBCNNSawRNq+MYA2+L6KjdZ6y9U4nkfO8EmFDKjoY9xzKQMTY/O&#10;hIUfkfh38JMzkeXUyXYyFzZ3g1wptZbOWOKE3oz41GNz3J+cht0nlc/2661+Lw+lraqNotf1Uevb&#10;m3n3CCLiHP9g+K3P1aHgTrU/URvEwDpZpozykd7zBibSJElA1BpWG6VAFrn8v6H4AQAA//8DAFBL&#10;AQItABQABgAIAAAAIQC2gziS/gAAAOEBAAATAAAAAAAAAAAAAAAAAAAAAABbQ29udGVudF9UeXBl&#10;c10ueG1sUEsBAi0AFAAGAAgAAAAhADj9If/WAAAAlAEAAAsAAAAAAAAAAAAAAAAALwEAAF9yZWxz&#10;Ly5yZWxzUEsBAi0AFAAGAAgAAAAhAC+9R//wAQAAwgMAAA4AAAAAAAAAAAAAAAAALgIAAGRycy9l&#10;Mm9Eb2MueG1sUEsBAi0AFAAGAAgAAAAhAHCyVOHfAAAACwEAAA8AAAAAAAAAAAAAAAAASgQAAGRy&#10;cy9kb3ducmV2LnhtbFBLBQYAAAAABAAEAPMAAABWBQAAAAA=&#10;" filled="f" stroked="f">
                <v:textbox inset="0,0,0,0">
                  <w:txbxContent>
                    <w:p w14:paraId="55971033"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F55648C" w14:textId="77777777" w:rsidR="00490F33" w:rsidRDefault="00490F33">
                      <w:pPr>
                        <w:spacing w:line="45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A SOUTH AUSTRALIAN</w:t>
                      </w:r>
                    </w:p>
                    <w:p w14:paraId="29FF178B" w14:textId="77777777" w:rsidR="00490F33" w:rsidRDefault="00490F33">
                      <w:pPr>
                        <w:spacing w:before="4" w:line="45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LEARNER PROFILE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2032" behindDoc="1" locked="0" layoutInCell="1" allowOverlap="1" wp14:anchorId="7936F847" wp14:editId="4CDFB447">
                <wp:simplePos x="0" y="0"/>
                <wp:positionH relativeFrom="page">
                  <wp:posOffset>905510</wp:posOffset>
                </wp:positionH>
                <wp:positionV relativeFrom="page">
                  <wp:posOffset>1997710</wp:posOffset>
                </wp:positionV>
                <wp:extent cx="2428875" cy="843280"/>
                <wp:effectExtent l="0" t="0" r="0" b="0"/>
                <wp:wrapSquare wrapText="bothSides"/>
                <wp:docPr id="85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4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7EF74" w14:textId="77777777" w:rsidR="00490F33" w:rsidRDefault="00490F33">
                            <w:pPr>
                              <w:spacing w:before="2" w:line="219" w:lineRule="exact"/>
                              <w:textAlignment w:val="baseline"/>
                              <w:rPr>
                                <w:rFonts w:ascii="Tahoma" w:eastAsia="Tahoma" w:hAnsi="Tahoma"/>
                                <w:color w:val="414042"/>
                                <w:spacing w:val="5"/>
                                <w:sz w:val="18"/>
                              </w:rPr>
                            </w:pPr>
                            <w:r>
                              <w:rPr>
                                <w:rFonts w:ascii="Tahoma" w:eastAsia="Tahoma" w:hAnsi="Tahoma"/>
                                <w:color w:val="414042"/>
                                <w:spacing w:val="5"/>
                                <w:sz w:val="18"/>
                              </w:rPr>
                              <w:t>The South Australian Certificate of Education (SACE) Board has been considering for some time how to transform the SACE certificate to a ‘living document’ that tells a more holistic story about the capabilities of the 21st-century student.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6F847" id="Text Box 574" o:spid="_x0000_s1087" type="#_x0000_t202" style="position:absolute;margin-left:71.3pt;margin-top:157.3pt;width:191.25pt;height:66.4pt;z-index:-25194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OMU8QEAAMIDAAAOAAAAZHJzL2Uyb0RvYy54bWysU9tu2zAMfR+wfxD0vjhJk9Yw4hRdiw4D&#10;ugvQ7gMYWY6F2aJGKbGzrx8lJ2m3vRV9ESiKOjrnkFpdD10r9pq8QVvK2WQqhbYKK2O3pfzxdP8h&#10;l8IHsBW0aHUpD9rL6/X7d6veFXqODbaVJsEg1he9K2UTgiuyzKtGd+An6LTlwxqpg8Bb2mYVQc/o&#10;XZvNp9PLrEeqHKHS3nP2bjyU64Rf11qFb3XtdRBtKZlbSCuldRPXbL2CYkvgGqOONOAVLDowlh89&#10;Q91BALEj8x9UZxShxzpMFHYZ1rVROmlgNbPpP2oeG3A6aWFzvDvb5N8OVn3dfydhqlLmywspLHTc&#10;pCc9BPERB7G8WkSHeucLLnx0XBoGPuBOJ7XePaD66YXF2wbsVt8QYd9oqJjhLN7MXlwdcXwE2fRf&#10;sOKHYBcwAQ01ddE+NkQwOnfqcO5OJKM4OV/M8/xqKYXis3xxMc9T+zIoTrcd+fBJYydiUEri7id0&#10;2D/4ENlAcSqJj1m8N22bJqC1fyW4MGYS+0h4pB6GzZCsukzaorQNVgfWQzgOFn8EDhqk31L0PFSl&#10;9L92QFqK9rNlT+IEngI6BZtTAFbx1VIGKcbwNoyTunNktg0jj65bvGHfapMkPbM48uVBSUqPQx0n&#10;8eU+VT1/vfUfAAAA//8DAFBLAwQUAAYACAAAACEA4+o/GuAAAAALAQAADwAAAGRycy9kb3ducmV2&#10;LnhtbEyPwU7DMAyG70i8Q2QkbixtyQqUptOE4ISE6MqBY9pkbbTGKU22lbfHnODmX/70+3O5WdzI&#10;TmYO1qOEdJUAM9h5bbGX8NG83NwDC1GhVqNHI+HbBNhUlxelKrQ/Y21Ou9gzKsFQKAlDjFPBeegG&#10;41RY+ckg7fZ+dipSnHuuZ3WmcjfyLEly7pRFujCoyTwNpjvsjk7C9hPrZ/v11r7X+9o2zUOCr/lB&#10;yuurZfsILJol/sHwq0/qUJFT64+oAxspiywnVMJtKmggYp2tU2CtBCHuBPCq5P9/qH4AAAD//wMA&#10;UEsBAi0AFAAGAAgAAAAhALaDOJL+AAAA4QEAABMAAAAAAAAAAAAAAAAAAAAAAFtDb250ZW50X1R5&#10;cGVzXS54bWxQSwECLQAUAAYACAAAACEAOP0h/9YAAACUAQAACwAAAAAAAAAAAAAAAAAvAQAAX3Jl&#10;bHMvLnJlbHNQSwECLQAUAAYACAAAACEANUzjFPEBAADCAwAADgAAAAAAAAAAAAAAAAAuAgAAZHJz&#10;L2Uyb0RvYy54bWxQSwECLQAUAAYACAAAACEA4+o/GuAAAAALAQAADwAAAAAAAAAAAAAAAABLBAAA&#10;ZHJzL2Rvd25yZXYueG1sUEsFBgAAAAAEAAQA8wAAAFgFAAAAAA==&#10;" filled="f" stroked="f">
                <v:textbox inset="0,0,0,0">
                  <w:txbxContent>
                    <w:p w14:paraId="67C7EF74" w14:textId="77777777" w:rsidR="00490F33" w:rsidRDefault="00490F33">
                      <w:pPr>
                        <w:spacing w:before="2" w:line="219" w:lineRule="exact"/>
                        <w:textAlignment w:val="baseline"/>
                        <w:rPr>
                          <w:rFonts w:ascii="Tahoma" w:eastAsia="Tahoma" w:hAnsi="Tahoma"/>
                          <w:color w:val="414042"/>
                          <w:spacing w:val="5"/>
                          <w:sz w:val="18"/>
                        </w:rPr>
                      </w:pPr>
                      <w:r>
                        <w:rPr>
                          <w:rFonts w:ascii="Tahoma" w:eastAsia="Tahoma" w:hAnsi="Tahoma"/>
                          <w:color w:val="414042"/>
                          <w:spacing w:val="5"/>
                          <w:sz w:val="18"/>
                        </w:rPr>
                        <w:t>The South Australian Certificate of Education (SACE) Board has been considering for some time how to transform the SACE certificate to a ‘living document’ that tells a more holistic story about the capabilities of the 21st-century student.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3056" behindDoc="1" locked="0" layoutInCell="1" allowOverlap="1" wp14:anchorId="3D13E4A1" wp14:editId="3F36D05A">
                <wp:simplePos x="0" y="0"/>
                <wp:positionH relativeFrom="page">
                  <wp:posOffset>905510</wp:posOffset>
                </wp:positionH>
                <wp:positionV relativeFrom="page">
                  <wp:posOffset>2942590</wp:posOffset>
                </wp:positionV>
                <wp:extent cx="2484120" cy="2348865"/>
                <wp:effectExtent l="0" t="0" r="0" b="0"/>
                <wp:wrapSquare wrapText="bothSides"/>
                <wp:docPr id="852"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234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3E655" w14:textId="77777777" w:rsidR="00490F33" w:rsidRDefault="00490F33">
                            <w:pPr>
                              <w:spacing w:before="1" w:line="221" w:lineRule="exact"/>
                              <w:textAlignment w:val="baseline"/>
                              <w:rPr>
                                <w:rFonts w:ascii="Tahoma" w:eastAsia="Tahoma" w:hAnsi="Tahoma"/>
                                <w:color w:val="414042"/>
                                <w:spacing w:val="3"/>
                                <w:sz w:val="18"/>
                              </w:rPr>
                            </w:pPr>
                            <w:r>
                              <w:rPr>
                                <w:rFonts w:ascii="Tahoma" w:eastAsia="Tahoma" w:hAnsi="Tahoma"/>
                                <w:color w:val="414042"/>
                                <w:spacing w:val="3"/>
                                <w:sz w:val="18"/>
                              </w:rPr>
                              <w:t>In 2019, SACE Board Chief Executive Professor Martin Westwell publicly introduced the concept of a ‘learner profile’ (pictured) that would go beyond the traditional reporting structure of grades to create a profile that a student can show to others, including employers, industry and universities, to say ‘this is who I am as a learner and a person’.</w:t>
                            </w:r>
                          </w:p>
                          <w:p w14:paraId="79A83D4B" w14:textId="77777777" w:rsidR="00490F33" w:rsidRDefault="00490F33">
                            <w:pPr>
                              <w:spacing w:before="162" w:line="219" w:lineRule="exact"/>
                              <w:ind w:right="72"/>
                              <w:textAlignment w:val="baseline"/>
                              <w:rPr>
                                <w:rFonts w:ascii="Tahoma" w:eastAsia="Tahoma" w:hAnsi="Tahoma"/>
                                <w:color w:val="414042"/>
                                <w:spacing w:val="5"/>
                                <w:sz w:val="18"/>
                              </w:rPr>
                            </w:pPr>
                            <w:r>
                              <w:rPr>
                                <w:rFonts w:ascii="Tahoma" w:eastAsia="Tahoma" w:hAnsi="Tahoma"/>
                                <w:color w:val="414042"/>
                                <w:spacing w:val="5"/>
                                <w:sz w:val="18"/>
                              </w:rPr>
                              <w:t>“The flip side of this,” Professor Westwell explains, “is that universities and employers get a much more nuanced view of the individual abilities and attributes of each student, which would more effectively match them to study pathways and career choices, and produce more positive and engaging outcomes for the student in the longer term.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3E4A1" id="Text Box 573" o:spid="_x0000_s1088" type="#_x0000_t202" style="position:absolute;margin-left:71.3pt;margin-top:231.7pt;width:195.6pt;height:184.95pt;z-index:-25194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AS8QEAAMMDAAAOAAAAZHJzL2Uyb0RvYy54bWysU9tu2zAMfR+wfxD0vjhxkyww4hRdiw4D&#10;ugvQ7gMYWY6F2aJGKbG7rx8lx1m3vQ17ESiSOjw8pLbXQ9eKkyZv0JZyMZtLoa3CythDKb8+3b/Z&#10;SOED2ApatLqUz9rL693rV9veFTrHBttKk2AQ64velbIJwRVZ5lWjO/AzdNpysEbqIPCVDllF0DN6&#10;12b5fL7OeqTKESrtPXvvxqDcJfy61ip8rmuvg2hLydxCOimd+3hmuy0UBwLXGHWmAf/AogNjuegF&#10;6g4CiCOZv6A6owg91mGmsMuwro3SqQfuZjH/o5vHBpxOvbA43l1k8v8PVn06fSFhqlJuVrkUFjoe&#10;0pMegniHg1i9vYoK9c4XnPjoODUMHOBJp269e0D1zQuLtw3Yg74hwr7RUDHDRXyZvXg64vgIsu8/&#10;YsWF4BgwAQ01dVE+FkQwOk/q+TKdSEaxM19uloucQ4pj+dVys1mvUg0opueOfHivsRPRKCXx+BM8&#10;nB58iHSgmFJiNYv3pm3TCrT2NwcnRk+iHxmP3MOwH5JW63ySZY/VMzdEOG4W/wQ2GqQfUvS8VaX0&#10;349AWor2g2VR4gpOBk3GfjLAKn5ayiDFaN6GcVWPjsyhYeRRdos3LFxtUktR4ZHFmS9vSur0vNVx&#10;FV/eU9avv7f7CQAA//8DAFBLAwQUAAYACAAAACEA143IN+AAAAALAQAADwAAAGRycy9kb3ducmV2&#10;LnhtbEyPwU7DMBBE70j8g7VI3KjTOkQljVNVCE5IiDQcODqxm1iN1yF22/D3LKdyHO3T7JtiO7uB&#10;nc0UrEcJy0UCzGDrtcVOwmf9+rAGFqJCrQaPRsKPCbAtb28KlWt/wcqc97FjVIIhVxL6GMec89D2&#10;xqmw8KNBuh385FSkOHVcT+pC5W7gqyTJuFMW6UOvRvPcm/a4PzkJuy+sXuz3e/NRHSpb108JvmVH&#10;Ke/v5t0GWDRzvMLwp0/qUJJT40+oAxsop6uMUAlpJlJgRDwKQWMaCWshBPCy4P83lL8AAAD//wMA&#10;UEsBAi0AFAAGAAgAAAAhALaDOJL+AAAA4QEAABMAAAAAAAAAAAAAAAAAAAAAAFtDb250ZW50X1R5&#10;cGVzXS54bWxQSwECLQAUAAYACAAAACEAOP0h/9YAAACUAQAACwAAAAAAAAAAAAAAAAAvAQAAX3Jl&#10;bHMvLnJlbHNQSwECLQAUAAYACAAAACEAIEWQEvEBAADDAwAADgAAAAAAAAAAAAAAAAAuAgAAZHJz&#10;L2Uyb0RvYy54bWxQSwECLQAUAAYACAAAACEA143IN+AAAAALAQAADwAAAAAAAAAAAAAAAABLBAAA&#10;ZHJzL2Rvd25yZXYueG1sUEsFBgAAAAAEAAQA8wAAAFgFAAAAAA==&#10;" filled="f" stroked="f">
                <v:textbox inset="0,0,0,0">
                  <w:txbxContent>
                    <w:p w14:paraId="5D03E655" w14:textId="77777777" w:rsidR="00490F33" w:rsidRDefault="00490F33">
                      <w:pPr>
                        <w:spacing w:before="1" w:line="221" w:lineRule="exact"/>
                        <w:textAlignment w:val="baseline"/>
                        <w:rPr>
                          <w:rFonts w:ascii="Tahoma" w:eastAsia="Tahoma" w:hAnsi="Tahoma"/>
                          <w:color w:val="414042"/>
                          <w:spacing w:val="3"/>
                          <w:sz w:val="18"/>
                        </w:rPr>
                      </w:pPr>
                      <w:r>
                        <w:rPr>
                          <w:rFonts w:ascii="Tahoma" w:eastAsia="Tahoma" w:hAnsi="Tahoma"/>
                          <w:color w:val="414042"/>
                          <w:spacing w:val="3"/>
                          <w:sz w:val="18"/>
                        </w:rPr>
                        <w:t>In 2019, SACE Board Chief Executive Professor Martin Westwell publicly introduced the concept of a ‘learner profile’ (pictured) that would go beyond the traditional reporting structure of grades to create a profile that a student can show to others, including employers, industry and universities, to say ‘this is who I am as a learner and a person’.</w:t>
                      </w:r>
                    </w:p>
                    <w:p w14:paraId="79A83D4B" w14:textId="77777777" w:rsidR="00490F33" w:rsidRDefault="00490F33">
                      <w:pPr>
                        <w:spacing w:before="162" w:line="219" w:lineRule="exact"/>
                        <w:ind w:right="72"/>
                        <w:textAlignment w:val="baseline"/>
                        <w:rPr>
                          <w:rFonts w:ascii="Tahoma" w:eastAsia="Tahoma" w:hAnsi="Tahoma"/>
                          <w:color w:val="414042"/>
                          <w:spacing w:val="5"/>
                          <w:sz w:val="18"/>
                        </w:rPr>
                      </w:pPr>
                      <w:r>
                        <w:rPr>
                          <w:rFonts w:ascii="Tahoma" w:eastAsia="Tahoma" w:hAnsi="Tahoma"/>
                          <w:color w:val="414042"/>
                          <w:spacing w:val="5"/>
                          <w:sz w:val="18"/>
                        </w:rPr>
                        <w:t>“The flip side of this,” Professor Westwell explains, “is that universities and employers get a much more nuanced view of the individual abilities and attributes of each student, which would more effectively match them to study pathways and career choices, and produce more positive and engaging outcomes for the student in the longer term.</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4080" behindDoc="1" locked="0" layoutInCell="1" allowOverlap="1" wp14:anchorId="34E3DAB2" wp14:editId="2449BBE0">
                <wp:simplePos x="0" y="0"/>
                <wp:positionH relativeFrom="page">
                  <wp:posOffset>4172585</wp:posOffset>
                </wp:positionH>
                <wp:positionV relativeFrom="page">
                  <wp:posOffset>946150</wp:posOffset>
                </wp:positionV>
                <wp:extent cx="2380615" cy="2208530"/>
                <wp:effectExtent l="0" t="0" r="0" b="0"/>
                <wp:wrapSquare wrapText="bothSides"/>
                <wp:docPr id="851"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615" cy="2208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4E5A1" w14:textId="77777777" w:rsidR="00490F33" w:rsidRDefault="00490F33">
                            <w:pPr>
                              <w:spacing w:before="1" w:line="221" w:lineRule="exact"/>
                              <w:ind w:right="144"/>
                              <w:textAlignment w:val="baseline"/>
                              <w:rPr>
                                <w:rFonts w:ascii="Tahoma" w:eastAsia="Tahoma" w:hAnsi="Tahoma"/>
                                <w:color w:val="414042"/>
                                <w:spacing w:val="6"/>
                                <w:sz w:val="18"/>
                              </w:rPr>
                            </w:pPr>
                            <w:r>
                              <w:rPr>
                                <w:rFonts w:ascii="Tahoma" w:eastAsia="Tahoma" w:hAnsi="Tahoma"/>
                                <w:color w:val="414042"/>
                                <w:spacing w:val="6"/>
                                <w:sz w:val="18"/>
                              </w:rPr>
                              <w:t>Educational leaders in South Australia are on board, with the state’s Catholic and independent education sectors and the South Australian Secondary Principals’ Association currently working together with the SACE Board on how to recognise complex competencies and developing a learner profile through a ‘warranted recognition process’.</w:t>
                            </w:r>
                          </w:p>
                          <w:p w14:paraId="309A3572" w14:textId="77777777" w:rsidR="00490F33" w:rsidRDefault="00490F33">
                            <w:pPr>
                              <w:spacing w:before="162" w:line="221" w:lineRule="exact"/>
                              <w:textAlignment w:val="baseline"/>
                              <w:rPr>
                                <w:rFonts w:ascii="Tahoma" w:eastAsia="Tahoma" w:hAnsi="Tahoma"/>
                                <w:color w:val="414042"/>
                                <w:sz w:val="18"/>
                              </w:rPr>
                            </w:pPr>
                            <w:r>
                              <w:rPr>
                                <w:rFonts w:ascii="Tahoma" w:eastAsia="Tahoma" w:hAnsi="Tahoma"/>
                                <w:color w:val="414042"/>
                                <w:sz w:val="18"/>
                              </w:rPr>
                              <w:t>Similarly, the SACE Board has taken the first steps towards developing a learner profile at the senior secondary level, initiating key projects in 2020 to begin the challenging journey of implementing significant, transformational 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AB2" id="Text Box 572" o:spid="_x0000_s1089" type="#_x0000_t202" style="position:absolute;margin-left:328.55pt;margin-top:74.5pt;width:187.45pt;height:173.9pt;z-index:-25194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GgY8QEAAMMDAAAOAAAAZHJzL2Uyb0RvYy54bWysU9uO0zAQfUfiHyy/01yqlipqulp2tQhp&#10;uUi7fIDjOIlF4jFjt0n5esZOUxZ4Q7xY47kcnzkz3t9MQ89OCp0GU/JslXKmjIRam7bkX58f3uw4&#10;c16YWvRgVMnPyvGbw+tX+9EWKocO+lohIxDjitGWvPPeFkniZKcG4VZglaFgAzgIT1dskxrFSOhD&#10;n+Rpuk1GwNoiSOUcee/nID9E/KZR0n9uGqc860tO3Hw8MZ5VOJPDXhQtCttpeaEh/oHFILShR69Q&#10;98ILdkT9F9SgJYKDxq8kDAk0jZYq9kDdZOkf3Tx1wqrYC4nj7FUm9/9g5afTF2S6Lvluk3FmxEBD&#10;elaTZ+9gYpu3eVBotK6gxCdLqX6iAE06duvsI8hvjhm464Rp1S0ijJ0SNTHMQmXyonTGcQGkGj9C&#10;TQ+Jo4cINDU4BPlIEEboNKnzdTqBjCRnvt6l22zDmaRYnqe7zTrOLxHFUm7R+fcKBhaMkiONP8KL&#10;06PzgY4olpTwmoEH3fdxBXrzm4MSgyfSD4xn7n6qpqjVdr3IUkF9poYQ5s2in0BGB/iDs5G2quTu&#10;+1Gg4qz/YEiUsIKLgYtRLYYwkkpL7jmbzTs/r+rRom47Qp5lN3BLwjU6thQUnllc+NKmxE4vWx1W&#10;8eU9Zv36e4efAAAA//8DAFBLAwQUAAYACAAAACEAqxT75uEAAAAMAQAADwAAAGRycy9kb3ducmV2&#10;LnhtbEyPwU7DMBBE70j8g7VI3KjdUkKTxqkqBCckRBoOPTqxm1iN1yF22/D3bE9w29E8zc7km8n1&#10;7GzGYD1KmM8EMION1xZbCV/V28MKWIgKteo9Ggk/JsCmuL3JVab9BUtz3sWWUQiGTEnoYhwyzkPT&#10;GafCzA8GyTv40alIcmy5HtWFwl3PF0Ik3CmL9KFTg3npTHPcnZyE7R7LV/v9UX+Wh9JWVSrwPTlK&#10;eX83bdfAopniHwzX+lQdCupU+xPqwHoJydPznFAylimNuhLicUFXLWGZJivgRc7/jyh+AQAA//8D&#10;AFBLAQItABQABgAIAAAAIQC2gziS/gAAAOEBAAATAAAAAAAAAAAAAAAAAAAAAABbQ29udGVudF9U&#10;eXBlc10ueG1sUEsBAi0AFAAGAAgAAAAhADj9If/WAAAAlAEAAAsAAAAAAAAAAAAAAAAALwEAAF9y&#10;ZWxzLy5yZWxzUEsBAi0AFAAGAAgAAAAhADvoaBjxAQAAwwMAAA4AAAAAAAAAAAAAAAAALgIAAGRy&#10;cy9lMm9Eb2MueG1sUEsBAi0AFAAGAAgAAAAhAKsU++bhAAAADAEAAA8AAAAAAAAAAAAAAAAASwQA&#10;AGRycy9kb3ducmV2LnhtbFBLBQYAAAAABAAEAPMAAABZBQAAAAA=&#10;" filled="f" stroked="f">
                <v:textbox inset="0,0,0,0">
                  <w:txbxContent>
                    <w:p w14:paraId="4574E5A1" w14:textId="77777777" w:rsidR="00490F33" w:rsidRDefault="00490F33">
                      <w:pPr>
                        <w:spacing w:before="1" w:line="221" w:lineRule="exact"/>
                        <w:ind w:right="144"/>
                        <w:textAlignment w:val="baseline"/>
                        <w:rPr>
                          <w:rFonts w:ascii="Tahoma" w:eastAsia="Tahoma" w:hAnsi="Tahoma"/>
                          <w:color w:val="414042"/>
                          <w:spacing w:val="6"/>
                          <w:sz w:val="18"/>
                        </w:rPr>
                      </w:pPr>
                      <w:r>
                        <w:rPr>
                          <w:rFonts w:ascii="Tahoma" w:eastAsia="Tahoma" w:hAnsi="Tahoma"/>
                          <w:color w:val="414042"/>
                          <w:spacing w:val="6"/>
                          <w:sz w:val="18"/>
                        </w:rPr>
                        <w:t>Educational leaders in South Australia are on board, with the state’s Catholic and independent education sectors and the South Australian Secondary Principals’ Association currently working together with the SACE Board on how to recognise complex competencies and developing a learner profile through a ‘warranted recognition process’.</w:t>
                      </w:r>
                    </w:p>
                    <w:p w14:paraId="309A3572" w14:textId="77777777" w:rsidR="00490F33" w:rsidRDefault="00490F33">
                      <w:pPr>
                        <w:spacing w:before="162" w:line="221" w:lineRule="exact"/>
                        <w:textAlignment w:val="baseline"/>
                        <w:rPr>
                          <w:rFonts w:ascii="Tahoma" w:eastAsia="Tahoma" w:hAnsi="Tahoma"/>
                          <w:color w:val="414042"/>
                          <w:sz w:val="18"/>
                        </w:rPr>
                      </w:pPr>
                      <w:r>
                        <w:rPr>
                          <w:rFonts w:ascii="Tahoma" w:eastAsia="Tahoma" w:hAnsi="Tahoma"/>
                          <w:color w:val="414042"/>
                          <w:sz w:val="18"/>
                        </w:rPr>
                        <w:t>Similarly, the SACE Board has taken the first steps towards developing a learner profile at the senior secondary level, initiating key projects in 2020 to begin the challenging journey of implementing significant, transformational change.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5104" behindDoc="1" locked="0" layoutInCell="1" allowOverlap="1" wp14:anchorId="3BB958B7" wp14:editId="508D443D">
                <wp:simplePos x="0" y="0"/>
                <wp:positionH relativeFrom="page">
                  <wp:posOffset>4182110</wp:posOffset>
                </wp:positionH>
                <wp:positionV relativeFrom="page">
                  <wp:posOffset>5487670</wp:posOffset>
                </wp:positionV>
                <wp:extent cx="2432050" cy="1802765"/>
                <wp:effectExtent l="0" t="0" r="0" b="0"/>
                <wp:wrapSquare wrapText="bothSides"/>
                <wp:docPr id="850"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180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B6D10" w14:textId="77777777" w:rsidR="00490F33" w:rsidRDefault="00490F33">
                            <w:pPr>
                              <w:spacing w:before="1" w:line="221" w:lineRule="exact"/>
                              <w:textAlignment w:val="baseline"/>
                              <w:rPr>
                                <w:rFonts w:ascii="Tahoma" w:eastAsia="Tahoma" w:hAnsi="Tahoma"/>
                                <w:color w:val="414042"/>
                                <w:spacing w:val="4"/>
                                <w:sz w:val="18"/>
                              </w:rPr>
                            </w:pPr>
                            <w:r>
                              <w:rPr>
                                <w:rFonts w:ascii="Tahoma" w:eastAsia="Tahoma" w:hAnsi="Tahoma"/>
                                <w:color w:val="414042"/>
                                <w:spacing w:val="4"/>
                                <w:sz w:val="18"/>
                              </w:rPr>
                              <w:t>These include developing an entrepreneurial thinking construct that would apply to the learner profile, and investigations into how student profile data could be captured, quality-assured and presented in a consistent, systemised way for thousands of students at the end of the school year.</w:t>
                            </w:r>
                          </w:p>
                          <w:p w14:paraId="1E83FF9E" w14:textId="77777777" w:rsidR="00490F33" w:rsidRDefault="00490F33">
                            <w:pPr>
                              <w:spacing w:before="186" w:line="220" w:lineRule="exact"/>
                              <w:ind w:right="216"/>
                              <w:textAlignment w:val="baseline"/>
                              <w:rPr>
                                <w:rFonts w:ascii="Tahoma" w:eastAsia="Tahoma" w:hAnsi="Tahoma"/>
                                <w:color w:val="414042"/>
                                <w:sz w:val="18"/>
                              </w:rPr>
                            </w:pPr>
                            <w:r>
                              <w:rPr>
                                <w:rFonts w:ascii="Tahoma" w:eastAsia="Tahoma" w:hAnsi="Tahoma"/>
                                <w:color w:val="414042"/>
                                <w:sz w:val="18"/>
                              </w:rPr>
                              <w:t>“We are still in the early stages of development and we must work in partnership with our sectors and schools to successfully bring about major change,” Professor Westwell said.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958B7" id="Text Box 571" o:spid="_x0000_s1090" type="#_x0000_t202" style="position:absolute;margin-left:329.3pt;margin-top:432.1pt;width:191.5pt;height:141.95pt;z-index:-25194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dE7gEAAMMDAAAOAAAAZHJzL2Uyb0RvYy54bWysU9tu2zAMfR+wfxD0vtjJmjQw4hRdiw4D&#10;ugvQ7gNkWbKF2aJGKbGzrx8lx1m3vQ17EShejg4Pqd3N2HfsqNAbsCVfLnLOlJVQG9uU/Ovzw5st&#10;Zz4IW4sOrCr5SXl+s3/9aje4Qq2gha5WyAjE+mJwJW9DcEWWedmqXvgFOGUpqAF7EeiKTVajGAi9&#10;77JVnm+yAbB2CFJ5T977Kcj3CV9rJcNnrb0KrCs5cQvpxHRW8cz2O1E0KFxr5JmG+AcWvTCWHr1A&#10;3Ysg2AHNX1C9kQgedFhI6DPQ2kiVeqBulvkf3Ty1wqnUC4nj3UUm//9g5afjF2SmLvl2TfpY0dOQ&#10;ntUY2DsY2fp6GRUanC8o8clRahgpQJNO3Xr3CPKbZxbuWmEbdYsIQ6tETQxTZfaidMLxEaQaPkJN&#10;D4lDgAQ0auyjfCQII3RicrpMJ5KR5FxdvV3lkaSk2HKbr64368guE8Vc7tCH9wp6Fo2SI40/wYvj&#10;ow9T6pwSX7PwYLourUBnf3MQZvQk+pHxxD2M1Zi02lzNslRQn6ghhGmz6CeQ0QL+4GygrSq5/34Q&#10;qDjrPlgSJa7gbOBsVLMhrKTSkgfOJvMuTKt6cGialpAn2S3cknDapJaiwhOLM1/alCTKeavjKr68&#10;p6xff2//EwAA//8DAFBLAwQUAAYACAAAACEAvApAheEAAAANAQAADwAAAGRycy9kb3ducmV2Lnht&#10;bEyPPU/DMBCGdyT+g3VIbNROFawQ4lQVggkJkYaB0YmvSdT4HGK3Df8ed6LbfTx677lis9iRnXD2&#10;gyMFyUoAQ2qdGahT8FW/PWTAfNBk9OgIFfyih015e1Po3LgzVXjahY7FEPK5VtCHMOWc+7ZHq/3K&#10;TUhxt3ez1SG2c8fNrM8x3I58LYTkVg8UL/R6wpce28PuaBVsv6l6HX4+ms9qXw11/SToXR6Uur9b&#10;ts/AAi7hH4aLflSHMjo17kjGs1GBfMxkRBVkMl0DuxAiTeKoiVWSZgnwsuDXX5R/AAAA//8DAFBL&#10;AQItABQABgAIAAAAIQC2gziS/gAAAOEBAAATAAAAAAAAAAAAAAAAAAAAAABbQ29udGVudF9UeXBl&#10;c10ueG1sUEsBAi0AFAAGAAgAAAAhADj9If/WAAAAlAEAAAsAAAAAAAAAAAAAAAAALwEAAF9yZWxz&#10;Ly5yZWxzUEsBAi0AFAAGAAgAAAAhAF9nJ0TuAQAAwwMAAA4AAAAAAAAAAAAAAAAALgIAAGRycy9l&#10;Mm9Eb2MueG1sUEsBAi0AFAAGAAgAAAAhALwKQIXhAAAADQEAAA8AAAAAAAAAAAAAAAAASAQAAGRy&#10;cy9kb3ducmV2LnhtbFBLBQYAAAAABAAEAPMAAABWBQAAAAA=&#10;" filled="f" stroked="f">
                <v:textbox inset="0,0,0,0">
                  <w:txbxContent>
                    <w:p w14:paraId="6FAB6D10" w14:textId="77777777" w:rsidR="00490F33" w:rsidRDefault="00490F33">
                      <w:pPr>
                        <w:spacing w:before="1" w:line="221" w:lineRule="exact"/>
                        <w:textAlignment w:val="baseline"/>
                        <w:rPr>
                          <w:rFonts w:ascii="Tahoma" w:eastAsia="Tahoma" w:hAnsi="Tahoma"/>
                          <w:color w:val="414042"/>
                          <w:spacing w:val="4"/>
                          <w:sz w:val="18"/>
                        </w:rPr>
                      </w:pPr>
                      <w:r>
                        <w:rPr>
                          <w:rFonts w:ascii="Tahoma" w:eastAsia="Tahoma" w:hAnsi="Tahoma"/>
                          <w:color w:val="414042"/>
                          <w:spacing w:val="4"/>
                          <w:sz w:val="18"/>
                        </w:rPr>
                        <w:t>These include developing an entrepreneurial thinking construct that would apply to the learner profile, and investigations into how student profile data could be captured, quality-assured and presented in a consistent, systemised way for thousands of students at the end of the school year.</w:t>
                      </w:r>
                    </w:p>
                    <w:p w14:paraId="1E83FF9E" w14:textId="77777777" w:rsidR="00490F33" w:rsidRDefault="00490F33">
                      <w:pPr>
                        <w:spacing w:before="186" w:line="220" w:lineRule="exact"/>
                        <w:ind w:right="216"/>
                        <w:textAlignment w:val="baseline"/>
                        <w:rPr>
                          <w:rFonts w:ascii="Tahoma" w:eastAsia="Tahoma" w:hAnsi="Tahoma"/>
                          <w:color w:val="414042"/>
                          <w:sz w:val="18"/>
                        </w:rPr>
                      </w:pPr>
                      <w:r>
                        <w:rPr>
                          <w:rFonts w:ascii="Tahoma" w:eastAsia="Tahoma" w:hAnsi="Tahoma"/>
                          <w:color w:val="414042"/>
                          <w:sz w:val="18"/>
                        </w:rPr>
                        <w:t>“We are still in the early stages of development and we must work in partnership with our sectors and schools to successfully bring about major change,” Professor Westwell said.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6128" behindDoc="1" locked="0" layoutInCell="1" allowOverlap="1" wp14:anchorId="567FB73E" wp14:editId="7CA5B29E">
                <wp:simplePos x="0" y="0"/>
                <wp:positionH relativeFrom="page">
                  <wp:posOffset>905510</wp:posOffset>
                </wp:positionH>
                <wp:positionV relativeFrom="page">
                  <wp:posOffset>7514590</wp:posOffset>
                </wp:positionV>
                <wp:extent cx="2435225" cy="705485"/>
                <wp:effectExtent l="0" t="0" r="0" b="0"/>
                <wp:wrapSquare wrapText="bothSides"/>
                <wp:docPr id="849"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FEA04" w14:textId="77777777" w:rsidR="00490F33" w:rsidRDefault="00490F33">
                            <w:pPr>
                              <w:spacing w:before="6" w:line="218" w:lineRule="exact"/>
                              <w:textAlignment w:val="baseline"/>
                              <w:rPr>
                                <w:rFonts w:ascii="Tahoma" w:eastAsia="Tahoma" w:hAnsi="Tahoma"/>
                                <w:color w:val="414042"/>
                                <w:spacing w:val="5"/>
                                <w:sz w:val="18"/>
                              </w:rPr>
                            </w:pPr>
                            <w:r>
                              <w:rPr>
                                <w:rFonts w:ascii="Tahoma" w:eastAsia="Tahoma" w:hAnsi="Tahoma"/>
                                <w:color w:val="414042"/>
                                <w:spacing w:val="5"/>
                                <w:sz w:val="18"/>
                              </w:rPr>
                              <w:t>“That’s the learning entitlement of every student in the SACE – to discover and develop their own capabilities, strengths and aspirations – and to effectively show them to the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FB73E" id="Text Box 570" o:spid="_x0000_s1091" type="#_x0000_t202" style="position:absolute;margin-left:71.3pt;margin-top:591.7pt;width:191.75pt;height:55.55pt;z-index:-25194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L8gEAAMIDAAAOAAAAZHJzL2Uyb0RvYy54bWysU9tu2zAMfR+wfxD0vjjJkjYz4hRdiw4D&#10;ugvQ7gMYWY6F2aJGKbGzrx8lx2m7vg17ESiJOjznkFpf9W0jDpq8QVvI2WQqhbYKS2N3hfzxePdu&#10;JYUPYEto0OpCHrWXV5u3b9ady/Uca2xKTYJBrM87V8g6BJdnmVe1bsFP0GnLlxVSC4G3tMtKgo7R&#10;2yabT6cXWYdUOkKlvefT2+FSbhJ+VWkVvlWV10E0hWRuIa2U1m1cs80a8h2Bq4060YB/YNGCsVz0&#10;DHULAcSezCuo1ihCj1WYKGwzrCqjdNLAambTv9Q81OB00sLmeHe2yf8/WPX18J2EKQu5WnyQwkLL&#10;TXrUfRAfsRfLy+RQ53zOiQ+OU0PPF9zppNa7e1Q/vbB4U4Pd6Wsi7GoNJTOcRW+zZ09jT3zuI8i2&#10;+4IlF4J9wATUV9RG+9gQwejcqeO5O5GM4sP54v1yPl9KofjucrpcrJapBOTja0c+fNLYihgUkrj7&#10;CR0O9z5ENpCPKbGYxTvTNGkCGvvigBPjSWIfCQ/UQ7/tk1UXqXBUs8XyyHoIh8Hij8BBjfRbio6H&#10;qpD+1x5IS9F8tuxJnMAxoDHYjgFYxU8LGaQYwpswTOrekdnVjDy4bvGafatMkvTE4sSXByUpPQ11&#10;nMTn+5T19PU2fwAAAP//AwBQSwMEFAAGAAgAAAAhAD5zNNDiAAAADQEAAA8AAABkcnMvZG93bnJl&#10;di54bWxMj8FOwzAQRO9I/QdrK3GjTkIatSFOVSE4ISHScODoxG5iNV6H2G3D37Ocym1ndzT7ptjN&#10;dmAXPXnjUEC8ioBpbJ0y2An4rF8fNsB8kKjk4FAL+NEeduXirpC5cles9OUQOkYh6HMpoA9hzDn3&#10;ba+t9Cs3aqTb0U1WBpJTx9UkrxRuB55EUcatNEgfejnq5163p8PZCth/YfVivt+bj+pYmbreRviW&#10;nYS4X877J2BBz+Fmhj98QoeSmBp3RuXZQDpNMrLSEG8eU2BkWSdZDKyhVbJN18DLgv9vUf4CAAD/&#10;/wMAUEsBAi0AFAAGAAgAAAAhALaDOJL+AAAA4QEAABMAAAAAAAAAAAAAAAAAAAAAAFtDb250ZW50&#10;X1R5cGVzXS54bWxQSwECLQAUAAYACAAAACEAOP0h/9YAAACUAQAACwAAAAAAAAAAAAAAAAAvAQAA&#10;X3JlbHMvLnJlbHNQSwECLQAUAAYACAAAACEAlXDfy/IBAADCAwAADgAAAAAAAAAAAAAAAAAuAgAA&#10;ZHJzL2Uyb0RvYy54bWxQSwECLQAUAAYACAAAACEAPnM00OIAAAANAQAADwAAAAAAAAAAAAAAAABM&#10;BAAAZHJzL2Rvd25yZXYueG1sUEsFBgAAAAAEAAQA8wAAAFsFAAAAAA==&#10;" filled="f" stroked="f">
                <v:textbox inset="0,0,0,0">
                  <w:txbxContent>
                    <w:p w14:paraId="08EFEA04" w14:textId="77777777" w:rsidR="00490F33" w:rsidRDefault="00490F33">
                      <w:pPr>
                        <w:spacing w:before="6" w:line="218" w:lineRule="exact"/>
                        <w:textAlignment w:val="baseline"/>
                        <w:rPr>
                          <w:rFonts w:ascii="Tahoma" w:eastAsia="Tahoma" w:hAnsi="Tahoma"/>
                          <w:color w:val="414042"/>
                          <w:spacing w:val="5"/>
                          <w:sz w:val="18"/>
                        </w:rPr>
                      </w:pPr>
                      <w:r>
                        <w:rPr>
                          <w:rFonts w:ascii="Tahoma" w:eastAsia="Tahoma" w:hAnsi="Tahoma"/>
                          <w:color w:val="414042"/>
                          <w:spacing w:val="5"/>
                          <w:sz w:val="18"/>
                        </w:rPr>
                        <w:t>“That’s the learning entitlement of every student in the SACE – to discover and develop their own capabilities, strengths and aspirations – and to effectively show them to the world.”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7152" behindDoc="1" locked="0" layoutInCell="1" allowOverlap="1" wp14:anchorId="7BC24338" wp14:editId="6699A3DE">
                <wp:simplePos x="0" y="0"/>
                <wp:positionH relativeFrom="page">
                  <wp:posOffset>4182110</wp:posOffset>
                </wp:positionH>
                <wp:positionV relativeFrom="page">
                  <wp:posOffset>7405370</wp:posOffset>
                </wp:positionV>
                <wp:extent cx="2245995" cy="601980"/>
                <wp:effectExtent l="0" t="0" r="0" b="0"/>
                <wp:wrapSquare wrapText="bothSides"/>
                <wp:docPr id="848"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5281F" w14:textId="77777777" w:rsidR="00490F33" w:rsidRDefault="00490F33">
                            <w:pPr>
                              <w:spacing w:line="234" w:lineRule="exact"/>
                              <w:textAlignment w:val="baseline"/>
                              <w:rPr>
                                <w:rFonts w:ascii="Tahoma" w:eastAsia="Tahoma" w:hAnsi="Tahoma"/>
                                <w:color w:val="414042"/>
                                <w:sz w:val="18"/>
                              </w:rPr>
                            </w:pPr>
                            <w:r>
                              <w:rPr>
                                <w:rFonts w:ascii="Tahoma" w:eastAsia="Tahoma" w:hAnsi="Tahoma"/>
                                <w:color w:val="414042"/>
                                <w:sz w:val="18"/>
                              </w:rPr>
                              <w:t>“We already have 375 teachers who are enthusiastic about the learner profile and want to work with us to turn this concept into reality”.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24338" id="Text Box 569" o:spid="_x0000_s1092" type="#_x0000_t202" style="position:absolute;margin-left:329.3pt;margin-top:583.1pt;width:176.85pt;height:47.4pt;z-index:-25193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Kh8QEAAMIDAAAOAAAAZHJzL2Uyb0RvYy54bWysU9tu2zAMfR+wfxD0vjgJmiAx4hRdiw4D&#10;uq1Auw9gZDkWZosapcTOvn6UHGfd+lbsRaB4OTo8pDbXfduIoyZv0BZyNplKoa3C0th9Ib8/339Y&#10;SeED2BIatLqQJ+3l9fb9u03ncj3HGptSk2AQ6/POFbIOweVZ5lWtW/ATdNpysEJqIfCV9llJ0DF6&#10;22Tz6XSZdUilI1Tae/beDUG5TfhVpVX4VlVeB9EUkrmFdFI6d/HMthvI9wSuNupMA97AogVj+dEL&#10;1B0EEAcyr6Baowg9VmGisM2wqozSqQfuZjb9p5unGpxOvbA43l1k8v8PVn09PpIwZSFXVzwqCy0P&#10;6Vn3QXzEXiyW66hQ53zOiU+OU0PPAZ506ta7B1Q/vLB4W4Pd6xsi7GoNJTOcxcrsRemA4yPIrvuC&#10;JT8Eh4AJqK+ojfKxIILReVKny3QiGcXO+fxqsV4vpFAcW05n61UaXwb5WO3Ih08aWxGNQhJPP6HD&#10;8cGHyAbyMSU+ZvHeNE3agMb+5eDE6EnsI+GBeuh3fZJquRxV2WF54n4Ih8Xij8BGjfRLio6XqpD+&#10;5wFIS9F8tqxJ3MDRoNHYjQZYxaWFDFIM5m0YNvXgyOxrRh5Ut3jDulUmtRQFHlic+fKipE7PSx03&#10;8eU9Zf35etvfAAAA//8DAFBLAwQUAAYACAAAACEApkDI++EAAAAOAQAADwAAAGRycy9kb3ducmV2&#10;LnhtbEyPwU7DMAyG70i8Q2QkbixpEdEoTacJwQkJ0ZUDx7Tx2miNU5psK29PdoKbrf/T78/lZnEj&#10;O+EcrCcF2UoAQ+q8sdQr+Gxe79bAQtRk9OgJFfxggE11fVXqwvgz1XjaxZ6lEgqFVjDEOBWch25A&#10;p8PKT0gp2/vZ6ZjWuedm1udU7kaeCyG505bShUFP+Dxgd9gdnYLtF9Uv9vu9/aj3tW2aR0Fv8qDU&#10;7c2yfQIWcYl/MFz0kzpUyan1RzKBjQrkw1omNAWZlDmwCyKy/B5Ym6ZcZgJ4VfL/b1S/AAAA//8D&#10;AFBLAQItABQABgAIAAAAIQC2gziS/gAAAOEBAAATAAAAAAAAAAAAAAAAAAAAAABbQ29udGVudF9U&#10;eXBlc10ueG1sUEsBAi0AFAAGAAgAAAAhADj9If/WAAAAlAEAAAsAAAAAAAAAAAAAAAAALwEAAF9y&#10;ZWxzLy5yZWxzUEsBAi0AFAAGAAgAAAAhANY8wqHxAQAAwgMAAA4AAAAAAAAAAAAAAAAALgIAAGRy&#10;cy9lMm9Eb2MueG1sUEsBAi0AFAAGAAgAAAAhAKZAyPvhAAAADgEAAA8AAAAAAAAAAAAAAAAASwQA&#10;AGRycy9kb3ducmV2LnhtbFBLBQYAAAAABAAEAPMAAABZBQAAAAA=&#10;" filled="f" stroked="f">
                <v:textbox inset="0,0,0,0">
                  <w:txbxContent>
                    <w:p w14:paraId="2085281F" w14:textId="77777777" w:rsidR="00490F33" w:rsidRDefault="00490F33">
                      <w:pPr>
                        <w:spacing w:line="234" w:lineRule="exact"/>
                        <w:textAlignment w:val="baseline"/>
                        <w:rPr>
                          <w:rFonts w:ascii="Tahoma" w:eastAsia="Tahoma" w:hAnsi="Tahoma"/>
                          <w:color w:val="414042"/>
                          <w:sz w:val="18"/>
                        </w:rPr>
                      </w:pPr>
                      <w:r>
                        <w:rPr>
                          <w:rFonts w:ascii="Tahoma" w:eastAsia="Tahoma" w:hAnsi="Tahoma"/>
                          <w:color w:val="414042"/>
                          <w:sz w:val="18"/>
                        </w:rPr>
                        <w:t>“We already have 375 teachers who are enthusiastic about the learner profile and want to work with us to turn this concept into reality”.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8176" behindDoc="1" locked="0" layoutInCell="1" allowOverlap="1" wp14:anchorId="2F306479" wp14:editId="6E8B5437">
                <wp:simplePos x="0" y="0"/>
                <wp:positionH relativeFrom="page">
                  <wp:posOffset>905510</wp:posOffset>
                </wp:positionH>
                <wp:positionV relativeFrom="page">
                  <wp:posOffset>8322310</wp:posOffset>
                </wp:positionV>
                <wp:extent cx="2477770" cy="843280"/>
                <wp:effectExtent l="0" t="0" r="0" b="0"/>
                <wp:wrapSquare wrapText="bothSides"/>
                <wp:docPr id="847"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84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A73C8" w14:textId="77777777" w:rsidR="00490F33" w:rsidRDefault="00490F33">
                            <w:pPr>
                              <w:spacing w:before="2" w:line="220" w:lineRule="exact"/>
                              <w:textAlignment w:val="baseline"/>
                              <w:rPr>
                                <w:rFonts w:ascii="Tahoma" w:eastAsia="Tahoma" w:hAnsi="Tahoma"/>
                                <w:color w:val="414042"/>
                                <w:spacing w:val="5"/>
                                <w:sz w:val="18"/>
                              </w:rPr>
                            </w:pPr>
                            <w:r>
                              <w:rPr>
                                <w:rFonts w:ascii="Tahoma" w:eastAsia="Tahoma" w:hAnsi="Tahoma"/>
                                <w:color w:val="414042"/>
                                <w:spacing w:val="5"/>
                                <w:sz w:val="18"/>
                              </w:rPr>
                              <w:t>The learner profile concept featured nationally in the Australian Learning Lecture’s 2019 paper titled ‘Beyond ATAR: A proposal for change’ and has since been the subject of significant discussion in the education community and media.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06479" id="Text Box 568" o:spid="_x0000_s1093" type="#_x0000_t202" style="position:absolute;margin-left:71.3pt;margin-top:655.3pt;width:195.1pt;height:66.4pt;z-index:-25193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R38AEAAMIDAAAOAAAAZHJzL2Uyb0RvYy54bWysU9tu2zAMfR+wfxD0vjjJsiQw4hRdiw4D&#10;unVAuw9gZDkWZosapcTOvn6UHGfd9lbUDwLNy9HhIbW56ttGHDV5g7aQs8lUCm0VlsbuC/n96e7d&#10;WgofwJbQoNWFPGkvr7Zv32w6l+s51tiUmgSDWJ93rpB1CC7PMq9q3YKfoNOWgxVSC4F/aZ+VBB2j&#10;t002n06XWYdUOkKlvWfv7RCU24RfVVqFh6ryOoimkMwtpJPSuYtntt1AvidwtVFnGvACFi0Yy5de&#10;oG4hgDiQ+Q+qNYrQYxUmCtsMq8oonXrgbmbTf7p5rMHp1AuL491FJv96sOrr8RsJUxZyvVhJYaHl&#10;IT3pPoiP2IsPy3VUqHM+58RHx6mh5wBPOnXr3T2qH15YvKnB7vU1EXa1hpIZzmJl9qx0wPERZNd9&#10;wZIvgkPABNRX1Eb5WBDB6Dyp02U6kYxi53yx4o9DimPrxfv5Oo0vg3ysduTDJ42tiEYhiaef0OF4&#10;70NkA/mYEi+zeGeaJm1AY/9ycGL0JPaR8EA99Ls+SbVcjarssDxxP4TDYvFDYKNG+iVFx0tVSP/z&#10;AKSlaD5b1iRu4GjQaOxGA6zi0kIGKQbzJgybenBk9jUjD6pbvGbdKpNaigIPLM58eVFSp+eljpv4&#10;/D9l/Xl6298AAAD//wMAUEsDBBQABgAIAAAAIQCULJ/D3gAAAA0BAAAPAAAAZHJzL2Rvd25yZXYu&#10;eG1sTE89T8MwFNyR+A/WQ2KjdpMQQYhTVQgmJEQaBkYndhOr8XOI3Tb8e14n2O50p/soN4sb2cnM&#10;wXqUsF4JYAY7ry32Ej6b17sHYCEq1Gr0aCT8mACb6vqqVIX2Z6zNaRd7RiEYCiVhiHEqOA/dYJwK&#10;Kz8ZJG3vZ6ci0bnnelZnCncjT4TIuVMWqWFQk3keTHfYHZ2E7RfWL/b7vf2o97VtmkeBb/lBytub&#10;ZfsELJol/pnhMp+mQ0WbWn9EHdhIPEtyshJI14IQWe7ThN60Fy1LM+BVyf+/qH4BAAD//wMAUEsB&#10;Ai0AFAAGAAgAAAAhALaDOJL+AAAA4QEAABMAAAAAAAAAAAAAAAAAAAAAAFtDb250ZW50X1R5cGVz&#10;XS54bWxQSwECLQAUAAYACAAAACEAOP0h/9YAAACUAQAACwAAAAAAAAAAAAAAAAAvAQAAX3JlbHMv&#10;LnJlbHNQSwECLQAUAAYACAAAACEAlj4Ed/ABAADCAwAADgAAAAAAAAAAAAAAAAAuAgAAZHJzL2Uy&#10;b0RvYy54bWxQSwECLQAUAAYACAAAACEAlCyfw94AAAANAQAADwAAAAAAAAAAAAAAAABKBAAAZHJz&#10;L2Rvd25yZXYueG1sUEsFBgAAAAAEAAQA8wAAAFUFAAAAAA==&#10;" filled="f" stroked="f">
                <v:textbox inset="0,0,0,0">
                  <w:txbxContent>
                    <w:p w14:paraId="340A73C8" w14:textId="77777777" w:rsidR="00490F33" w:rsidRDefault="00490F33">
                      <w:pPr>
                        <w:spacing w:before="2" w:line="220" w:lineRule="exact"/>
                        <w:textAlignment w:val="baseline"/>
                        <w:rPr>
                          <w:rFonts w:ascii="Tahoma" w:eastAsia="Tahoma" w:hAnsi="Tahoma"/>
                          <w:color w:val="414042"/>
                          <w:spacing w:val="5"/>
                          <w:sz w:val="18"/>
                        </w:rPr>
                      </w:pPr>
                      <w:r>
                        <w:rPr>
                          <w:rFonts w:ascii="Tahoma" w:eastAsia="Tahoma" w:hAnsi="Tahoma"/>
                          <w:color w:val="414042"/>
                          <w:spacing w:val="5"/>
                          <w:sz w:val="18"/>
                        </w:rPr>
                        <w:t>The learner profile concept featured nationally in the Australian Learning Lecture’s 2019 paper titled ‘Beyond ATAR: A proposal for change’ and has since been the subject of significant discussion in the education community and media.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79200" behindDoc="1" locked="0" layoutInCell="1" allowOverlap="1" wp14:anchorId="722AAF26" wp14:editId="6A8E37AB">
                <wp:simplePos x="0" y="0"/>
                <wp:positionH relativeFrom="page">
                  <wp:posOffset>4175760</wp:posOffset>
                </wp:positionH>
                <wp:positionV relativeFrom="page">
                  <wp:posOffset>8192770</wp:posOffset>
                </wp:positionV>
                <wp:extent cx="2477770" cy="591820"/>
                <wp:effectExtent l="0" t="0" r="0" b="0"/>
                <wp:wrapSquare wrapText="bothSides"/>
                <wp:docPr id="846"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4613F" w14:textId="77777777" w:rsidR="00490F33" w:rsidRDefault="00490F33">
                            <w:pPr>
                              <w:spacing w:after="24" w:line="179" w:lineRule="exact"/>
                              <w:textAlignment w:val="baseline"/>
                              <w:rPr>
                                <w:rFonts w:ascii="Tahoma" w:eastAsia="Tahoma" w:hAnsi="Tahoma"/>
                                <w:color w:val="000000"/>
                                <w:sz w:val="14"/>
                              </w:rPr>
                            </w:pPr>
                            <w:r>
                              <w:rPr>
                                <w:rFonts w:ascii="Tahoma" w:eastAsia="Tahoma" w:hAnsi="Tahoma"/>
                                <w:color w:val="000000"/>
                                <w:sz w:val="14"/>
                              </w:rPr>
                              <w:t xml:space="preserve">Source: South Australian Certificate of Education Board; </w:t>
                            </w:r>
                            <w:r>
                              <w:rPr>
                                <w:rFonts w:ascii="Tahoma" w:eastAsia="Tahoma" w:hAnsi="Tahoma"/>
                                <w:color w:val="000000"/>
                                <w:sz w:val="13"/>
                              </w:rPr>
                              <w:t xml:space="preserve">O’Connell, M., Milligan, S. and Bentley, T. (2019), </w:t>
                            </w:r>
                            <w:r>
                              <w:rPr>
                                <w:rFonts w:ascii="Tahoma" w:eastAsia="Tahoma" w:hAnsi="Tahoma"/>
                                <w:i/>
                                <w:color w:val="000000"/>
                                <w:sz w:val="14"/>
                              </w:rPr>
                              <w:t>Beyond ATAR: A proposal for change</w:t>
                            </w:r>
                            <w:r>
                              <w:rPr>
                                <w:rFonts w:ascii="Tahoma" w:eastAsia="Tahoma" w:hAnsi="Tahoma"/>
                                <w:color w:val="000000"/>
                                <w:sz w:val="13"/>
                              </w:rPr>
                              <w:t xml:space="preserve">, Australian Learning Lecture position paper; South Australian Secondary Principals’ Association; and </w:t>
                            </w:r>
                            <w:r>
                              <w:rPr>
                                <w:rFonts w:ascii="Tahoma" w:eastAsia="Tahoma" w:hAnsi="Tahoma"/>
                                <w:i/>
                                <w:color w:val="000000"/>
                                <w:sz w:val="14"/>
                              </w:rPr>
                              <w:t xml:space="preserve">The Advertiser </w:t>
                            </w:r>
                            <w:r>
                              <w:rPr>
                                <w:rFonts w:ascii="Tahoma" w:eastAsia="Tahoma" w:hAnsi="Tahoma"/>
                                <w:color w:val="000000"/>
                                <w:sz w:val="13"/>
                              </w:rPr>
                              <w:t>newspaper.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AAF26" id="Text Box 567" o:spid="_x0000_s1094" type="#_x0000_t202" style="position:absolute;margin-left:328.8pt;margin-top:645.1pt;width:195.1pt;height:46.6pt;z-index:-25193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9dn8AEAAMIDAAAOAAAAZHJzL2Uyb0RvYy54bWysU9tu2zAMfR+wfxD0vjgJ2jQz4hRdiw4D&#10;ugvQ7gNoWY6F2aJGKbGzrx8lx1m3vRX1g0DzcnR4SG2uh64VB03eoC3kYjaXQluFlbG7Qn5/un+3&#10;lsIHsBW0aHUhj9rL6+3bN5ve5XqJDbaVJsEg1ue9K2QTgsuzzKtGd+Bn6LTlYI3UQeBf2mUVQc/o&#10;XZst5/NV1iNVjlBp79l7NwblNuHXtVbha117HURbSOYW0knpLOOZbTeQ7whcY9SJBryARQfG8qVn&#10;qDsIIPZk/oPqjCL0WIeZwi7DujZKpx64m8X8n24eG3A69cLieHeWyb8erPpy+EbCVIVcX6yksNDx&#10;kJ70EMQHHMTl6ioq1Dufc+Kj49QwcIAnnbr17gHVDy8s3jZgd/qGCPtGQ8UMF7Eye1Y64vgIUvaf&#10;seKLYB8wAQ01dVE+FkQwOk/qeJ5OJKPYuby44o9DimOX7xfrZRpfBvlU7ciHjxo7EY1CEk8/ocPh&#10;wYfIBvIpJV5m8d60bdqA1v7l4MToSewj4ZF6GMohSbVaT6qUWB25H8JxsfghsNEg/ZKi56UqpP+5&#10;B9JStJ8saxI3cDJoMsrJAKu4tJBBitG8DeOm7h2ZXcPIo+oWb1i32qSWosAjixNfXpTU6Wmp4yY+&#10;/09Zf57e9jcAAAD//wMAUEsDBBQABgAIAAAAIQBbzdKK4gAAAA4BAAAPAAAAZHJzL2Rvd25yZXYu&#10;eG1sTI/BTsMwEETvSPyDtUjcqE1a0jbEqSoEJyREGg4cndhNrMbrELtt+Hu2p3Lb0TzNzuSbyfXs&#10;ZMZgPUp4nAlgBhuvLbYSvqq3hxWwEBVq1Xs0En5NgE1xe5OrTPszlua0iy2jEAyZktDFOGSch6Yz&#10;ToWZHwySt/ejU5Hk2HI9qjOFu54nQqTcKYv0oVODeelMc9gdnYTtN5av9uej/iz3pa2qtcD39CDl&#10;/d20fQYWzRSvMFzqU3UoqFPtj6gD6yWkT8uUUDKStUiAXRCxWNKcmq75ar4AXuT8/4ziDwAA//8D&#10;AFBLAQItABQABgAIAAAAIQC2gziS/gAAAOEBAAATAAAAAAAAAAAAAAAAAAAAAABbQ29udGVudF9U&#10;eXBlc10ueG1sUEsBAi0AFAAGAAgAAAAhADj9If/WAAAAlAEAAAsAAAAAAAAAAAAAAAAALwEAAF9y&#10;ZWxzLy5yZWxzUEsBAi0AFAAGAAgAAAAhACXf12fwAQAAwgMAAA4AAAAAAAAAAAAAAAAALgIAAGRy&#10;cy9lMm9Eb2MueG1sUEsBAi0AFAAGAAgAAAAhAFvN0oriAAAADgEAAA8AAAAAAAAAAAAAAAAASgQA&#10;AGRycy9kb3ducmV2LnhtbFBLBQYAAAAABAAEAPMAAABZBQAAAAA=&#10;" filled="f" stroked="f">
                <v:textbox inset="0,0,0,0">
                  <w:txbxContent>
                    <w:p w14:paraId="3094613F" w14:textId="77777777" w:rsidR="00490F33" w:rsidRDefault="00490F33">
                      <w:pPr>
                        <w:spacing w:after="24" w:line="179" w:lineRule="exact"/>
                        <w:textAlignment w:val="baseline"/>
                        <w:rPr>
                          <w:rFonts w:ascii="Tahoma" w:eastAsia="Tahoma" w:hAnsi="Tahoma"/>
                          <w:color w:val="000000"/>
                          <w:sz w:val="14"/>
                        </w:rPr>
                      </w:pPr>
                      <w:r>
                        <w:rPr>
                          <w:rFonts w:ascii="Tahoma" w:eastAsia="Tahoma" w:hAnsi="Tahoma"/>
                          <w:color w:val="000000"/>
                          <w:sz w:val="14"/>
                        </w:rPr>
                        <w:t xml:space="preserve">Source: South Australian Certificate of Education Board; </w:t>
                      </w:r>
                      <w:r>
                        <w:rPr>
                          <w:rFonts w:ascii="Tahoma" w:eastAsia="Tahoma" w:hAnsi="Tahoma"/>
                          <w:color w:val="000000"/>
                          <w:sz w:val="13"/>
                        </w:rPr>
                        <w:t xml:space="preserve">O’Connell, M., Milligan, S. and Bentley, T. (2019), </w:t>
                      </w:r>
                      <w:r>
                        <w:rPr>
                          <w:rFonts w:ascii="Tahoma" w:eastAsia="Tahoma" w:hAnsi="Tahoma"/>
                          <w:i/>
                          <w:color w:val="000000"/>
                          <w:sz w:val="14"/>
                        </w:rPr>
                        <w:t>Beyond ATAR: A proposal for change</w:t>
                      </w:r>
                      <w:r>
                        <w:rPr>
                          <w:rFonts w:ascii="Tahoma" w:eastAsia="Tahoma" w:hAnsi="Tahoma"/>
                          <w:color w:val="000000"/>
                          <w:sz w:val="13"/>
                        </w:rPr>
                        <w:t xml:space="preserve">, Australian Learning Lecture position paper; South Australian Secondary Principals’ Association; and </w:t>
                      </w:r>
                      <w:r>
                        <w:rPr>
                          <w:rFonts w:ascii="Tahoma" w:eastAsia="Tahoma" w:hAnsi="Tahoma"/>
                          <w:i/>
                          <w:color w:val="000000"/>
                          <w:sz w:val="14"/>
                        </w:rPr>
                        <w:t xml:space="preserve">The Advertiser </w:t>
                      </w:r>
                      <w:r>
                        <w:rPr>
                          <w:rFonts w:ascii="Tahoma" w:eastAsia="Tahoma" w:hAnsi="Tahoma"/>
                          <w:color w:val="000000"/>
                          <w:sz w:val="13"/>
                        </w:rPr>
                        <w:t>newspaper.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380224" behindDoc="1" locked="0" layoutInCell="1" allowOverlap="1" wp14:anchorId="6CFA867E" wp14:editId="620674C6">
                <wp:simplePos x="0" y="0"/>
                <wp:positionH relativeFrom="page">
                  <wp:posOffset>542290</wp:posOffset>
                </wp:positionH>
                <wp:positionV relativeFrom="page">
                  <wp:posOffset>9695180</wp:posOffset>
                </wp:positionV>
                <wp:extent cx="1222375" cy="140970"/>
                <wp:effectExtent l="0" t="0" r="0" b="0"/>
                <wp:wrapSquare wrapText="bothSides"/>
                <wp:docPr id="845"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E4400" w14:textId="77777777" w:rsidR="00490F33" w:rsidRDefault="00490F33">
                            <w:pPr>
                              <w:tabs>
                                <w:tab w:val="right" w:pos="1944"/>
                              </w:tabs>
                              <w:spacing w:before="13" w:after="19" w:line="180" w:lineRule="exact"/>
                              <w:textAlignment w:val="baseline"/>
                              <w:rPr>
                                <w:rFonts w:ascii="Arial" w:eastAsia="Arial" w:hAnsi="Arial"/>
                                <w:b/>
                                <w:color w:val="5556A0"/>
                                <w:sz w:val="18"/>
                              </w:rPr>
                            </w:pPr>
                            <w:r>
                              <w:rPr>
                                <w:rFonts w:ascii="Arial" w:eastAsia="Arial" w:hAnsi="Arial"/>
                                <w:b/>
                                <w:color w:val="5556A0"/>
                                <w:sz w:val="18"/>
                              </w:rPr>
                              <w:t>54</w:t>
                            </w:r>
                            <w:r>
                              <w:rPr>
                                <w:rFonts w:ascii="Tahoma" w:eastAsia="Tahoma" w:hAnsi="Tahoma"/>
                                <w:color w:val="414042"/>
                                <w:sz w:val="13"/>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A867E" id="Text Box 566" o:spid="_x0000_s1095" type="#_x0000_t202" style="position:absolute;margin-left:42.7pt;margin-top:763.4pt;width:96.25pt;height:11.1pt;z-index:-25193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gZ8QEAAMIDAAAOAAAAZHJzL2Uyb0RvYy54bWysU9tu2zAMfR+wfxD0vtjJ2rQ14hRdiw4D&#10;ugvQ7gMYWY6F2aJGKbGzrx8lx1m7vg17ESiRPDw8pFbXQ9eKvSZv0JZyPsul0FZhZey2lN+f7t9d&#10;SuED2ApatLqUB+3l9frtm1XvCr3ABttKk2AQ64velbIJwRVZ5lWjO/AzdNqys0bqIPCVtllF0DN6&#10;12aLPF9mPVLlCJX2nl/vRqdcJ/y61ip8rWuvg2hLydxCOimdm3hm6xUUWwLXGHWkAf/AogNjuegJ&#10;6g4CiB2ZV1CdUYQe6zBT2GVY10bp1AN3M8//6uaxAadTLyyOdyeZ/P+DVV/230iYqpSXZ+dSWOh4&#10;SE96COIDDuJ8uYwK9c4XHPjoODQM7OBJp269e0D1wwuLtw3Yrb4hwr7RUDHDeczMnqWOOD6CbPrP&#10;WHEh2AVMQENNXZSPBRGMzpM6nKYTyahYcrFYvL9gkop987P86iKNL4Niynbkw0eNnYhGKYmnn9Bh&#10;/+BDZAPFFBKLWbw3bZs2oLUvHjgwviT2kfBIPQybIUm1vJpU2WB14H4Ix8Xij8BGg/RLip6XqpT+&#10;5w5IS9F+sqxJ3MDJoMnYTAZYxamlDFKM5m0YN3XnyGwbRh5Vt3jDutUmtRQFHlkc+fKipE6PSx03&#10;8fk9Rf35euvfAAAA//8DAFBLAwQUAAYACAAAACEAvCzcrOAAAAAMAQAADwAAAGRycy9kb3ducmV2&#10;LnhtbEyPPU/DMBCGdyT+g3VIbNQmatMmxKkqBBMSIg0DoxO7idX4HGK3Df+e6wTjvffo/Si2sxvY&#10;2UzBepTwuBDADLZeW+wkfNavDxtgISrUavBoJPyYANvy9qZQufYXrMx5HztGJhhyJaGPccw5D21v&#10;nAoLPxqk38FPTkU6p47rSV3I3A08ESLlTlmkhF6N5rk37XF/chJ2X1i92O/35qM6VLauM4Fv6VHK&#10;+7t59wQsmjn+wXCtT9WhpE6NP6EObJCwWS2JJH2VpLSBiGS9zoA1V2mZCeBlwf+PKH8BAAD//wMA&#10;UEsBAi0AFAAGAAgAAAAhALaDOJL+AAAA4QEAABMAAAAAAAAAAAAAAAAAAAAAAFtDb250ZW50X1R5&#10;cGVzXS54bWxQSwECLQAUAAYACAAAACEAOP0h/9YAAACUAQAACwAAAAAAAAAAAAAAAAAvAQAAX3Jl&#10;bHMvLnJlbHNQSwECLQAUAAYACAAAACEAYRLIGfEBAADCAwAADgAAAAAAAAAAAAAAAAAuAgAAZHJz&#10;L2Uyb0RvYy54bWxQSwECLQAUAAYACAAAACEAvCzcrOAAAAAMAQAADwAAAAAAAAAAAAAAAABLBAAA&#10;ZHJzL2Rvd25yZXYueG1sUEsFBgAAAAAEAAQA8wAAAFgFAAAAAA==&#10;" filled="f" stroked="f">
                <v:textbox inset="0,0,0,0">
                  <w:txbxContent>
                    <w:p w14:paraId="4FAE4400" w14:textId="77777777" w:rsidR="00490F33" w:rsidRDefault="00490F33">
                      <w:pPr>
                        <w:tabs>
                          <w:tab w:val="right" w:pos="1944"/>
                        </w:tabs>
                        <w:spacing w:before="13" w:after="19" w:line="180" w:lineRule="exact"/>
                        <w:textAlignment w:val="baseline"/>
                        <w:rPr>
                          <w:rFonts w:ascii="Arial" w:eastAsia="Arial" w:hAnsi="Arial"/>
                          <w:b/>
                          <w:color w:val="5556A0"/>
                          <w:sz w:val="18"/>
                        </w:rPr>
                      </w:pPr>
                      <w:r>
                        <w:rPr>
                          <w:rFonts w:ascii="Arial" w:eastAsia="Arial" w:hAnsi="Arial"/>
                          <w:b/>
                          <w:color w:val="5556A0"/>
                          <w:sz w:val="18"/>
                        </w:rPr>
                        <w:t>54</w:t>
                      </w:r>
                      <w:r>
                        <w:rPr>
                          <w:rFonts w:ascii="Tahoma" w:eastAsia="Tahoma" w:hAnsi="Tahoma"/>
                          <w:color w:val="414042"/>
                          <w:sz w:val="13"/>
                        </w:rPr>
                        <w:tab/>
                        <w:t>Looking to the future</w:t>
                      </w:r>
                    </w:p>
                  </w:txbxContent>
                </v:textbox>
                <w10:wrap type="square" anchorx="page" anchory="page"/>
              </v:shape>
            </w:pict>
          </mc:Fallback>
        </mc:AlternateContent>
      </w:r>
    </w:p>
    <w:p w14:paraId="0DE9D6F1" w14:textId="77777777" w:rsidR="009757A9" w:rsidRDefault="009757A9">
      <w:pPr>
        <w:sectPr w:rsidR="009757A9">
          <w:pgSz w:w="11909" w:h="16838"/>
          <w:pgMar w:top="0" w:right="1440" w:bottom="0" w:left="1440" w:header="720" w:footer="720" w:gutter="0"/>
          <w:cols w:space="720"/>
        </w:sectPr>
      </w:pPr>
    </w:p>
    <w:p w14:paraId="5EE79791" w14:textId="77777777" w:rsidR="009757A9" w:rsidRDefault="000D2E34">
      <w:pPr>
        <w:spacing w:before="2" w:after="4257" w:line="474" w:lineRule="exact"/>
        <w:textAlignment w:val="baseline"/>
        <w:rPr>
          <w:rFonts w:ascii="Arial" w:eastAsia="Arial" w:hAnsi="Arial"/>
          <w:color w:val="00708B"/>
          <w:spacing w:val="8"/>
          <w:w w:val="95"/>
          <w:sz w:val="39"/>
        </w:rPr>
      </w:pPr>
      <w:r w:rsidRPr="00DA1C79">
        <w:rPr>
          <w:rStyle w:val="Heading1Char"/>
          <w:noProof/>
        </w:rPr>
        <w:lastRenderedPageBreak/>
        <mc:AlternateContent>
          <mc:Choice Requires="wps">
            <w:drawing>
              <wp:anchor distT="0" distB="0" distL="0" distR="0" simplePos="0" relativeHeight="251381248" behindDoc="1" locked="0" layoutInCell="1" allowOverlap="1" wp14:anchorId="2CBACA70" wp14:editId="14F503DB">
                <wp:simplePos x="0" y="0"/>
                <wp:positionH relativeFrom="page">
                  <wp:posOffset>804545</wp:posOffset>
                </wp:positionH>
                <wp:positionV relativeFrom="page">
                  <wp:posOffset>0</wp:posOffset>
                </wp:positionV>
                <wp:extent cx="6757670" cy="6696075"/>
                <wp:effectExtent l="0" t="0" r="0" b="0"/>
                <wp:wrapSquare wrapText="bothSides"/>
                <wp:docPr id="844"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9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36611" w14:textId="77777777" w:rsidR="00490F33" w:rsidRDefault="00490F33">
                            <w:pPr>
                              <w:spacing w:after="1833"/>
                              <w:textAlignment w:val="baseline"/>
                            </w:pPr>
                            <w:r>
                              <w:rPr>
                                <w:noProof/>
                                <w:lang w:val="en-AU" w:eastAsia="en-AU"/>
                              </w:rPr>
                              <w:drawing>
                                <wp:inline distT="0" distB="0" distL="0" distR="0" wp14:anchorId="41064D57" wp14:editId="1B5A8059">
                                  <wp:extent cx="6757670" cy="5532120"/>
                                  <wp:effectExtent l="0" t="0" r="0" b="0"/>
                                  <wp:docPr id="8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8" name="Picture">
                                            <a:extLst>
                                              <a:ext uri="{C183D7F6-B498-43B3-948B-1728B52AA6E4}">
                                                <adec:decorative xmlns:adec="http://schemas.microsoft.com/office/drawing/2017/decorative" val="1"/>
                                              </a:ext>
                                            </a:extLst>
                                          </pic:cNvPr>
                                          <pic:cNvPicPr preferRelativeResize="0"/>
                                        </pic:nvPicPr>
                                        <pic:blipFill>
                                          <a:blip r:embed="rId123"/>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ACA70" id="Text Box 565" o:spid="_x0000_s1096" type="#_x0000_t202" style="position:absolute;margin-left:63.35pt;margin-top:0;width:532.1pt;height:527.25pt;z-index:-25193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H58QEAAMMDAAAOAAAAZHJzL2Uyb0RvYy54bWysU9tu2zAMfR+wfxD0vjgpGqcz4hRdiw4D&#10;ugvQ7gMYWY6F2aJGKbGzrx8lx1m3vRV9EShejg4PqfX10LXioMkbtKVczOZSaKuwMnZXyu9P9++u&#10;pPABbAUtWl3Ko/byevP2zbp3hb7ABttKk2AQ64velbIJwRVZ5lWjO/AzdNpysEbqIPCVdllF0DN6&#10;12YX83me9UiVI1Tae/bejUG5Sfh1rVX4WtdeB9GWkrmFdFI6t/HMNmsodgSuMepEA17AogNj+dEz&#10;1B0EEHsy/0F1RhF6rMNMYZdhXRulUw/czWL+TzePDTidemFxvDvL5F8PVn05fCNhqlJeXV5KYaHj&#10;IT3pIYgPOIhlvowK9c4XnPjoODUMHOBJp269e0D1wwuLtw3Ynb4hwr7RUDHDRazMnpWOOD6CbPvP&#10;WPFDsA+YgIaauigfCyIYnSd1PE8nklHszFfLVb7ikOJYnr/P56vELoNiKnfkw0eNnYhGKYnHn+Dh&#10;8OBDpAPFlBJfs3hv2jatQGv/cnBi9CT6kfHIPQzbIWnFLE6ybLE6ckOE42bxT2CjQfolRc9bVUr/&#10;cw+kpWg/WRYlruBk0GRsJwOs4tJSBilG8zaMq7p3ZHYNI4+yW7xh4WqTWooKjyxOfHlTUqenrY6r&#10;+Pyesv78vc1vAAAA//8DAFBLAwQUAAYACAAAACEAjvjZEd4AAAAKAQAADwAAAGRycy9kb3ducmV2&#10;LnhtbEyPwU7DMBBE70j8g7VI3KjdigYS4lQVghMSIg0Hjk68TaLG6xC7bfh7tie47WhGs2/yzewG&#10;ccIp9J40LBcKBFLjbU+ths/q9e4RRIiGrBk8oYYfDLAprq9yk1l/phJPu9gKLqGQGQ1djGMmZWg6&#10;dCYs/IjE3t5PzkSWUyvtZM5c7ga5UiqRzvTEHzoz4nOHzWF3dBq2X1S+9N/v9Ue5L/uqShW9JQet&#10;b2/m7ROIiHP8C8MFn9GhYKbaH8kGMbBeJQ8c1cCLLvYyVSmImi+1vl+DLHL5f0LxCwAA//8DAFBL&#10;AQItABQABgAIAAAAIQC2gziS/gAAAOEBAAATAAAAAAAAAAAAAAAAAAAAAABbQ29udGVudF9UeXBl&#10;c10ueG1sUEsBAi0AFAAGAAgAAAAhADj9If/WAAAAlAEAAAsAAAAAAAAAAAAAAAAALwEAAF9yZWxz&#10;Ly5yZWxzUEsBAi0AFAAGAAgAAAAhAGhCwfnxAQAAwwMAAA4AAAAAAAAAAAAAAAAALgIAAGRycy9l&#10;Mm9Eb2MueG1sUEsBAi0AFAAGAAgAAAAhAI742RHeAAAACgEAAA8AAAAAAAAAAAAAAAAASwQAAGRy&#10;cy9kb3ducmV2LnhtbFBLBQYAAAAABAAEAPMAAABWBQAAAAA=&#10;" filled="f" stroked="f">
                <v:textbox inset="0,0,0,0">
                  <w:txbxContent>
                    <w:p w14:paraId="4D936611" w14:textId="77777777" w:rsidR="00490F33" w:rsidRDefault="00490F33">
                      <w:pPr>
                        <w:spacing w:after="1833"/>
                        <w:textAlignment w:val="baseline"/>
                      </w:pPr>
                      <w:r>
                        <w:rPr>
                          <w:noProof/>
                          <w:lang w:val="en-AU" w:eastAsia="en-AU"/>
                        </w:rPr>
                        <w:drawing>
                          <wp:inline distT="0" distB="0" distL="0" distR="0" wp14:anchorId="41064D57" wp14:editId="1B5A8059">
                            <wp:extent cx="6757670" cy="5532120"/>
                            <wp:effectExtent l="0" t="0" r="0" b="0"/>
                            <wp:docPr id="8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8" name="Picture">
                                      <a:extLst>
                                        <a:ext uri="{C183D7F6-B498-43B3-948B-1728B52AA6E4}">
                                          <adec:decorative xmlns:adec="http://schemas.microsoft.com/office/drawing/2017/decorative" val="1"/>
                                        </a:ext>
                                      </a:extLst>
                                    </pic:cNvPr>
                                    <pic:cNvPicPr preferRelativeResize="0"/>
                                  </pic:nvPicPr>
                                  <pic:blipFill>
                                    <a:blip r:embed="rId123"/>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sidRPr="00DA1C79">
        <w:rPr>
          <w:rStyle w:val="Heading1Char"/>
        </w:rPr>
        <w:t xml:space="preserve">CHAPTER 2: </w:t>
      </w:r>
      <w:r w:rsidR="00083242" w:rsidRPr="00124A98">
        <w:rPr>
          <w:rStyle w:val="Heading1Char"/>
          <w:b w:val="0"/>
          <w:bCs/>
        </w:rPr>
        <w:t>EXERCISING INFORMED CHOICE</w:t>
      </w:r>
    </w:p>
    <w:p w14:paraId="75AE8278" w14:textId="77777777" w:rsidR="009757A9" w:rsidRDefault="009757A9">
      <w:pPr>
        <w:spacing w:before="2" w:after="4257" w:line="474" w:lineRule="exact"/>
        <w:sectPr w:rsidR="009757A9" w:rsidSect="00DA1C79">
          <w:pgSz w:w="11909" w:h="16838"/>
          <w:pgMar w:top="0" w:right="1986" w:bottom="0" w:left="869" w:header="720" w:footer="720" w:gutter="0"/>
          <w:cols w:space="720"/>
        </w:sectPr>
      </w:pPr>
    </w:p>
    <w:p w14:paraId="42D02BE8" w14:textId="77777777" w:rsidR="009757A9" w:rsidRDefault="00083242">
      <w:pPr>
        <w:spacing w:before="2" w:after="609" w:line="205" w:lineRule="exact"/>
        <w:ind w:left="10800"/>
        <w:textAlignment w:val="baseline"/>
        <w:rPr>
          <w:rFonts w:ascii="Arial" w:eastAsia="Arial" w:hAnsi="Arial"/>
          <w:color w:val="5556A1"/>
          <w:spacing w:val="38"/>
          <w:sz w:val="18"/>
        </w:rPr>
      </w:pPr>
      <w:r>
        <w:rPr>
          <w:rFonts w:ascii="Arial" w:eastAsia="Arial" w:hAnsi="Arial"/>
          <w:color w:val="5556A1"/>
          <w:spacing w:val="38"/>
          <w:sz w:val="18"/>
        </w:rPr>
        <w:t>55</w:t>
      </w:r>
    </w:p>
    <w:p w14:paraId="473135ED" w14:textId="77777777" w:rsidR="009757A9" w:rsidRDefault="00083242">
      <w:pPr>
        <w:textAlignment w:val="baseline"/>
      </w:pPr>
      <w:r>
        <w:rPr>
          <w:noProof/>
          <w:lang w:val="en-AU" w:eastAsia="en-AU"/>
        </w:rPr>
        <w:drawing>
          <wp:inline distT="0" distB="0" distL="0" distR="0" wp14:anchorId="16A1A1E2" wp14:editId="51CC0CDA">
            <wp:extent cx="7562215" cy="462915"/>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89"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45EEAC59" w14:textId="77777777" w:rsidR="009757A9" w:rsidRDefault="009757A9">
      <w:pPr>
        <w:sectPr w:rsidR="009757A9">
          <w:type w:val="continuous"/>
          <w:pgSz w:w="11909" w:h="16838"/>
          <w:pgMar w:top="0" w:right="0" w:bottom="0" w:left="0" w:header="720" w:footer="720" w:gutter="0"/>
          <w:cols w:space="720"/>
        </w:sectPr>
      </w:pPr>
    </w:p>
    <w:tbl>
      <w:tblPr>
        <w:tblStyle w:val="TableGrid"/>
        <w:tblpPr w:leftFromText="180" w:rightFromText="180" w:vertAnchor="page" w:horzAnchor="margin" w:tblpXSpec="center" w:tblpY="1051"/>
        <w:tblW w:w="9581" w:type="dxa"/>
        <w:tblLayout w:type="fixed"/>
        <w:tblLook w:val="04A0" w:firstRow="1" w:lastRow="0" w:firstColumn="1" w:lastColumn="0" w:noHBand="0" w:noVBand="1"/>
      </w:tblPr>
      <w:tblGrid>
        <w:gridCol w:w="9581"/>
      </w:tblGrid>
      <w:tr w:rsidR="002146BB" w14:paraId="59FAA331" w14:textId="77777777" w:rsidTr="001C2531">
        <w:trPr>
          <w:trHeight w:val="9847"/>
        </w:trPr>
        <w:tc>
          <w:tcPr>
            <w:tcW w:w="9581" w:type="dxa"/>
            <w:tcBorders>
              <w:top w:val="single" w:sz="4" w:space="0" w:color="auto"/>
              <w:left w:val="single" w:sz="4" w:space="0" w:color="auto"/>
              <w:bottom w:val="single" w:sz="4" w:space="0" w:color="auto"/>
              <w:right w:val="single" w:sz="4" w:space="0" w:color="auto"/>
            </w:tcBorders>
            <w:shd w:val="clear" w:color="auto" w:fill="ECF3FA"/>
          </w:tcPr>
          <w:p w14:paraId="3A03C5C2" w14:textId="77777777" w:rsidR="00230161" w:rsidRDefault="00230161" w:rsidP="002146BB">
            <w:pPr>
              <w:pStyle w:val="Heading2"/>
              <w:ind w:left="438"/>
              <w:rPr>
                <w:rFonts w:eastAsia="Arial"/>
                <w:w w:val="95"/>
              </w:rPr>
            </w:pPr>
            <w:r>
              <w:rPr>
                <w:rFonts w:eastAsia="Arial"/>
                <w:w w:val="95"/>
              </w:rPr>
              <w:lastRenderedPageBreak/>
              <w:t>CHAPTER FINDINGS</w:t>
            </w:r>
          </w:p>
          <w:p w14:paraId="45110EE5" w14:textId="77777777" w:rsidR="00230161" w:rsidRPr="00960BAA" w:rsidRDefault="00230161" w:rsidP="002146BB">
            <w:pPr>
              <w:spacing w:line="240" w:lineRule="exact"/>
              <w:ind w:left="360" w:right="72" w:hanging="360"/>
              <w:textAlignment w:val="baseline"/>
              <w:rPr>
                <w:rFonts w:ascii="Tahoma" w:eastAsia="Tahoma" w:hAnsi="Tahoma" w:cs="Tahoma"/>
                <w:color w:val="404042"/>
                <w:sz w:val="18"/>
                <w:szCs w:val="18"/>
              </w:rPr>
            </w:pPr>
            <w:r>
              <w:rPr>
                <w:rFonts w:ascii="Tahoma" w:eastAsia="Tahoma" w:hAnsi="Tahoma"/>
                <w:color w:val="404042"/>
                <w:sz w:val="18"/>
              </w:rPr>
              <w:t xml:space="preserve">2.1 </w:t>
            </w:r>
            <w:r w:rsidRPr="00960BAA">
              <w:rPr>
                <w:rFonts w:ascii="Tahoma" w:eastAsia="Tahoma" w:hAnsi="Tahoma" w:cs="Tahoma"/>
                <w:color w:val="404042"/>
                <w:sz w:val="18"/>
                <w:szCs w:val="18"/>
              </w:rPr>
              <w:t>All students should be in a position to take advantage of the wide range of educational and training pathways that are available after they leave school.</w:t>
            </w:r>
          </w:p>
          <w:p w14:paraId="3A754095" w14:textId="77777777" w:rsidR="00230161" w:rsidRPr="00960BAA" w:rsidRDefault="00230161" w:rsidP="002146BB">
            <w:pPr>
              <w:spacing w:before="168" w:line="240" w:lineRule="exact"/>
              <w:ind w:left="360" w:right="144" w:hanging="360"/>
              <w:textAlignment w:val="baseline"/>
              <w:rPr>
                <w:rFonts w:ascii="Tahoma" w:eastAsia="Tahoma" w:hAnsi="Tahoma" w:cs="Tahoma"/>
                <w:color w:val="404042"/>
                <w:sz w:val="18"/>
                <w:szCs w:val="18"/>
              </w:rPr>
            </w:pPr>
            <w:r w:rsidRPr="00960BAA">
              <w:rPr>
                <w:rFonts w:ascii="Tahoma" w:eastAsia="Tahoma" w:hAnsi="Tahoma" w:cs="Tahoma"/>
                <w:color w:val="404042"/>
                <w:sz w:val="18"/>
                <w:szCs w:val="18"/>
              </w:rPr>
              <w:t xml:space="preserve">2.2 All students (and their parents) should have access to professional career guidance at school. Parents and </w:t>
            </w:r>
            <w:r w:rsidRPr="00960BAA">
              <w:rPr>
                <w:rFonts w:ascii="Tahoma" w:eastAsia="Verdana" w:hAnsi="Tahoma" w:cs="Tahoma"/>
                <w:color w:val="404042"/>
                <w:sz w:val="18"/>
                <w:szCs w:val="18"/>
              </w:rPr>
              <w:t xml:space="preserve">families have the greatest influence on students’ career-related decisions at the senior secondary level. They </w:t>
            </w:r>
            <w:r w:rsidRPr="00960BAA">
              <w:rPr>
                <w:rFonts w:ascii="Tahoma" w:eastAsia="Tahoma" w:hAnsi="Tahoma" w:cs="Tahoma"/>
                <w:color w:val="404042"/>
                <w:sz w:val="18"/>
                <w:szCs w:val="18"/>
              </w:rPr>
              <w:t>must be engaged, fully informed and supported in the advice they provide to their children.</w:t>
            </w:r>
          </w:p>
          <w:p w14:paraId="3F3B625B" w14:textId="77777777" w:rsidR="00230161" w:rsidRPr="00960BAA" w:rsidRDefault="00230161" w:rsidP="002146BB">
            <w:pPr>
              <w:spacing w:before="173" w:line="240" w:lineRule="exact"/>
              <w:ind w:left="360" w:right="360" w:hanging="360"/>
              <w:textAlignment w:val="baseline"/>
              <w:rPr>
                <w:rFonts w:ascii="Tahoma" w:eastAsia="Tahoma" w:hAnsi="Tahoma" w:cs="Tahoma"/>
                <w:color w:val="404042"/>
                <w:spacing w:val="6"/>
                <w:sz w:val="18"/>
                <w:szCs w:val="18"/>
              </w:rPr>
            </w:pPr>
            <w:r w:rsidRPr="00960BAA">
              <w:rPr>
                <w:rFonts w:ascii="Tahoma" w:eastAsia="Tahoma" w:hAnsi="Tahoma" w:cs="Tahoma"/>
                <w:color w:val="404042"/>
                <w:spacing w:val="6"/>
                <w:sz w:val="18"/>
                <w:szCs w:val="18"/>
              </w:rPr>
              <w:t>2.3 At present, the vocational education and training (VET) pathway is not seen as equal to or complementary to a university one. Many students are not provided with information or encouragement to undertake VET either in Years 11 and 12, or as a post-school pathway. All students should be encouraged to excel and follow their passions and strengths, be made to feel that their educational preference or their choice of career is legitimate, and that whatever career path they choose, they have an important role to play in a well-functioning society.</w:t>
            </w:r>
          </w:p>
          <w:p w14:paraId="2292FD95" w14:textId="77777777" w:rsidR="002146BB" w:rsidRPr="00960BAA" w:rsidRDefault="00230161" w:rsidP="002146BB">
            <w:pPr>
              <w:spacing w:before="168" w:line="240" w:lineRule="exact"/>
              <w:ind w:left="360" w:right="216" w:hanging="360"/>
              <w:textAlignment w:val="baseline"/>
              <w:rPr>
                <w:rFonts w:ascii="Tahoma" w:eastAsia="Tahoma" w:hAnsi="Tahoma" w:cs="Tahoma"/>
                <w:color w:val="404042"/>
                <w:sz w:val="18"/>
                <w:szCs w:val="18"/>
              </w:rPr>
            </w:pPr>
            <w:r w:rsidRPr="00960BAA">
              <w:rPr>
                <w:rFonts w:ascii="Tahoma" w:eastAsia="Tahoma" w:hAnsi="Tahoma" w:cs="Tahoma"/>
                <w:color w:val="404042"/>
                <w:sz w:val="18"/>
                <w:szCs w:val="18"/>
              </w:rPr>
              <w:t xml:space="preserve">2.4 Undue focus on the ATAR has a distortionary impact on educational expectations, in which a preference for vocational education and training is perceived as ‘second class’. This is reinforced by the parameters around </w:t>
            </w:r>
            <w:r w:rsidRPr="00960BAA">
              <w:rPr>
                <w:rFonts w:ascii="Tahoma" w:eastAsia="Verdana" w:hAnsi="Tahoma" w:cs="Tahoma"/>
                <w:color w:val="404042"/>
                <w:sz w:val="18"/>
                <w:szCs w:val="18"/>
              </w:rPr>
              <w:t xml:space="preserve">the Senior Secondary Certificate of Education and ATAR restricting the type and number of subjects students are undertaking in senior secondary schooling, particularly in VET. More flexibility is needed in designing and </w:t>
            </w:r>
            <w:r w:rsidRPr="00960BAA">
              <w:rPr>
                <w:rFonts w:ascii="Tahoma" w:eastAsia="Tahoma" w:hAnsi="Tahoma" w:cs="Tahoma"/>
                <w:color w:val="404042"/>
                <w:sz w:val="18"/>
                <w:szCs w:val="18"/>
              </w:rPr>
              <w:t>constructing learning structures that do not privilege particular pathways.</w:t>
            </w:r>
          </w:p>
          <w:p w14:paraId="77D79D56" w14:textId="4EE42CAE" w:rsidR="002146BB" w:rsidRPr="00960BAA" w:rsidRDefault="002146BB" w:rsidP="002146BB">
            <w:pPr>
              <w:spacing w:before="168" w:line="240" w:lineRule="exact"/>
              <w:ind w:left="360" w:right="216" w:hanging="360"/>
              <w:textAlignment w:val="baseline"/>
              <w:rPr>
                <w:rFonts w:ascii="Tahoma" w:eastAsia="Tahoma" w:hAnsi="Tahoma" w:cs="Tahoma"/>
                <w:color w:val="404042"/>
                <w:spacing w:val="5"/>
                <w:sz w:val="18"/>
                <w:szCs w:val="18"/>
              </w:rPr>
            </w:pPr>
            <w:r w:rsidRPr="00960BAA">
              <w:rPr>
                <w:rFonts w:ascii="Tahoma" w:eastAsia="Tahoma" w:hAnsi="Tahoma" w:cs="Tahoma"/>
                <w:color w:val="404042"/>
                <w:spacing w:val="5"/>
                <w:sz w:val="18"/>
                <w:szCs w:val="18"/>
              </w:rPr>
              <w:t>2.5 School systems must cater for the needs of all their students and encourage them to pursue excellence in their areas of interest. Students who aspire to higher education should be encouraged and supported to pursue this goal. The senior secondary schooling system must, however, provide and support the full range of pathways for all students. At present, those who are more interested in pursuing vocational learning or structured workplace learning often feel that they are inferior or their decisions are less valid.</w:t>
            </w:r>
          </w:p>
          <w:p w14:paraId="3536E57D" w14:textId="77777777" w:rsidR="002146BB" w:rsidRPr="00960BAA" w:rsidRDefault="002146BB" w:rsidP="002146BB">
            <w:pPr>
              <w:spacing w:before="173" w:line="240" w:lineRule="exact"/>
              <w:ind w:left="360" w:right="162" w:hanging="360"/>
              <w:textAlignment w:val="baseline"/>
              <w:rPr>
                <w:rFonts w:ascii="Tahoma" w:eastAsia="Tahoma" w:hAnsi="Tahoma" w:cs="Tahoma"/>
                <w:color w:val="404042"/>
                <w:spacing w:val="5"/>
                <w:sz w:val="18"/>
                <w:szCs w:val="18"/>
              </w:rPr>
            </w:pPr>
            <w:r w:rsidRPr="00960BAA">
              <w:rPr>
                <w:rFonts w:ascii="Tahoma" w:eastAsia="Tahoma" w:hAnsi="Tahoma" w:cs="Tahoma"/>
                <w:color w:val="404042"/>
                <w:spacing w:val="5"/>
                <w:sz w:val="18"/>
                <w:szCs w:val="18"/>
              </w:rPr>
              <w:t xml:space="preserve">2.6 Career advice nationally is inadequate, despite individual pockets of best practice. Many teachers have </w:t>
            </w:r>
            <w:r w:rsidRPr="00960BAA">
              <w:rPr>
                <w:rFonts w:ascii="Tahoma" w:eastAsia="Verdana" w:hAnsi="Tahoma" w:cs="Tahoma"/>
                <w:color w:val="404042"/>
                <w:spacing w:val="5"/>
                <w:sz w:val="18"/>
                <w:szCs w:val="18"/>
              </w:rPr>
              <w:t xml:space="preserve">limited career education knowledge, especially on non-university or blended pathways. Significant </w:t>
            </w:r>
            <w:r w:rsidRPr="00960BAA">
              <w:rPr>
                <w:rFonts w:ascii="Tahoma" w:eastAsia="Tahoma" w:hAnsi="Tahoma" w:cs="Tahoma"/>
                <w:color w:val="404042"/>
                <w:spacing w:val="5"/>
                <w:sz w:val="18"/>
                <w:szCs w:val="18"/>
              </w:rPr>
              <w:t>improvements need to be made to increase information on the future labour market, apply new models to decision-making, and employ the right people to work face to face with students. It is unreasonable to expect that every school is able to independently provide this. They need support.</w:t>
            </w:r>
          </w:p>
          <w:p w14:paraId="5070B011" w14:textId="77777777" w:rsidR="002146BB" w:rsidRPr="00960BAA" w:rsidRDefault="002146BB" w:rsidP="002146BB">
            <w:pPr>
              <w:spacing w:before="188" w:line="220" w:lineRule="exact"/>
              <w:textAlignment w:val="baseline"/>
              <w:rPr>
                <w:rFonts w:ascii="Tahoma" w:eastAsia="Tahoma" w:hAnsi="Tahoma" w:cs="Tahoma"/>
                <w:color w:val="404042"/>
                <w:spacing w:val="6"/>
                <w:sz w:val="18"/>
                <w:szCs w:val="18"/>
              </w:rPr>
            </w:pPr>
            <w:r w:rsidRPr="00960BAA">
              <w:rPr>
                <w:rFonts w:ascii="Tahoma" w:eastAsia="Tahoma" w:hAnsi="Tahoma" w:cs="Tahoma"/>
                <w:color w:val="404042"/>
                <w:spacing w:val="6"/>
                <w:sz w:val="18"/>
                <w:szCs w:val="18"/>
              </w:rPr>
              <w:t>2.7 Individualised career guidance should be provided before senior secondary school, and should</w:t>
            </w:r>
          </w:p>
          <w:p w14:paraId="0E1F6155" w14:textId="77777777" w:rsidR="002146BB" w:rsidRPr="00960BAA" w:rsidRDefault="002146BB" w:rsidP="002146BB">
            <w:pPr>
              <w:spacing w:before="20" w:line="220" w:lineRule="exact"/>
              <w:ind w:left="360"/>
              <w:textAlignment w:val="baseline"/>
              <w:rPr>
                <w:rFonts w:ascii="Tahoma" w:eastAsia="Tahoma" w:hAnsi="Tahoma" w:cs="Tahoma"/>
                <w:color w:val="404042"/>
                <w:spacing w:val="5"/>
                <w:sz w:val="18"/>
                <w:szCs w:val="18"/>
              </w:rPr>
            </w:pPr>
            <w:r w:rsidRPr="00960BAA">
              <w:rPr>
                <w:rFonts w:ascii="Tahoma" w:eastAsia="Tahoma" w:hAnsi="Tahoma" w:cs="Tahoma"/>
                <w:color w:val="404042"/>
                <w:spacing w:val="5"/>
                <w:sz w:val="18"/>
                <w:szCs w:val="18"/>
              </w:rPr>
              <w:t>extend beyond the end of Year 12. Online information has the capacity to improve decision-making, if</w:t>
            </w:r>
          </w:p>
          <w:p w14:paraId="64E5B598" w14:textId="77777777" w:rsidR="002146BB" w:rsidRPr="00960BAA" w:rsidRDefault="002146BB" w:rsidP="002146BB">
            <w:pPr>
              <w:spacing w:before="21" w:line="219" w:lineRule="exact"/>
              <w:ind w:left="360"/>
              <w:textAlignment w:val="baseline"/>
              <w:rPr>
                <w:rFonts w:ascii="Tahoma" w:eastAsia="Verdana" w:hAnsi="Tahoma" w:cs="Tahoma"/>
                <w:color w:val="404042"/>
                <w:spacing w:val="-1"/>
                <w:sz w:val="18"/>
                <w:szCs w:val="18"/>
              </w:rPr>
            </w:pPr>
            <w:r w:rsidRPr="00960BAA">
              <w:rPr>
                <w:rFonts w:ascii="Tahoma" w:eastAsia="Verdana" w:hAnsi="Tahoma" w:cs="Tahoma"/>
                <w:color w:val="404042"/>
                <w:spacing w:val="-1"/>
                <w:sz w:val="18"/>
                <w:szCs w:val="18"/>
              </w:rPr>
              <w:t>it is made available to all students, parents and school staff in a centralised, trusted, up-to-date and</w:t>
            </w:r>
          </w:p>
          <w:p w14:paraId="5B747F81" w14:textId="77777777" w:rsidR="002146BB" w:rsidRPr="00960BAA" w:rsidRDefault="002146BB" w:rsidP="002146BB">
            <w:pPr>
              <w:spacing w:before="20" w:line="220" w:lineRule="exact"/>
              <w:ind w:left="360"/>
              <w:textAlignment w:val="baseline"/>
              <w:rPr>
                <w:rFonts w:ascii="Tahoma" w:eastAsia="Tahoma" w:hAnsi="Tahoma" w:cs="Tahoma"/>
                <w:color w:val="404042"/>
                <w:spacing w:val="4"/>
                <w:sz w:val="18"/>
                <w:szCs w:val="18"/>
              </w:rPr>
            </w:pPr>
            <w:r w:rsidRPr="00960BAA">
              <w:rPr>
                <w:rFonts w:ascii="Tahoma" w:eastAsia="Tahoma" w:hAnsi="Tahoma" w:cs="Tahoma"/>
                <w:color w:val="404042"/>
                <w:spacing w:val="4"/>
                <w:sz w:val="18"/>
                <w:szCs w:val="18"/>
              </w:rPr>
              <w:t>easy-to-use repository. The experience of COVID-19 has shown the value of students being able to access</w:t>
            </w:r>
          </w:p>
          <w:p w14:paraId="5FFBCD2A" w14:textId="7CB77015" w:rsidR="00230161" w:rsidRPr="00960BAA" w:rsidRDefault="002146BB" w:rsidP="00960BAA">
            <w:pPr>
              <w:spacing w:before="20" w:after="167" w:line="220" w:lineRule="exact"/>
              <w:ind w:left="360"/>
              <w:textAlignment w:val="baseline"/>
              <w:rPr>
                <w:rFonts w:ascii="Tahoma" w:eastAsia="Tahoma" w:hAnsi="Tahoma" w:cs="Tahoma"/>
                <w:color w:val="404042"/>
                <w:spacing w:val="6"/>
                <w:sz w:val="18"/>
                <w:szCs w:val="18"/>
              </w:rPr>
            </w:pPr>
            <w:r w:rsidRPr="00960BAA">
              <w:rPr>
                <w:rFonts w:ascii="Tahoma" w:eastAsia="Tahoma" w:hAnsi="Tahoma" w:cs="Tahoma"/>
                <w:color w:val="404042"/>
                <w:spacing w:val="6"/>
                <w:sz w:val="18"/>
                <w:szCs w:val="18"/>
              </w:rPr>
              <w:t>information remotely.</w:t>
            </w:r>
          </w:p>
        </w:tc>
      </w:tr>
    </w:tbl>
    <w:p w14:paraId="61C4CB17" w14:textId="77777777" w:rsidR="00230161" w:rsidRDefault="00230161">
      <w:pPr>
        <w:spacing w:line="237" w:lineRule="exact"/>
        <w:ind w:left="864" w:right="1008"/>
        <w:textAlignment w:val="baseline"/>
        <w:rPr>
          <w:rFonts w:ascii="Tahoma" w:eastAsia="Tahoma" w:hAnsi="Tahoma"/>
          <w:color w:val="404042"/>
          <w:spacing w:val="5"/>
          <w:sz w:val="18"/>
        </w:rPr>
      </w:pPr>
    </w:p>
    <w:p w14:paraId="5F3EAAE2" w14:textId="77777777" w:rsidR="002146BB" w:rsidRDefault="00083242" w:rsidP="00E3201E">
      <w:pPr>
        <w:spacing w:line="237" w:lineRule="exact"/>
        <w:ind w:left="-284" w:right="-469"/>
        <w:textAlignment w:val="baseline"/>
        <w:rPr>
          <w:rFonts w:ascii="Tahoma" w:eastAsia="Tahoma" w:hAnsi="Tahoma"/>
          <w:color w:val="404042"/>
          <w:spacing w:val="5"/>
          <w:sz w:val="18"/>
        </w:rPr>
      </w:pPr>
      <w:r>
        <w:rPr>
          <w:rFonts w:ascii="Tahoma" w:eastAsia="Tahoma" w:hAnsi="Tahoma"/>
          <w:color w:val="404042"/>
          <w:spacing w:val="5"/>
          <w:sz w:val="18"/>
        </w:rPr>
        <w:t>The single biggest issue that emerged from submissions to the review was concern about the limited availability of high-quality career guidance generally available to students in schools. Throughout the consultations, stakeholders consistently echoed these concerns. It was put to us that school-based careers advisers were overly concerned with student subject choice rather than labour market opportunities. They tended to know more about university selection procedures than apprenticeship requirements. They were often inadequately resourced.</w:t>
      </w:r>
    </w:p>
    <w:p w14:paraId="4F3EFF3C" w14:textId="77777777" w:rsidR="002146BB" w:rsidRDefault="002146BB" w:rsidP="002146BB">
      <w:pPr>
        <w:spacing w:line="237" w:lineRule="exact"/>
        <w:ind w:right="-43"/>
        <w:textAlignment w:val="baseline"/>
        <w:rPr>
          <w:rFonts w:ascii="Tahoma" w:eastAsia="Tahoma" w:hAnsi="Tahoma"/>
          <w:color w:val="404042"/>
          <w:spacing w:val="5"/>
          <w:sz w:val="18"/>
        </w:rPr>
      </w:pPr>
    </w:p>
    <w:p w14:paraId="2D3E964E" w14:textId="77777777" w:rsidR="002146BB" w:rsidRDefault="002146BB" w:rsidP="002146BB">
      <w:pPr>
        <w:spacing w:line="237" w:lineRule="exact"/>
        <w:ind w:right="-43"/>
        <w:textAlignment w:val="baseline"/>
        <w:rPr>
          <w:rFonts w:ascii="Tahoma" w:eastAsia="Tahoma" w:hAnsi="Tahoma"/>
          <w:color w:val="404042"/>
          <w:spacing w:val="5"/>
          <w:sz w:val="18"/>
        </w:rPr>
      </w:pPr>
    </w:p>
    <w:p w14:paraId="376D90CB" w14:textId="77777777" w:rsidR="002146BB" w:rsidRDefault="002146BB" w:rsidP="002146BB">
      <w:pPr>
        <w:spacing w:line="237" w:lineRule="exact"/>
        <w:ind w:right="-43"/>
        <w:textAlignment w:val="baseline"/>
        <w:rPr>
          <w:rFonts w:ascii="Tahoma" w:eastAsia="Tahoma" w:hAnsi="Tahoma"/>
          <w:color w:val="404042"/>
          <w:spacing w:val="5"/>
          <w:sz w:val="18"/>
        </w:rPr>
      </w:pPr>
    </w:p>
    <w:p w14:paraId="3F470377" w14:textId="77777777" w:rsidR="002146BB" w:rsidRDefault="002146BB" w:rsidP="002146BB">
      <w:pPr>
        <w:spacing w:line="237" w:lineRule="exact"/>
        <w:ind w:right="-43"/>
        <w:textAlignment w:val="baseline"/>
        <w:rPr>
          <w:rFonts w:ascii="Tahoma" w:eastAsia="Tahoma" w:hAnsi="Tahoma"/>
          <w:color w:val="404042"/>
          <w:spacing w:val="5"/>
          <w:sz w:val="18"/>
        </w:rPr>
      </w:pPr>
    </w:p>
    <w:p w14:paraId="5BC2E233" w14:textId="77777777" w:rsidR="002146BB" w:rsidRDefault="002146BB" w:rsidP="002146BB">
      <w:pPr>
        <w:spacing w:line="237" w:lineRule="exact"/>
        <w:ind w:right="-43"/>
        <w:textAlignment w:val="baseline"/>
        <w:rPr>
          <w:rFonts w:ascii="Tahoma" w:eastAsia="Tahoma" w:hAnsi="Tahoma"/>
          <w:color w:val="404042"/>
          <w:spacing w:val="5"/>
          <w:sz w:val="18"/>
        </w:rPr>
      </w:pPr>
    </w:p>
    <w:p w14:paraId="0A377C21" w14:textId="2FFD0503" w:rsidR="002146BB" w:rsidRDefault="002146BB" w:rsidP="002146BB">
      <w:pPr>
        <w:spacing w:line="237" w:lineRule="exact"/>
        <w:ind w:right="-43"/>
        <w:textAlignment w:val="baseline"/>
        <w:rPr>
          <w:rFonts w:ascii="Tahoma" w:eastAsia="Tahoma" w:hAnsi="Tahoma"/>
          <w:color w:val="404042"/>
          <w:spacing w:val="5"/>
          <w:sz w:val="18"/>
        </w:rPr>
      </w:pPr>
    </w:p>
    <w:p w14:paraId="18B60847" w14:textId="1A684A83" w:rsidR="00285B4C" w:rsidRDefault="00285B4C" w:rsidP="002146BB">
      <w:pPr>
        <w:spacing w:line="237" w:lineRule="exact"/>
        <w:ind w:right="-43"/>
        <w:textAlignment w:val="baseline"/>
        <w:rPr>
          <w:rFonts w:ascii="Tahoma" w:eastAsia="Tahoma" w:hAnsi="Tahoma"/>
          <w:color w:val="404042"/>
          <w:spacing w:val="5"/>
          <w:sz w:val="18"/>
        </w:rPr>
      </w:pPr>
    </w:p>
    <w:p w14:paraId="2DFF3857" w14:textId="77777777" w:rsidR="00285B4C" w:rsidRDefault="00285B4C" w:rsidP="002146BB">
      <w:pPr>
        <w:spacing w:line="237" w:lineRule="exact"/>
        <w:ind w:right="-43"/>
        <w:textAlignment w:val="baseline"/>
        <w:rPr>
          <w:rFonts w:ascii="Tahoma" w:eastAsia="Tahoma" w:hAnsi="Tahoma"/>
          <w:color w:val="404042"/>
          <w:spacing w:val="5"/>
          <w:sz w:val="18"/>
        </w:rPr>
      </w:pPr>
    </w:p>
    <w:p w14:paraId="4CCB5487" w14:textId="77777777" w:rsidR="00E3201E" w:rsidRDefault="00E3201E" w:rsidP="002146BB">
      <w:pPr>
        <w:spacing w:line="237" w:lineRule="exact"/>
        <w:ind w:right="-43"/>
        <w:textAlignment w:val="baseline"/>
        <w:rPr>
          <w:rFonts w:ascii="Tahoma" w:eastAsia="Tahoma" w:hAnsi="Tahoma"/>
          <w:color w:val="404042"/>
          <w:spacing w:val="5"/>
          <w:sz w:val="18"/>
        </w:rPr>
      </w:pPr>
    </w:p>
    <w:p w14:paraId="36385F49" w14:textId="77777777" w:rsidR="00E3201E" w:rsidRDefault="00E3201E" w:rsidP="002146BB">
      <w:pPr>
        <w:spacing w:line="237" w:lineRule="exact"/>
        <w:ind w:right="-43"/>
        <w:textAlignment w:val="baseline"/>
        <w:rPr>
          <w:rFonts w:ascii="Tahoma" w:eastAsia="Tahoma" w:hAnsi="Tahoma"/>
          <w:color w:val="404042"/>
          <w:spacing w:val="5"/>
          <w:sz w:val="18"/>
        </w:rPr>
      </w:pPr>
    </w:p>
    <w:p w14:paraId="02E7461C" w14:textId="77777777" w:rsidR="00E3201E" w:rsidRDefault="00E3201E" w:rsidP="002146BB">
      <w:pPr>
        <w:spacing w:line="237" w:lineRule="exact"/>
        <w:ind w:right="-43"/>
        <w:textAlignment w:val="baseline"/>
        <w:rPr>
          <w:rFonts w:ascii="Tahoma" w:eastAsia="Tahoma" w:hAnsi="Tahoma"/>
          <w:color w:val="404042"/>
          <w:spacing w:val="5"/>
          <w:sz w:val="18"/>
        </w:rPr>
      </w:pPr>
    </w:p>
    <w:p w14:paraId="49D291BD" w14:textId="43876A71" w:rsidR="009757A9" w:rsidRPr="002146BB" w:rsidRDefault="00083242" w:rsidP="00E3201E">
      <w:pPr>
        <w:tabs>
          <w:tab w:val="left" w:pos="720"/>
          <w:tab w:val="left" w:pos="1440"/>
          <w:tab w:val="left" w:pos="3585"/>
        </w:tabs>
        <w:spacing w:line="237" w:lineRule="exact"/>
        <w:ind w:right="-43" w:hanging="567"/>
        <w:textAlignment w:val="baseline"/>
        <w:rPr>
          <w:rFonts w:ascii="Tahoma" w:eastAsia="Tahoma" w:hAnsi="Tahoma"/>
          <w:color w:val="404042"/>
          <w:spacing w:val="5"/>
          <w:sz w:val="18"/>
        </w:rPr>
      </w:pPr>
      <w:r>
        <w:rPr>
          <w:rFonts w:ascii="Arial" w:eastAsia="Arial" w:hAnsi="Arial"/>
          <w:b/>
          <w:color w:val="5556A1"/>
          <w:spacing w:val="4"/>
          <w:sz w:val="18"/>
        </w:rPr>
        <w:t>56</w:t>
      </w:r>
      <w:r>
        <w:rPr>
          <w:rFonts w:ascii="Tahoma" w:eastAsia="Tahoma" w:hAnsi="Tahoma"/>
          <w:color w:val="404042"/>
          <w:spacing w:val="4"/>
          <w:sz w:val="14"/>
        </w:rPr>
        <w:tab/>
        <w:t>Looking to the future</w:t>
      </w:r>
      <w:r w:rsidR="00E3201E">
        <w:rPr>
          <w:rFonts w:ascii="Tahoma" w:eastAsia="Tahoma" w:hAnsi="Tahoma"/>
          <w:color w:val="404042"/>
          <w:spacing w:val="4"/>
          <w:sz w:val="14"/>
        </w:rPr>
        <w:tab/>
      </w:r>
      <w:r w:rsidR="00E3201E">
        <w:rPr>
          <w:rFonts w:ascii="Tahoma" w:eastAsia="Tahoma" w:hAnsi="Tahoma"/>
          <w:color w:val="404042"/>
          <w:spacing w:val="4"/>
          <w:sz w:val="14"/>
        </w:rPr>
        <w:tab/>
      </w:r>
    </w:p>
    <w:p w14:paraId="79E0B6DE" w14:textId="77777777" w:rsidR="009757A9" w:rsidRDefault="009757A9"/>
    <w:p w14:paraId="30AACE94" w14:textId="23C3CB79" w:rsidR="00E3201E" w:rsidRDefault="00E3201E" w:rsidP="00E3201E">
      <w:pPr>
        <w:ind w:hanging="1418"/>
      </w:pPr>
      <w:r>
        <w:rPr>
          <w:noProof/>
          <w:lang w:val="en-AU" w:eastAsia="en-AU"/>
        </w:rPr>
        <w:drawing>
          <wp:anchor distT="0" distB="0" distL="114300" distR="114300" simplePos="0" relativeHeight="252048896" behindDoc="1" locked="0" layoutInCell="1" allowOverlap="1" wp14:anchorId="2D97B50C" wp14:editId="199EE14B">
            <wp:simplePos x="0" y="0"/>
            <wp:positionH relativeFrom="page">
              <wp:align>left</wp:align>
            </wp:positionH>
            <wp:positionV relativeFrom="paragraph">
              <wp:posOffset>417195</wp:posOffset>
            </wp:positionV>
            <wp:extent cx="7553325" cy="521970"/>
            <wp:effectExtent l="0" t="0" r="9525" b="0"/>
            <wp:wrapTight wrapText="bothSides">
              <wp:wrapPolygon edited="0">
                <wp:start x="0" y="0"/>
                <wp:lineTo x="0" y="20496"/>
                <wp:lineTo x="21573" y="20496"/>
                <wp:lineTo x="21573" y="0"/>
                <wp:lineTo x="0" y="0"/>
              </wp:wrapPolygon>
            </wp:wrapTight>
            <wp:docPr id="48" name="Picture"/>
            <wp:cNvGraphicFramePr/>
            <a:graphic xmlns:a="http://schemas.openxmlformats.org/drawingml/2006/main">
              <a:graphicData uri="http://schemas.openxmlformats.org/drawingml/2006/picture">
                <pic:pic xmlns:pic="http://schemas.openxmlformats.org/drawingml/2006/picture">
                  <pic:nvPicPr>
                    <pic:cNvPr id="83" name="Picture"/>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7553325" cy="521970"/>
                    </a:xfrm>
                    <a:prstGeom prst="rect">
                      <a:avLst/>
                    </a:prstGeom>
                  </pic:spPr>
                </pic:pic>
              </a:graphicData>
            </a:graphic>
            <wp14:sizeRelH relativeFrom="page">
              <wp14:pctWidth>0</wp14:pctWidth>
            </wp14:sizeRelH>
            <wp14:sizeRelV relativeFrom="page">
              <wp14:pctHeight>0</wp14:pctHeight>
            </wp14:sizeRelV>
          </wp:anchor>
        </w:drawing>
      </w:r>
    </w:p>
    <w:p w14:paraId="328D37B0" w14:textId="7D794722" w:rsidR="00E3201E" w:rsidRDefault="00E3201E" w:rsidP="00E3201E">
      <w:pPr>
        <w:sectPr w:rsidR="00E3201E" w:rsidSect="00E3201E">
          <w:pgSz w:w="11909" w:h="16838"/>
          <w:pgMar w:top="1440" w:right="1440" w:bottom="0" w:left="1440" w:header="720" w:footer="720" w:gutter="0"/>
          <w:cols w:space="720"/>
          <w:docGrid w:linePitch="299"/>
        </w:sectPr>
      </w:pPr>
    </w:p>
    <w:p w14:paraId="6E9E2171"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lastRenderedPageBreak/>
        <w:t xml:space="preserve">Young people need to know what to study to match their career ambitions to the future demand for skills. They will </w:t>
      </w:r>
      <w:r>
        <w:rPr>
          <w:rFonts w:ascii="Verdana" w:eastAsia="Verdana" w:hAnsi="Verdana"/>
          <w:color w:val="404042"/>
          <w:sz w:val="17"/>
        </w:rPr>
        <w:t>benefit from being exposed to how recruitment processes and contemporary workplaces operate.</w:t>
      </w:r>
      <w:r>
        <w:rPr>
          <w:rFonts w:ascii="Tahoma" w:eastAsia="Tahoma" w:hAnsi="Tahoma"/>
          <w:color w:val="404042"/>
          <w:sz w:val="17"/>
          <w:vertAlign w:val="superscript"/>
        </w:rPr>
        <w:t>52</w:t>
      </w:r>
      <w:r>
        <w:rPr>
          <w:rFonts w:ascii="Tahoma" w:eastAsia="Tahoma" w:hAnsi="Tahoma"/>
          <w:color w:val="404042"/>
          <w:sz w:val="18"/>
        </w:rPr>
        <w:t xml:space="preserve"> This will be especially important as the Australian economy undergoes a major transition following the impact of the COVID-19 </w:t>
      </w:r>
      <w:r>
        <w:rPr>
          <w:rFonts w:ascii="Verdana" w:eastAsia="Verdana" w:hAnsi="Verdana"/>
          <w:color w:val="404042"/>
          <w:sz w:val="17"/>
        </w:rPr>
        <w:t xml:space="preserve">pandemic, with greater uncertainty around where future employment demand will lie. Sectors that seemed to offer significant employment prospects three months ago – such as tourism, retail and education – will all face immediate </w:t>
      </w:r>
      <w:r>
        <w:rPr>
          <w:rFonts w:ascii="Tahoma" w:eastAsia="Tahoma" w:hAnsi="Tahoma"/>
          <w:color w:val="404042"/>
          <w:sz w:val="18"/>
        </w:rPr>
        <w:t>challenges as Australia adapts to new economic circumstances. Physical distancing as the ‘new normal’ may well change the manner in which personal services are delivered.</w:t>
      </w:r>
    </w:p>
    <w:p w14:paraId="4375E955" w14:textId="77777777" w:rsidR="009757A9" w:rsidRDefault="00083242">
      <w:pPr>
        <w:spacing w:before="166"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Unemployment will remain at higher levels than has been experienced in the recent past. More jobseekers are likely to become discouraged from seeking to participate in the paid labour market. Employment may become less permanent. Senior secondary students graduating in the next few years will need much better guidance on how to prepare for these insecurities.</w:t>
      </w:r>
    </w:p>
    <w:p w14:paraId="1D853055" w14:textId="77777777" w:rsidR="009757A9" w:rsidRDefault="00083242">
      <w:pPr>
        <w:spacing w:before="173"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 xml:space="preserve">Career education is a key part of senior secondary schooling, as it prepares students for the transition into employment. Yet throughout our consultations, we often heard that in many senior secondary schools, career </w:t>
      </w:r>
      <w:r>
        <w:rPr>
          <w:rFonts w:ascii="Verdana" w:eastAsia="Verdana" w:hAnsi="Verdana"/>
          <w:color w:val="404042"/>
          <w:spacing w:val="4"/>
          <w:sz w:val="17"/>
        </w:rPr>
        <w:t xml:space="preserve">education reflects old paradigms of work. It predominantly focuses on identifying a linear pathway that suggests to </w:t>
      </w:r>
      <w:r>
        <w:rPr>
          <w:rFonts w:ascii="Tahoma" w:eastAsia="Tahoma" w:hAnsi="Tahoma"/>
          <w:color w:val="404042"/>
          <w:spacing w:val="4"/>
          <w:sz w:val="18"/>
        </w:rPr>
        <w:t xml:space="preserve">students that they pursue a single career or profession. It often proposes a false dichotomy between the value and status of university education, trade training, apprenticeships and structured on-the-job experience. Too often advice </w:t>
      </w:r>
      <w:r>
        <w:rPr>
          <w:rFonts w:ascii="Verdana" w:eastAsia="Verdana" w:hAnsi="Verdana"/>
          <w:color w:val="404042"/>
          <w:spacing w:val="4"/>
          <w:sz w:val="17"/>
        </w:rPr>
        <w:t xml:space="preserve">is transactional, asking students to select specific subjects and courses, rather than encouraging them to take </w:t>
      </w:r>
      <w:r>
        <w:rPr>
          <w:rFonts w:ascii="Tahoma" w:eastAsia="Tahoma" w:hAnsi="Tahoma"/>
          <w:color w:val="404042"/>
          <w:spacing w:val="4"/>
          <w:sz w:val="18"/>
        </w:rPr>
        <w:t>a broader career outlook.</w:t>
      </w:r>
    </w:p>
    <w:p w14:paraId="199BE72D" w14:textId="77777777" w:rsidR="009757A9" w:rsidRDefault="00083242">
      <w:pPr>
        <w:spacing w:before="170" w:line="240" w:lineRule="exact"/>
        <w:ind w:left="864" w:right="1152"/>
        <w:textAlignment w:val="baseline"/>
        <w:rPr>
          <w:rFonts w:ascii="Tahoma" w:eastAsia="Tahoma" w:hAnsi="Tahoma"/>
          <w:color w:val="404042"/>
          <w:sz w:val="18"/>
        </w:rPr>
      </w:pPr>
      <w:r>
        <w:rPr>
          <w:rFonts w:ascii="Tahoma" w:eastAsia="Tahoma" w:hAnsi="Tahoma"/>
          <w:color w:val="404042"/>
          <w:sz w:val="18"/>
        </w:rPr>
        <w:t>In a world in which traditional employment models and occupations are rapidly evolving, narrow career education is unnecessarily limiting the employment potential of senior students.</w:t>
      </w:r>
      <w:r>
        <w:rPr>
          <w:rFonts w:ascii="Tahoma" w:eastAsia="Tahoma" w:hAnsi="Tahoma"/>
          <w:color w:val="404042"/>
          <w:sz w:val="18"/>
          <w:vertAlign w:val="superscript"/>
        </w:rPr>
        <w:t>53</w:t>
      </w:r>
      <w:r>
        <w:rPr>
          <w:rFonts w:ascii="Tahoma" w:eastAsia="Tahoma" w:hAnsi="Tahoma"/>
          <w:color w:val="404042"/>
          <w:sz w:val="18"/>
        </w:rPr>
        <w:t xml:space="preserve"> Many students, particularly those interested in vocational careers, told the Panel that even structured pathway support at school was often desultory in nature: ‘tick-a-box’ was a term used by several students to describe the quality of the career advice that they had received.</w:t>
      </w:r>
    </w:p>
    <w:p w14:paraId="0D0068F7" w14:textId="77777777" w:rsidR="009757A9" w:rsidRPr="002146BB" w:rsidRDefault="00083242" w:rsidP="002146BB">
      <w:pPr>
        <w:pStyle w:val="Heading2"/>
        <w:rPr>
          <w:rFonts w:eastAsia="Tahoma"/>
          <w:sz w:val="25"/>
          <w:szCs w:val="25"/>
        </w:rPr>
      </w:pPr>
      <w:r w:rsidRPr="002146BB">
        <w:rPr>
          <w:rFonts w:eastAsia="Tahoma"/>
          <w:sz w:val="25"/>
          <w:szCs w:val="25"/>
        </w:rPr>
        <w:t>Pathway influencers</w:t>
      </w:r>
    </w:p>
    <w:p w14:paraId="63C7875F" w14:textId="77777777" w:rsidR="009757A9" w:rsidRDefault="00083242">
      <w:pPr>
        <w:spacing w:before="159" w:after="585" w:line="240" w:lineRule="exact"/>
        <w:ind w:left="864" w:right="936"/>
        <w:textAlignment w:val="baseline"/>
        <w:rPr>
          <w:rFonts w:ascii="Tahoma" w:eastAsia="Tahoma" w:hAnsi="Tahoma"/>
          <w:color w:val="404042"/>
          <w:sz w:val="18"/>
        </w:rPr>
      </w:pPr>
      <w:r>
        <w:rPr>
          <w:rFonts w:ascii="Tahoma" w:eastAsia="Tahoma" w:hAnsi="Tahoma"/>
          <w:color w:val="404042"/>
          <w:sz w:val="18"/>
        </w:rPr>
        <w:t>There are a range of ways students make decisions and choices about the pathways that are right for them. They listen to parents and friends, access online information and receive varying levels of careers education in school.</w:t>
      </w:r>
    </w:p>
    <w:p w14:paraId="78A137D3" w14:textId="77777777" w:rsidR="009757A9" w:rsidRPr="00960BAA" w:rsidRDefault="000D2E34">
      <w:pPr>
        <w:spacing w:before="112" w:line="299" w:lineRule="exact"/>
        <w:ind w:left="1296" w:right="1512"/>
        <w:textAlignment w:val="baseline"/>
        <w:rPr>
          <w:rFonts w:ascii="Tahoma" w:eastAsia="Tahoma" w:hAnsi="Tahoma" w:cs="Tahoma"/>
          <w:i/>
          <w:color w:val="007994"/>
          <w:sz w:val="21"/>
          <w:szCs w:val="21"/>
        </w:rPr>
      </w:pPr>
      <w:r w:rsidRPr="00960BAA">
        <w:rPr>
          <w:rFonts w:ascii="Tahoma" w:hAnsi="Tahoma" w:cs="Tahoma"/>
          <w:noProof/>
          <w:sz w:val="21"/>
          <w:szCs w:val="21"/>
          <w:lang w:val="en-AU" w:eastAsia="en-AU"/>
        </w:rPr>
        <mc:AlternateContent>
          <mc:Choice Requires="wps">
            <w:drawing>
              <wp:anchor distT="0" distB="0" distL="114300" distR="114300" simplePos="0" relativeHeight="251859456" behindDoc="0" locked="0" layoutInCell="1" allowOverlap="1" wp14:anchorId="4B3A56DF" wp14:editId="182389E6">
                <wp:simplePos x="0" y="0"/>
                <wp:positionH relativeFrom="page">
                  <wp:posOffset>826135</wp:posOffset>
                </wp:positionH>
                <wp:positionV relativeFrom="page">
                  <wp:posOffset>5571490</wp:posOffset>
                </wp:positionV>
                <wp:extent cx="5907405" cy="0"/>
                <wp:effectExtent l="0" t="0" r="0" b="0"/>
                <wp:wrapNone/>
                <wp:docPr id="837"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130B0" id="Line 558" o:spid="_x0000_s1026" style="position:absolute;z-index:25185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38.7pt" to="530.2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wf0gEAAIYDAAAOAAAAZHJzL2Uyb0RvYy54bWysU01v2zAMvQ/YfxB0X+y0dZMYcXpI1l2y&#10;LUC7H8BIsi1MEgVJiZ1/P0n5aLfdhl0ESiQfHx+p5dOoFTkK5yWahk4nJSXCMOTSdA398fr8aU6J&#10;D2A4KDSioSfh6dPq44flYGtxhz0qLhyJIMbXg21oH4Kti8KzXmjwE7TCRGeLTkOIV9cV3MEQ0bUq&#10;7srysRjQceuQCe/j6+bspKuM37aChe9t60UgqqGRW8iny+c+ncVqCXXnwPaSXWjAP7DQIE0seoPa&#10;QABycPIvKC2ZQ49tmDDUBbatZCL3ELuZln9089KDFbmXKI63N5n8/4Nl3447RyRv6Px+RokBHYe0&#10;lUaQqpondQbr6xi0NjuX+mOjebFbZD89MbjuwXQis3w92Zg4TRnFbynp4m2ssR++Io8xcAiYpRpb&#10;pxNkFIGMeSKn20TEGAiLj9WinD2UFSXs6iugviZa58MXgZoko6Eqss7AcNz6kIhAfQ1JdQw+S6Xy&#10;wJUhQ0Mf76syJ3hUkidnCvOu26+VI0dIK1POFouH3FX0vA9LyBvw/Tkuu87L5PBgeK7SC+CfL3YA&#10;qc52ZKXMRaUkzFniPfLTzl3Vi8PO9C+Lmbbp/T1nv32f1S8AAAD//wMAUEsDBBQABgAIAAAAIQCz&#10;rY8y3QAAAAwBAAAPAAAAZHJzL2Rvd25yZXYueG1sTI9PT8MwDMXvSHyHyEjcWDL+bFNpOqGhnXaB&#10;DYmr15i20DhVk3Xdt8eTkMbNz356/r18OfpWDdTHJrCF6cSAIi6Da7iy8LFb3y1AxYTssA1MFk4U&#10;YVlcX+WYuXDkdxq2qVISwjFDC3VKXaZ1LGvyGCehI5bbV+g9JpF9pV2PRwn3rb43ZqY9Niwfauxo&#10;VVP5sz14C2s0uze32YTv+Pl0WmHS7pUGa29vxpdnUInGdDHDGV/QoRCmfTiwi6oV/WCmYrWwmM8f&#10;QZ0dZmZk2v+tdJHr/yWKXwAAAP//AwBQSwECLQAUAAYACAAAACEAtoM4kv4AAADhAQAAEwAAAAAA&#10;AAAAAAAAAAAAAAAAW0NvbnRlbnRfVHlwZXNdLnhtbFBLAQItABQABgAIAAAAIQA4/SH/1gAAAJQB&#10;AAALAAAAAAAAAAAAAAAAAC8BAABfcmVscy8ucmVsc1BLAQItABQABgAIAAAAIQDZucwf0gEAAIYD&#10;AAAOAAAAAAAAAAAAAAAAAC4CAABkcnMvZTJvRG9jLnhtbFBLAQItABQABgAIAAAAIQCzrY8y3QAA&#10;AAwBAAAPAAAAAAAAAAAAAAAAACwEAABkcnMvZG93bnJldi54bWxQSwUGAAAAAAQABADzAAAANgUA&#10;AAAA&#10;" strokecolor="#007994" strokeweight=".5pt">
                <w10:wrap anchorx="page" anchory="page"/>
              </v:line>
            </w:pict>
          </mc:Fallback>
        </mc:AlternateContent>
      </w:r>
      <w:r w:rsidR="00083242" w:rsidRPr="00960BAA">
        <w:rPr>
          <w:rFonts w:ascii="Tahoma" w:eastAsia="Tahoma" w:hAnsi="Tahoma" w:cs="Tahoma"/>
          <w:i/>
          <w:color w:val="007994"/>
          <w:sz w:val="21"/>
          <w:szCs w:val="21"/>
        </w:rPr>
        <w:t xml:space="preserve">“Young people, and people in general, do not always base their decision on a careful weighing of all the relevant information. Instead they make decisions via mental shortcuts. When it comes to secondary pathways, young people typically do not amass a large amount of information </w:t>
      </w:r>
      <w:r w:rsidR="00083242" w:rsidRPr="00960BAA">
        <w:rPr>
          <w:rFonts w:ascii="Tahoma" w:eastAsia="Verdana" w:hAnsi="Tahoma" w:cs="Tahoma"/>
          <w:i/>
          <w:color w:val="007994"/>
          <w:sz w:val="21"/>
          <w:szCs w:val="21"/>
        </w:rPr>
        <w:t xml:space="preserve">before making a decision. In general they won’t use any sources which are difficult or confusing </w:t>
      </w:r>
      <w:r w:rsidR="00083242" w:rsidRPr="00960BAA">
        <w:rPr>
          <w:rFonts w:ascii="Tahoma" w:eastAsia="Tahoma" w:hAnsi="Tahoma" w:cs="Tahoma"/>
          <w:i/>
          <w:color w:val="007994"/>
          <w:sz w:val="21"/>
          <w:szCs w:val="21"/>
        </w:rPr>
        <w:t xml:space="preserve">to navigate. When collecting information, young people disproportionately seek out information </w:t>
      </w:r>
      <w:r w:rsidR="00083242" w:rsidRPr="00960BAA">
        <w:rPr>
          <w:rFonts w:ascii="Tahoma" w:eastAsia="Verdana" w:hAnsi="Tahoma" w:cs="Tahoma"/>
          <w:i/>
          <w:color w:val="007994"/>
          <w:sz w:val="21"/>
          <w:szCs w:val="21"/>
        </w:rPr>
        <w:t xml:space="preserve">which confirms rather than challenges their existing career preferences, and in making their </w:t>
      </w:r>
      <w:r w:rsidR="00083242" w:rsidRPr="00960BAA">
        <w:rPr>
          <w:rFonts w:ascii="Tahoma" w:eastAsia="Tahoma" w:hAnsi="Tahoma" w:cs="Tahoma"/>
          <w:i/>
          <w:color w:val="007994"/>
          <w:sz w:val="21"/>
          <w:szCs w:val="21"/>
        </w:rPr>
        <w:t>decision, short-term considerations loom large ...”</w:t>
      </w:r>
    </w:p>
    <w:p w14:paraId="5BE7A491" w14:textId="77777777" w:rsidR="009757A9" w:rsidRDefault="000D2E34">
      <w:pPr>
        <w:spacing w:before="45" w:after="235" w:line="252" w:lineRule="exact"/>
        <w:ind w:left="7920"/>
        <w:textAlignment w:val="baseline"/>
        <w:rPr>
          <w:rFonts w:ascii="Tahoma" w:eastAsia="Tahoma" w:hAnsi="Tahoma"/>
          <w:i/>
          <w:color w:val="007994"/>
          <w:spacing w:val="-3"/>
          <w:sz w:val="21"/>
        </w:rPr>
      </w:pPr>
      <w:r w:rsidRPr="00960BAA">
        <w:rPr>
          <w:rFonts w:ascii="Tahoma" w:hAnsi="Tahoma" w:cs="Tahoma"/>
          <w:noProof/>
          <w:sz w:val="21"/>
          <w:szCs w:val="21"/>
          <w:lang w:val="en-AU" w:eastAsia="en-AU"/>
        </w:rPr>
        <mc:AlternateContent>
          <mc:Choice Requires="wps">
            <w:drawing>
              <wp:anchor distT="0" distB="0" distL="114300" distR="114300" simplePos="0" relativeHeight="251860480" behindDoc="0" locked="0" layoutInCell="1" allowOverlap="1" wp14:anchorId="266DEAB6" wp14:editId="61D21DC2">
                <wp:simplePos x="0" y="0"/>
                <wp:positionH relativeFrom="page">
                  <wp:posOffset>826135</wp:posOffset>
                </wp:positionH>
                <wp:positionV relativeFrom="page">
                  <wp:posOffset>7306310</wp:posOffset>
                </wp:positionV>
                <wp:extent cx="5907405" cy="0"/>
                <wp:effectExtent l="0" t="0" r="0" b="0"/>
                <wp:wrapNone/>
                <wp:docPr id="836"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DDF1F" id="Line 557" o:spid="_x0000_s1026" style="position:absolute;z-index:25186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75.3pt" to="530.2pt,5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Yx0gEAAIYDAAAOAAAAZHJzL2Uyb0RvYy54bWysU01v2zAMvQ/YfxB0X+y0ddIYcXpI1l2y&#10;LUC7H8BIsi1MEgVJiZ1/P0n5aLfdhl0ESiQfHx+p5dOoFTkK5yWahk4nJSXCMOTSdA398fr86ZES&#10;H8BwUGhEQ0/C06fVxw/LwdbiDntUXDgSQYyvB9vQPgRbF4VnvdDgJ2iFic4WnYYQr64ruIMhomtV&#10;3JXlrBjQceuQCe/j6+bspKuM37aChe9t60UgqqGRW8iny+c+ncVqCXXnwPaSXWjAP7DQIE0seoPa&#10;QABycPIvKC2ZQ49tmDDUBbatZCL3ELuZln9089KDFbmXKI63N5n8/4Nl3447RyRv6OP9jBIDOg5p&#10;K40gVTVP6gzW1zFobXYu9cdG82K3yH56YnDdg+lEZvl6sjFxmjKK31LSxdtYYz98RR5j4BAwSzW2&#10;TifIKAIZ80ROt4mIMRAWH6tFOX8oK0rY1VdAfU20zocvAjVJRkNVZJ2B4bj1IRGB+hqS6hh8lkrl&#10;gStDhobO7qsyJ3hUkidnCvOu26+VI0dIK1POF4uH3FX0vA9LyBvw/Tkuu87L5PBgeK7SC+CfL3YA&#10;qc52ZKXMRaUkzFniPfLTzl3Vi8PO9C+Lmbbp/T1nv32f1S8AAAD//wMAUEsDBBQABgAIAAAAIQDP&#10;Jw+e3AAAAA4BAAAPAAAAZHJzL2Rvd25yZXYueG1sTI9BT8MwDIXvSPyHyEjcWFJgFSpNJzS00y6w&#10;IXH1GtMWGmdqsq7793gHxG5+9tPz98rF5Hs10hC7wBaymQFFXAfXcWPhY7u6ewIVE7LDPjBZOFGE&#10;RXV9VWLhwpHfadykRkkIxwIttCntC61j3ZLHOAt7Yrl9hcFjEjk02g14lHDf63tjcu2xY/nQ4p6W&#10;LdU/m4O3sEKzfXPrdfiOn/PTEpN2rzRae3szvTyDSjSlfzOc8QUdKmHahQO7qHrRDyYTqwzZ3OSg&#10;zhaTm0dQu7+drkp9WaP6BQAA//8DAFBLAQItABQABgAIAAAAIQC2gziS/gAAAOEBAAATAAAAAAAA&#10;AAAAAAAAAAAAAABbQ29udGVudF9UeXBlc10ueG1sUEsBAi0AFAAGAAgAAAAhADj9If/WAAAAlAEA&#10;AAsAAAAAAAAAAAAAAAAALwEAAF9yZWxzLy5yZWxzUEsBAi0AFAAGAAgAAAAhALlGljHSAQAAhgMA&#10;AA4AAAAAAAAAAAAAAAAALgIAAGRycy9lMm9Eb2MueG1sUEsBAi0AFAAGAAgAAAAhAM8nD57cAAAA&#10;DgEAAA8AAAAAAAAAAAAAAAAALAQAAGRycy9kb3ducmV2LnhtbFBLBQYAAAAABAAEAPMAAAA1BQAA&#10;AAA=&#10;" strokecolor="#007994" strokeweight=".5pt">
                <w10:wrap anchorx="page" anchory="page"/>
              </v:line>
            </w:pict>
          </mc:Fallback>
        </mc:AlternateContent>
      </w:r>
      <w:r w:rsidR="00083242" w:rsidRPr="00960BAA">
        <w:rPr>
          <w:rFonts w:ascii="Tahoma" w:eastAsia="Tahoma" w:hAnsi="Tahoma" w:cs="Tahoma"/>
          <w:i/>
          <w:color w:val="007994"/>
          <w:spacing w:val="-3"/>
          <w:sz w:val="21"/>
          <w:szCs w:val="21"/>
        </w:rPr>
        <w:t>Behavioural Insights Team</w:t>
      </w:r>
      <w:r w:rsidR="00083242" w:rsidRPr="00960BAA">
        <w:rPr>
          <w:rFonts w:ascii="Tahoma" w:eastAsia="Tahoma" w:hAnsi="Tahoma" w:cs="Tahoma"/>
          <w:i/>
          <w:color w:val="007994"/>
          <w:spacing w:val="-3"/>
          <w:sz w:val="21"/>
          <w:szCs w:val="21"/>
          <w:vertAlign w:val="superscript"/>
        </w:rPr>
        <w:t>5</w:t>
      </w:r>
      <w:r w:rsidR="00083242">
        <w:rPr>
          <w:rFonts w:ascii="Tahoma" w:eastAsia="Tahoma" w:hAnsi="Tahoma"/>
          <w:i/>
          <w:color w:val="007994"/>
          <w:spacing w:val="-3"/>
          <w:sz w:val="21"/>
          <w:vertAlign w:val="superscript"/>
        </w:rPr>
        <w:t>4</w:t>
      </w:r>
      <w:r w:rsidR="00083242">
        <w:rPr>
          <w:rFonts w:ascii="Tahoma" w:eastAsia="Tahoma" w:hAnsi="Tahoma"/>
          <w:i/>
          <w:color w:val="007994"/>
          <w:spacing w:val="-3"/>
          <w:sz w:val="13"/>
        </w:rPr>
        <w:t xml:space="preserve"> </w:t>
      </w:r>
    </w:p>
    <w:p w14:paraId="3B5DC5EC" w14:textId="77777777" w:rsidR="00960BAA" w:rsidRDefault="00960BAA">
      <w:pPr>
        <w:spacing w:before="26" w:line="173" w:lineRule="exact"/>
        <w:ind w:left="864"/>
        <w:textAlignment w:val="baseline"/>
        <w:rPr>
          <w:rFonts w:ascii="Tahoma" w:eastAsia="Tahoma" w:hAnsi="Tahoma"/>
          <w:color w:val="404042"/>
          <w:spacing w:val="-4"/>
          <w:sz w:val="14"/>
        </w:rPr>
      </w:pPr>
    </w:p>
    <w:p w14:paraId="740A1648" w14:textId="77777777" w:rsidR="00960BAA" w:rsidRDefault="00960BAA">
      <w:pPr>
        <w:spacing w:before="26" w:line="173" w:lineRule="exact"/>
        <w:ind w:left="864"/>
        <w:textAlignment w:val="baseline"/>
        <w:rPr>
          <w:rFonts w:ascii="Tahoma" w:eastAsia="Tahoma" w:hAnsi="Tahoma"/>
          <w:color w:val="404042"/>
          <w:spacing w:val="-4"/>
          <w:sz w:val="14"/>
        </w:rPr>
      </w:pPr>
    </w:p>
    <w:p w14:paraId="709F9D4A" w14:textId="77777777" w:rsidR="00960BAA" w:rsidRDefault="00960BAA">
      <w:pPr>
        <w:spacing w:before="26" w:line="173" w:lineRule="exact"/>
        <w:ind w:left="864"/>
        <w:textAlignment w:val="baseline"/>
        <w:rPr>
          <w:rFonts w:ascii="Tahoma" w:eastAsia="Tahoma" w:hAnsi="Tahoma"/>
          <w:color w:val="404042"/>
          <w:spacing w:val="-4"/>
          <w:sz w:val="14"/>
        </w:rPr>
      </w:pPr>
    </w:p>
    <w:p w14:paraId="6CB52654" w14:textId="77777777" w:rsidR="00960BAA" w:rsidRDefault="00960BAA">
      <w:pPr>
        <w:spacing w:before="26" w:line="173" w:lineRule="exact"/>
        <w:ind w:left="864"/>
        <w:textAlignment w:val="baseline"/>
        <w:rPr>
          <w:rFonts w:ascii="Tahoma" w:eastAsia="Tahoma" w:hAnsi="Tahoma"/>
          <w:color w:val="404042"/>
          <w:spacing w:val="-4"/>
          <w:sz w:val="14"/>
        </w:rPr>
      </w:pPr>
    </w:p>
    <w:p w14:paraId="2C520E99" w14:textId="77777777" w:rsidR="00960BAA" w:rsidRDefault="00960BAA">
      <w:pPr>
        <w:spacing w:before="26" w:line="173" w:lineRule="exact"/>
        <w:ind w:left="864"/>
        <w:textAlignment w:val="baseline"/>
        <w:rPr>
          <w:rFonts w:ascii="Tahoma" w:eastAsia="Tahoma" w:hAnsi="Tahoma"/>
          <w:color w:val="404042"/>
          <w:spacing w:val="-4"/>
          <w:sz w:val="14"/>
        </w:rPr>
      </w:pPr>
    </w:p>
    <w:p w14:paraId="1484024C" w14:textId="77777777" w:rsidR="00960BAA" w:rsidRDefault="00960BAA">
      <w:pPr>
        <w:spacing w:before="26" w:line="173" w:lineRule="exact"/>
        <w:ind w:left="864"/>
        <w:textAlignment w:val="baseline"/>
        <w:rPr>
          <w:rFonts w:ascii="Tahoma" w:eastAsia="Tahoma" w:hAnsi="Tahoma"/>
          <w:color w:val="404042"/>
          <w:spacing w:val="-4"/>
          <w:sz w:val="14"/>
        </w:rPr>
      </w:pPr>
    </w:p>
    <w:p w14:paraId="1457564E" w14:textId="77777777" w:rsidR="00960BAA" w:rsidRDefault="00960BAA">
      <w:pPr>
        <w:spacing w:before="26" w:line="173" w:lineRule="exact"/>
        <w:ind w:left="864"/>
        <w:textAlignment w:val="baseline"/>
        <w:rPr>
          <w:rFonts w:ascii="Tahoma" w:eastAsia="Tahoma" w:hAnsi="Tahoma"/>
          <w:color w:val="404042"/>
          <w:spacing w:val="-4"/>
          <w:sz w:val="14"/>
        </w:rPr>
      </w:pPr>
    </w:p>
    <w:p w14:paraId="32904EC8" w14:textId="77777777" w:rsidR="00960BAA" w:rsidRDefault="00960BAA">
      <w:pPr>
        <w:spacing w:before="26" w:line="173" w:lineRule="exact"/>
        <w:ind w:left="864"/>
        <w:textAlignment w:val="baseline"/>
        <w:rPr>
          <w:rFonts w:ascii="Tahoma" w:eastAsia="Tahoma" w:hAnsi="Tahoma"/>
          <w:color w:val="404042"/>
          <w:spacing w:val="-4"/>
          <w:sz w:val="14"/>
        </w:rPr>
      </w:pPr>
    </w:p>
    <w:p w14:paraId="4327E889" w14:textId="77777777" w:rsidR="00960BAA" w:rsidRDefault="00960BAA">
      <w:pPr>
        <w:spacing w:before="26" w:line="173" w:lineRule="exact"/>
        <w:ind w:left="864"/>
        <w:textAlignment w:val="baseline"/>
        <w:rPr>
          <w:rFonts w:ascii="Tahoma" w:eastAsia="Tahoma" w:hAnsi="Tahoma"/>
          <w:color w:val="404042"/>
          <w:spacing w:val="-4"/>
          <w:sz w:val="14"/>
        </w:rPr>
      </w:pPr>
    </w:p>
    <w:p w14:paraId="60A145E3" w14:textId="652B2499" w:rsidR="009757A9" w:rsidRDefault="000D2E34">
      <w:pPr>
        <w:spacing w:before="26" w:line="173" w:lineRule="exact"/>
        <w:ind w:left="864"/>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1861504" behindDoc="0" locked="0" layoutInCell="1" allowOverlap="1" wp14:anchorId="54CC8CEB" wp14:editId="4646ED5C">
                <wp:simplePos x="0" y="0"/>
                <wp:positionH relativeFrom="page">
                  <wp:posOffset>539750</wp:posOffset>
                </wp:positionH>
                <wp:positionV relativeFrom="page">
                  <wp:posOffset>8525510</wp:posOffset>
                </wp:positionV>
                <wp:extent cx="917575" cy="0"/>
                <wp:effectExtent l="0" t="0" r="0" b="0"/>
                <wp:wrapNone/>
                <wp:docPr id="835"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E5D5" id="Line 556" o:spid="_x0000_s1026" style="position:absolute;z-index:25186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71.3pt" to="114.75pt,6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fAzQEAAIYDAAAOAAAAZHJzL2Uyb0RvYy54bWysU8Fu2zAMvQ/YPwi6L3YyOO2MOD0k6y7Z&#10;FqDdBzCSHAuVRUFS4uTvR8lJ2m23oT4Iokg+Pj7Si4dTb9hR+aDRNnw6KTlTVqDUdt/wX8+Pn+45&#10;CxGsBINWNfysAn9YfvywGFytZtihkcozArGhHlzDuxhdXRRBdKqHMEGnLDlb9D1EMv2+kB4GQu9N&#10;MSvLeTGgl86jUCHQ63p08mXGb1sl4s+2DSoy03DiFvPp87lLZ7FcQL334DotLjTgP1j0oC0VvUGt&#10;IQI7eP0PVK+Fx4BtnAjsC2xbLVTugbqZln9189SBU7kXEie4m0zh/WDFj+PWMy0bfv+54sxCT0Pa&#10;aKtYVc2TOoMLNQWt7Nan/sTJPrkNipfALK46sHuVWT6fHSVOU0bxR0oygqMau+E7SoqBQ8Qs1an1&#10;fYIkEdgpT+R8m4g6RSbo8cv0rrojXuLqKqC+5jkf4jeFPUuXhhsinXHhuAkx8YD6GpLKWHzUxuR5&#10;G8sGIjsr51XOCGi0TN4UF/x+tzKeHSGtTP5yV+R5G5ag1xC6MS67xmXyeLAyl+kUyK+XewRtxjvR&#10;MvaiUhJmlHiH8rz1V/Vo2Jn/ZTHTNr21c/br77P8DQAA//8DAFBLAwQUAAYACAAAACEAyQ+tkuAA&#10;AAAMAQAADwAAAGRycy9kb3ducmV2LnhtbEyPwU7DMBBE70j8g7WVuKDWIaRVCHEqVAluoNIW0aMb&#10;b5OIeB3FbhP+nuWA6HFnRzNv8uVoW3HG3jeOFNzNIhBIpTMNVQp22+dpCsIHTUa3jlDBN3pYFtdX&#10;uc6MG+gdz5tQCQ4hn2kFdQhdJqUva7Taz1yHxL+j660OfPaVNL0eONy2Mo6ihbS6IW6odYerGsuv&#10;zckqkDJKk/Hjc3hNbn3a7FfV/uVtrdTNZHx6BBFwDP9m+MVndCiY6eBOZLxoFaRznhJYv0/iBQh2&#10;xPHDHMThT5JFLi9HFD8AAAD//wMAUEsBAi0AFAAGAAgAAAAhALaDOJL+AAAA4QEAABMAAAAAAAAA&#10;AAAAAAAAAAAAAFtDb250ZW50X1R5cGVzXS54bWxQSwECLQAUAAYACAAAACEAOP0h/9YAAACUAQAA&#10;CwAAAAAAAAAAAAAAAAAvAQAAX3JlbHMvLnJlbHNQSwECLQAUAAYACAAAACEAFhlnwM0BAACGAwAA&#10;DgAAAAAAAAAAAAAAAAAuAgAAZHJzL2Uyb0RvYy54bWxQSwECLQAUAAYACAAAACEAyQ+tkuAAAAAM&#10;AQAADwAAAAAAAAAAAAAAAAAnBAAAZHJzL2Rvd25yZXYueG1sUEsFBgAAAAAEAAQA8wAAADQFAAAA&#10;AA==&#10;" strokeweight=".95pt">
                <w10:wrap anchorx="page" anchory="page"/>
              </v:line>
            </w:pict>
          </mc:Fallback>
        </mc:AlternateContent>
      </w:r>
      <w:r w:rsidR="00083242">
        <w:rPr>
          <w:rFonts w:ascii="Tahoma" w:eastAsia="Tahoma" w:hAnsi="Tahoma"/>
          <w:color w:val="404042"/>
          <w:spacing w:val="-4"/>
          <w:sz w:val="14"/>
        </w:rPr>
        <w:t xml:space="preserve">52 Mann, A., Rehill, J. and Kashefpakdel, E. (2018), </w:t>
      </w:r>
      <w:r w:rsidR="00083242">
        <w:rPr>
          <w:rFonts w:ascii="Verdana" w:eastAsia="Verdana" w:hAnsi="Verdana"/>
          <w:i/>
          <w:color w:val="404042"/>
          <w:spacing w:val="-4"/>
          <w:sz w:val="14"/>
        </w:rPr>
        <w:t>Employer Engagement in Education: Insights from international evidence for effective practice and future</w:t>
      </w:r>
    </w:p>
    <w:p w14:paraId="2602EEEE" w14:textId="77777777" w:rsidR="009757A9" w:rsidRDefault="00083242">
      <w:pPr>
        <w:spacing w:before="1" w:line="199" w:lineRule="exact"/>
        <w:ind w:left="1080" w:right="1008"/>
        <w:jc w:val="both"/>
        <w:textAlignment w:val="baseline"/>
        <w:rPr>
          <w:rFonts w:ascii="Arial" w:eastAsia="Arial" w:hAnsi="Arial"/>
          <w:i/>
          <w:color w:val="404042"/>
          <w:sz w:val="14"/>
        </w:rPr>
      </w:pPr>
      <w:r>
        <w:rPr>
          <w:rFonts w:ascii="Arial" w:eastAsia="Arial" w:hAnsi="Arial"/>
          <w:i/>
          <w:color w:val="404042"/>
          <w:sz w:val="14"/>
        </w:rPr>
        <w:t>research</w:t>
      </w:r>
      <w:r>
        <w:rPr>
          <w:rFonts w:ascii="Tahoma" w:eastAsia="Tahoma" w:hAnsi="Tahoma"/>
          <w:color w:val="404042"/>
          <w:sz w:val="14"/>
        </w:rPr>
        <w:t xml:space="preserve">, Education and Employers Research, and Education Endowment Foundation, January 2018, p. 6, </w:t>
      </w:r>
      <w:hyperlink r:id="rId124">
        <w:r>
          <w:rPr>
            <w:rFonts w:ascii="Tahoma" w:eastAsia="Tahoma" w:hAnsi="Tahoma"/>
            <w:color w:val="0000FF"/>
            <w:sz w:val="14"/>
            <w:u w:val="single"/>
          </w:rPr>
          <w:t xml:space="preserve">https://educationendowmentfoundation. </w:t>
        </w:r>
      </w:hyperlink>
      <w:r>
        <w:rPr>
          <w:rFonts w:ascii="Verdana" w:eastAsia="Verdana" w:hAnsi="Verdana"/>
          <w:color w:val="0000FF"/>
          <w:sz w:val="14"/>
          <w:u w:val="single"/>
        </w:rPr>
        <w:t>org.uk/public/files/Employer_Engagement_in_Education.pdf</w:t>
      </w:r>
      <w:r>
        <w:rPr>
          <w:rFonts w:ascii="Tahoma" w:eastAsia="Tahoma" w:hAnsi="Tahoma"/>
          <w:color w:val="404042"/>
          <w:sz w:val="14"/>
        </w:rPr>
        <w:t>.</w:t>
      </w:r>
    </w:p>
    <w:p w14:paraId="5994F5A7" w14:textId="77777777" w:rsidR="009757A9" w:rsidRDefault="00083242">
      <w:pPr>
        <w:spacing w:before="9" w:line="199" w:lineRule="exact"/>
        <w:ind w:left="1080" w:right="936" w:hanging="216"/>
        <w:textAlignment w:val="baseline"/>
        <w:rPr>
          <w:rFonts w:ascii="Tahoma" w:eastAsia="Tahoma" w:hAnsi="Tahoma"/>
          <w:color w:val="404042"/>
          <w:sz w:val="14"/>
        </w:rPr>
      </w:pPr>
      <w:r>
        <w:rPr>
          <w:rFonts w:ascii="Tahoma" w:eastAsia="Tahoma" w:hAnsi="Tahoma"/>
          <w:color w:val="404042"/>
          <w:sz w:val="14"/>
        </w:rPr>
        <w:t>53</w:t>
      </w:r>
      <w:r>
        <w:rPr>
          <w:rFonts w:ascii="Tahoma" w:eastAsia="Tahoma" w:hAnsi="Tahoma"/>
          <w:color w:val="191919"/>
          <w:sz w:val="14"/>
        </w:rPr>
        <w:t xml:space="preserve"> PricewaterhouseCoopers (2017), </w:t>
      </w:r>
      <w:r>
        <w:rPr>
          <w:rFonts w:ascii="Arial" w:eastAsia="Arial" w:hAnsi="Arial"/>
          <w:i/>
          <w:color w:val="191919"/>
          <w:sz w:val="14"/>
        </w:rPr>
        <w:t>Career and Skills Pathways: Research into a whole-of-system approach to enhancing lifelong career support mechanisms for all Australians: Final report</w:t>
      </w:r>
      <w:r>
        <w:rPr>
          <w:rFonts w:ascii="Tahoma" w:eastAsia="Tahoma" w:hAnsi="Tahoma"/>
          <w:color w:val="191919"/>
          <w:sz w:val="14"/>
        </w:rPr>
        <w:t>, June 2017, p. 51,</w:t>
      </w:r>
      <w:r>
        <w:rPr>
          <w:rFonts w:ascii="Tahoma" w:eastAsia="Tahoma" w:hAnsi="Tahoma"/>
          <w:color w:val="404042"/>
          <w:sz w:val="14"/>
        </w:rPr>
        <w:t xml:space="preserve"> </w:t>
      </w:r>
      <w:hyperlink r:id="rId125">
        <w:r>
          <w:rPr>
            <w:rFonts w:ascii="Tahoma" w:eastAsia="Tahoma" w:hAnsi="Tahoma"/>
            <w:color w:val="0000FF"/>
            <w:sz w:val="14"/>
            <w:u w:val="single"/>
          </w:rPr>
          <w:t>https://cica.org.au/wp-content/uploads/Career-and-Skills-Pathways-Project-June-2017.pdf</w:t>
        </w:r>
      </w:hyperlink>
      <w:r>
        <w:rPr>
          <w:rFonts w:ascii="Tahoma" w:eastAsia="Tahoma" w:hAnsi="Tahoma"/>
          <w:color w:val="404042"/>
          <w:sz w:val="14"/>
        </w:rPr>
        <w:t>.</w:t>
      </w:r>
    </w:p>
    <w:p w14:paraId="42A0F5AA" w14:textId="77777777" w:rsidR="009757A9" w:rsidRDefault="00083242">
      <w:pPr>
        <w:spacing w:before="20" w:line="177" w:lineRule="exact"/>
        <w:ind w:left="864"/>
        <w:textAlignment w:val="baseline"/>
        <w:rPr>
          <w:rFonts w:ascii="Tahoma" w:eastAsia="Tahoma" w:hAnsi="Tahoma"/>
          <w:color w:val="404042"/>
          <w:sz w:val="14"/>
        </w:rPr>
      </w:pPr>
      <w:r>
        <w:rPr>
          <w:rFonts w:ascii="Tahoma" w:eastAsia="Tahoma" w:hAnsi="Tahoma"/>
          <w:color w:val="404042"/>
          <w:sz w:val="14"/>
        </w:rPr>
        <w:t xml:space="preserve">54 Behavioural Insights Team (2020), </w:t>
      </w:r>
      <w:r>
        <w:rPr>
          <w:rFonts w:ascii="Arial" w:eastAsia="Arial" w:hAnsi="Arial"/>
          <w:i/>
          <w:color w:val="404042"/>
          <w:sz w:val="14"/>
        </w:rPr>
        <w:t>Perceptions of Apprenticeships: Behavioural insights evidence review</w:t>
      </w:r>
      <w:r>
        <w:rPr>
          <w:rFonts w:ascii="Verdana" w:eastAsia="Verdana" w:hAnsi="Verdana"/>
          <w:color w:val="404042"/>
          <w:sz w:val="14"/>
        </w:rPr>
        <w:t>, unpublished report, p. 2.</w:t>
      </w:r>
    </w:p>
    <w:p w14:paraId="33FD471C" w14:textId="77777777" w:rsidR="009757A9" w:rsidRDefault="00083242">
      <w:pPr>
        <w:tabs>
          <w:tab w:val="left" w:pos="10872"/>
        </w:tabs>
        <w:spacing w:before="590" w:after="641" w:line="199" w:lineRule="exact"/>
        <w:ind w:left="7992"/>
        <w:textAlignment w:val="baseline"/>
        <w:rPr>
          <w:rFonts w:ascii="Tahoma" w:eastAsia="Tahoma" w:hAnsi="Tahoma"/>
          <w:color w:val="404042"/>
          <w:sz w:val="14"/>
        </w:rPr>
      </w:pPr>
      <w:r>
        <w:rPr>
          <w:rFonts w:ascii="Tahoma" w:eastAsia="Tahoma" w:hAnsi="Tahoma"/>
          <w:color w:val="404042"/>
          <w:sz w:val="14"/>
        </w:rPr>
        <w:t>Chapter 2: Exercising informed choice</w:t>
      </w:r>
      <w:r>
        <w:rPr>
          <w:rFonts w:ascii="Arial" w:eastAsia="Arial" w:hAnsi="Arial"/>
          <w:b/>
          <w:color w:val="5556A1"/>
          <w:sz w:val="18"/>
        </w:rPr>
        <w:tab/>
        <w:t>57</w:t>
      </w:r>
    </w:p>
    <w:p w14:paraId="169DDA89" w14:textId="77777777" w:rsidR="009757A9" w:rsidRDefault="00083242">
      <w:pPr>
        <w:textAlignment w:val="baseline"/>
      </w:pPr>
      <w:r>
        <w:rPr>
          <w:noProof/>
          <w:lang w:val="en-AU" w:eastAsia="en-AU"/>
        </w:rPr>
        <w:drawing>
          <wp:inline distT="0" distB="0" distL="0" distR="0" wp14:anchorId="2A0CC208" wp14:editId="392D0076">
            <wp:extent cx="7562215" cy="462915"/>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4" name="Picture"/>
                    <pic:cNvPicPr preferRelativeResize="0"/>
                  </pic:nvPicPr>
                  <pic:blipFill>
                    <a:blip r:embed="rId126"/>
                    <a:stretch>
                      <a:fillRect/>
                    </a:stretch>
                  </pic:blipFill>
                  <pic:spPr>
                    <a:xfrm>
                      <a:off x="0" y="0"/>
                      <a:ext cx="7562215" cy="462915"/>
                    </a:xfrm>
                    <a:prstGeom prst="rect">
                      <a:avLst/>
                    </a:prstGeom>
                  </pic:spPr>
                </pic:pic>
              </a:graphicData>
            </a:graphic>
          </wp:inline>
        </w:drawing>
      </w:r>
    </w:p>
    <w:p w14:paraId="40D579AF" w14:textId="77777777" w:rsidR="009757A9" w:rsidRDefault="009757A9">
      <w:pPr>
        <w:sectPr w:rsidR="009757A9">
          <w:pgSz w:w="11909" w:h="16838"/>
          <w:pgMar w:top="1080" w:right="0" w:bottom="0" w:left="0" w:header="720" w:footer="720" w:gutter="0"/>
          <w:cols w:space="720"/>
        </w:sectPr>
      </w:pPr>
    </w:p>
    <w:p w14:paraId="58AA0617" w14:textId="51865E3B"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02752" behindDoc="1" locked="0" layoutInCell="1" allowOverlap="1" wp14:anchorId="1EDB5650" wp14:editId="2AD9D660">
                <wp:simplePos x="0" y="0"/>
                <wp:positionH relativeFrom="page">
                  <wp:posOffset>0</wp:posOffset>
                </wp:positionH>
                <wp:positionV relativeFrom="page">
                  <wp:posOffset>5227320</wp:posOffset>
                </wp:positionV>
                <wp:extent cx="7562215" cy="505460"/>
                <wp:effectExtent l="0" t="0" r="0" b="0"/>
                <wp:wrapSquare wrapText="bothSides"/>
                <wp:docPr id="820"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B1930"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B5650" id="Text Box 541" o:spid="_x0000_s1097" type="#_x0000_t202" style="position:absolute;margin-left:0;margin-top:411.6pt;width:595.45pt;height:39.8pt;z-index:-251913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di7wEAAMIDAAAOAAAAZHJzL2Uyb0RvYy54bWysU8Fu2zAMvQ/YPwi6L3aMOi2MOEXXosOA&#10;bivQ7gNkWbaF2aJGKbGzrx8lx1m33opdBIqint57pLbX09Czg0KnwZR8vUo5U0ZCrU1b8u/P9x+u&#10;OHNemFr0YFTJj8rx6937d9vRFiqDDvpaISMQ44rRlrzz3hZJ4mSnBuFWYJWhwwZwEJ622CY1ipHQ&#10;hz7J0nSTjIC1RZDKOcrezYd8F/GbRkn/rWmc8qwvOXHzccW4VmFNdltRtChsp+WJhngDi0FoQ4+e&#10;oe6EF2yP+hXUoCWCg8avJAwJNI2WKmogNev0HzVPnbAqaiFznD3b5P4frPx6eESm65JfZeSPEQM1&#10;6VlNnn2EieUX6+DQaF1BhU+WSv1EB9TpqNbZB5A/HDNw2wnTqhtEGDslamIYbyYvrs44LoBU4xeo&#10;6SGx9xCBpgaHYB8ZwgidmBzP3QlkJCUv802WrXPOJJ3laX6xie1LRLHctuj8JwUDC0HJkbof0cXh&#10;wXnSQaVLSXjMwL3u+zgBvfkrQYUhE9kHwjN1P1VTtOry7EoF9ZH0IMyDRR+Bgg7wF2cjDVXJ3c+9&#10;QMVZ/9mQJ2EClwCXoFoCYSRdLbnnbA5v/Type4u67Qh5dt3ADfnW6CgpGDyzOPGlQYlKT0MdJvHl&#10;Plb9+Xq73wAAAP//AwBQSwMEFAAGAAgAAAAhACtFqfjeAAAACQEAAA8AAABkcnMvZG93bnJldi54&#10;bWxMj8FOwzAQRO9I/IO1SNyo3SBVScimqhCckBBpOHB04m0SNV6H2G3D3+Oe4Dia0cybYrvYUZxp&#10;9oNjhPVKgSBunRm4Q/isXx9SED5oNnp0TAg/5GFb3t4UOjfuwhWd96ETsYR9rhH6EKZcSt/2ZLVf&#10;uYk4egc3Wx2inDtpZn2J5XaUiVIbafXAcaHXEz331B73J4uw++LqZfh+bz6qQzXUdab4bXNEvL9b&#10;dk8gAi3hLwxX/IgOZWRq3ImNFyNCPBIQ0uQxAXG115nKQDQImUpSkGUh/z8ofwEAAP//AwBQSwEC&#10;LQAUAAYACAAAACEAtoM4kv4AAADhAQAAEwAAAAAAAAAAAAAAAAAAAAAAW0NvbnRlbnRfVHlwZXNd&#10;LnhtbFBLAQItABQABgAIAAAAIQA4/SH/1gAAAJQBAAALAAAAAAAAAAAAAAAAAC8BAABfcmVscy8u&#10;cmVsc1BLAQItABQABgAIAAAAIQCZSLdi7wEAAMIDAAAOAAAAAAAAAAAAAAAAAC4CAABkcnMvZTJv&#10;RG9jLnhtbFBLAQItABQABgAIAAAAIQArRan43gAAAAkBAAAPAAAAAAAAAAAAAAAAAEkEAABkcnMv&#10;ZG93bnJldi54bWxQSwUGAAAAAAQABADzAAAAVAUAAAAA&#10;" filled="f" stroked="f">
                <v:textbox inset="0,0,0,0">
                  <w:txbxContent>
                    <w:p w14:paraId="1D9B1930"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403776" behindDoc="1" locked="0" layoutInCell="1" allowOverlap="1" wp14:anchorId="74ADDF19" wp14:editId="4D54B0FA">
                <wp:simplePos x="0" y="0"/>
                <wp:positionH relativeFrom="page">
                  <wp:posOffset>0</wp:posOffset>
                </wp:positionH>
                <wp:positionV relativeFrom="page">
                  <wp:posOffset>5732780</wp:posOffset>
                </wp:positionV>
                <wp:extent cx="7562215" cy="1160780"/>
                <wp:effectExtent l="0" t="0" r="0" b="0"/>
                <wp:wrapSquare wrapText="bothSides"/>
                <wp:docPr id="819"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16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E22EF" w14:textId="77777777" w:rsidR="00490F33" w:rsidRDefault="00490F33">
                            <w:pPr>
                              <w:spacing w:before="102" w:line="299" w:lineRule="exact"/>
                              <w:ind w:left="1296" w:right="1656"/>
                              <w:jc w:val="both"/>
                              <w:textAlignment w:val="baseline"/>
                              <w:rPr>
                                <w:rFonts w:ascii="Verdana" w:eastAsia="Verdana" w:hAnsi="Verdana"/>
                                <w:i/>
                                <w:color w:val="007994"/>
                                <w:sz w:val="19"/>
                              </w:rPr>
                            </w:pPr>
                            <w:r>
                              <w:rPr>
                                <w:rFonts w:ascii="Verdana" w:eastAsia="Verdana" w:hAnsi="Verdana"/>
                                <w:i/>
                                <w:color w:val="007994"/>
                                <w:sz w:val="19"/>
                              </w:rPr>
                              <w:t xml:space="preserve">“Research has found parents and other family members have the most significant influence on </w:t>
                            </w:r>
                            <w:r>
                              <w:rPr>
                                <w:rFonts w:ascii="Tahoma" w:eastAsia="Tahoma" w:hAnsi="Tahoma"/>
                                <w:i/>
                                <w:color w:val="007994"/>
                                <w:sz w:val="21"/>
                              </w:rPr>
                              <w:t>school students’ career aspirations, and on their subject choices. They tend to shape students’ ideas, raise or lower their ambitions and push them in certain directions.”</w:t>
                            </w:r>
                          </w:p>
                          <w:p w14:paraId="735EED82" w14:textId="77777777" w:rsidR="00490F33" w:rsidRDefault="00490F33">
                            <w:pPr>
                              <w:spacing w:after="226" w:line="295" w:lineRule="exact"/>
                              <w:ind w:left="5976" w:right="1656" w:hanging="1584"/>
                              <w:jc w:val="both"/>
                              <w:textAlignment w:val="baseline"/>
                              <w:rPr>
                                <w:rFonts w:ascii="Tahoma" w:eastAsia="Tahoma" w:hAnsi="Tahoma"/>
                                <w:i/>
                                <w:color w:val="007994"/>
                                <w:sz w:val="21"/>
                              </w:rPr>
                            </w:pPr>
                            <w:r>
                              <w:rPr>
                                <w:rFonts w:ascii="Tahoma" w:eastAsia="Tahoma" w:hAnsi="Tahoma"/>
                                <w:i/>
                                <w:color w:val="007994"/>
                                <w:sz w:val="21"/>
                              </w:rPr>
                              <w:t>National Career Education Strategy Working Group, quoted in Catholic School Parents Australia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DDF19" id="Text Box 540" o:spid="_x0000_s1098" type="#_x0000_t202" style="position:absolute;margin-left:0;margin-top:451.4pt;width:595.45pt;height:91.4pt;z-index:-251912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0a8gEAAMMDAAAOAAAAZHJzL2Uyb0RvYy54bWysU9tu2zAMfR+wfxD0vjgOlsuMOEXXosOA&#10;7gK0+wBGlmNhtqhRSuzs60fJSdqtb8VeBIqijs45pNZXQ9eKgyZv0JYyn0yl0FZhZeyulD8e796t&#10;pPABbAUtWl3Ko/byavP2zbp3hZ5hg22lSTCI9UXvStmE4Ios86rRHfgJOm35sEbqIPCWdllF0DN6&#10;12az6XSR9UiVI1Tae87ejodyk/DrWqvwra69DqItJXMLaaW0buOabdZQ7AhcY9SJBryCRQfG8qMX&#10;qFsIIPZkXkB1RhF6rMNEYZdhXRulkwZWk0//UfPQgNNJC5vj3cUm//9g1dfDdxKmKuUq/yCFhY6b&#10;9KiHID7iIObvk0O98wUXPjguDQMfcKeTWu/uUf30wuJNA3anr4mwbzRUzDCP3mbPrsae+MJHkG3/&#10;BSt+CPYBE9BQUxftY0MEo3OnjpfuRDKKk8v5YjbL51IoPsvzxXS5SuwyKM7XHfnwSWMnYlBK4vYn&#10;eDjc+xDpQHEuia9ZvDNtm0agtX8luDBmEv3IeOQehu2QvFrOorgoZ4vVkQURjpPFP4GDBum3FD1P&#10;VSn9rz2QlqL9bNmUOILngM7B9hyAVXy1lEGKMbwJ46juHZldw8ij7Rav2bjaJElPLE58eVKS0tNU&#10;x1F8vk9VT39v8wcAAP//AwBQSwMEFAAGAAgAAAAhAGeV89/fAAAACgEAAA8AAABkcnMvZG93bnJl&#10;di54bWxMj8FOwzAMhu9Ie4fISNxYsklUa2k6TROckBBdOXBMW6+N1jilybby9ngnuNn6rd/fl29n&#10;N4gLTsF60rBaKhBIjW8tdRo+q9fHDYgQDbVm8IQafjDAtljc5SZr/ZVKvBxiJ7iEQmY09DGOmZSh&#10;6dGZsPQjEmdHPzkTeZ062U7myuVukGulEumMJf7QmxH3PTanw9lp2H1R+WK/3+uP8ljaqkoVvSUn&#10;rR/u590ziIhz/DuGGz6jQ8FMtT9TG8SggUWihlStWeAWr1KVgqh5UpunBGSRy/8KxS8AAAD//wMA&#10;UEsBAi0AFAAGAAgAAAAhALaDOJL+AAAA4QEAABMAAAAAAAAAAAAAAAAAAAAAAFtDb250ZW50X1R5&#10;cGVzXS54bWxQSwECLQAUAAYACAAAACEAOP0h/9YAAACUAQAACwAAAAAAAAAAAAAAAAAvAQAAX3Jl&#10;bHMvLnJlbHNQSwECLQAUAAYACAAAACEAZT8dGvIBAADDAwAADgAAAAAAAAAAAAAAAAAuAgAAZHJz&#10;L2Uyb0RvYy54bWxQSwECLQAUAAYACAAAACEAZ5Xz398AAAAKAQAADwAAAAAAAAAAAAAAAABMBAAA&#10;ZHJzL2Rvd25yZXYueG1sUEsFBgAAAAAEAAQA8wAAAFgFAAAAAA==&#10;" filled="f" stroked="f">
                <v:textbox inset="0,0,0,0">
                  <w:txbxContent>
                    <w:p w14:paraId="020E22EF" w14:textId="77777777" w:rsidR="00490F33" w:rsidRDefault="00490F33">
                      <w:pPr>
                        <w:spacing w:before="102" w:line="299" w:lineRule="exact"/>
                        <w:ind w:left="1296" w:right="1656"/>
                        <w:jc w:val="both"/>
                        <w:textAlignment w:val="baseline"/>
                        <w:rPr>
                          <w:rFonts w:ascii="Verdana" w:eastAsia="Verdana" w:hAnsi="Verdana"/>
                          <w:i/>
                          <w:color w:val="007994"/>
                          <w:sz w:val="19"/>
                        </w:rPr>
                      </w:pPr>
                      <w:r>
                        <w:rPr>
                          <w:rFonts w:ascii="Verdana" w:eastAsia="Verdana" w:hAnsi="Verdana"/>
                          <w:i/>
                          <w:color w:val="007994"/>
                          <w:sz w:val="19"/>
                        </w:rPr>
                        <w:t xml:space="preserve">“Research has found parents and other family members have the most significant influence on </w:t>
                      </w:r>
                      <w:r>
                        <w:rPr>
                          <w:rFonts w:ascii="Tahoma" w:eastAsia="Tahoma" w:hAnsi="Tahoma"/>
                          <w:i/>
                          <w:color w:val="007994"/>
                          <w:sz w:val="21"/>
                        </w:rPr>
                        <w:t>school students’ career aspirations, and on their subject choices. They tend to shape students’ ideas, raise or lower their ambitions and push them in certain directions.”</w:t>
                      </w:r>
                    </w:p>
                    <w:p w14:paraId="735EED82" w14:textId="77777777" w:rsidR="00490F33" w:rsidRDefault="00490F33">
                      <w:pPr>
                        <w:spacing w:after="226" w:line="295" w:lineRule="exact"/>
                        <w:ind w:left="5976" w:right="1656" w:hanging="1584"/>
                        <w:jc w:val="both"/>
                        <w:textAlignment w:val="baseline"/>
                        <w:rPr>
                          <w:rFonts w:ascii="Tahoma" w:eastAsia="Tahoma" w:hAnsi="Tahoma"/>
                          <w:i/>
                          <w:color w:val="007994"/>
                          <w:sz w:val="21"/>
                        </w:rPr>
                      </w:pPr>
                      <w:r>
                        <w:rPr>
                          <w:rFonts w:ascii="Tahoma" w:eastAsia="Tahoma" w:hAnsi="Tahoma"/>
                          <w:i/>
                          <w:color w:val="007994"/>
                          <w:sz w:val="21"/>
                        </w:rPr>
                        <w:t>National Career Education Strategy Working Group, quoted in Catholic School Parents Australia submission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04800" behindDoc="1" locked="0" layoutInCell="1" allowOverlap="1" wp14:anchorId="45163A11" wp14:editId="12025077">
                <wp:simplePos x="0" y="0"/>
                <wp:positionH relativeFrom="page">
                  <wp:posOffset>0</wp:posOffset>
                </wp:positionH>
                <wp:positionV relativeFrom="page">
                  <wp:posOffset>6893560</wp:posOffset>
                </wp:positionV>
                <wp:extent cx="7562215" cy="2133600"/>
                <wp:effectExtent l="0" t="0" r="0" b="0"/>
                <wp:wrapSquare wrapText="bothSides"/>
                <wp:docPr id="818" name="Text Box 539" descr="Graphic illustrating where youth get their most trustworthy career advice. Parents/caregivers 48%, Web search 42.7%, Friends 32%, Career advisor 25.5%, Big brother/sister 16.7%, Social media 14.8%.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8FF23" w14:textId="77777777" w:rsidR="00490F33" w:rsidRDefault="00490F33">
                            <w:pPr>
                              <w:spacing w:before="467" w:after="1929" w:line="240" w:lineRule="exact"/>
                              <w:ind w:left="792" w:right="864"/>
                              <w:textAlignment w:val="baseline"/>
                              <w:rPr>
                                <w:rFonts w:ascii="Tahoma" w:eastAsia="Tahoma" w:hAnsi="Tahoma"/>
                                <w:color w:val="404042"/>
                                <w:sz w:val="18"/>
                              </w:rPr>
                            </w:pPr>
                            <w:r>
                              <w:rPr>
                                <w:rFonts w:ascii="Tahoma" w:eastAsia="Tahoma" w:hAnsi="Tahoma"/>
                                <w:color w:val="404042"/>
                                <w:sz w:val="18"/>
                              </w:rPr>
                              <w:t>Informal career guidance provided by family influencers and friends is generally limited by the person’s own values and assumptions. Such influencers often possess limited understanding of the labour market and how it is likely to develop. This can undermine the decisions of young people or lead them to work towards options that might align neither with their skills and passions nor the future needs of the workforce.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63A11" id="Text Box 539" o:spid="_x0000_s1099" type="#_x0000_t202" alt="Graphic illustrating where youth get their most trustworthy career advice. Parents/caregivers 48%, Web search 42.7%, Friends 32%, Career advisor 25.5%, Big brother/sister 16.7%, Social media 14.8%. " style="position:absolute;margin-left:0;margin-top:542.8pt;width:595.45pt;height:168pt;z-index:-25191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fwdgIAAJIEAAAOAAAAZHJzL2Uyb0RvYy54bWysVE1v2zAMvQ/YfyAE9LbZsdOkWVCn6Ada&#10;DOi2Au2wsyLLtjBb9CgldvbrRylJ2223YReDosQnvvcon1+MXQtbTc6gLUSWTARoq7A0ti7E16fb&#10;9wsBzktbyhatLsROO3GxevvmfOiXOscG21ITMIh1y6EvRON9v0xTpxrdSZdgry1vVkid9LykOi1J&#10;DozetWk+mczTAansCZV2jrM3+02xivhVpZX/UlVOe2gLwb35+KX4XYdvujqXy5pk3xh1aEP+Qxed&#10;NJYvfYa6kV7ChsxfUJ1RhA4rnyjsUqwqo3TkwGyyyR9sHhvZ68iFxXH9s0zu/8Gqz9sHAlMWYpGx&#10;VVZ2bNKTHj1c4Qiz6QcBpXaKFbs7iGTaduM8Sc9yw9Bo0rDDjW+gZpV9ow1Bh45D4mPsjm92oCRp&#10;tlmWW6abwAMvrXdpSNcmTA+cLk7ewTe9BqclqQZO8+SMM7dktC0dTHNeXL+gOCTIZ8mMs1emhjUh&#10;30ypM87zPdk8Fj+iMrKFTpdGQnaaLE4SCIYPvVsy78eemfuRefLgRvNcf4/quwOL1420tb4kQmYo&#10;SxY8C5Xpq9I9jgsg6+ETlqyb3HiMQGNFXZgG9hcYnQdv9zxsQVvFybPZPM+zmQDFe3k2nc4ncRxT&#10;uTyW9+T8ncYOQlAI4mmO8HJ773xoRy6PR8JtFm/ZnDjRrf0twQdDJrYfOt737sf1GK0/mx5lWWO5&#10;Y0IsZ+yareGgQfopYGD/C+F+bNgFAe1Hy6KEF3UM6Bisj4G0iksL4QXsw2u/f3mbnkzdMPJedouX&#10;LFxlIqWg8L6LQ788+JHp4ZGGl/V6HU+9/EpWvwAAAP//AwBQSwMEFAAGAAgAAAAhAOwP9u/gAAAA&#10;CwEAAA8AAABkcnMvZG93bnJldi54bWxMj8FOwzAQRO9I/IO1SNyonYpGTYhTVQhOSIg0HDg6sZtY&#10;jdchdtvw992e6G13ZzT7ptjMbmAnMwXrUUKyEMAMtl5b7CR81+9Pa2AhKtRq8Ggk/JkAm/L+rlC5&#10;9meszGkXO0YhGHIloY9xzDkPbW+cCgs/GiRt7yenIq1Tx/WkzhTuBr4UIuVOWaQPvRrNa2/aw+7o&#10;JGx/sHqzv5/NV7WvbF1nAj/Sg5SPD/P2BVg0c/w3wxWf0KEkpsYfUQc2SKAika5ivUqBXfUkExmw&#10;hqbnZZICLwt+26G8AAAA//8DAFBLAQItABQABgAIAAAAIQC2gziS/gAAAOEBAAATAAAAAAAAAAAA&#10;AAAAAAAAAABbQ29udGVudF9UeXBlc10ueG1sUEsBAi0AFAAGAAgAAAAhADj9If/WAAAAlAEAAAsA&#10;AAAAAAAAAAAAAAAALwEAAF9yZWxzLy5yZWxzUEsBAi0AFAAGAAgAAAAhALuRZ/B2AgAAkgQAAA4A&#10;AAAAAAAAAAAAAAAALgIAAGRycy9lMm9Eb2MueG1sUEsBAi0AFAAGAAgAAAAhAOwP9u/gAAAACwEA&#10;AA8AAAAAAAAAAAAAAAAA0AQAAGRycy9kb3ducmV2LnhtbFBLBQYAAAAABAAEAPMAAADdBQAAAAA=&#10;" filled="f" stroked="f">
                <v:textbox inset="0,0,0,0">
                  <w:txbxContent>
                    <w:p w14:paraId="43B8FF23" w14:textId="77777777" w:rsidR="00490F33" w:rsidRDefault="00490F33">
                      <w:pPr>
                        <w:spacing w:before="467" w:after="1929" w:line="240" w:lineRule="exact"/>
                        <w:ind w:left="792" w:right="864"/>
                        <w:textAlignment w:val="baseline"/>
                        <w:rPr>
                          <w:rFonts w:ascii="Tahoma" w:eastAsia="Tahoma" w:hAnsi="Tahoma"/>
                          <w:color w:val="404042"/>
                          <w:sz w:val="18"/>
                        </w:rPr>
                      </w:pPr>
                      <w:r>
                        <w:rPr>
                          <w:rFonts w:ascii="Tahoma" w:eastAsia="Tahoma" w:hAnsi="Tahoma"/>
                          <w:color w:val="404042"/>
                          <w:sz w:val="18"/>
                        </w:rPr>
                        <w:t>Informal career guidance provided by family influencers and friends is generally limited by the person’s own values and assumptions. Such influencers often possess limited understanding of the labour market and how it is likely to develop. This can undermine the decisions of young people or lead them to work towards options that might align neither with their skills and passions nor the future needs of the workforce.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05824" behindDoc="1" locked="0" layoutInCell="1" allowOverlap="1" wp14:anchorId="24ECB030" wp14:editId="272FF50F">
                <wp:simplePos x="0" y="0"/>
                <wp:positionH relativeFrom="page">
                  <wp:posOffset>0</wp:posOffset>
                </wp:positionH>
                <wp:positionV relativeFrom="page">
                  <wp:posOffset>9027160</wp:posOffset>
                </wp:positionV>
                <wp:extent cx="7562215" cy="1202055"/>
                <wp:effectExtent l="0" t="0" r="0" b="0"/>
                <wp:wrapSquare wrapText="bothSides"/>
                <wp:docPr id="817"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20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48AE7" w14:textId="77777777" w:rsidR="00490F33" w:rsidRDefault="00490F33">
                            <w:pPr>
                              <w:spacing w:before="54" w:line="197" w:lineRule="exact"/>
                              <w:ind w:left="1080" w:right="1008" w:hanging="288"/>
                              <w:textAlignment w:val="baseline"/>
                              <w:rPr>
                                <w:rFonts w:ascii="Tahoma" w:eastAsia="Tahoma" w:hAnsi="Tahoma"/>
                                <w:color w:val="404042"/>
                                <w:sz w:val="14"/>
                              </w:rPr>
                            </w:pPr>
                            <w:r>
                              <w:rPr>
                                <w:rFonts w:ascii="Tahoma" w:eastAsia="Tahoma" w:hAnsi="Tahoma"/>
                                <w:color w:val="404042"/>
                                <w:sz w:val="14"/>
                              </w:rPr>
                              <w:t xml:space="preserve">55 Career Industry Council of Australia and McCrindle (2017), ‘As key influencers, school career practitioners need more time to assist students make well-informed decisions’, media release, 21 June 2017, </w:t>
                            </w:r>
                            <w:hyperlink r:id="rId127">
                              <w:r>
                                <w:rPr>
                                  <w:rFonts w:ascii="Tahoma" w:eastAsia="Tahoma" w:hAnsi="Tahoma"/>
                                  <w:color w:val="0000FF"/>
                                  <w:sz w:val="14"/>
                                  <w:u w:val="single"/>
                                </w:rPr>
                                <w:t>https://cica.org.au/wp-content/uploads/CICA-Media-Release-21-June-2017.pdf</w:t>
                              </w:r>
                            </w:hyperlink>
                            <w:r>
                              <w:rPr>
                                <w:rFonts w:ascii="Tahoma" w:eastAsia="Tahoma" w:hAnsi="Tahoma"/>
                                <w:color w:val="404042"/>
                                <w:sz w:val="14"/>
                              </w:rPr>
                              <w:t>.</w:t>
                            </w:r>
                          </w:p>
                          <w:p w14:paraId="5A618A8C" w14:textId="77777777" w:rsidR="00490F33" w:rsidRDefault="00490F33">
                            <w:pPr>
                              <w:tabs>
                                <w:tab w:val="left" w:pos="1368"/>
                              </w:tabs>
                              <w:spacing w:before="590" w:after="628" w:line="217" w:lineRule="exact"/>
                              <w:ind w:left="792"/>
                              <w:textAlignment w:val="baseline"/>
                              <w:rPr>
                                <w:rFonts w:ascii="Arial" w:eastAsia="Arial" w:hAnsi="Arial"/>
                                <w:b/>
                                <w:color w:val="5556A1"/>
                                <w:spacing w:val="1"/>
                                <w:sz w:val="19"/>
                              </w:rPr>
                            </w:pPr>
                            <w:r>
                              <w:rPr>
                                <w:rFonts w:ascii="Arial" w:eastAsia="Arial" w:hAnsi="Arial"/>
                                <w:b/>
                                <w:color w:val="5556A1"/>
                                <w:spacing w:val="1"/>
                                <w:sz w:val="19"/>
                              </w:rPr>
                              <w:t>58</w:t>
                            </w:r>
                            <w:r>
                              <w:rPr>
                                <w:rFonts w:ascii="Tahoma" w:eastAsia="Tahoma" w:hAnsi="Tahoma"/>
                                <w:color w:val="404042"/>
                                <w:spacing w:val="1"/>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B030" id="Text Box 538" o:spid="_x0000_s1100" type="#_x0000_t202" style="position:absolute;margin-left:0;margin-top:710.8pt;width:595.45pt;height:94.65pt;z-index:-251910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tk8gEAAMMDAAAOAAAAZHJzL2Uyb0RvYy54bWysU9tu2zAMfR+wfxD0vviypQmMOEXXosOA&#10;bh3Q7gNkWbaF2aJGKbGzrx8lx1m3vQ17ESiSOjw8pHbX09Czo0KnwZQ8W6WcKSOh1qYt+dfn+zdb&#10;zpwXphY9GFXyk3L8ev/61W60hcqhg75WyAjEuGK0Je+8t0WSONmpQbgVWGUo2AAOwtMV26RGMRL6&#10;0Cd5ml4lI2BtEaRyjrx3c5DvI37TKOkfm8Ypz/qSEzcfT4xnFc5kvxNFi8J2Wp5piH9gMQhtqOgF&#10;6k54wQ6o/4IatERw0PiVhCGBptFSxR6omyz9o5unTlgVeyFxnL3I5P4frPx8/IJM1yXfZhvOjBho&#10;SM9q8uw9TGz9dhsUGq0rKPHJUqqfKECTjt06+wDym2MGbjthWnWDCGOnRE0Ms/AyefF0xnEBpBo/&#10;QU2FxMFDBJoaHIJ8JAgjdJrU6TKdQEaSc7O+yvNszZmkWJanebpexxqiWJ5bdP6DgoEFo+RI44/w&#10;4vjgfKAjiiUlVDNwr/s+rkBvfnNQYvBE+oHxzN1P1RS12rxbZKmgPlFDCPNm0U8gowP8wdlIW1Vy&#10;9/0gUHHWfzQkSljBxcDFqBZDGElPS+45m81bP6/qwaJuO0KeZTdwQ8I1OrYUFJ5ZnPnSpsROz1sd&#10;VvHlPWb9+nv7nwAAAP//AwBQSwMEFAAGAAgAAAAhAKwIkoPeAAAACwEAAA8AAABkcnMvZG93bnJl&#10;di54bWxMj0FPwzAMhe9I/IfISNxY0glVtDSdJgQnJETXHTimjddWa5zSZFv593gnuD37Wc/fKzaL&#10;G8UZ5zB40pCsFAik1tuBOg37+u3hCUSIhqwZPaGGHwywKW9vCpNbf6EKz7vYCQ6hkBsNfYxTLmVo&#10;e3QmrPyExN7Bz85EHudO2tlcONyNcq1UKp0ZiD/0ZsKXHtvj7uQ0bL+oeh2+P5rP6lANdZ0pek+P&#10;Wt/fLdtnEBGX+HcMV3xGh5KZGn8iG8SogYtE3j6ukxTE1U8ylYFoWKUJK1kW8n+H8hcAAP//AwBQ&#10;SwECLQAUAAYACAAAACEAtoM4kv4AAADhAQAAEwAAAAAAAAAAAAAAAAAAAAAAW0NvbnRlbnRfVHlw&#10;ZXNdLnhtbFBLAQItABQABgAIAAAAIQA4/SH/1gAAAJQBAAALAAAAAAAAAAAAAAAAAC8BAABfcmVs&#10;cy8ucmVsc1BLAQItABQABgAIAAAAIQAXpxtk8gEAAMMDAAAOAAAAAAAAAAAAAAAAAC4CAABkcnMv&#10;ZTJvRG9jLnhtbFBLAQItABQABgAIAAAAIQCsCJKD3gAAAAsBAAAPAAAAAAAAAAAAAAAAAEwEAABk&#10;cnMvZG93bnJldi54bWxQSwUGAAAAAAQABADzAAAAVwUAAAAA&#10;" filled="f" stroked="f">
                <v:textbox inset="0,0,0,0">
                  <w:txbxContent>
                    <w:p w14:paraId="24548AE7" w14:textId="77777777" w:rsidR="00490F33" w:rsidRDefault="00490F33">
                      <w:pPr>
                        <w:spacing w:before="54" w:line="197" w:lineRule="exact"/>
                        <w:ind w:left="1080" w:right="1008" w:hanging="288"/>
                        <w:textAlignment w:val="baseline"/>
                        <w:rPr>
                          <w:rFonts w:ascii="Tahoma" w:eastAsia="Tahoma" w:hAnsi="Tahoma"/>
                          <w:color w:val="404042"/>
                          <w:sz w:val="14"/>
                        </w:rPr>
                      </w:pPr>
                      <w:r>
                        <w:rPr>
                          <w:rFonts w:ascii="Tahoma" w:eastAsia="Tahoma" w:hAnsi="Tahoma"/>
                          <w:color w:val="404042"/>
                          <w:sz w:val="14"/>
                        </w:rPr>
                        <w:t xml:space="preserve">55 Career Industry Council of Australia and McCrindle (2017), ‘As key influencers, school career practitioners need more time to assist students make well-informed decisions’, media release, 21 June 2017, </w:t>
                      </w:r>
                      <w:hyperlink r:id="rId128">
                        <w:r>
                          <w:rPr>
                            <w:rFonts w:ascii="Tahoma" w:eastAsia="Tahoma" w:hAnsi="Tahoma"/>
                            <w:color w:val="0000FF"/>
                            <w:sz w:val="14"/>
                            <w:u w:val="single"/>
                          </w:rPr>
                          <w:t>https://cica.org.au/wp-content/uploads/CICA-Media-Release-21-June-2017.pdf</w:t>
                        </w:r>
                      </w:hyperlink>
                      <w:r>
                        <w:rPr>
                          <w:rFonts w:ascii="Tahoma" w:eastAsia="Tahoma" w:hAnsi="Tahoma"/>
                          <w:color w:val="404042"/>
                          <w:sz w:val="14"/>
                        </w:rPr>
                        <w:t>.</w:t>
                      </w:r>
                    </w:p>
                    <w:p w14:paraId="5A618A8C" w14:textId="77777777" w:rsidR="00490F33" w:rsidRDefault="00490F33">
                      <w:pPr>
                        <w:tabs>
                          <w:tab w:val="left" w:pos="1368"/>
                        </w:tabs>
                        <w:spacing w:before="590" w:after="628" w:line="217" w:lineRule="exact"/>
                        <w:ind w:left="792"/>
                        <w:textAlignment w:val="baseline"/>
                        <w:rPr>
                          <w:rFonts w:ascii="Arial" w:eastAsia="Arial" w:hAnsi="Arial"/>
                          <w:b/>
                          <w:color w:val="5556A1"/>
                          <w:spacing w:val="1"/>
                          <w:sz w:val="19"/>
                        </w:rPr>
                      </w:pPr>
                      <w:r>
                        <w:rPr>
                          <w:rFonts w:ascii="Arial" w:eastAsia="Arial" w:hAnsi="Arial"/>
                          <w:b/>
                          <w:color w:val="5556A1"/>
                          <w:spacing w:val="1"/>
                          <w:sz w:val="19"/>
                        </w:rPr>
                        <w:t>58</w:t>
                      </w:r>
                      <w:r>
                        <w:rPr>
                          <w:rFonts w:ascii="Tahoma" w:eastAsia="Tahoma" w:hAnsi="Tahoma"/>
                          <w:color w:val="404042"/>
                          <w:spacing w:val="1"/>
                          <w:sz w:val="14"/>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06848" behindDoc="1" locked="0" layoutInCell="1" allowOverlap="1" wp14:anchorId="75D91AB3" wp14:editId="24E229D8">
                <wp:simplePos x="0" y="0"/>
                <wp:positionH relativeFrom="page">
                  <wp:posOffset>0</wp:posOffset>
                </wp:positionH>
                <wp:positionV relativeFrom="page">
                  <wp:posOffset>10229215</wp:posOffset>
                </wp:positionV>
                <wp:extent cx="7562215" cy="462915"/>
                <wp:effectExtent l="0" t="0" r="0" b="0"/>
                <wp:wrapSquare wrapText="bothSides"/>
                <wp:docPr id="816"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28863" w14:textId="77777777" w:rsidR="00490F33" w:rsidRDefault="00490F33">
                            <w:pPr>
                              <w:textAlignment w:val="baseline"/>
                            </w:pPr>
                            <w:r>
                              <w:rPr>
                                <w:noProof/>
                                <w:lang w:val="en-AU" w:eastAsia="en-AU"/>
                              </w:rPr>
                              <w:drawing>
                                <wp:inline distT="0" distB="0" distL="0" distR="0" wp14:anchorId="594F5AC3" wp14:editId="5459CDBF">
                                  <wp:extent cx="7562215" cy="462915"/>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7" name="Picture"/>
                                          <pic:cNvPicPr preferRelativeResize="0"/>
                                        </pic:nvPicPr>
                                        <pic:blipFill>
                                          <a:blip r:embed="rId129"/>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91AB3" id="Text Box 537" o:spid="_x0000_s1101" type="#_x0000_t202" style="position:absolute;margin-left:0;margin-top:805.45pt;width:595.45pt;height:36.45pt;z-index:-251909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NwS7wEAAMIDAAAOAAAAZHJzL2Uyb0RvYy54bWysU8Fu2zAMvQ/YPwi6L06yJemMOEXXosOA&#10;rhvQ9gMYWY6F2aJGKbGzrx8lx2m33oZdBIqkHh8fqfVl3zbioMkbtIWcTaZSaKuwNHZXyKfH23cX&#10;UvgAtoQGrS7kUXt5uXn7Zt25XM+xxqbUJBjE+rxzhaxDcHmWeVXrFvwEnbYcrJBaCHylXVYSdIze&#10;Ntl8Ol1mHVLpCJX2nr03Q1BuEn5VaRW+VZXXQTSFZG4hnZTObTyzzRryHYGrjTrRgH9g0YKxXPQM&#10;dQMBxJ7MK6jWKEKPVZgobDOsKqN06oG7mU3/6uahBqdTLyyOd2eZ/P+DVfeH7yRMWciL2VIKCy0P&#10;6VH3QXzCXizer6JCnfM5Jz44Tg09B3jSqVvv7lD98MLidQ12p6+IsKs1lMxwFl9mL54OOD6CbLuv&#10;WHIh2AdMQH1FbZSPBRGMzpM6nqcTySh2rhbL+Xy2kEJx7MNy/pHtWALy8bUjHz5rbEU0Ckk8/YQO&#10;hzsfhtQxJRazeGuahv2QN/YPB2NGT2IfCQ/UQ7/tk1SrVDi2tsXyyP0QDovFH4GNGumXFB0vVSH9&#10;zz2QlqL5YlmTuIGjQaOxHQ2wip8WMkgxmNdh2NS9I7OrGXlQ3eIV61aZ1NIzixNfXpQkymmp4ya+&#10;vKes56+3+Q0AAP//AwBQSwMEFAAGAAgAAAAhADsG67/eAAAACwEAAA8AAABkcnMvZG93bnJldi54&#10;bWxMj0FPhDAQhe8m/odmTLy5LZoQQMpmY/RkYmTZg8dCZ6FZOkXa3cV/bznpbea9yZvvldvFjuyC&#10;szeOJCQbAQypc9pQL+HQvD1kwHxQpNXoCCX8oIdtdXtTqkK7K9V42YeexRDyhZIwhDAVnPtuQKv8&#10;xk1I0Tu62aoQ17nnelbXGG5H/ihEyq0yFD8MasKXAbvT/mwl7L6ofjXfH+1nfaxN0+SC3tOTlPd3&#10;y+4ZWMAl/B3Dih/RoYpMrTuT9myUEIuEqKaJyIGtfpKvU7tq2VMGvCr5/w7VLwAAAP//AwBQSwEC&#10;LQAUAAYACAAAACEAtoM4kv4AAADhAQAAEwAAAAAAAAAAAAAAAAAAAAAAW0NvbnRlbnRfVHlwZXNd&#10;LnhtbFBLAQItABQABgAIAAAAIQA4/SH/1gAAAJQBAAALAAAAAAAAAAAAAAAAAC8BAABfcmVscy8u&#10;cmVsc1BLAQItABQABgAIAAAAIQA8WNwS7wEAAMIDAAAOAAAAAAAAAAAAAAAAAC4CAABkcnMvZTJv&#10;RG9jLnhtbFBLAQItABQABgAIAAAAIQA7Buu/3gAAAAsBAAAPAAAAAAAAAAAAAAAAAEkEAABkcnMv&#10;ZG93bnJldi54bWxQSwUGAAAAAAQABADzAAAAVAUAAAAA&#10;" filled="f" stroked="f">
                <v:textbox inset="0,0,0,0">
                  <w:txbxContent>
                    <w:p w14:paraId="6AE28863" w14:textId="77777777" w:rsidR="00490F33" w:rsidRDefault="00490F33">
                      <w:pPr>
                        <w:textAlignment w:val="baseline"/>
                      </w:pPr>
                      <w:r>
                        <w:rPr>
                          <w:noProof/>
                          <w:lang w:val="en-AU" w:eastAsia="en-AU"/>
                        </w:rPr>
                        <w:drawing>
                          <wp:inline distT="0" distB="0" distL="0" distR="0" wp14:anchorId="594F5AC3" wp14:editId="5459CDBF">
                            <wp:extent cx="7562215" cy="462915"/>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7" name="Picture"/>
                                    <pic:cNvPicPr preferRelativeResize="0"/>
                                  </pic:nvPicPr>
                                  <pic:blipFill>
                                    <a:blip r:embed="rId129"/>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862528" behindDoc="0" locked="0" layoutInCell="1" allowOverlap="1" wp14:anchorId="136C196A" wp14:editId="3517B819">
                <wp:simplePos x="0" y="0"/>
                <wp:positionH relativeFrom="page">
                  <wp:posOffset>826135</wp:posOffset>
                </wp:positionH>
                <wp:positionV relativeFrom="page">
                  <wp:posOffset>5736590</wp:posOffset>
                </wp:positionV>
                <wp:extent cx="5907405" cy="0"/>
                <wp:effectExtent l="0" t="0" r="0" b="0"/>
                <wp:wrapNone/>
                <wp:docPr id="815"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F5F82" id="Line 536" o:spid="_x0000_s1026" style="position:absolute;z-index:25186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51.7pt" to="530.2pt,4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QH0QEAAIYDAAAOAAAAZHJzL2Uyb0RvYy54bWysU01v2zAMvQ/YfxB0X+y0TdoYcXpI1l2y&#10;LUC7H8BIsi1MFgVJiZN/P0r5aLfdil4ESiQfHx+p+eOhN2yvfNBoaz4elZwpK1Bq29b818vTlwfO&#10;QgQrwaBVNT+qwB8Xnz/NB1epG+zQSOUZgdhQDa7mXYyuKoogOtVDGKFTlpwN+h4iXX1bSA8Dofem&#10;uCnLaTGgl86jUCHQ6+rk5IuM3zRKxJ9NE1RkpubELebT53ObzmIxh6r14DotzjTgHSx60JaKXqFW&#10;EIHtvP4PqtfCY8AmjgT2BTaNFir3QN2My3+6ee7AqdwLiRPcVabwcbDix37jmZY1fxhPOLPQ05DW&#10;2io2uZ0mdQYXKgpa2o1P/YmDfXZrFL8Ds7jswLYqs3w5Okocp4zir5R0CY5qbIfvKCkGdhGzVIfG&#10;9wmSRGCHPJHjdSLqEJmgx8msvL8riZi4+AqoLonOh/hNYc+SUXNDrDMw7NchJiJQXUJSHYtP2pg8&#10;cGPZUPPp7aTMCQGNlsmZwoJvt0vj2R7SypT3s9ld7oo8b8MS8gpCd4rLrtMyedxZmat0CuTXsx1B&#10;m5NNrIw9q5SEOUm8RXnc+It6NOxM/7yYaZve3nP26/dZ/AEAAP//AwBQSwMEFAAGAAgAAAAhAGHv&#10;0vHcAAAADAEAAA8AAABkcnMvZG93bnJldi54bWxMj0FPwzAMhe9I/IfISNxYMgbTVppOaGinXWBD&#10;4uo1pi00TtVkXffv8SQkuPnZT8/fy1ejb9VAfWwCW5hODCjiMriGKwvv+83dAlRMyA7bwGThTBFW&#10;xfVVjpkLJ36jYZcqJSEcM7RQp9RlWseyJo9xEjpiuX2G3mMS2Vfa9XiScN/qe2Pm2mPD8qHGjtY1&#10;ld+7o7ewQbN/ddtt+Iofj+c1Ju1eaLD29mZ8fgKVaEx/ZrjgCzoUwnQIR3ZRtaJnZipWC0szewB1&#10;cZi5kenwu9JFrv+XKH4AAAD//wMAUEsBAi0AFAAGAAgAAAAhALaDOJL+AAAA4QEAABMAAAAAAAAA&#10;AAAAAAAAAAAAAFtDb250ZW50X1R5cGVzXS54bWxQSwECLQAUAAYACAAAACEAOP0h/9YAAACUAQAA&#10;CwAAAAAAAAAAAAAAAAAvAQAAX3JlbHMvLnJlbHNQSwECLQAUAAYACAAAACEAH+ZEB9EBAACGAwAA&#10;DgAAAAAAAAAAAAAAAAAuAgAAZHJzL2Uyb0RvYy54bWxQSwECLQAUAAYACAAAACEAYe/S8dwAAAAM&#10;AQAADwAAAAAAAAAAAAAAAAArBAAAZHJzL2Rvd25yZXYueG1sUEsFBgAAAAAEAAQA8wAAADQFAAAA&#10;AA==&#10;" strokecolor="#007994" strokeweight=".5pt">
                <w10:wrap anchorx="page" anchory="page"/>
              </v:line>
            </w:pict>
          </mc:Fallback>
        </mc:AlternateContent>
      </w:r>
      <w:r>
        <w:rPr>
          <w:noProof/>
          <w:lang w:val="en-AU" w:eastAsia="en-AU"/>
        </w:rPr>
        <mc:AlternateContent>
          <mc:Choice Requires="wps">
            <w:drawing>
              <wp:anchor distT="0" distB="0" distL="114300" distR="114300" simplePos="0" relativeHeight="251863552" behindDoc="0" locked="0" layoutInCell="1" allowOverlap="1" wp14:anchorId="69FE6096" wp14:editId="5ECC3B99">
                <wp:simplePos x="0" y="0"/>
                <wp:positionH relativeFrom="page">
                  <wp:posOffset>826135</wp:posOffset>
                </wp:positionH>
                <wp:positionV relativeFrom="page">
                  <wp:posOffset>6897370</wp:posOffset>
                </wp:positionV>
                <wp:extent cx="5907405" cy="0"/>
                <wp:effectExtent l="0" t="0" r="0" b="0"/>
                <wp:wrapNone/>
                <wp:docPr id="814"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4C6E7" id="Line 535" o:spid="_x0000_s1026" style="position:absolute;z-index:25186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43.1pt" to="530.2pt,5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i40gEAAIYDAAAOAAAAZHJzL2Uyb0RvYy54bWysU01v2zAMvQ/YfxB0X+y0cdsYcXpI1l2y&#10;LUC7H8BIsi1MEgVJiZ1/P0n5aLfdil4ESiQfHx+pxeOoFTkI5yWahk4nJSXCMOTSdA399fL05YES&#10;H8BwUGhEQ4/C08fl50+LwdbiBntUXDgSQYyvB9vQPgRbF4VnvdDgJ2iFic4WnYYQr64ruIMhomtV&#10;3JTlXTGg49YhE97H1/XJSZcZv20FCz/b1otAVEMjt5BPl89dOovlAurOge0lO9OAd7DQIE0seoVa&#10;QwCyd/I/KC2ZQ49tmDDUBbatZCL3ELuZlv9089yDFbmXKI63V5n8x8GyH4etI5I39GE6o8SAjkPa&#10;SCNIdVsldQbr6xi0MluX+mOjebYbZL89MbjqwXQis3w52pg4TRnFXynp4m2ssRu+I48xsA+YpRpb&#10;pxNkFIGMeSLH60TEGAiLj9W8vJ+VFSXs4iugviRa58M3gZoko6Eqss7AcNj4kIhAfQlJdQw+SaXy&#10;wJUhQ0PvbqsyJ3hUkidnCvOu262UIwdIK1Pez+ez3FX0vA1LyGvw/Skuu07L5HBveK7SC+Bfz3YA&#10;qU52ZKXMWaUkzEniHfLj1l3Ui8PO9M+Lmbbp7T1nv36f5R8AAAD//wMAUEsDBBQABgAIAAAAIQDb&#10;0nuK3AAAAA4BAAAPAAAAZHJzL2Rvd25yZXYueG1sTI9BT8MwDIXvSPyHyEjcWLIB1VSaTmhop11g&#10;Q+LqNaYtNE7VZF337/EOCG5+9tPz94rV5Ds10hDbwBbmMwOKuAqu5drC+35ztwQVE7LDLjBZOFOE&#10;VXl9VWDuwonfaNylWkkIxxwtNCn1udaxashjnIWeWG6fYfCYRA61dgOeJNx3emFMpj22LB8a7Gnd&#10;UPW9O3oLGzT7V7fdhq/48XheY9LuhUZrb2+m5ydQiab0Z4YLvqBDKUyHcGQXVSf63szFKoNZZgtQ&#10;F4vJzAOow+9Ol4X+X6P8AQAA//8DAFBLAQItABQABgAIAAAAIQC2gziS/gAAAOEBAAATAAAAAAAA&#10;AAAAAAAAAAAAAABbQ29udGVudF9UeXBlc10ueG1sUEsBAi0AFAAGAAgAAAAhADj9If/WAAAAlAEA&#10;AAsAAAAAAAAAAAAAAAAALwEAAF9yZWxzLy5yZWxzUEsBAi0AFAAGAAgAAAAhAN36iLjSAQAAhgMA&#10;AA4AAAAAAAAAAAAAAAAALgIAAGRycy9lMm9Eb2MueG1sUEsBAi0AFAAGAAgAAAAhANvSe4rcAAAA&#10;DgEAAA8AAAAAAAAAAAAAAAAALAQAAGRycy9kb3ducmV2LnhtbFBLBQYAAAAABAAEAPMAAAA1BQAA&#10;AAA=&#10;" strokecolor="#007994" strokeweight=".5pt">
                <w10:wrap anchorx="page" anchory="page"/>
              </v:line>
            </w:pict>
          </mc:Fallback>
        </mc:AlternateContent>
      </w:r>
      <w:r>
        <w:rPr>
          <w:noProof/>
          <w:lang w:val="en-AU" w:eastAsia="en-AU"/>
        </w:rPr>
        <mc:AlternateContent>
          <mc:Choice Requires="wps">
            <w:drawing>
              <wp:anchor distT="0" distB="0" distL="114300" distR="114300" simplePos="0" relativeHeight="251864576" behindDoc="0" locked="0" layoutInCell="1" allowOverlap="1" wp14:anchorId="5C174601" wp14:editId="03E58403">
                <wp:simplePos x="0" y="0"/>
                <wp:positionH relativeFrom="page">
                  <wp:posOffset>539750</wp:posOffset>
                </wp:positionH>
                <wp:positionV relativeFrom="page">
                  <wp:posOffset>9034145</wp:posOffset>
                </wp:positionV>
                <wp:extent cx="917575" cy="0"/>
                <wp:effectExtent l="0" t="0" r="0" b="0"/>
                <wp:wrapNone/>
                <wp:docPr id="813" name="Lin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76469" id="Line 534" o:spid="_x0000_s1026" style="position:absolute;z-index:2518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1.35pt" to="114.75pt,7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xKzwEAAIYDAAAOAAAAZHJzL2Uyb0RvYy54bWysU01v2zAMvQ/YfxB0X2ynS9sZcXpI1l2y&#10;LUC7H8BIsi1MFgVJiZN/P0r5aLfdivogiCL5+PhIzx8Og2F75YNG2/BqUnKmrECpbdfwX8+Pn+45&#10;CxGsBINWNfyoAn9YfPwwH12tptijkcozArGhHl3D+xhdXRRB9GqAMEGnLDlb9ANEMn1XSA8joQ+m&#10;mJblbTGil86jUCHQ6+rk5IuM37ZKxJ9tG1RkpuHELebT53ObzmIxh7rz4HotzjTgDSwG0JaKXqFW&#10;EIHtvP4PatDCY8A2TgQOBbatFir3QN1U5T/dPPXgVO6FxAnuKlN4P1jxY7/xTMuG31c3nFkYaEhr&#10;bRWb3XxO6owu1BS0tBuf+hMH++TWKH4HZnHZg+1UZvl8dJRYpYzir5RkBEc1tuN3lBQDu4hZqkPr&#10;hwRJIrBDnsjxOhF1iEzQ45fqbnY340xcXAXUlzznQ/ymcGDp0nBDpDMu7NchJh5QX0JSGYuP2pg8&#10;b2PZSGSn5e0sZwQ0WiZvigu+2y6NZ3tIK5O/3BV5Xocl6BWE/hSXXadl8rizMpfpFciv53sEbU53&#10;omXsWaUkzEniLcrjxl/Uo2Fn/ufFTNv02s7ZL7/P4g8AAAD//wMAUEsDBBQABgAIAAAAIQBB0a/7&#10;3wAAAAwBAAAPAAAAZHJzL2Rvd25yZXYueG1sTI/BTsMwEETvSPyDtZW4IOpgpZCmcSpUCW4gKCB6&#10;dONtEhGvo9htwt+zHBAcd3Y086ZYT64TJxxC60nD9TwBgVR521Kt4e31/ioDEaIhazpPqOELA6zL&#10;87PC5NaP9IKnbawFh1DIjYYmxj6XMlQNOhPmvkfi38EPzkQ+h1rawYwc7jqpkuRGOtMSNzSmx02D&#10;1ef26DRImWTp9P4xPqaXIWt3m3r38PSs9cVsuluBiDjFPzP84DM6lMy090eyQXQasgVPiaynSt2C&#10;YIdSywWI/a8ky0L+H1F+AwAA//8DAFBLAQItABQABgAIAAAAIQC2gziS/gAAAOEBAAATAAAAAAAA&#10;AAAAAAAAAAAAAABbQ29udGVudF9UeXBlc10ueG1sUEsBAi0AFAAGAAgAAAAhADj9If/WAAAAlAEA&#10;AAsAAAAAAAAAAAAAAAAALwEAAF9yZWxzLy5yZWxzUEsBAi0AFAAGAAgAAAAhABs/TErPAQAAhgMA&#10;AA4AAAAAAAAAAAAAAAAALgIAAGRycy9lMm9Eb2MueG1sUEsBAi0AFAAGAAgAAAAhAEHRr/vfAAAA&#10;DAEAAA8AAAAAAAAAAAAAAAAAKQQAAGRycy9kb3ducmV2LnhtbFBLBQYAAAAABAAEAPMAAAA1BQAA&#10;AAA=&#10;" strokeweight=".95pt">
                <w10:wrap anchorx="page" anchory="page"/>
              </v:line>
            </w:pict>
          </mc:Fallback>
        </mc:AlternateContent>
      </w:r>
    </w:p>
    <w:p w14:paraId="0E00376D" w14:textId="77777777" w:rsidR="00D93399" w:rsidRDefault="00D93399" w:rsidP="00D93399">
      <w:pPr>
        <w:pStyle w:val="NoSpacing"/>
        <w:ind w:left="1134" w:right="1561"/>
        <w:rPr>
          <w:rFonts w:ascii="Tahoma" w:hAnsi="Tahoma" w:cs="Tahoma"/>
          <w:sz w:val="18"/>
          <w:szCs w:val="18"/>
        </w:rPr>
      </w:pPr>
      <w:r w:rsidRPr="00D93399">
        <w:rPr>
          <w:rFonts w:ascii="Tahoma" w:hAnsi="Tahoma" w:cs="Tahoma"/>
          <w:sz w:val="18"/>
          <w:szCs w:val="18"/>
        </w:rPr>
        <w:t>A number of studies and surveys have found that the most trusted source of career advice for young people is their families. A Years 9 to 12 student survey of selected Western Australian schools, conducted in July and August 2016, found that 75 per cent of students ranked their parents as the number one influence on their career planning, followed by career practitioners at 54 per cent.</w:t>
      </w:r>
      <w:r w:rsidRPr="00D93399">
        <w:rPr>
          <w:rFonts w:ascii="Tahoma" w:hAnsi="Tahoma" w:cs="Tahoma"/>
          <w:sz w:val="18"/>
          <w:szCs w:val="18"/>
          <w:vertAlign w:val="superscript"/>
        </w:rPr>
        <w:t>55</w:t>
      </w:r>
      <w:r w:rsidRPr="00D93399">
        <w:rPr>
          <w:rFonts w:ascii="Tahoma" w:hAnsi="Tahoma" w:cs="Tahoma"/>
          <w:sz w:val="18"/>
          <w:szCs w:val="18"/>
        </w:rPr>
        <w:t xml:space="preserve"> The knowledge of industry associations and employers was usually conveyed only through such intermediaries. A survey of Australian youth conducted by Year13 in 2017 yielded similar findings: young people trust their family over other sources of information (Figure 7</w:t>
      </w:r>
      <w:r>
        <w:rPr>
          <w:rFonts w:ascii="Tahoma" w:hAnsi="Tahoma" w:cs="Tahoma"/>
          <w:sz w:val="18"/>
          <w:szCs w:val="18"/>
        </w:rPr>
        <w:t>).</w:t>
      </w:r>
    </w:p>
    <w:p w14:paraId="72DDA866" w14:textId="77777777" w:rsidR="00D93399" w:rsidRDefault="00D93399" w:rsidP="00D93399">
      <w:pPr>
        <w:pStyle w:val="NoSpacing"/>
        <w:ind w:left="1134" w:right="1561"/>
        <w:rPr>
          <w:rFonts w:ascii="Tahoma" w:hAnsi="Tahoma" w:cs="Tahoma"/>
          <w:sz w:val="18"/>
          <w:szCs w:val="18"/>
        </w:rPr>
      </w:pPr>
    </w:p>
    <w:p w14:paraId="552458A3" w14:textId="77777777" w:rsidR="00D93399" w:rsidRDefault="00D93399" w:rsidP="00D93399">
      <w:pPr>
        <w:pStyle w:val="NoSpacing"/>
        <w:ind w:left="1134" w:right="1561"/>
        <w:rPr>
          <w:rFonts w:ascii="Tahoma" w:hAnsi="Tahoma" w:cs="Tahoma"/>
          <w:sz w:val="18"/>
          <w:szCs w:val="18"/>
        </w:rPr>
      </w:pPr>
    </w:p>
    <w:p w14:paraId="55713B98" w14:textId="77777777" w:rsidR="00D93399" w:rsidRDefault="00D93399" w:rsidP="00D93399">
      <w:pPr>
        <w:pStyle w:val="NoSpacing"/>
        <w:ind w:left="1134" w:right="1561"/>
        <w:rPr>
          <w:rFonts w:ascii="Tahoma" w:hAnsi="Tahoma" w:cs="Tahoma"/>
          <w:sz w:val="18"/>
          <w:szCs w:val="18"/>
        </w:rPr>
      </w:pPr>
    </w:p>
    <w:p w14:paraId="7B080968" w14:textId="740822A3" w:rsidR="00D93399" w:rsidRPr="00D93399" w:rsidRDefault="00D93399" w:rsidP="00D93399">
      <w:pPr>
        <w:pStyle w:val="NoSpacing"/>
        <w:spacing w:after="240"/>
        <w:ind w:left="1134" w:right="1561"/>
        <w:rPr>
          <w:rFonts w:ascii="Tahoma" w:eastAsia="Arial" w:hAnsi="Tahoma" w:cs="Tahoma"/>
          <w:b/>
          <w:spacing w:val="4"/>
          <w:sz w:val="18"/>
          <w:szCs w:val="18"/>
        </w:rPr>
      </w:pPr>
      <w:r w:rsidRPr="00D93399">
        <w:rPr>
          <w:rFonts w:ascii="Tahoma" w:eastAsia="Arial" w:hAnsi="Tahoma" w:cs="Tahoma"/>
          <w:b/>
          <w:spacing w:val="4"/>
          <w:sz w:val="18"/>
          <w:szCs w:val="18"/>
        </w:rPr>
        <w:t xml:space="preserve">Figure 7: </w:t>
      </w:r>
      <w:r w:rsidRPr="00D93399">
        <w:rPr>
          <w:rFonts w:ascii="Tahoma" w:hAnsi="Tahoma" w:cs="Tahoma"/>
          <w:spacing w:val="4"/>
          <w:sz w:val="18"/>
          <w:szCs w:val="18"/>
        </w:rPr>
        <w:t>Where do youth get their most trustworthy career advice from?</w:t>
      </w:r>
    </w:p>
    <w:p w14:paraId="6265B66F" w14:textId="0BCDE4AB" w:rsidR="00D93399" w:rsidRPr="00D93399" w:rsidRDefault="00D93399" w:rsidP="00D93399">
      <w:pPr>
        <w:pStyle w:val="NoSpacing"/>
        <w:ind w:left="1134" w:right="1561"/>
        <w:rPr>
          <w:rFonts w:ascii="Tahoma" w:hAnsi="Tahoma" w:cs="Tahoma"/>
          <w:sz w:val="18"/>
          <w:szCs w:val="18"/>
        </w:rPr>
      </w:pPr>
      <w:r w:rsidRPr="00D93399">
        <w:rPr>
          <w:rFonts w:ascii="Tahoma" w:hAnsi="Tahoma" w:cs="Tahoma"/>
          <w:noProof/>
          <w:sz w:val="18"/>
          <w:szCs w:val="18"/>
          <w:lang w:val="en-AU" w:eastAsia="en-AU"/>
        </w:rPr>
        <w:drawing>
          <wp:inline distT="0" distB="0" distL="0" distR="0" wp14:anchorId="1452E7F6" wp14:editId="345CC062">
            <wp:extent cx="4965700" cy="2340833"/>
            <wp:effectExtent l="0" t="0" r="6350" b="254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995979" cy="2355106"/>
                    </a:xfrm>
                    <a:prstGeom prst="rect">
                      <a:avLst/>
                    </a:prstGeom>
                    <a:noFill/>
                    <a:ln>
                      <a:noFill/>
                    </a:ln>
                  </pic:spPr>
                </pic:pic>
              </a:graphicData>
            </a:graphic>
          </wp:inline>
        </w:drawing>
      </w:r>
    </w:p>
    <w:p w14:paraId="05C291DC" w14:textId="3D755F25" w:rsidR="00D93399" w:rsidRDefault="00D93399" w:rsidP="00D93399">
      <w:pPr>
        <w:spacing w:after="427" w:line="177" w:lineRule="exact"/>
        <w:ind w:left="792" w:right="1872"/>
        <w:textAlignment w:val="baseline"/>
        <w:rPr>
          <w:rFonts w:ascii="Tahoma" w:eastAsia="Tahoma" w:hAnsi="Tahoma"/>
          <w:color w:val="000000"/>
          <w:sz w:val="14"/>
        </w:rPr>
      </w:pPr>
      <w:r w:rsidRPr="00D93399">
        <w:rPr>
          <w:rFonts w:ascii="Tahoma" w:eastAsia="Tahoma" w:hAnsi="Tahoma"/>
          <w:noProof/>
          <w:color w:val="000000"/>
          <w:sz w:val="14"/>
          <w:lang w:val="en-AU" w:eastAsia="en-AU"/>
        </w:rPr>
        <w:drawing>
          <wp:inline distT="0" distB="0" distL="0" distR="0" wp14:anchorId="490486CF" wp14:editId="6F5F7E18">
            <wp:extent cx="3219450" cy="1517650"/>
            <wp:effectExtent l="0" t="0" r="0" b="635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219450" cy="1517650"/>
                    </a:xfrm>
                    <a:prstGeom prst="rect">
                      <a:avLst/>
                    </a:prstGeom>
                    <a:noFill/>
                    <a:ln>
                      <a:noFill/>
                    </a:ln>
                  </pic:spPr>
                </pic:pic>
              </a:graphicData>
            </a:graphic>
          </wp:inline>
        </w:drawing>
      </w:r>
    </w:p>
    <w:p w14:paraId="5106F32F" w14:textId="531FCB2E" w:rsidR="00D93399" w:rsidRDefault="00D93399" w:rsidP="00D93399">
      <w:pPr>
        <w:spacing w:after="427" w:line="177" w:lineRule="exact"/>
        <w:ind w:left="792" w:right="1872"/>
        <w:textAlignment w:val="baseline"/>
        <w:rPr>
          <w:rFonts w:ascii="Tahoma" w:eastAsia="Tahoma" w:hAnsi="Tahoma"/>
          <w:color w:val="000000"/>
          <w:sz w:val="14"/>
        </w:rPr>
      </w:pPr>
      <w:r>
        <w:rPr>
          <w:rFonts w:ascii="Tahoma" w:eastAsia="Tahoma" w:hAnsi="Tahoma"/>
          <w:color w:val="000000"/>
          <w:sz w:val="14"/>
        </w:rPr>
        <w:t xml:space="preserve">Source: Bisson, R. and Stubley, W. (2017), After the ATAR: </w:t>
      </w:r>
      <w:r>
        <w:rPr>
          <w:rFonts w:ascii="Arial" w:eastAsia="Arial" w:hAnsi="Arial"/>
          <w:i/>
          <w:color w:val="000000"/>
          <w:sz w:val="14"/>
        </w:rPr>
        <w:t>Understanding how Gen Z transition into further education and employment</w:t>
      </w:r>
      <w:r>
        <w:rPr>
          <w:rFonts w:ascii="Tahoma" w:eastAsia="Tahoma" w:hAnsi="Tahoma"/>
          <w:color w:val="000000"/>
          <w:sz w:val="14"/>
        </w:rPr>
        <w:t>, Year13 and YouthSense.</w:t>
      </w:r>
    </w:p>
    <w:p w14:paraId="0DB88031" w14:textId="77777777" w:rsidR="009757A9" w:rsidRDefault="009757A9">
      <w:pPr>
        <w:sectPr w:rsidR="009757A9">
          <w:pgSz w:w="11909" w:h="16838"/>
          <w:pgMar w:top="792" w:right="0" w:bottom="0" w:left="0" w:header="720" w:footer="720" w:gutter="0"/>
          <w:cols w:space="720"/>
        </w:sectPr>
      </w:pPr>
    </w:p>
    <w:p w14:paraId="3D687DBC" w14:textId="1408D79E" w:rsidR="00845D14" w:rsidRPr="00845D14" w:rsidRDefault="00083242" w:rsidP="00845D14">
      <w:pPr>
        <w:spacing w:before="28" w:after="583" w:line="241" w:lineRule="exact"/>
        <w:ind w:left="792" w:right="1080"/>
        <w:textAlignment w:val="baseline"/>
        <w:rPr>
          <w:rFonts w:ascii="Tahoma" w:eastAsia="Tahoma" w:hAnsi="Tahoma"/>
          <w:color w:val="404042"/>
          <w:sz w:val="10"/>
        </w:rPr>
      </w:pPr>
      <w:r>
        <w:rPr>
          <w:rFonts w:ascii="Tahoma" w:eastAsia="Tahoma" w:hAnsi="Tahoma"/>
          <w:color w:val="404042"/>
          <w:sz w:val="18"/>
        </w:rPr>
        <w:lastRenderedPageBreak/>
        <w:t xml:space="preserve">Prompted in part by perceiving the ATAR as the most important indicator of educational success, there is a persistent tendency for many parents, students and teachers to view VET as a much less prestigious and valuable pathway, </w:t>
      </w:r>
      <w:r>
        <w:rPr>
          <w:rFonts w:ascii="Verdana" w:eastAsia="Verdana" w:hAnsi="Verdana"/>
          <w:color w:val="404042"/>
          <w:sz w:val="17"/>
        </w:rPr>
        <w:t xml:space="preserve">compared to the academic route that leads to university. This helps to explain why four in five parents would prefer </w:t>
      </w:r>
      <w:r>
        <w:rPr>
          <w:rFonts w:ascii="Tahoma" w:eastAsia="Tahoma" w:hAnsi="Tahoma"/>
          <w:color w:val="404042"/>
          <w:sz w:val="18"/>
        </w:rPr>
        <w:t>their children to go to university after leaving school, rather than undertake a vocational training pathway.</w:t>
      </w:r>
      <w:r>
        <w:rPr>
          <w:rFonts w:ascii="Tahoma" w:eastAsia="Tahoma" w:hAnsi="Tahoma"/>
          <w:color w:val="404042"/>
          <w:sz w:val="18"/>
          <w:vertAlign w:val="superscript"/>
        </w:rPr>
        <w:t>56</w:t>
      </w:r>
      <w:r>
        <w:rPr>
          <w:rFonts w:ascii="Tahoma" w:eastAsia="Tahoma" w:hAnsi="Tahoma"/>
          <w:color w:val="404042"/>
          <w:sz w:val="10"/>
        </w:rPr>
        <w:t xml:space="preserve"> </w:t>
      </w:r>
    </w:p>
    <w:p w14:paraId="69327F62" w14:textId="32449294" w:rsidR="009757A9" w:rsidRDefault="00845D14">
      <w:pPr>
        <w:spacing w:before="152" w:line="242" w:lineRule="exact"/>
        <w:ind w:left="1296"/>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865600" behindDoc="0" locked="0" layoutInCell="1" allowOverlap="1" wp14:anchorId="17060CEE" wp14:editId="533D946A">
                <wp:simplePos x="0" y="0"/>
                <wp:positionH relativeFrom="margin">
                  <wp:align>center</wp:align>
                </wp:positionH>
                <wp:positionV relativeFrom="page">
                  <wp:posOffset>1597025</wp:posOffset>
                </wp:positionV>
                <wp:extent cx="5907405" cy="0"/>
                <wp:effectExtent l="0" t="0" r="0" b="0"/>
                <wp:wrapNone/>
                <wp:docPr id="812" name="Lin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0991A" id="Line 533" o:spid="_x0000_s1026" style="position:absolute;z-index:251865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125.75pt" to="465.15pt,1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Qf0QEAAIYDAAAOAAAAZHJzL2Uyb0RvYy54bWysU8Fu2zAMvQ/YPwi6L3aSpm2MOD0k6y7Z&#10;FqDdBzCSbAuTREFSYufvJ8lJ2m23YReBEsnHx0dq9TRoRU7CeYmmptNJSYkwDLk0bU1/vD5/eqTE&#10;BzAcFBpR07Pw9Gn98cOqt5WYYYeKC0ciiPFVb2vahWCrovCsExr8BK0w0dmg0xDi1bUFd9BHdK2K&#10;WVneFz06bh0y4X183Y5Ous74TSNY+N40XgSiahq5hXy6fB7SWaxXULUObCfZhQb8AwsN0sSiN6gt&#10;BCBHJ/+C0pI59NiECUNdYNNIJnIPsZtp+Uc3Lx1YkXuJ4nh7k8n/P1j27bR3RPKaPk5nlBjQcUg7&#10;aQRZzOdJnd76KgZtzN6l/thgXuwO2U9PDG46MK3ILF/PNiZOU0bxW0q6eBtrHPqvyGMMHANmqYbG&#10;6QQZRSBDnsj5NhExBMLi42JZPtyVC0rY1VdAdU20zocvAjVJRk1VZJ2B4bTzIRGB6hqS6hh8lkrl&#10;gStD+prezxdlTvCoJE/OFOZde9goR06QVqZ8WC7vclfR8z4sIW/Bd2Ncdo3L5PBoeK7SCeCfL3YA&#10;qUY7slLmolISZpT4gPy8d1f14rAz/ctipm16f8/Zb99n/QsAAP//AwBQSwMEFAAGAAgAAAAhAON8&#10;dGLaAAAACAEAAA8AAABkcnMvZG93bnJldi54bWxMj0FLw0AQhe+C/2EZwZvdbUtEYyZFKj31oq3g&#10;dZodk2h2NmS3afrvXUGwxzdveO97xWpynRp5CK0XhPnMgGKpvG2lRnjfb+4eQIVIYqnzwghnDrAq&#10;r68Kyq0/yRuPu1irFCIhJ4Qmxj7XOlQNOwoz37Mk79MPjmKSQ63tQKcU7jq9MOZeO2olNTTU87rh&#10;6nt3dAgbMvtXu936r/CRndcUtX3hEfH2Znp+AhV5iv/P8Iuf0KFMTAd/FBtUh5CGRIRFNs9AJftx&#10;aZagDn8XXRb6ckD5AwAA//8DAFBLAQItABQABgAIAAAAIQC2gziS/gAAAOEBAAATAAAAAAAAAAAA&#10;AAAAAAAAAABbQ29udGVudF9UeXBlc10ueG1sUEsBAi0AFAAGAAgAAAAhADj9If/WAAAAlAEAAAsA&#10;AAAAAAAAAAAAAAAALwEAAF9yZWxzLy5yZWxzUEsBAi0AFAAGAAgAAAAhAHFfVB/RAQAAhgMAAA4A&#10;AAAAAAAAAAAAAAAALgIAAGRycy9lMm9Eb2MueG1sUEsBAi0AFAAGAAgAAAAhAON8dGLaAAAACAEA&#10;AA8AAAAAAAAAAAAAAAAAKwQAAGRycy9kb3ducmV2LnhtbFBLBQYAAAAABAAEAPMAAAAyBQAAAAA=&#10;" strokecolor="#007994" strokeweight=".5pt">
                <w10:wrap anchorx="margin" anchory="page"/>
              </v:line>
            </w:pict>
          </mc:Fallback>
        </mc:AlternateContent>
      </w:r>
      <w:r w:rsidR="00083242">
        <w:rPr>
          <w:rFonts w:ascii="Tahoma" w:eastAsia="Tahoma" w:hAnsi="Tahoma"/>
          <w:i/>
          <w:color w:val="007994"/>
          <w:spacing w:val="1"/>
          <w:sz w:val="21"/>
        </w:rPr>
        <w:t>“Parents have a bias toward university and school careers education needs to educate</w:t>
      </w:r>
    </w:p>
    <w:p w14:paraId="514DBEDF" w14:textId="77777777" w:rsidR="009757A9" w:rsidRDefault="00083242">
      <w:pPr>
        <w:spacing w:before="61" w:line="242" w:lineRule="exact"/>
        <w:ind w:left="1296"/>
        <w:textAlignment w:val="baseline"/>
        <w:rPr>
          <w:rFonts w:ascii="Tahoma" w:eastAsia="Tahoma" w:hAnsi="Tahoma"/>
          <w:i/>
          <w:color w:val="007994"/>
          <w:spacing w:val="2"/>
          <w:sz w:val="21"/>
        </w:rPr>
      </w:pPr>
      <w:r>
        <w:rPr>
          <w:rFonts w:ascii="Tahoma" w:eastAsia="Tahoma" w:hAnsi="Tahoma"/>
          <w:i/>
          <w:color w:val="007994"/>
          <w:spacing w:val="2"/>
          <w:sz w:val="21"/>
        </w:rPr>
        <w:t>parents too.”</w:t>
      </w:r>
    </w:p>
    <w:p w14:paraId="2EA05CE9" w14:textId="787C213A" w:rsidR="009757A9" w:rsidRDefault="00845D14">
      <w:pPr>
        <w:spacing w:before="55" w:after="221" w:line="242" w:lineRule="exact"/>
        <w:ind w:left="7056"/>
        <w:textAlignment w:val="baseline"/>
        <w:rPr>
          <w:rFonts w:ascii="Tahoma" w:eastAsia="Tahoma" w:hAnsi="Tahoma"/>
          <w:i/>
          <w:color w:val="007994"/>
          <w:spacing w:val="3"/>
          <w:sz w:val="21"/>
        </w:rPr>
      </w:pPr>
      <w:r>
        <w:rPr>
          <w:noProof/>
          <w:lang w:val="en-AU" w:eastAsia="en-AU"/>
        </w:rPr>
        <mc:AlternateContent>
          <mc:Choice Requires="wps">
            <w:drawing>
              <wp:anchor distT="0" distB="0" distL="114300" distR="114300" simplePos="0" relativeHeight="251866624" behindDoc="0" locked="0" layoutInCell="1" allowOverlap="1" wp14:anchorId="2C5C2D9F" wp14:editId="4D13A894">
                <wp:simplePos x="0" y="0"/>
                <wp:positionH relativeFrom="margin">
                  <wp:align>center</wp:align>
                </wp:positionH>
                <wp:positionV relativeFrom="page">
                  <wp:posOffset>2348230</wp:posOffset>
                </wp:positionV>
                <wp:extent cx="5907405" cy="0"/>
                <wp:effectExtent l="0" t="0" r="0" b="0"/>
                <wp:wrapNone/>
                <wp:docPr id="811"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C445A" id="Line 532" o:spid="_x0000_s1026" style="position:absolute;z-index:2518666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184.9pt" to="465.15pt,1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CzC0gEAAIYDAAAOAAAAZHJzL2Uyb0RvYy54bWysU01v2zAMvQ/YfxB0X2ynTdsYcXpI1l2y&#10;LUC7H8BIsi1MEgVJiZ1/P0n5aLfdil4ESiQfHx+pxeOoFTkI5yWahlaTkhJhGHJpuob+enn68kCJ&#10;D2A4KDSioUfh6ePy86fFYGsxxR4VF45EEOPrwTa0D8HWReFZLzT4CVphorNFpyHEq+sK7mCI6FoV&#10;07K8KwZ03Dpkwvv4uj456TLjt61g4WfbehGIamjkFvLp8rlLZ7FcQN05sL1kZxrwDhYapIlFr1Br&#10;CED2Tv4HpSVz6LENE4a6wLaVTOQeYjdV+U83zz1YkXuJ4nh7lcl/HCz7cdg6InlDH6qKEgM6Dmkj&#10;jSCzm2lSZ7C+jkErs3WpPzaaZ7tB9tsTg6seTCcyy5ejjYlVyij+SkkXb2ON3fAdeYyBfcAs1dg6&#10;nSCjCGTMEzleJyLGQFh8nM3L+9tyRgm7+AqoL4nW+fBNoCbJaKiKrDMwHDY+JCJQX0JSHYNPUqk8&#10;cGXI0NC7m1mZEzwqyZMzhXnX7VbKkQOklSnv5/Pb3FX0vA1LyGvw/Skuu07L5HBveK7SC+Bfz3YA&#10;qU52ZKXMWaUkzEniHfLj1l3Ui8PO9M+Lmbbp7T1nv36f5R8AAAD//wMAUEsDBBQABgAIAAAAIQC5&#10;RAld2gAAAAgBAAAPAAAAZHJzL2Rvd25yZXYueG1sTI/BTsMwDIbvSLxDZCRuLIGKiZWmExraaRfY&#10;kLh6jWm7NU7VZF339hgJCY72b/3+vmI5+U6NNMQ2sIX7mQFFXAXXcm3hY7e+ewIVE7LDLjBZuFCE&#10;ZXl9VWDuwpnfadymWkkJxxwtNCn1udaxashjnIWeWLKvMHhMMg61dgOepdx3+sGYufbYsnxosKdV&#10;Q9Vxe/IW1mh2b26zCYf4+XhZYdLulUZrb2+ml2dQiab0dww/+IIOpTDtw4ldVJ0FEUkWsvlCBCRe&#10;ZCYDtf/d6LLQ/wXKbwAAAP//AwBQSwECLQAUAAYACAAAACEAtoM4kv4AAADhAQAAEwAAAAAAAAAA&#10;AAAAAAAAAAAAW0NvbnRlbnRfVHlwZXNdLnhtbFBLAQItABQABgAIAAAAIQA4/SH/1gAAAJQBAAAL&#10;AAAAAAAAAAAAAAAAAC8BAABfcmVscy8ucmVsc1BLAQItABQABgAIAAAAIQDXICzC0gEAAIYDAAAO&#10;AAAAAAAAAAAAAAAAAC4CAABkcnMvZTJvRG9jLnhtbFBLAQItABQABgAIAAAAIQC5RAld2gAAAAgB&#10;AAAPAAAAAAAAAAAAAAAAACwEAABkcnMvZG93bnJldi54bWxQSwUGAAAAAAQABADzAAAAMwUAAAAA&#10;" strokecolor="#007994" strokeweight=".5pt">
                <w10:wrap anchorx="margin" anchory="page"/>
              </v:line>
            </w:pict>
          </mc:Fallback>
        </mc:AlternateContent>
      </w:r>
      <w:r w:rsidR="00083242">
        <w:rPr>
          <w:rFonts w:ascii="Tahoma" w:eastAsia="Tahoma" w:hAnsi="Tahoma"/>
          <w:i/>
          <w:color w:val="007994"/>
          <w:spacing w:val="3"/>
          <w:sz w:val="21"/>
        </w:rPr>
        <w:t>Master Builders Australia submission</w:t>
      </w:r>
    </w:p>
    <w:p w14:paraId="59191FB3" w14:textId="2F6CB583" w:rsidR="009757A9" w:rsidRDefault="00083242">
      <w:pPr>
        <w:spacing w:before="475" w:line="241" w:lineRule="exact"/>
        <w:ind w:left="792" w:right="864"/>
        <w:textAlignment w:val="baseline"/>
        <w:rPr>
          <w:rFonts w:ascii="Verdana" w:eastAsia="Verdana" w:hAnsi="Verdana"/>
          <w:color w:val="404042"/>
          <w:sz w:val="17"/>
        </w:rPr>
      </w:pPr>
      <w:r>
        <w:rPr>
          <w:rFonts w:ascii="Verdana" w:eastAsia="Verdana" w:hAnsi="Verdana"/>
          <w:color w:val="404042"/>
          <w:sz w:val="17"/>
        </w:rPr>
        <w:t xml:space="preserve">The post-school plans of a student’s peer group can also have a strong influence on pathway decisions. Students whose </w:t>
      </w:r>
      <w:r>
        <w:rPr>
          <w:rFonts w:ascii="Tahoma" w:eastAsia="Tahoma" w:hAnsi="Tahoma"/>
          <w:color w:val="404042"/>
          <w:sz w:val="18"/>
        </w:rPr>
        <w:t>friends plan to attend university are nearly four times more likely to plan to attend university than their counterparts whose friends do not plan to attend university.</w:t>
      </w:r>
      <w:r>
        <w:rPr>
          <w:rFonts w:ascii="Tahoma" w:eastAsia="Tahoma" w:hAnsi="Tahoma"/>
          <w:color w:val="404042"/>
          <w:sz w:val="18"/>
          <w:vertAlign w:val="superscript"/>
        </w:rPr>
        <w:t>57</w:t>
      </w:r>
      <w:r>
        <w:rPr>
          <w:rFonts w:ascii="Tahoma" w:eastAsia="Tahoma" w:hAnsi="Tahoma"/>
          <w:color w:val="404042"/>
          <w:sz w:val="10"/>
        </w:rPr>
        <w:t xml:space="preserve"> </w:t>
      </w:r>
    </w:p>
    <w:p w14:paraId="33E1F3B0" w14:textId="77777777" w:rsidR="009757A9" w:rsidRDefault="00083242">
      <w:pPr>
        <w:spacing w:before="151" w:after="2937" w:line="241" w:lineRule="exact"/>
        <w:ind w:left="792" w:right="864"/>
        <w:textAlignment w:val="baseline"/>
        <w:rPr>
          <w:rFonts w:ascii="Verdana" w:eastAsia="Verdana" w:hAnsi="Verdana"/>
          <w:color w:val="404042"/>
          <w:sz w:val="17"/>
        </w:rPr>
      </w:pPr>
      <w:r>
        <w:rPr>
          <w:rFonts w:ascii="Verdana" w:eastAsia="Verdana" w:hAnsi="Verdana"/>
          <w:color w:val="404042"/>
          <w:sz w:val="17"/>
        </w:rPr>
        <w:t>While, overall, influencers tend to encourage more students to go to university than pursue VET pathways,</w:t>
      </w:r>
      <w:r>
        <w:rPr>
          <w:rFonts w:ascii="Tahoma" w:eastAsia="Tahoma" w:hAnsi="Tahoma"/>
          <w:color w:val="404042"/>
          <w:sz w:val="17"/>
          <w:vertAlign w:val="superscript"/>
        </w:rPr>
        <w:t>58</w:t>
      </w:r>
      <w:r>
        <w:rPr>
          <w:rFonts w:ascii="Tahoma" w:eastAsia="Tahoma" w:hAnsi="Tahoma"/>
          <w:color w:val="404042"/>
          <w:sz w:val="18"/>
        </w:rPr>
        <w:t xml:space="preserve"> some groups – regional, rural and remote students,</w:t>
      </w:r>
      <w:r>
        <w:rPr>
          <w:rFonts w:ascii="Tahoma" w:eastAsia="Tahoma" w:hAnsi="Tahoma"/>
          <w:color w:val="404042"/>
          <w:sz w:val="18"/>
          <w:vertAlign w:val="superscript"/>
        </w:rPr>
        <w:t>59</w:t>
      </w:r>
      <w:r>
        <w:rPr>
          <w:rFonts w:ascii="Tahoma" w:eastAsia="Tahoma" w:hAnsi="Tahoma"/>
          <w:color w:val="404042"/>
          <w:sz w:val="18"/>
        </w:rPr>
        <w:t xml:space="preserve"> students with disability,</w:t>
      </w:r>
      <w:r>
        <w:rPr>
          <w:rFonts w:ascii="Tahoma" w:eastAsia="Tahoma" w:hAnsi="Tahoma"/>
          <w:color w:val="404042"/>
          <w:sz w:val="18"/>
          <w:vertAlign w:val="superscript"/>
        </w:rPr>
        <w:t>60</w:t>
      </w:r>
      <w:r>
        <w:rPr>
          <w:rFonts w:ascii="Tahoma" w:eastAsia="Tahoma" w:hAnsi="Tahoma"/>
          <w:color w:val="404042"/>
          <w:sz w:val="18"/>
        </w:rPr>
        <w:t xml:space="preserve"> students from low socioeconomic status backgrounds</w:t>
      </w:r>
      <w:r>
        <w:rPr>
          <w:rFonts w:ascii="Tahoma" w:eastAsia="Tahoma" w:hAnsi="Tahoma"/>
          <w:color w:val="404042"/>
          <w:sz w:val="18"/>
          <w:vertAlign w:val="superscript"/>
        </w:rPr>
        <w:t>61</w:t>
      </w:r>
      <w:r>
        <w:rPr>
          <w:rFonts w:ascii="Tahoma" w:eastAsia="Tahoma" w:hAnsi="Tahoma"/>
          <w:color w:val="404042"/>
          <w:sz w:val="18"/>
        </w:rPr>
        <w:t xml:space="preserve"> and Indigenous students</w:t>
      </w:r>
      <w:r>
        <w:rPr>
          <w:rFonts w:ascii="Tahoma" w:eastAsia="Tahoma" w:hAnsi="Tahoma"/>
          <w:color w:val="404042"/>
          <w:sz w:val="18"/>
          <w:vertAlign w:val="superscript"/>
        </w:rPr>
        <w:t>62</w:t>
      </w:r>
      <w:r>
        <w:rPr>
          <w:rFonts w:ascii="Tahoma" w:eastAsia="Tahoma" w:hAnsi="Tahoma"/>
          <w:color w:val="404042"/>
          <w:sz w:val="18"/>
        </w:rPr>
        <w:t xml:space="preserve"> – are more likely to attend VET than higher education. Disadvantaged families often have a more limited understanding of the opportunities available to their children. Well-informed career advice is </w:t>
      </w:r>
      <w:r>
        <w:rPr>
          <w:rFonts w:ascii="Verdana" w:eastAsia="Verdana" w:hAnsi="Verdana"/>
          <w:color w:val="404042"/>
          <w:sz w:val="17"/>
        </w:rPr>
        <w:t xml:space="preserve">essential so that young people can choose the pathway that is right for them. Given their influence, it is also important </w:t>
      </w:r>
      <w:r>
        <w:rPr>
          <w:rFonts w:ascii="Tahoma" w:eastAsia="Tahoma" w:hAnsi="Tahoma"/>
          <w:color w:val="404042"/>
          <w:sz w:val="18"/>
        </w:rPr>
        <w:t>for parents to receive this information, so they can understand and reinforce formal career advice.</w:t>
      </w:r>
    </w:p>
    <w:p w14:paraId="24F9E09B" w14:textId="77777777" w:rsidR="009757A9" w:rsidRDefault="000D2E34">
      <w:pPr>
        <w:spacing w:before="44" w:line="200" w:lineRule="exact"/>
        <w:ind w:left="1080" w:right="1008" w:hanging="288"/>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67648" behindDoc="0" locked="0" layoutInCell="1" allowOverlap="1" wp14:anchorId="5D4738EB" wp14:editId="422D049A">
                <wp:simplePos x="0" y="0"/>
                <wp:positionH relativeFrom="page">
                  <wp:posOffset>492125</wp:posOffset>
                </wp:positionH>
                <wp:positionV relativeFrom="page">
                  <wp:posOffset>6114415</wp:posOffset>
                </wp:positionV>
                <wp:extent cx="917575" cy="0"/>
                <wp:effectExtent l="0" t="0" r="0" b="0"/>
                <wp:wrapNone/>
                <wp:docPr id="810"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764B9" id="Line 531" o:spid="_x0000_s1026" style="position:absolute;z-index:25186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75pt,481.45pt" to="111pt,4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lRzgEAAIYDAAAOAAAAZHJzL2Uyb0RvYy54bWysU01v2zAMvQ/YfxB0X2xnSNsZcXpI1l2y&#10;LUC7H8BIsi1MFgVJiZ1/P0r5WLvdhvkgiOLjI/lILx+nwbCj8kGjbXg1KzlTVqDUtmv4j5enDw+c&#10;hQhWgkGrGn5SgT+u3r9bjq5Wc+zRSOUZkdhQj67hfYyuLoogejVAmKFTlpwt+gEimb4rpIeR2AdT&#10;zMvyrhjRS+dRqBDodXN28lXmb1sl4ve2DSoy03CqLebT53OfzmK1hLrz4HotLmXAP1QxgLaU9Ea1&#10;gQjs4PVfVIMWHgO2cSZwKLBttVC5B+qmKv/o5rkHp3IvJE5wN5nC/6MV3447z7Rs+ENF+lgYaEhb&#10;bRVbfKySOqMLNYHWdudTf2Kyz26L4mdgFtc92E7lKl9OjgJzRPEmJBnBUY79+BUlYeAQMUs1tX5I&#10;lCQCm/JETreJqCkyQY+fqvvF/YIzcXUVUF/jnA/xi8KBpUvDDRWdeeG4DZEqJ+gVktJYfNLG5Hkb&#10;y0Yqdl7eLXJEQKNl8iZc8N1+bTw7QlqZ/CUdiO0NLFFvIPRnXHadl8njwcqcplcgP1/uEbQ534nI&#10;WOK7CnOWeI/ytPMpT3qnYeeMl8VM2/Tazqjfv8/qFwAAAP//AwBQSwMEFAAGAAgAAAAhALbCf/jf&#10;AAAACgEAAA8AAABkcnMvZG93bnJldi54bWxMj8FKw0AQhu+C77CM4EXsxqW2acymSEFviq2KPW6z&#10;YxLMzobstknf3ikI9jgzH/98f74cXSsO2IfGk4a7SQICqfS2oUrDx/vTbQoiREPWtJ5QwxEDLIvL&#10;i9xk1g+0xsMmVoJDKGRGQx1jl0kZyhqdCRPfIfHt2/fORB77StreDBzuWqmSZCadaYg/1KbDVY3l&#10;z2bvNEiZpNPx82t4md6EtNmuqu3z65vW11fj4wOIiGP8h+Gkz+pQsNPO78kG0WqYz++Z1LCYqQUI&#10;BpRSXG73t5FFLs8rFL8AAAD//wMAUEsBAi0AFAAGAAgAAAAhALaDOJL+AAAA4QEAABMAAAAAAAAA&#10;AAAAAAAAAAAAAFtDb250ZW50X1R5cGVzXS54bWxQSwECLQAUAAYACAAAACEAOP0h/9YAAACUAQAA&#10;CwAAAAAAAAAAAAAAAAAvAQAAX3JlbHMvLnJlbHNQSwECLQAUAAYACAAAACEAHBxpUc4BAACGAwAA&#10;DgAAAAAAAAAAAAAAAAAuAgAAZHJzL2Uyb0RvYy54bWxQSwECLQAUAAYACAAAACEAtsJ/+N8AAAAK&#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 xml:space="preserve">56 Wyman, N., McCrindle, M., Whatmore, S., Gedge, J. and Edwards, T. (2017), </w:t>
      </w:r>
      <w:r w:rsidR="00083242">
        <w:rPr>
          <w:rFonts w:ascii="Arial" w:eastAsia="Arial" w:hAnsi="Arial"/>
          <w:i/>
          <w:color w:val="404042"/>
          <w:sz w:val="14"/>
        </w:rPr>
        <w:t>Perceptions Are No Reality: Myths, realities and the critical role of vocational education and training in Australia</w:t>
      </w:r>
      <w:r w:rsidR="00083242">
        <w:rPr>
          <w:rFonts w:ascii="Verdana" w:eastAsia="Verdana" w:hAnsi="Verdana"/>
          <w:color w:val="404042"/>
          <w:sz w:val="14"/>
        </w:rPr>
        <w:t xml:space="preserve">, Skilling Australia Foundation, May 2017, p. 5, </w:t>
      </w:r>
      <w:hyperlink r:id="rId131">
        <w:r w:rsidR="00083242">
          <w:rPr>
            <w:rFonts w:ascii="Tahoma" w:eastAsia="Tahoma" w:hAnsi="Tahoma"/>
            <w:color w:val="0000FF"/>
            <w:sz w:val="14"/>
            <w:u w:val="single"/>
          </w:rPr>
          <w:t>https://2qean3b1jjd1s87812ool5ji-wpengine.netdna-ssl.com/ wp-content/uploads/work/Skilling-Australia-Vocation-Education-Report.pdf</w:t>
        </w:r>
      </w:hyperlink>
      <w:r w:rsidR="00083242">
        <w:rPr>
          <w:rFonts w:ascii="Tahoma" w:eastAsia="Tahoma" w:hAnsi="Tahoma"/>
          <w:color w:val="404042"/>
          <w:sz w:val="14"/>
        </w:rPr>
        <w:t>.</w:t>
      </w:r>
    </w:p>
    <w:p w14:paraId="212A5548" w14:textId="77777777" w:rsidR="009757A9" w:rsidRDefault="00083242">
      <w:pPr>
        <w:spacing w:line="200" w:lineRule="exact"/>
        <w:ind w:left="1080" w:right="864" w:hanging="288"/>
        <w:textAlignment w:val="baseline"/>
        <w:rPr>
          <w:rFonts w:ascii="Tahoma" w:eastAsia="Tahoma" w:hAnsi="Tahoma"/>
          <w:color w:val="404042"/>
          <w:sz w:val="14"/>
        </w:rPr>
      </w:pPr>
      <w:r>
        <w:rPr>
          <w:rFonts w:ascii="Tahoma" w:eastAsia="Tahoma" w:hAnsi="Tahoma"/>
          <w:color w:val="404042"/>
          <w:sz w:val="14"/>
        </w:rPr>
        <w:t xml:space="preserve">57 Gemici, S., Bednarz, A., Karmel, T. and Lim, P. (2014), </w:t>
      </w:r>
      <w:r>
        <w:rPr>
          <w:rFonts w:ascii="Verdana" w:eastAsia="Verdana" w:hAnsi="Verdana"/>
          <w:i/>
          <w:color w:val="404042"/>
          <w:sz w:val="14"/>
        </w:rPr>
        <w:t>The Factors Affecting the Educational and Occupational Aspirations of Young Australians</w:t>
      </w:r>
      <w:r>
        <w:rPr>
          <w:rFonts w:ascii="Tahoma" w:eastAsia="Tahoma" w:hAnsi="Tahoma"/>
          <w:color w:val="404042"/>
          <w:sz w:val="14"/>
        </w:rPr>
        <w:t xml:space="preserve">, </w:t>
      </w:r>
      <w:r>
        <w:rPr>
          <w:rFonts w:ascii="Verdana" w:eastAsia="Verdana" w:hAnsi="Verdana"/>
          <w:color w:val="404042"/>
          <w:sz w:val="14"/>
        </w:rPr>
        <w:t xml:space="preserve">Longitudinal Surveys of Australian Youth Research Report no. 66, National Centre for Vocational Education Research, p. 17, </w:t>
      </w:r>
      <w:hyperlink r:id="rId132">
        <w:r>
          <w:rPr>
            <w:rFonts w:ascii="Tahoma" w:eastAsia="Tahoma" w:hAnsi="Tahoma"/>
            <w:color w:val="0000FF"/>
            <w:sz w:val="14"/>
            <w:u w:val="single"/>
          </w:rPr>
          <w:t>http://www.lsay.edu.au/ publications/2711.html</w:t>
        </w:r>
      </w:hyperlink>
      <w:r>
        <w:rPr>
          <w:rFonts w:ascii="Tahoma" w:eastAsia="Tahoma" w:hAnsi="Tahoma"/>
          <w:color w:val="404042"/>
          <w:sz w:val="14"/>
        </w:rPr>
        <w:t>.</w:t>
      </w:r>
    </w:p>
    <w:p w14:paraId="70165CC2" w14:textId="77777777" w:rsidR="009757A9" w:rsidRDefault="00083242">
      <w:pPr>
        <w:spacing w:before="31" w:line="166" w:lineRule="exact"/>
        <w:ind w:left="792"/>
        <w:textAlignment w:val="baseline"/>
        <w:rPr>
          <w:rFonts w:ascii="Tahoma" w:eastAsia="Tahoma" w:hAnsi="Tahoma"/>
          <w:color w:val="404042"/>
          <w:spacing w:val="3"/>
          <w:sz w:val="14"/>
        </w:rPr>
      </w:pPr>
      <w:r>
        <w:rPr>
          <w:rFonts w:ascii="Tahoma" w:eastAsia="Tahoma" w:hAnsi="Tahoma"/>
          <w:color w:val="404042"/>
          <w:spacing w:val="3"/>
          <w:sz w:val="14"/>
        </w:rPr>
        <w:t>58 Shipley and Stubley (2018), p. 39</w:t>
      </w:r>
    </w:p>
    <w:p w14:paraId="24F161C2" w14:textId="77777777" w:rsidR="009757A9" w:rsidRDefault="00083242">
      <w:pPr>
        <w:spacing w:before="5" w:line="200" w:lineRule="exact"/>
        <w:ind w:left="1080" w:right="1008" w:hanging="288"/>
        <w:textAlignment w:val="baseline"/>
        <w:rPr>
          <w:rFonts w:ascii="Tahoma" w:eastAsia="Tahoma" w:hAnsi="Tahoma"/>
          <w:color w:val="404042"/>
          <w:spacing w:val="-4"/>
          <w:sz w:val="14"/>
        </w:rPr>
      </w:pPr>
      <w:r>
        <w:rPr>
          <w:rFonts w:ascii="Tahoma" w:eastAsia="Tahoma" w:hAnsi="Tahoma"/>
          <w:color w:val="404042"/>
          <w:spacing w:val="-4"/>
          <w:sz w:val="14"/>
        </w:rPr>
        <w:t xml:space="preserve">59 Cardak, B. et al. (2017), </w:t>
      </w:r>
      <w:r>
        <w:rPr>
          <w:rFonts w:ascii="Verdana" w:eastAsia="Verdana" w:hAnsi="Verdana"/>
          <w:i/>
          <w:color w:val="404042"/>
          <w:spacing w:val="-4"/>
          <w:sz w:val="14"/>
        </w:rPr>
        <w:t xml:space="preserve">Regional Student Participation and Migration: Analysis of factors influencing regional student participation and internal migration </w:t>
      </w:r>
      <w:r>
        <w:rPr>
          <w:rFonts w:ascii="Arial" w:eastAsia="Arial" w:hAnsi="Arial"/>
          <w:i/>
          <w:color w:val="404042"/>
          <w:spacing w:val="-4"/>
          <w:sz w:val="14"/>
        </w:rPr>
        <w:t>in Australian higher education</w:t>
      </w:r>
      <w:r>
        <w:rPr>
          <w:rFonts w:ascii="Verdana" w:eastAsia="Verdana" w:hAnsi="Verdana"/>
          <w:color w:val="404042"/>
          <w:spacing w:val="-4"/>
          <w:sz w:val="14"/>
        </w:rPr>
        <w:t xml:space="preserve">, National Centre for Student Equity in Higher Education: Curtin University, February 2017, p. v, </w:t>
      </w:r>
      <w:hyperlink r:id="rId133">
        <w:r>
          <w:rPr>
            <w:rFonts w:ascii="Tahoma" w:eastAsia="Tahoma" w:hAnsi="Tahoma"/>
            <w:color w:val="0000FF"/>
            <w:spacing w:val="-4"/>
            <w:sz w:val="14"/>
            <w:u w:val="single"/>
          </w:rPr>
          <w:t>https://www.ncsehe. edu.au/wp-content/uploads/2017/02/Regional-Student-Participation-and-Migration-20170227-Final.pdf</w:t>
        </w:r>
      </w:hyperlink>
      <w:r>
        <w:rPr>
          <w:rFonts w:ascii="Tahoma" w:eastAsia="Tahoma" w:hAnsi="Tahoma"/>
          <w:color w:val="404042"/>
          <w:spacing w:val="-4"/>
          <w:sz w:val="14"/>
        </w:rPr>
        <w:t xml:space="preserve">; and Regional Education Expert Advisory Group (2019), </w:t>
      </w:r>
      <w:r>
        <w:rPr>
          <w:rFonts w:ascii="Arial" w:eastAsia="Arial" w:hAnsi="Arial"/>
          <w:i/>
          <w:color w:val="404042"/>
          <w:spacing w:val="-4"/>
          <w:sz w:val="14"/>
        </w:rPr>
        <w:t>National Regional, Rural and Remote Tertiary Education Strategy: Final report</w:t>
      </w:r>
      <w:r>
        <w:rPr>
          <w:rFonts w:ascii="Verdana" w:eastAsia="Verdana" w:hAnsi="Verdana"/>
          <w:color w:val="404042"/>
          <w:spacing w:val="-4"/>
          <w:sz w:val="14"/>
        </w:rPr>
        <w:t xml:space="preserve">, Commonwealth Department of Education, p. 12, </w:t>
      </w:r>
      <w:hyperlink r:id="rId134">
        <w:r>
          <w:rPr>
            <w:rFonts w:ascii="Tahoma" w:eastAsia="Tahoma" w:hAnsi="Tahoma"/>
            <w:color w:val="0000FF"/>
            <w:spacing w:val="-4"/>
            <w:sz w:val="14"/>
            <w:u w:val="single"/>
          </w:rPr>
          <w:t xml:space="preserve">https:// </w:t>
        </w:r>
      </w:hyperlink>
      <w:r>
        <w:rPr>
          <w:rFonts w:ascii="Verdana" w:eastAsia="Verdana" w:hAnsi="Verdana"/>
          <w:color w:val="0000FF"/>
          <w:spacing w:val="-4"/>
          <w:sz w:val="14"/>
          <w:u w:val="single"/>
        </w:rPr>
        <w:t>docs.education.gov.au/system/files/doc/other/national_regional_rural_and_remote_tertiary_education_strategy.pdf</w:t>
      </w:r>
      <w:r>
        <w:rPr>
          <w:rFonts w:ascii="Tahoma" w:eastAsia="Tahoma" w:hAnsi="Tahoma"/>
          <w:color w:val="404042"/>
          <w:spacing w:val="-4"/>
          <w:sz w:val="14"/>
        </w:rPr>
        <w:t>.</w:t>
      </w:r>
    </w:p>
    <w:p w14:paraId="5B401CE0" w14:textId="77777777" w:rsidR="009757A9" w:rsidRDefault="00083242">
      <w:pPr>
        <w:spacing w:before="1" w:line="200" w:lineRule="exact"/>
        <w:ind w:left="1080" w:right="864" w:hanging="288"/>
        <w:textAlignment w:val="baseline"/>
        <w:rPr>
          <w:rFonts w:ascii="Tahoma" w:eastAsia="Tahoma" w:hAnsi="Tahoma"/>
          <w:color w:val="404042"/>
          <w:sz w:val="14"/>
        </w:rPr>
      </w:pPr>
      <w:r>
        <w:rPr>
          <w:rFonts w:ascii="Tahoma" w:eastAsia="Tahoma" w:hAnsi="Tahoma"/>
          <w:color w:val="404042"/>
          <w:sz w:val="14"/>
        </w:rPr>
        <w:t xml:space="preserve">60 Koshy, P. (2019), </w:t>
      </w:r>
      <w:r>
        <w:rPr>
          <w:rFonts w:ascii="Arial" w:eastAsia="Arial" w:hAnsi="Arial"/>
          <w:i/>
          <w:color w:val="404042"/>
          <w:sz w:val="14"/>
        </w:rPr>
        <w:t>Equity Student Participation in Australian Higher Education: 2013–2018</w:t>
      </w:r>
      <w:r>
        <w:rPr>
          <w:rFonts w:ascii="Tahoma" w:eastAsia="Tahoma" w:hAnsi="Tahoma"/>
          <w:color w:val="404042"/>
          <w:sz w:val="14"/>
        </w:rPr>
        <w:t xml:space="preserve">, National Centre for Student Equity in Higher Education: Curtin </w:t>
      </w:r>
      <w:r>
        <w:rPr>
          <w:rFonts w:ascii="Verdana" w:eastAsia="Verdana" w:hAnsi="Verdana"/>
          <w:color w:val="404042"/>
          <w:sz w:val="14"/>
        </w:rPr>
        <w:t xml:space="preserve">University, p. 7, </w:t>
      </w:r>
      <w:hyperlink r:id="rId135">
        <w:r>
          <w:rPr>
            <w:rFonts w:ascii="Tahoma" w:eastAsia="Tahoma" w:hAnsi="Tahoma"/>
            <w:color w:val="0000FF"/>
            <w:sz w:val="14"/>
            <w:u w:val="single"/>
          </w:rPr>
          <w:t>https://www.ncsehe.edu.au/wp-content/uploads/2020/04/NCSEHE-Equity-Student-B</w:t>
        </w:r>
      </w:hyperlink>
      <w:r>
        <w:rPr>
          <w:rFonts w:ascii="Verdana" w:eastAsia="Verdana" w:hAnsi="Verdana"/>
          <w:color w:val="0000FF"/>
          <w:sz w:val="14"/>
          <w:u w:val="single"/>
        </w:rPr>
        <w:t>riefing</w:t>
      </w:r>
      <w:r>
        <w:rPr>
          <w:rFonts w:ascii="Tahoma" w:eastAsia="Tahoma" w:hAnsi="Tahoma"/>
          <w:color w:val="0000FF"/>
          <w:sz w:val="14"/>
          <w:u w:val="single"/>
        </w:rPr>
        <w:t>-Note_2013-18_Accessible_Final_V2.pdf</w:t>
      </w:r>
      <w:r>
        <w:rPr>
          <w:rFonts w:ascii="Tahoma" w:eastAsia="Tahoma" w:hAnsi="Tahoma"/>
          <w:color w:val="404042"/>
          <w:sz w:val="14"/>
        </w:rPr>
        <w:t xml:space="preserve">; and National Centre for Vocational Education Research (2019a), </w:t>
      </w:r>
      <w:r>
        <w:rPr>
          <w:rFonts w:ascii="Arial" w:eastAsia="Arial" w:hAnsi="Arial"/>
          <w:i/>
          <w:color w:val="404042"/>
          <w:sz w:val="14"/>
        </w:rPr>
        <w:t>Australian Vocational Education and Training Statistics: Total VET students and courses 2018</w:t>
      </w:r>
      <w:r>
        <w:rPr>
          <w:rFonts w:ascii="Verdana" w:eastAsia="Verdana" w:hAnsi="Verdana"/>
          <w:color w:val="404042"/>
          <w:sz w:val="14"/>
        </w:rPr>
        <w:t xml:space="preserve">, p. 8, </w:t>
      </w:r>
      <w:hyperlink r:id="rId136">
        <w:r>
          <w:rPr>
            <w:rFonts w:ascii="Verdana" w:eastAsia="Verdana" w:hAnsi="Verdana"/>
            <w:color w:val="0000FF"/>
            <w:sz w:val="14"/>
            <w:u w:val="single"/>
          </w:rPr>
          <w:t>https://www.ncver.edu.au/__data/assets/pdf_file/0031/6925090/Total</w:t>
        </w:r>
      </w:hyperlink>
      <w:r>
        <w:rPr>
          <w:rFonts w:ascii="Tahoma" w:eastAsia="Tahoma" w:hAnsi="Tahoma"/>
          <w:color w:val="0000FF"/>
          <w:sz w:val="14"/>
          <w:u w:val="single"/>
        </w:rPr>
        <w:t>-VET-students-and-courses-2018.pdf</w:t>
      </w:r>
      <w:r>
        <w:rPr>
          <w:rFonts w:ascii="Tahoma" w:eastAsia="Tahoma" w:hAnsi="Tahoma"/>
          <w:color w:val="404042"/>
          <w:sz w:val="14"/>
        </w:rPr>
        <w:t>.</w:t>
      </w:r>
    </w:p>
    <w:p w14:paraId="45A0AF91" w14:textId="5CF9FC48" w:rsidR="009757A9" w:rsidRDefault="00083242">
      <w:pPr>
        <w:spacing w:before="1" w:line="200" w:lineRule="exact"/>
        <w:ind w:left="1080" w:right="1008" w:hanging="288"/>
        <w:textAlignment w:val="baseline"/>
        <w:rPr>
          <w:rFonts w:ascii="Tahoma" w:eastAsia="Tahoma" w:hAnsi="Tahoma"/>
          <w:color w:val="404042"/>
          <w:sz w:val="14"/>
        </w:rPr>
      </w:pPr>
      <w:r>
        <w:rPr>
          <w:rFonts w:ascii="Tahoma" w:eastAsia="Tahoma" w:hAnsi="Tahoma"/>
          <w:color w:val="404042"/>
          <w:sz w:val="14"/>
        </w:rPr>
        <w:t xml:space="preserve">61 Karmel, T. and Lim, P. (2013), </w:t>
      </w:r>
      <w:r>
        <w:rPr>
          <w:rFonts w:ascii="Arial" w:eastAsia="Arial" w:hAnsi="Arial"/>
          <w:i/>
          <w:color w:val="404042"/>
          <w:sz w:val="14"/>
        </w:rPr>
        <w:t>Socioeconomic Disadvantage and Participation in Tertiary Education: Preliminary thoughts</w:t>
      </w:r>
      <w:r>
        <w:rPr>
          <w:rFonts w:ascii="Tahoma" w:eastAsia="Tahoma" w:hAnsi="Tahoma"/>
          <w:color w:val="404042"/>
          <w:sz w:val="14"/>
        </w:rPr>
        <w:t xml:space="preserve">, National Centre for Vocational Education Research occasional paper, pp. 18–19, </w:t>
      </w:r>
      <w:hyperlink r:id="rId137">
        <w:r>
          <w:rPr>
            <w:rFonts w:ascii="Verdana" w:eastAsia="Verdana" w:hAnsi="Verdana"/>
            <w:color w:val="0000FF"/>
            <w:sz w:val="14"/>
            <w:u w:val="single"/>
          </w:rPr>
          <w:t>https://ncver.edu.au/__data/assets/file/0024/9393/socioeconomic</w:t>
        </w:r>
      </w:hyperlink>
      <w:r>
        <w:rPr>
          <w:rFonts w:ascii="Tahoma" w:eastAsia="Tahoma" w:hAnsi="Tahoma"/>
          <w:color w:val="0000FF"/>
          <w:sz w:val="14"/>
          <w:u w:val="single"/>
        </w:rPr>
        <w:t>-disadvantage-2612.pdf</w:t>
      </w:r>
      <w:r>
        <w:rPr>
          <w:rFonts w:ascii="Tahoma" w:eastAsia="Tahoma" w:hAnsi="Tahoma"/>
          <w:color w:val="404042"/>
          <w:sz w:val="14"/>
        </w:rPr>
        <w:t xml:space="preserve">; and Czarnecki, K. (2017), ‘Less inequality through universal access? Socioeconomic background of tertiary entrants in Australia after the expansion of university participation’, </w:t>
      </w:r>
      <w:r>
        <w:rPr>
          <w:rFonts w:ascii="Arial" w:eastAsia="Arial" w:hAnsi="Arial"/>
          <w:i/>
          <w:color w:val="404042"/>
          <w:sz w:val="14"/>
        </w:rPr>
        <w:t>Higher Education</w:t>
      </w:r>
      <w:r>
        <w:rPr>
          <w:rFonts w:ascii="Verdana" w:eastAsia="Verdana" w:hAnsi="Verdana"/>
          <w:color w:val="404042"/>
          <w:sz w:val="14"/>
        </w:rPr>
        <w:t xml:space="preserve">, vol. 76, p. 517, </w:t>
      </w:r>
      <w:hyperlink r:id="rId138">
        <w:r>
          <w:rPr>
            <w:rFonts w:ascii="Tahoma" w:eastAsia="Tahoma" w:hAnsi="Tahoma"/>
            <w:color w:val="0000FF"/>
            <w:sz w:val="14"/>
            <w:u w:val="single"/>
          </w:rPr>
          <w:t>https://link.springer.com/article/10.1007/s10734-017-0222-1</w:t>
        </w:r>
      </w:hyperlink>
      <w:r>
        <w:rPr>
          <w:rFonts w:ascii="Tahoma" w:eastAsia="Tahoma" w:hAnsi="Tahoma"/>
          <w:color w:val="404042"/>
          <w:sz w:val="14"/>
        </w:rPr>
        <w:t>.</w:t>
      </w:r>
    </w:p>
    <w:p w14:paraId="407C209F" w14:textId="1EB6BF14" w:rsidR="009757A9" w:rsidRDefault="00083242">
      <w:pPr>
        <w:spacing w:line="198" w:lineRule="exact"/>
        <w:ind w:left="1080" w:right="864" w:hanging="288"/>
        <w:textAlignment w:val="baseline"/>
        <w:rPr>
          <w:rFonts w:ascii="Tahoma" w:eastAsia="Tahoma" w:hAnsi="Tahoma"/>
          <w:color w:val="404042"/>
          <w:spacing w:val="-3"/>
          <w:sz w:val="14"/>
        </w:rPr>
      </w:pPr>
      <w:r>
        <w:rPr>
          <w:rFonts w:ascii="Tahoma" w:eastAsia="Tahoma" w:hAnsi="Tahoma"/>
          <w:color w:val="404042"/>
          <w:spacing w:val="-3"/>
          <w:sz w:val="14"/>
        </w:rPr>
        <w:t xml:space="preserve">62 Pechenkina, K. and Anderson, I. (2011), </w:t>
      </w:r>
      <w:r>
        <w:rPr>
          <w:rFonts w:ascii="Arial" w:eastAsia="Arial" w:hAnsi="Arial"/>
          <w:i/>
          <w:color w:val="404042"/>
          <w:spacing w:val="-3"/>
          <w:sz w:val="14"/>
        </w:rPr>
        <w:t>Consultation Paper on Indigenous Australian Higher Education: Trends, initiatives and policy implications</w:t>
      </w:r>
      <w:r>
        <w:rPr>
          <w:rFonts w:ascii="Tahoma" w:eastAsia="Tahoma" w:hAnsi="Tahoma"/>
          <w:color w:val="404042"/>
          <w:spacing w:val="-3"/>
          <w:sz w:val="14"/>
        </w:rPr>
        <w:t xml:space="preserve">, </w:t>
      </w:r>
      <w:r>
        <w:rPr>
          <w:rFonts w:ascii="Verdana" w:eastAsia="Verdana" w:hAnsi="Verdana"/>
          <w:color w:val="404042"/>
          <w:spacing w:val="-3"/>
          <w:sz w:val="14"/>
        </w:rPr>
        <w:t xml:space="preserve">Commonwealth Department of Education, Employment and Workplace Relations, September 2011, p. 6, </w:t>
      </w:r>
      <w:hyperlink r:id="rId139">
        <w:r>
          <w:rPr>
            <w:rFonts w:ascii="Tahoma" w:eastAsia="Tahoma" w:hAnsi="Tahoma"/>
            <w:color w:val="0000FF"/>
            <w:spacing w:val="-3"/>
            <w:sz w:val="14"/>
            <w:u w:val="single"/>
          </w:rPr>
          <w:t xml:space="preserve">https://docs.education.gov.au/system/ </w:t>
        </w:r>
      </w:hyperlink>
      <w:r>
        <w:rPr>
          <w:rFonts w:ascii="Verdana" w:eastAsia="Verdana" w:hAnsi="Verdana"/>
          <w:color w:val="0000FF"/>
          <w:spacing w:val="-3"/>
          <w:sz w:val="14"/>
          <w:u w:val="single"/>
        </w:rPr>
        <w:t>files/doc/other/pechenkina_and_anderson_2011.pdf</w:t>
      </w:r>
      <w:r>
        <w:rPr>
          <w:rFonts w:ascii="Tahoma" w:eastAsia="Tahoma" w:hAnsi="Tahoma"/>
          <w:color w:val="404042"/>
          <w:spacing w:val="-3"/>
          <w:sz w:val="14"/>
        </w:rPr>
        <w:t xml:space="preserve">; and Ackehurst, M., Polvere, R., and Windley, G. (2017), </w:t>
      </w:r>
      <w:r>
        <w:rPr>
          <w:rFonts w:ascii="Arial" w:eastAsia="Arial" w:hAnsi="Arial"/>
          <w:i/>
          <w:color w:val="404042"/>
          <w:spacing w:val="-3"/>
          <w:sz w:val="14"/>
        </w:rPr>
        <w:t>Indigenous Participation in VET: Understanding the research</w:t>
      </w:r>
      <w:r>
        <w:rPr>
          <w:rFonts w:ascii="Verdana" w:eastAsia="Verdana" w:hAnsi="Verdana"/>
          <w:color w:val="404042"/>
          <w:spacing w:val="-3"/>
          <w:sz w:val="14"/>
        </w:rPr>
        <w:t xml:space="preserve">, National Centre for Vocational Education Research, p. 3, </w:t>
      </w:r>
      <w:hyperlink r:id="rId140">
        <w:r>
          <w:rPr>
            <w:rFonts w:ascii="Verdana" w:eastAsia="Verdana" w:hAnsi="Verdana"/>
            <w:color w:val="0000FF"/>
            <w:spacing w:val="-3"/>
            <w:sz w:val="14"/>
            <w:u w:val="single"/>
          </w:rPr>
          <w:t xml:space="preserve">https://www.ncver.edu.au/__data/assets/pdf_file/0029/484463/ </w:t>
        </w:r>
      </w:hyperlink>
      <w:r>
        <w:rPr>
          <w:rFonts w:ascii="Tahoma" w:eastAsia="Tahoma" w:hAnsi="Tahoma"/>
          <w:color w:val="0000FF"/>
          <w:spacing w:val="-3"/>
          <w:sz w:val="14"/>
          <w:u w:val="single"/>
        </w:rPr>
        <w:t>Indigenous-participation-in-VET.pdf</w:t>
      </w:r>
      <w:r>
        <w:rPr>
          <w:rFonts w:ascii="Tahoma" w:eastAsia="Tahoma" w:hAnsi="Tahoma"/>
          <w:color w:val="404042"/>
          <w:spacing w:val="-3"/>
          <w:sz w:val="14"/>
        </w:rPr>
        <w:t>.</w:t>
      </w:r>
    </w:p>
    <w:p w14:paraId="74FC5085" w14:textId="14A80A8A" w:rsidR="009757A9" w:rsidRDefault="00083242">
      <w:pPr>
        <w:tabs>
          <w:tab w:val="left" w:pos="10872"/>
        </w:tabs>
        <w:spacing w:before="599" w:after="641" w:line="200" w:lineRule="exact"/>
        <w:ind w:left="7992"/>
        <w:textAlignment w:val="baseline"/>
        <w:rPr>
          <w:rFonts w:ascii="Tahoma" w:eastAsia="Tahoma" w:hAnsi="Tahoma"/>
          <w:color w:val="404042"/>
          <w:sz w:val="14"/>
        </w:rPr>
      </w:pPr>
      <w:r>
        <w:rPr>
          <w:rFonts w:ascii="Tahoma" w:eastAsia="Tahoma" w:hAnsi="Tahoma"/>
          <w:color w:val="404042"/>
          <w:sz w:val="14"/>
        </w:rPr>
        <w:t>Chapter 2: Exercising informed choice</w:t>
      </w:r>
      <w:r>
        <w:rPr>
          <w:rFonts w:ascii="Arial" w:eastAsia="Arial" w:hAnsi="Arial"/>
          <w:b/>
          <w:color w:val="5556A1"/>
          <w:sz w:val="18"/>
        </w:rPr>
        <w:tab/>
        <w:t>59</w:t>
      </w:r>
    </w:p>
    <w:p w14:paraId="0EA9F994" w14:textId="0DA900D7" w:rsidR="009757A9" w:rsidRDefault="00704CC9">
      <w:pPr>
        <w:textAlignment w:val="baseline"/>
      </w:pPr>
      <w:r>
        <w:rPr>
          <w:noProof/>
          <w:lang w:val="en-AU" w:eastAsia="en-AU"/>
        </w:rPr>
        <w:drawing>
          <wp:anchor distT="0" distB="0" distL="114300" distR="114300" simplePos="0" relativeHeight="252050944" behindDoc="1" locked="0" layoutInCell="1" allowOverlap="1" wp14:anchorId="3995D44C" wp14:editId="2791EE21">
            <wp:simplePos x="0" y="0"/>
            <wp:positionH relativeFrom="margin">
              <wp:align>right</wp:align>
            </wp:positionH>
            <wp:positionV relativeFrom="paragraph">
              <wp:posOffset>57785</wp:posOffset>
            </wp:positionV>
            <wp:extent cx="7562215" cy="504825"/>
            <wp:effectExtent l="0" t="0" r="635" b="9525"/>
            <wp:wrapNone/>
            <wp:docPr id="98" name="Picture"/>
            <wp:cNvGraphicFramePr/>
            <a:graphic xmlns:a="http://schemas.openxmlformats.org/drawingml/2006/main">
              <a:graphicData uri="http://schemas.openxmlformats.org/drawingml/2006/picture">
                <pic:pic xmlns:pic="http://schemas.openxmlformats.org/drawingml/2006/picture">
                  <pic:nvPicPr>
                    <pic:cNvPr id="98" name="Picture"/>
                    <pic:cNvPicPr preferRelativeResize="0"/>
                  </pic:nvPicPr>
                  <pic:blipFill>
                    <a:blip r:embed="rId107">
                      <a:extLst>
                        <a:ext uri="{28A0092B-C50C-407E-A947-70E740481C1C}">
                          <a14:useLocalDpi xmlns:a14="http://schemas.microsoft.com/office/drawing/2010/main" val="0"/>
                        </a:ext>
                      </a:extLst>
                    </a:blip>
                    <a:stretch>
                      <a:fillRect/>
                    </a:stretch>
                  </pic:blipFill>
                  <pic:spPr>
                    <a:xfrm>
                      <a:off x="0" y="0"/>
                      <a:ext cx="7562215" cy="504825"/>
                    </a:xfrm>
                    <a:prstGeom prst="rect">
                      <a:avLst/>
                    </a:prstGeom>
                  </pic:spPr>
                </pic:pic>
              </a:graphicData>
            </a:graphic>
            <wp14:sizeRelH relativeFrom="page">
              <wp14:pctWidth>0</wp14:pctWidth>
            </wp14:sizeRelH>
            <wp14:sizeRelV relativeFrom="page">
              <wp14:pctHeight>0</wp14:pctHeight>
            </wp14:sizeRelV>
          </wp:anchor>
        </w:drawing>
      </w:r>
    </w:p>
    <w:p w14:paraId="6A4C2762" w14:textId="77777777" w:rsidR="009757A9" w:rsidRPr="0081073F" w:rsidRDefault="00083242" w:rsidP="0081073F">
      <w:pPr>
        <w:pStyle w:val="Heading2"/>
        <w:rPr>
          <w:rFonts w:eastAsia="Arial"/>
          <w:sz w:val="25"/>
          <w:szCs w:val="25"/>
        </w:rPr>
      </w:pPr>
      <w:r w:rsidRPr="0081073F">
        <w:rPr>
          <w:rFonts w:eastAsia="Arial"/>
          <w:sz w:val="25"/>
          <w:szCs w:val="25"/>
        </w:rPr>
        <w:lastRenderedPageBreak/>
        <w:t>Senior secondary subject choices</w:t>
      </w:r>
    </w:p>
    <w:p w14:paraId="068FD8B6" w14:textId="77777777" w:rsidR="009757A9" w:rsidRDefault="00083242">
      <w:pPr>
        <w:spacing w:before="143" w:line="240" w:lineRule="exact"/>
        <w:ind w:left="864" w:right="1296"/>
        <w:textAlignment w:val="baseline"/>
        <w:rPr>
          <w:rFonts w:ascii="Tahoma" w:eastAsia="Tahoma" w:hAnsi="Tahoma"/>
          <w:color w:val="404042"/>
          <w:sz w:val="18"/>
        </w:rPr>
      </w:pPr>
      <w:r>
        <w:rPr>
          <w:rFonts w:ascii="Tahoma" w:eastAsia="Tahoma" w:hAnsi="Tahoma"/>
          <w:color w:val="404042"/>
          <w:sz w:val="18"/>
        </w:rPr>
        <w:t>Students generally make their senior secondary subject choices in Year 10. The students choose from a variety of subjects which, when combined, give them the credit points they need to achieve a Senior Secondary Certificate of Education (SSCE).</w:t>
      </w:r>
    </w:p>
    <w:p w14:paraId="57796621" w14:textId="77777777" w:rsidR="009757A9" w:rsidRDefault="00083242">
      <w:pPr>
        <w:spacing w:before="168"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The manner in which subject credits are counted towards the SSCE varies across states and territories. All states and territories allow VET to count towards the SSCE, although the amount of credit varies. Whether the VET counts towards a student’s ATAR also varies. In addition, states and territories may offer courses that incorporate workplace learning, opportunities for industry and community engagement, and career education. These subjects may be beneficial for students but are often considered recreational and do not count towards the SSCE. As a result, students often end up having to choose subjects that are either based on an ATAR (academic) or non-ATAR (vocational) pathway. They find themselves ‘streamed’.</w:t>
      </w:r>
    </w:p>
    <w:p w14:paraId="674FD9AD" w14:textId="77777777" w:rsidR="009757A9" w:rsidRDefault="00083242">
      <w:pPr>
        <w:spacing w:before="18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As a result, in a system which is focused on academic disciplines, students are likely to select subjects to maximise their ATAR rather than subjects that will give them the skills and knowledge needed for the workforce. University becomes the default option. Vocational education and training classes are seen to be of inferior status. Too many students, discouraged, disengage from school and find unskilled work or become unemployed. Across Australia, in 2019, around 16,400 students dropped out of school without a senior secondary certificate and with no planned pathway into stable employment.</w:t>
      </w:r>
      <w:r>
        <w:rPr>
          <w:rFonts w:ascii="Tahoma" w:eastAsia="Tahoma" w:hAnsi="Tahoma"/>
          <w:color w:val="404042"/>
          <w:spacing w:val="6"/>
          <w:sz w:val="18"/>
          <w:vertAlign w:val="superscript"/>
        </w:rPr>
        <w:t>63</w:t>
      </w:r>
      <w:r>
        <w:rPr>
          <w:rFonts w:ascii="Tahoma" w:eastAsia="Tahoma" w:hAnsi="Tahoma"/>
          <w:color w:val="404042"/>
          <w:spacing w:val="6"/>
          <w:sz w:val="11"/>
        </w:rPr>
        <w:t xml:space="preserve"> </w:t>
      </w:r>
    </w:p>
    <w:p w14:paraId="7D5EABF1" w14:textId="77777777" w:rsidR="009757A9" w:rsidRDefault="00083242">
      <w:pPr>
        <w:spacing w:before="180" w:line="215" w:lineRule="exact"/>
        <w:ind w:left="864"/>
        <w:textAlignment w:val="baseline"/>
        <w:rPr>
          <w:rFonts w:ascii="Tahoma" w:eastAsia="Tahoma" w:hAnsi="Tahoma"/>
          <w:color w:val="404042"/>
          <w:spacing w:val="5"/>
          <w:sz w:val="18"/>
        </w:rPr>
      </w:pPr>
      <w:r>
        <w:rPr>
          <w:rFonts w:ascii="Tahoma" w:eastAsia="Tahoma" w:hAnsi="Tahoma"/>
          <w:color w:val="404042"/>
          <w:spacing w:val="5"/>
          <w:sz w:val="18"/>
        </w:rPr>
        <w:t>Even academically inclined students can be disadvantaged. In 2018, the STEM Partnerships Forum highlighted</w:t>
      </w:r>
    </w:p>
    <w:p w14:paraId="43D0F754" w14:textId="6869B534" w:rsidR="00845D14" w:rsidRDefault="00704CC9" w:rsidP="00845D14">
      <w:pPr>
        <w:spacing w:after="600" w:line="240" w:lineRule="exact"/>
        <w:ind w:left="864" w:right="864"/>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68672" behindDoc="0" locked="0" layoutInCell="1" allowOverlap="1" wp14:anchorId="08A9726A" wp14:editId="2F2B1FF8">
                <wp:simplePos x="0" y="0"/>
                <wp:positionH relativeFrom="margin">
                  <wp:posOffset>770255</wp:posOffset>
                </wp:positionH>
                <wp:positionV relativeFrom="page">
                  <wp:posOffset>5050790</wp:posOffset>
                </wp:positionV>
                <wp:extent cx="5907405" cy="0"/>
                <wp:effectExtent l="0" t="0" r="0" b="0"/>
                <wp:wrapNone/>
                <wp:docPr id="809" name="Lin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5DB2E" id="Line 530" o:spid="_x0000_s1026" style="position:absolute;z-index:251868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0.65pt,397.7pt" to="525.8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Kq0gEAAIYDAAAOAAAAZHJzL2Uyb0RvYy54bWysU01v2zAMvQ/YfxB0X+y0TdsYcXpI1l2y&#10;LUC7H8BIsi1MFgVRiZ1/P0n5aLfdhl0ESiQfHx+pxdPYG3ZQnjTamk8nJWfKCpTatjX/8fr86ZEz&#10;CmAlGLSq5kdF/Gn58cNicJW6wQ6NVJ5FEEvV4GreheCqoiDRqR5ogk7Z6GzQ9xDi1beF9DBE9N4U&#10;N2V5XwzopfMoFFF8XZ+cfJnxm0aJ8L1pSAVmah65hXz6fO7SWSwXULUeXKfFmQb8A4setI1Fr1Br&#10;CMD2Xv8F1WvhkbAJE4F9gU2jhco9xG6m5R/dvHTgVO4likPuKhP9P1jx7bD1TMuaP5Zzziz0cUgb&#10;bRWb3WZ1BkdVDFrZrU/9idG+uA2Kn8QsrjqwrcosX48uJk6TnsVvKelCLtbYDV9RxhjYB8xSjY3v&#10;E2QUgY15IsfrRNQYmIiPs3n5cFfOOBMXXwHVJdF5Cl8U9iwZNTeRdQaGw4ZCIgLVJSTVsfisjckD&#10;N5YNNb+/nZU5gdBomZwpjHy7WxnPDpBWpnyYz+9yV9HzPiwhr4G6U1x2nZbJ497KXKVTID+f7QDa&#10;nOzIytizSkmYtKpU7VAet/6iXhx2pn9ezLRN7+85++37LH8BAAD//wMAUEsDBBQABgAIAAAAIQDZ&#10;jlfZ3QAAAAwBAAAPAAAAZHJzL2Rvd25yZXYueG1sTI/BTsMwDIbvSLxDZCRuLOmgG5SmExraaZex&#10;TeLqNaYtNE7VZF339mQS0jj+9qffn/PFaFsxUO8bxxqSiQJBXDrTcKVhv1s9PIPwAdlg65g0nMnD&#10;ori9yTEz7sQfNGxDJWIJ+ww11CF0mZS+rMmin7iOOO6+XG8xxNhX0vR4iuW2lVOlZtJiw/FCjR0t&#10;ayp/tkerYYVqtzHrtfv2n+l5iUGadxq0vr8b315BBBrDFYaLflSHIjod3JGNF23M0+QxohrmL+kT&#10;iAuh0mQG4vA3kkUu/z9R/AIAAP//AwBQSwECLQAUAAYACAAAACEAtoM4kv4AAADhAQAAEwAAAAAA&#10;AAAAAAAAAAAAAAAAW0NvbnRlbnRfVHlwZXNdLnhtbFBLAQItABQABgAIAAAAIQA4/SH/1gAAAJQB&#10;AAALAAAAAAAAAAAAAAAAAC8BAABfcmVscy8ucmVsc1BLAQItABQABgAIAAAAIQBMwXKq0gEAAIYD&#10;AAAOAAAAAAAAAAAAAAAAAC4CAABkcnMvZTJvRG9jLnhtbFBLAQItABQABgAIAAAAIQDZjlfZ3QAA&#10;AAwBAAAPAAAAAAAAAAAAAAAAACwEAABkcnMvZG93bnJldi54bWxQSwUGAAAAAAQABADzAAAANgUA&#10;AAAA&#10;" strokecolor="#007994" strokeweight=".5pt">
                <w10:wrap anchorx="margin" anchory="page"/>
              </v:line>
            </w:pict>
          </mc:Fallback>
        </mc:AlternateContent>
      </w:r>
      <w:r w:rsidR="00083242">
        <w:rPr>
          <w:rFonts w:ascii="Tahoma" w:eastAsia="Tahoma" w:hAnsi="Tahoma"/>
          <w:color w:val="404042"/>
          <w:sz w:val="18"/>
        </w:rPr>
        <w:t>concerns over the decline in the proportion of senior secondary students choosing advanced mathematics and science subjects.</w:t>
      </w:r>
      <w:r w:rsidR="00083242">
        <w:rPr>
          <w:rFonts w:ascii="Tahoma" w:eastAsia="Tahoma" w:hAnsi="Tahoma"/>
          <w:color w:val="404042"/>
          <w:sz w:val="18"/>
          <w:vertAlign w:val="superscript"/>
        </w:rPr>
        <w:t>64</w:t>
      </w:r>
      <w:r w:rsidR="00083242">
        <w:rPr>
          <w:rFonts w:ascii="Tahoma" w:eastAsia="Tahoma" w:hAnsi="Tahoma"/>
          <w:color w:val="404042"/>
          <w:sz w:val="18"/>
        </w:rPr>
        <w:t xml:space="preserve"> Their report noted that students might be making such decisions based on an incorrect belief that taking less challenging subjects will help to maximise their ATAR. These findings are backed up by survey findings, which found that 37 per cent of young people picked easier subjects in high school because they believed it would help them achieve a higher ATAR.</w:t>
      </w:r>
      <w:r w:rsidR="00083242">
        <w:rPr>
          <w:rFonts w:ascii="Tahoma" w:eastAsia="Tahoma" w:hAnsi="Tahoma"/>
          <w:color w:val="404042"/>
          <w:sz w:val="18"/>
          <w:vertAlign w:val="superscript"/>
        </w:rPr>
        <w:t>65</w:t>
      </w:r>
      <w:r w:rsidR="00083242">
        <w:rPr>
          <w:rFonts w:ascii="Tahoma" w:eastAsia="Tahoma" w:hAnsi="Tahoma"/>
          <w:color w:val="404042"/>
          <w:sz w:val="18"/>
        </w:rPr>
        <w:t xml:space="preserve"> Paradoxically, students can be discouraged from pursuing excellence.</w:t>
      </w:r>
    </w:p>
    <w:p w14:paraId="300D7C69" w14:textId="57F8372E" w:rsidR="009757A9" w:rsidRDefault="00083242">
      <w:pPr>
        <w:spacing w:before="105" w:line="300" w:lineRule="exact"/>
        <w:ind w:left="1296" w:right="1584"/>
        <w:jc w:val="both"/>
        <w:textAlignment w:val="baseline"/>
        <w:rPr>
          <w:rFonts w:ascii="Tahoma" w:eastAsia="Tahoma" w:hAnsi="Tahoma"/>
          <w:i/>
          <w:color w:val="007994"/>
          <w:sz w:val="21"/>
        </w:rPr>
      </w:pPr>
      <w:r>
        <w:rPr>
          <w:rFonts w:ascii="Tahoma" w:eastAsia="Tahoma" w:hAnsi="Tahoma"/>
          <w:i/>
          <w:color w:val="007994"/>
          <w:sz w:val="21"/>
        </w:rPr>
        <w:t xml:space="preserve">“Students should be able to choose the senior subjects they enjoy and not be stressed over how </w:t>
      </w:r>
      <w:r>
        <w:rPr>
          <w:rFonts w:ascii="Verdana" w:eastAsia="Verdana" w:hAnsi="Verdana"/>
          <w:i/>
          <w:color w:val="007994"/>
          <w:sz w:val="19"/>
        </w:rPr>
        <w:t xml:space="preserve">much their ATAR will be affected by their decision. A student who intends to be a painter should </w:t>
      </w:r>
      <w:r>
        <w:rPr>
          <w:rFonts w:ascii="Tahoma" w:eastAsia="Tahoma" w:hAnsi="Tahoma"/>
          <w:i/>
          <w:color w:val="007994"/>
          <w:sz w:val="21"/>
        </w:rPr>
        <w:t>not be treated as ‘less important’ than one wanting to be a scientist.”</w:t>
      </w:r>
    </w:p>
    <w:p w14:paraId="106AA1E9" w14:textId="4C55841A" w:rsidR="009757A9" w:rsidRDefault="00704CC9">
      <w:pPr>
        <w:spacing w:before="51" w:after="220" w:line="242" w:lineRule="exact"/>
        <w:ind w:left="6480"/>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869696" behindDoc="0" locked="0" layoutInCell="1" allowOverlap="1" wp14:anchorId="27F28C31" wp14:editId="7715FD60">
                <wp:simplePos x="0" y="0"/>
                <wp:positionH relativeFrom="margin">
                  <wp:align>center</wp:align>
                </wp:positionH>
                <wp:positionV relativeFrom="page">
                  <wp:posOffset>6029960</wp:posOffset>
                </wp:positionV>
                <wp:extent cx="5907405" cy="0"/>
                <wp:effectExtent l="0" t="0" r="0" b="0"/>
                <wp:wrapNone/>
                <wp:docPr id="808"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A52AC" id="Line 529" o:spid="_x0000_s1026" style="position:absolute;z-index:2518696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74.8pt" to="465.15pt,4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4J0QEAAIYDAAAOAAAAZHJzL2Uyb0RvYy54bWysU01v2zAMvQ/YfxB0X+xkTdsYcXpI1l2y&#10;LUC7H8BIsi1MFgVJiZ1/P0r5WLfdhl0ESiQfHx+p5dPYG3ZUPmi0NZ9OSs6UFSi1bWv+/fX5wyNn&#10;IYKVYNCqmp9U4E+r9++Wg6vUDDs0UnlGIDZUg6t5F6OriiKITvUQJuiUJWeDvodIV98W0sNA6L0p&#10;ZmV5XwzopfMoVAj0ujk7+SrjN40S8VvTBBWZqTlxi/n0+dyns1gtoWo9uE6LCw34BxY9aEtFb1Ab&#10;iMAOXv8F1WvhMWATJwL7AptGC5V7oG6m5R/dvHTgVO6FxAnuJlP4f7Di63HnmZY1fyxpVBZ6GtJW&#10;W8Xms0VSZ3ChoqC13fnUnxjti9ui+BGYxXUHtlWZ5evJUeI0ZRS/paRLcFRjP3xBSTFwiJilGhvf&#10;J0gSgY15IqfbRNQYmaDH+aJ8uCvnnImrr4Dqmuh8iJ8V9iwZNTfEOgPDcRtiIgLVNSTVsfisjckD&#10;N5YNNb//OC9zQkCjZXKmsODb/dp4doS0MuXDYnGXuyLP27CEvIHQneOy67xMHg9W5iqdAvnpYkfQ&#10;5mwTK2MvKiVhzhLvUZ52/qoeDTvTvyxm2qa395z96/usfgIAAP//AwBQSwMEFAAGAAgAAAAhAA7b&#10;XrDaAAAACAEAAA8AAABkcnMvZG93bnJldi54bWxMj8FOwzAQRO9I/IO1SNyoDYWKhDgVKuqpF2iR&#10;uG7jJQnE6yh20/TvWSSkcpyd1cybYjn5To00xDawhduZAUVcBddybeF9t755BBUTssMuMFk4UYRl&#10;eXlRYO7Ckd9o3KZaSQjHHC00KfW51rFqyGOchZ5YvM8weEwih1q7AY8S7jt9Z8xCe2xZGhrsadVQ&#10;9b09eAtrNLtXt9mEr/jxcFph0u6FRmuvr6bnJ1CJpnR+hl98QYdSmPbhwC6qzoIMSRay+2wBSuxs&#10;buag9n8XXRb6/4DyBwAA//8DAFBLAQItABQABgAIAAAAIQC2gziS/gAAAOEBAAATAAAAAAAAAAAA&#10;AAAAAAAAAABbQ29udGVudF9UeXBlc10ueG1sUEsBAi0AFAAGAAgAAAAhADj9If/WAAAAlAEAAAsA&#10;AAAAAAAAAAAAAAAALwEAAF9yZWxzLy5yZWxzUEsBAi0AFAAGAAgAAAAhAFU/HgnRAQAAhgMAAA4A&#10;AAAAAAAAAAAAAAAALgIAAGRycy9lMm9Eb2MueG1sUEsBAi0AFAAGAAgAAAAhAA7bXrDaAAAACAEA&#10;AA8AAAAAAAAAAAAAAAAAKwQAAGRycy9kb3ducmV2LnhtbFBLBQYAAAAABAAEAPMAAAAyBQAAAAA=&#10;" strokecolor="#007994" strokeweight=".5pt">
                <w10:wrap anchorx="margin" anchory="page"/>
              </v:line>
            </w:pict>
          </mc:Fallback>
        </mc:AlternateContent>
      </w:r>
      <w:r w:rsidR="00083242">
        <w:rPr>
          <w:rFonts w:ascii="Tahoma" w:eastAsia="Tahoma" w:hAnsi="Tahoma"/>
          <w:i/>
          <w:color w:val="007994"/>
          <w:spacing w:val="1"/>
          <w:sz w:val="21"/>
        </w:rPr>
        <w:t>Freya, Victorian school student, submission</w:t>
      </w:r>
    </w:p>
    <w:p w14:paraId="65D23259" w14:textId="1C9E9473" w:rsidR="009757A9" w:rsidRDefault="00704CC9">
      <w:pPr>
        <w:spacing w:before="414" w:after="1468" w:line="240" w:lineRule="exact"/>
        <w:ind w:left="864" w:right="936"/>
        <w:textAlignment w:val="baseline"/>
        <w:rPr>
          <w:rFonts w:ascii="Tahoma" w:eastAsia="Tahoma" w:hAnsi="Tahoma"/>
          <w:color w:val="404042"/>
          <w:spacing w:val="6"/>
          <w:sz w:val="18"/>
        </w:rPr>
      </w:pPr>
      <w:r>
        <w:rPr>
          <w:noProof/>
          <w:lang w:val="en-AU" w:eastAsia="en-AU"/>
        </w:rPr>
        <mc:AlternateContent>
          <mc:Choice Requires="wps">
            <w:drawing>
              <wp:anchor distT="0" distB="0" distL="114300" distR="114300" simplePos="0" relativeHeight="251870720" behindDoc="1" locked="0" layoutInCell="1" allowOverlap="1" wp14:anchorId="538A3E61" wp14:editId="4AD7E771">
                <wp:simplePos x="0" y="0"/>
                <wp:positionH relativeFrom="page">
                  <wp:posOffset>533400</wp:posOffset>
                </wp:positionH>
                <wp:positionV relativeFrom="page">
                  <wp:posOffset>8420100</wp:posOffset>
                </wp:positionV>
                <wp:extent cx="917575" cy="0"/>
                <wp:effectExtent l="0" t="0" r="0" b="0"/>
                <wp:wrapTight wrapText="bothSides">
                  <wp:wrapPolygon edited="0">
                    <wp:start x="0" y="0"/>
                    <wp:lineTo x="0" y="21600"/>
                    <wp:lineTo x="21600" y="21600"/>
                    <wp:lineTo x="21600" y="0"/>
                  </wp:wrapPolygon>
                </wp:wrapTight>
                <wp:docPr id="807"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CBEBA" id="Line 528" o:spid="_x0000_s1026" style="position:absolute;z-index:-25144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pt,663pt" to="114.2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H9zQEAAIYDAAAOAAAAZHJzL2Uyb0RvYy54bWysU8GO2jAQvVfqP1i+lwQkFhoR9gDdXmiL&#10;tNsPGGwnsep4LNsQ+PuOHaDb7m3VHCyPZ+bNmzeT1eO5N+ykfNBoaz6dlJwpK1Bq29b858vTpyVn&#10;IYKVYNCqml9U4I/rjx9Wg6vUDDs0UnlGIDZUg6t5F6OriiKITvUQJuiUJWeDvodIpm8L6WEg9N4U&#10;s7J8KAb00nkUKgR63Y5Ovs74TaNE/NE0QUVmak7cYj59Pg/pLNYrqFoPrtPiSgPewaIHbanoHWoL&#10;EdjR6zdQvRYeAzZxIrAvsGm0ULkH6mZa/tPNcwdO5V5InODuMoX/Byu+n/aeaVnzZbngzEJPQ9pp&#10;q9h8tkzqDC5UFLSxe5/6E2f77HYofgVmcdOBbVVm+XJxlDhNGcVfKckIjmochm8oKQaOEbNU58b3&#10;CZJEYOc8kct9IuocmaDHz9PFfDHnTNxcBVS3POdD/KqwZ+lSc0OkMy6cdiEmHlDdQlIZi0/amDxv&#10;Y9lAZGflwzxnBDRaJm+KC749bIxnJ0grk7/cFXlehyXoLYRujMuucZk8Hq3MZToF8sv1HkGb8U60&#10;jL2qlIQZJT6gvOz9TT0aduZ/Xcy0Ta/tnP3n91n/BgAA//8DAFBLAwQUAAYACAAAACEAZW9lK98A&#10;AAAMAQAADwAAAGRycy9kb3ducmV2LnhtbEyPQU/DMAyF70j7D5EncUEspZQpKk0nNAluIDZA7Jg1&#10;XlutcaomW8u/xxwQ3Oznp+fvFavJdeKMQ2g9abhZJCCQKm9bqjW8vz1eKxAhGrKm84QavjDAqpxd&#10;FCa3fqQNnrexFhxCITcamhj7XMpQNehMWPgeiW8HPzgTeR1qaQczcrjrZJokS+lMS/yhMT2uG6yO&#10;25PTIGWisunjc3zOroJqd+t69/TyqvXlfHq4BxFxin9m+MFndCiZae9PZIPoNKiMq0TWb9MlT+xI&#10;U3UHYv8rybKQ/0uU3wAAAP//AwBQSwECLQAUAAYACAAAACEAtoM4kv4AAADhAQAAEwAAAAAAAAAA&#10;AAAAAAAAAAAAW0NvbnRlbnRfVHlwZXNdLnhtbFBLAQItABQABgAIAAAAIQA4/SH/1gAAAJQBAAAL&#10;AAAAAAAAAAAAAAAAAC8BAABfcmVscy8ucmVsc1BLAQItABQABgAIAAAAIQBBzrH9zQEAAIYDAAAO&#10;AAAAAAAAAAAAAAAAAC4CAABkcnMvZTJvRG9jLnhtbFBLAQItABQABgAIAAAAIQBlb2Ur3wAAAAwB&#10;AAAPAAAAAAAAAAAAAAAAACcEAABkcnMvZG93bnJldi54bWxQSwUGAAAAAAQABADzAAAAMwUAAAAA&#10;" strokeweight=".95pt">
                <w10:wrap type="tight" anchorx="page" anchory="page"/>
              </v:line>
            </w:pict>
          </mc:Fallback>
        </mc:AlternateContent>
      </w:r>
      <w:r w:rsidR="00083242">
        <w:rPr>
          <w:rFonts w:ascii="Tahoma" w:eastAsia="Tahoma" w:hAnsi="Tahoma"/>
          <w:color w:val="404042"/>
          <w:spacing w:val="6"/>
          <w:sz w:val="18"/>
        </w:rPr>
        <w:t>Too often, selections by students in Year 10 require them to choose inflexible pathways either in an ‘academic stream’ or a ‘vocational stream’. The binary decisions that senior secondary students are often forced to make between ‘academic’ or ‘vocational’ routes not only reinforce stereotypical assumptions about relative prestige, but give a false expectation of the world ahead: after school, students will discover young people increasingly move between universities, non-university higher education providers, TAFEs and other registered training providers in order to acquire the portfolio of skills and qualifications that employers require. This same flexible ethos needs to prevail in school. More students need to have a greater opportunity to combine academic and vocational education and training subjects at school if this best meets their aspirations.</w:t>
      </w:r>
    </w:p>
    <w:p w14:paraId="4BE25DD8" w14:textId="1F871789" w:rsidR="009757A9" w:rsidRDefault="00083242">
      <w:pPr>
        <w:spacing w:before="45" w:line="199" w:lineRule="exact"/>
        <w:ind w:left="1080" w:right="864" w:hanging="216"/>
        <w:jc w:val="both"/>
        <w:textAlignment w:val="baseline"/>
        <w:rPr>
          <w:rFonts w:ascii="Tahoma" w:eastAsia="Tahoma" w:hAnsi="Tahoma"/>
          <w:color w:val="404042"/>
          <w:sz w:val="14"/>
        </w:rPr>
      </w:pPr>
      <w:r>
        <w:rPr>
          <w:rFonts w:ascii="Tahoma" w:eastAsia="Tahoma" w:hAnsi="Tahoma"/>
          <w:color w:val="404042"/>
          <w:sz w:val="14"/>
        </w:rPr>
        <w:t xml:space="preserve">63 Australian Bureau of Statistics (2019b), </w:t>
      </w:r>
      <w:r>
        <w:rPr>
          <w:rFonts w:ascii="Arial" w:eastAsia="Arial" w:hAnsi="Arial"/>
          <w:i/>
          <w:color w:val="404042"/>
          <w:sz w:val="14"/>
        </w:rPr>
        <w:t>Education and Work, Australia, May 2019</w:t>
      </w:r>
      <w:r>
        <w:rPr>
          <w:rFonts w:ascii="Tahoma" w:eastAsia="Tahoma" w:hAnsi="Tahoma"/>
          <w:color w:val="404042"/>
          <w:sz w:val="14"/>
        </w:rPr>
        <w:t xml:space="preserve">, cat. no. 6227.0, Table 17, </w:t>
      </w:r>
      <w:hyperlink r:id="rId141">
        <w:r>
          <w:rPr>
            <w:rFonts w:ascii="Tahoma" w:eastAsia="Tahoma" w:hAnsi="Tahoma"/>
            <w:color w:val="0000FF"/>
            <w:sz w:val="14"/>
            <w:u w:val="single"/>
          </w:rPr>
          <w:t>https://www.abs.gov.au/ausstats/abs@.nsf/ Latestproducts/6227.0Main%20Features30May%202019?opendocument&amp;tabname=Summary&amp;prodno=6227.0&amp;issue=May%202019&amp;num=&amp;view=</w:t>
        </w:r>
      </w:hyperlink>
      <w:r>
        <w:rPr>
          <w:rFonts w:ascii="Tahoma" w:eastAsia="Tahoma" w:hAnsi="Tahoma"/>
          <w:color w:val="404042"/>
          <w:sz w:val="14"/>
        </w:rPr>
        <w:t>.</w:t>
      </w:r>
    </w:p>
    <w:p w14:paraId="4636F552" w14:textId="6E3797E5" w:rsidR="009757A9" w:rsidRDefault="00083242">
      <w:pPr>
        <w:spacing w:before="8" w:line="199" w:lineRule="exact"/>
        <w:ind w:left="1080" w:right="864" w:hanging="216"/>
        <w:jc w:val="both"/>
        <w:textAlignment w:val="baseline"/>
        <w:rPr>
          <w:rFonts w:ascii="Tahoma" w:eastAsia="Tahoma" w:hAnsi="Tahoma"/>
          <w:color w:val="404042"/>
          <w:sz w:val="14"/>
        </w:rPr>
      </w:pPr>
      <w:r>
        <w:rPr>
          <w:rFonts w:ascii="Tahoma" w:eastAsia="Tahoma" w:hAnsi="Tahoma"/>
          <w:color w:val="404042"/>
          <w:sz w:val="14"/>
        </w:rPr>
        <w:t xml:space="preserve">64 Council of Australian Governments Education Council (2018b), </w:t>
      </w:r>
      <w:r>
        <w:rPr>
          <w:rFonts w:ascii="Arial" w:eastAsia="Arial" w:hAnsi="Arial"/>
          <w:i/>
          <w:color w:val="404042"/>
          <w:sz w:val="14"/>
        </w:rPr>
        <w:t>Optimising STEM Industry–School Partnerships: Inspiring Australia’s next generation: Final report</w:t>
      </w:r>
      <w:r>
        <w:rPr>
          <w:rFonts w:ascii="Tahoma" w:eastAsia="Tahoma" w:hAnsi="Tahoma"/>
          <w:color w:val="404042"/>
          <w:sz w:val="14"/>
        </w:rPr>
        <w:t xml:space="preserve">, April 2018, p. 9, </w:t>
      </w:r>
      <w:hyperlink r:id="rId142">
        <w:r>
          <w:rPr>
            <w:rFonts w:ascii="Tahoma" w:eastAsia="Tahoma" w:hAnsi="Tahoma"/>
            <w:color w:val="0000FF"/>
            <w:sz w:val="14"/>
            <w:u w:val="single"/>
          </w:rPr>
          <w:t xml:space="preserve">http://www.educationcouncil.edu.au/site/DefaultSite/filesystem/documents/Reports%20and%20publications/Publications/ </w:t>
        </w:r>
      </w:hyperlink>
      <w:r>
        <w:rPr>
          <w:rFonts w:ascii="Tahoma" w:eastAsia="Tahoma" w:hAnsi="Tahoma"/>
          <w:color w:val="0000FF"/>
          <w:sz w:val="14"/>
          <w:u w:val="single"/>
        </w:rPr>
        <w:t>Optimising%20STEM%20Industry-School%20Partnerships%20-%20Final%20Report.pdf</w:t>
      </w:r>
      <w:r>
        <w:rPr>
          <w:rFonts w:ascii="Tahoma" w:eastAsia="Tahoma" w:hAnsi="Tahoma"/>
          <w:color w:val="404042"/>
          <w:sz w:val="14"/>
        </w:rPr>
        <w:t>.</w:t>
      </w:r>
    </w:p>
    <w:p w14:paraId="456E1A10" w14:textId="1E6F6DCC" w:rsidR="009757A9" w:rsidRDefault="00083242">
      <w:pPr>
        <w:spacing w:before="30" w:line="167" w:lineRule="exact"/>
        <w:ind w:left="864"/>
        <w:textAlignment w:val="baseline"/>
        <w:rPr>
          <w:rFonts w:ascii="Tahoma" w:eastAsia="Tahoma" w:hAnsi="Tahoma"/>
          <w:color w:val="404042"/>
          <w:spacing w:val="2"/>
          <w:sz w:val="14"/>
        </w:rPr>
      </w:pPr>
      <w:r>
        <w:rPr>
          <w:rFonts w:ascii="Tahoma" w:eastAsia="Tahoma" w:hAnsi="Tahoma"/>
          <w:color w:val="404042"/>
          <w:spacing w:val="2"/>
          <w:sz w:val="14"/>
        </w:rPr>
        <w:t>65 Shipley and Stubley (2018), p. 34.</w:t>
      </w:r>
    </w:p>
    <w:p w14:paraId="33D3E04F" w14:textId="28B2F932" w:rsidR="00845D14" w:rsidRPr="00845D14" w:rsidRDefault="00845D14" w:rsidP="00845D14">
      <w:pPr>
        <w:rPr>
          <w:rFonts w:ascii="Tahoma" w:eastAsia="Tahoma" w:hAnsi="Tahoma"/>
          <w:sz w:val="14"/>
        </w:rPr>
      </w:pPr>
    </w:p>
    <w:p w14:paraId="750EBAA5" w14:textId="511B30B8" w:rsidR="00845D14" w:rsidRPr="00845D14" w:rsidRDefault="00845D14" w:rsidP="00845D14">
      <w:pPr>
        <w:rPr>
          <w:rFonts w:ascii="Tahoma" w:eastAsia="Tahoma" w:hAnsi="Tahoma"/>
          <w:sz w:val="14"/>
        </w:rPr>
      </w:pPr>
    </w:p>
    <w:p w14:paraId="1B28E886" w14:textId="0B6D22D1" w:rsidR="00845D14" w:rsidRDefault="00845D14" w:rsidP="00845D14">
      <w:pPr>
        <w:rPr>
          <w:rFonts w:ascii="Tahoma" w:eastAsia="Tahoma" w:hAnsi="Tahoma"/>
          <w:color w:val="404042"/>
          <w:spacing w:val="2"/>
          <w:sz w:val="14"/>
        </w:rPr>
      </w:pPr>
    </w:p>
    <w:p w14:paraId="2BEAB866" w14:textId="460D2F56" w:rsidR="009757A9" w:rsidRDefault="00083242" w:rsidP="00845D14">
      <w:pPr>
        <w:tabs>
          <w:tab w:val="left" w:pos="1418"/>
          <w:tab w:val="left" w:pos="2205"/>
        </w:tabs>
        <w:ind w:firstLine="864"/>
        <w:rPr>
          <w:rFonts w:ascii="Arial" w:eastAsia="Arial" w:hAnsi="Arial"/>
          <w:b/>
          <w:color w:val="5556A1"/>
          <w:spacing w:val="4"/>
          <w:sz w:val="19"/>
        </w:rPr>
      </w:pPr>
      <w:r>
        <w:rPr>
          <w:rFonts w:ascii="Arial" w:eastAsia="Arial" w:hAnsi="Arial"/>
          <w:b/>
          <w:color w:val="5556A1"/>
          <w:spacing w:val="4"/>
          <w:sz w:val="19"/>
        </w:rPr>
        <w:t>6</w:t>
      </w:r>
      <w:r w:rsidR="00845D14">
        <w:rPr>
          <w:rFonts w:ascii="Arial" w:eastAsia="Arial" w:hAnsi="Arial"/>
          <w:b/>
          <w:color w:val="5556A1"/>
          <w:spacing w:val="4"/>
          <w:sz w:val="19"/>
        </w:rPr>
        <w:t>0</w:t>
      </w:r>
      <w:r w:rsidR="00845D14">
        <w:rPr>
          <w:rFonts w:ascii="Arial" w:eastAsia="Arial" w:hAnsi="Arial"/>
          <w:b/>
          <w:color w:val="5556A1"/>
          <w:spacing w:val="4"/>
          <w:sz w:val="19"/>
        </w:rPr>
        <w:tab/>
      </w:r>
      <w:r>
        <w:rPr>
          <w:rFonts w:ascii="Tahoma" w:eastAsia="Tahoma" w:hAnsi="Tahoma"/>
          <w:color w:val="404042"/>
          <w:spacing w:val="4"/>
          <w:sz w:val="14"/>
        </w:rPr>
        <w:t>Looking to the future</w:t>
      </w:r>
    </w:p>
    <w:p w14:paraId="66B0D9B3" w14:textId="0CE627EC" w:rsidR="009757A9" w:rsidRDefault="009757A9">
      <w:pPr>
        <w:textAlignment w:val="baseline"/>
      </w:pPr>
    </w:p>
    <w:p w14:paraId="619C3BEB" w14:textId="77777777" w:rsidR="00704CC9" w:rsidRDefault="00704CC9">
      <w:pPr>
        <w:spacing w:before="119" w:line="300" w:lineRule="exact"/>
        <w:ind w:left="1296" w:right="1584"/>
        <w:textAlignment w:val="baseline"/>
        <w:rPr>
          <w:rFonts w:ascii="Tahoma" w:eastAsia="Tahoma" w:hAnsi="Tahoma"/>
          <w:i/>
          <w:color w:val="007994"/>
          <w:sz w:val="21"/>
        </w:rPr>
      </w:pPr>
    </w:p>
    <w:p w14:paraId="21B441FA" w14:textId="74965263" w:rsidR="00704CC9" w:rsidRDefault="00704CC9">
      <w:pPr>
        <w:spacing w:before="119" w:line="300" w:lineRule="exact"/>
        <w:ind w:left="1296" w:right="1584"/>
        <w:textAlignment w:val="baseline"/>
        <w:rPr>
          <w:rFonts w:ascii="Tahoma" w:eastAsia="Tahoma" w:hAnsi="Tahoma"/>
          <w:i/>
          <w:color w:val="007994"/>
          <w:sz w:val="21"/>
        </w:rPr>
      </w:pPr>
      <w:r>
        <w:rPr>
          <w:noProof/>
          <w:lang w:val="en-AU" w:eastAsia="en-AU"/>
        </w:rPr>
        <w:drawing>
          <wp:anchor distT="0" distB="0" distL="114300" distR="114300" simplePos="0" relativeHeight="252049920" behindDoc="1" locked="0" layoutInCell="1" allowOverlap="1" wp14:anchorId="1B038F6A" wp14:editId="45E38F02">
            <wp:simplePos x="0" y="0"/>
            <wp:positionH relativeFrom="margin">
              <wp:align>right</wp:align>
            </wp:positionH>
            <wp:positionV relativeFrom="paragraph">
              <wp:posOffset>81915</wp:posOffset>
            </wp:positionV>
            <wp:extent cx="7562215" cy="462915"/>
            <wp:effectExtent l="0" t="0" r="635" b="0"/>
            <wp:wrapNone/>
            <wp:docPr id="49" name="Picture"/>
            <wp:cNvGraphicFramePr/>
            <a:graphic xmlns:a="http://schemas.openxmlformats.org/drawingml/2006/main">
              <a:graphicData uri="http://schemas.openxmlformats.org/drawingml/2006/picture">
                <pic:pic xmlns:pic="http://schemas.openxmlformats.org/drawingml/2006/picture">
                  <pic:nvPicPr>
                    <pic:cNvPr id="97" name="Picture"/>
                    <pic:cNvPicPr preferRelativeResize="0"/>
                  </pic:nvPicPr>
                  <pic:blipFill>
                    <a:blip r:embed="rId129">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76065E1C" w14:textId="41B396FD" w:rsidR="009757A9" w:rsidRDefault="000D2E34">
      <w:pPr>
        <w:spacing w:before="119" w:line="300" w:lineRule="exact"/>
        <w:ind w:left="1296" w:right="1584"/>
        <w:textAlignment w:val="baseline"/>
        <w:rPr>
          <w:rFonts w:ascii="Tahoma" w:eastAsia="Tahoma" w:hAnsi="Tahoma"/>
          <w:i/>
          <w:color w:val="007994"/>
          <w:sz w:val="21"/>
        </w:rPr>
      </w:pPr>
      <w:r>
        <w:rPr>
          <w:noProof/>
          <w:lang w:val="en-AU" w:eastAsia="en-AU"/>
        </w:rPr>
        <w:lastRenderedPageBreak/>
        <mc:AlternateContent>
          <mc:Choice Requires="wps">
            <w:drawing>
              <wp:anchor distT="0" distB="0" distL="114300" distR="114300" simplePos="0" relativeHeight="251871744" behindDoc="0" locked="0" layoutInCell="1" allowOverlap="1" wp14:anchorId="1106A2E0" wp14:editId="65968E23">
                <wp:simplePos x="0" y="0"/>
                <wp:positionH relativeFrom="margin">
                  <wp:align>center</wp:align>
                </wp:positionH>
                <wp:positionV relativeFrom="margin">
                  <wp:align>top</wp:align>
                </wp:positionV>
                <wp:extent cx="5907405" cy="0"/>
                <wp:effectExtent l="0" t="0" r="0" b="0"/>
                <wp:wrapNone/>
                <wp:docPr id="806"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35832" id="Line 527" o:spid="_x0000_s1026" style="position:absolute;z-index:25187174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from="0,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mD0QEAAIYDAAAOAAAAZHJzL2Uyb0RvYy54bWysU8Fu2zAMvQ/YPwi6L3aypmmMOD0k6y7Z&#10;FqDtBzCSbAuTREFSYufvJ8lJ1m23YheBEsnHx0dq9ThoRU7CeYmmptNJSYkwDLk0bU1fX54+PVDi&#10;AxgOCo2o6Vl4+rj++GHV20rMsEPFhSMRxPiqtzXtQrBVUXjWCQ1+glaY6GzQaQjx6tqCO+gjulbF&#10;rCzvix4dtw6Z8D6+bkcnXWf8phEs/GgaLwJRNY3cQj5dPg/pLNYrqFoHtpPsQgPewUKDNLHoDWoL&#10;AcjRyX+gtGQOPTZhwlAX2DSSidxD7GZa/tXNcwdW5F6iON7eZPL/D5Z9P+0dkbymD+U9JQZ0HNJO&#10;GkHms0VSp7e+ikEbs3epPzaYZ7tD9tMTg5sOTCsyy5ezjYnTlFH8kZIu3sYah/4b8hgDx4BZqqFx&#10;OkFGEciQJ3K+TUQMgbD4OF+Wi7tyTgm7+gqoronW+fBVoCbJqKmKrDMwnHY+JCJQXUNSHYNPUqk8&#10;cGVIX9PP08U8J3hUkidnCvOuPWyUIydIK1Mulsu73FX0vA1LyFvw3RiXXeMyOTwanqt0AviXix1A&#10;qtGOrJS5qJSEGSU+ID/v3VW9OOxM/7KYaZve3nP27++z/gUAAP//AwBQSwMEFAAGAAgAAAAhAM2a&#10;U+7ZAAAAAgEAAA8AAABkcnMvZG93bnJldi54bWxMj0FLw0AQhe+C/2EZwZvdtUXRmE1RwYOnalsQ&#10;b9PsmMRkZ0N226T/3qkXvTx4vOG9b/Ll5Dt1oCE2gS1czwwo4jK4hisL283L1R2omJAddoHJwpEi&#10;LIvzsxwzF0Z+p8M6VUpKOGZooU6pz7SOZU0e4yz0xJJ9hcFjEjtU2g04Srnv9NyYW+2xYVmosafn&#10;msp2vfcWWqrM2K42x9VHfPu+6Z8+3Xz7au3lxfT4ACrRlP6O4YQv6FAI0y7s2UXVWZBH0q9Kdr8w&#10;C1C7k9VFrv+jFz8AAAD//wMAUEsBAi0AFAAGAAgAAAAhALaDOJL+AAAA4QEAABMAAAAAAAAAAAAA&#10;AAAAAAAAAFtDb250ZW50X1R5cGVzXS54bWxQSwECLQAUAAYACAAAACEAOP0h/9YAAACUAQAACwAA&#10;AAAAAAAAAAAAAAAvAQAAX3JlbHMvLnJlbHNQSwECLQAUAAYACAAAACEARPZJg9EBAACGAwAADgAA&#10;AAAAAAAAAAAAAAAuAgAAZHJzL2Uyb0RvYy54bWxQSwECLQAUAAYACAAAACEAzZpT7tkAAAACAQAA&#10;DwAAAAAAAAAAAAAAAAArBAAAZHJzL2Rvd25yZXYueG1sUEsFBgAAAAAEAAQA8wAAADEFAAAAAA==&#10;" strokecolor="#007994" strokeweight=".25pt">
                <w10:wrap anchorx="margin" anchory="margin"/>
              </v:line>
            </w:pict>
          </mc:Fallback>
        </mc:AlternateContent>
      </w:r>
      <w:r w:rsidR="00083242">
        <w:rPr>
          <w:rFonts w:ascii="Tahoma" w:eastAsia="Tahoma" w:hAnsi="Tahoma"/>
          <w:i/>
          <w:color w:val="007994"/>
          <w:sz w:val="21"/>
        </w:rPr>
        <w:t xml:space="preserve">“At present, once a [student] makes the decision to undertake vocational programs at the commencement of Year 11, it is assumed that they will not be taking a university pathway. This is often too early for many students to be making this type of decision and many hesitate about </w:t>
      </w:r>
      <w:r w:rsidR="00083242">
        <w:rPr>
          <w:rFonts w:ascii="Verdana" w:eastAsia="Verdana" w:hAnsi="Verdana"/>
          <w:i/>
          <w:color w:val="007994"/>
          <w:sz w:val="19"/>
        </w:rPr>
        <w:t xml:space="preserve">choosing vocational courses as they do not want to cut out the option of ATAR qualification/ </w:t>
      </w:r>
      <w:r w:rsidR="00083242">
        <w:rPr>
          <w:rFonts w:ascii="Tahoma" w:eastAsia="Tahoma" w:hAnsi="Tahoma"/>
          <w:i/>
          <w:color w:val="007994"/>
          <w:sz w:val="21"/>
        </w:rPr>
        <w:t>university study.”</w:t>
      </w:r>
    </w:p>
    <w:p w14:paraId="6D55403F" w14:textId="77777777" w:rsidR="009757A9" w:rsidRDefault="00083242">
      <w:pPr>
        <w:spacing w:before="56" w:line="247" w:lineRule="exact"/>
        <w:ind w:left="6264"/>
        <w:textAlignment w:val="baseline"/>
        <w:rPr>
          <w:rFonts w:ascii="Tahoma" w:eastAsia="Tahoma" w:hAnsi="Tahoma"/>
          <w:i/>
          <w:color w:val="007994"/>
          <w:sz w:val="21"/>
        </w:rPr>
      </w:pPr>
      <w:r>
        <w:rPr>
          <w:rFonts w:ascii="Tahoma" w:eastAsia="Tahoma" w:hAnsi="Tahoma"/>
          <w:i/>
          <w:color w:val="007994"/>
          <w:sz w:val="21"/>
        </w:rPr>
        <w:t>Principal, K–12 metropolitan school, quoted in</w:t>
      </w:r>
    </w:p>
    <w:p w14:paraId="7A8E9643" w14:textId="77777777" w:rsidR="009757A9" w:rsidRDefault="00083242">
      <w:pPr>
        <w:spacing w:before="50" w:after="216" w:line="247" w:lineRule="exact"/>
        <w:ind w:left="5328"/>
        <w:textAlignment w:val="baseline"/>
        <w:rPr>
          <w:rFonts w:ascii="Tahoma" w:eastAsia="Tahoma" w:hAnsi="Tahoma"/>
          <w:i/>
          <w:color w:val="007994"/>
          <w:spacing w:val="2"/>
          <w:sz w:val="21"/>
        </w:rPr>
      </w:pPr>
      <w:r>
        <w:rPr>
          <w:rFonts w:ascii="Tahoma" w:eastAsia="Tahoma" w:hAnsi="Tahoma"/>
          <w:i/>
          <w:color w:val="007994"/>
          <w:spacing w:val="2"/>
          <w:sz w:val="21"/>
        </w:rPr>
        <w:t>Association of Independent Schools of NSW submission</w:t>
      </w:r>
    </w:p>
    <w:p w14:paraId="4B277F67" w14:textId="6D716D05" w:rsidR="009757A9" w:rsidRDefault="000D2E34">
      <w:pPr>
        <w:spacing w:before="419" w:line="240" w:lineRule="exact"/>
        <w:ind w:left="864" w:right="1080"/>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872768" behindDoc="0" locked="0" layoutInCell="1" allowOverlap="1" wp14:anchorId="7C19D4E6" wp14:editId="73179FFB">
                <wp:simplePos x="0" y="0"/>
                <wp:positionH relativeFrom="page">
                  <wp:posOffset>826135</wp:posOffset>
                </wp:positionH>
                <wp:positionV relativeFrom="page">
                  <wp:posOffset>2142490</wp:posOffset>
                </wp:positionV>
                <wp:extent cx="5907405" cy="0"/>
                <wp:effectExtent l="0" t="0" r="0" b="0"/>
                <wp:wrapNone/>
                <wp:docPr id="805"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5AAF9" id="Line 526" o:spid="_x0000_s1026" style="position:absolute;z-index:2518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68.7pt" to="530.2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oi0AEAAIYDAAAOAAAAZHJzL2Uyb0RvYy54bWysU8Fu2zAMvQ/YPwi6L3ayJm2MOD0k6y7Z&#10;FqDtBzCSbAuTREFSYufvJ8lJ1m23YheBEsnHx0dq9ThoRU7CeYmmptNJSYkwDLk0bU1fX54+PVDi&#10;AxgOCo2o6Vl4+rj++GHV20rMsEPFhSMRxPiqtzXtQrBVUXjWCQ1+glaY6GzQaQjx6tqCO+gjulbF&#10;rCwXRY+OW4dMeB9ft6OTrjN+0wgWfjSNF4GomkZuIZ8un4d0FusVVK0D20l2oQHvYKFBmlj0BrWF&#10;AOTo5D9QWjKHHpswYagLbBrJRO4hdjMt/+rmuQMrci9RHG9vMvn/B8u+n/aOSF7Th3JOiQEdh7ST&#10;RpD5bJHU6a2vYtDG7F3qjw3m2e6Q/fTE4KYD04rM8uVsY+I0ZRR/pKSLt7HGof+GPMbAMWCWamic&#10;TpBRBDLkiZxvExFDICw+zpfl/V0ixq6+AqpronU+fBWoSTJqqiLrDAynnQ+JCFTXkFTH4JNUKg9c&#10;GdLXdPF5XuYEj0ry5Exh3rWHjXLkBGllyvvl8i53FT1vwxLyFnw3xmXXuEwOj4bnKp0A/uViB5Bq&#10;tCMrZS4qJWFGiQ/Iz3t3VS8OO9O/LGbaprf3nP37+6x/AQAA//8DAFBLAwQUAAYACAAAACEAOUr9&#10;vtwAAAAMAQAADwAAAGRycy9kb3ducmV2LnhtbEyPQU/DMAyF70j8h8hI3FgyCgOVphMa2mkX2JC4&#10;eo1pC41TNVnX/Xs8CQlufvbT8/eK5eQ7NdIQ28AW5jMDirgKruXawvtuffMIKiZkh11gsnCiCMvy&#10;8qLA3IUjv9G4TbWSEI45WmhS6nOtY9WQxzgLPbHcPsPgMYkcau0GPEq47/StMQvtsWX50GBPq4aq&#10;7+3BW1ij2b26zSZ8xY/70wqTdi80Wnt9NT0/gUo0pT8znPEFHUph2ocDu6g60ZmZi9VClj3cgTo7&#10;zMLItP9d6bLQ/0uUPwAAAP//AwBQSwECLQAUAAYACAAAACEAtoM4kv4AAADhAQAAEwAAAAAAAAAA&#10;AAAAAAAAAAAAW0NvbnRlbnRfVHlwZXNdLnhtbFBLAQItABQABgAIAAAAIQA4/SH/1gAAAJQBAAAL&#10;AAAAAAAAAAAAAAAAAC8BAABfcmVscy8ucmVsc1BLAQItABQABgAIAAAAIQCObhoi0AEAAIYDAAAO&#10;AAAAAAAAAAAAAAAAAC4CAABkcnMvZTJvRG9jLnhtbFBLAQItABQABgAIAAAAIQA5Sv2+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pacing w:val="5"/>
          <w:sz w:val="18"/>
        </w:rPr>
        <w:t>With few exceptions, most senior secondary subjects are focused on meeting the requirements of a particular post-school destination, rather than providing every student with a broad education that prepares them for life beyond school. English and mathematics are as relevant for a student interested in a vocational pathway, such as an apprenticeship or traineeship, as work exposure activities are useful for a student interested in a university pathway. There is value in providing wider learning opportunities for all students.</w:t>
      </w:r>
    </w:p>
    <w:p w14:paraId="454F5E05" w14:textId="7D6825F7" w:rsidR="009757A9" w:rsidRDefault="00083242">
      <w:pPr>
        <w:spacing w:before="161"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The recent interim report of the NSW curriculum review, led by Professor Geoff Masters, notes that despite increasing numbers of students staying at school until Year 12, the senior secondary system still assumes most students will pursue academic pathways. The report states that “[t]he result was an increase in the number of students seeking an ATAR and admission to university and the continuing bifurcation of learning in the senior secondary years into academic and vocational studies.”</w:t>
      </w:r>
      <w:r>
        <w:rPr>
          <w:rFonts w:ascii="Tahoma" w:eastAsia="Tahoma" w:hAnsi="Tahoma"/>
          <w:color w:val="404042"/>
          <w:spacing w:val="4"/>
          <w:sz w:val="18"/>
          <w:vertAlign w:val="superscript"/>
        </w:rPr>
        <w:t>66</w:t>
      </w:r>
      <w:r>
        <w:rPr>
          <w:rFonts w:ascii="Tahoma" w:eastAsia="Tahoma" w:hAnsi="Tahoma"/>
          <w:color w:val="404042"/>
          <w:spacing w:val="4"/>
          <w:sz w:val="10"/>
        </w:rPr>
        <w:t xml:space="preserve"> </w:t>
      </w:r>
    </w:p>
    <w:p w14:paraId="10D6CA39" w14:textId="75548117" w:rsidR="009757A9" w:rsidRDefault="000D2E34">
      <w:pPr>
        <w:spacing w:before="180" w:line="240" w:lineRule="exact"/>
        <w:ind w:left="864" w:right="864"/>
        <w:textAlignment w:val="baseline"/>
        <w:rPr>
          <w:rFonts w:ascii="Tahoma" w:eastAsia="Tahoma" w:hAnsi="Tahoma"/>
          <w:color w:val="404042"/>
          <w:spacing w:val="7"/>
          <w:sz w:val="18"/>
        </w:rPr>
      </w:pPr>
      <w:r>
        <w:rPr>
          <w:noProof/>
          <w:lang w:val="en-AU" w:eastAsia="en-AU"/>
        </w:rPr>
        <mc:AlternateContent>
          <mc:Choice Requires="wps">
            <w:drawing>
              <wp:anchor distT="0" distB="0" distL="0" distR="0" simplePos="0" relativeHeight="251408896" behindDoc="1" locked="0" layoutInCell="1" allowOverlap="1" wp14:anchorId="589E409C" wp14:editId="38527F96">
                <wp:simplePos x="0" y="0"/>
                <wp:positionH relativeFrom="page">
                  <wp:posOffset>542290</wp:posOffset>
                </wp:positionH>
                <wp:positionV relativeFrom="page">
                  <wp:posOffset>8978900</wp:posOffset>
                </wp:positionV>
                <wp:extent cx="2246630" cy="243840"/>
                <wp:effectExtent l="0" t="0" r="0" b="0"/>
                <wp:wrapSquare wrapText="bothSides"/>
                <wp:docPr id="803"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D5722" w14:textId="77777777" w:rsidR="00490F33" w:rsidRDefault="00490F33">
                            <w:pPr>
                              <w:spacing w:before="12" w:line="171" w:lineRule="exact"/>
                              <w:textAlignment w:val="baseline"/>
                              <w:rPr>
                                <w:rFonts w:ascii="Tahoma" w:eastAsia="Tahoma" w:hAnsi="Tahoma"/>
                                <w:color w:val="404042"/>
                                <w:spacing w:val="1"/>
                                <w:sz w:val="14"/>
                              </w:rPr>
                            </w:pPr>
                            <w:r>
                              <w:rPr>
                                <w:rFonts w:ascii="Tahoma" w:eastAsia="Tahoma" w:hAnsi="Tahoma"/>
                                <w:color w:val="404042"/>
                                <w:spacing w:val="1"/>
                                <w:sz w:val="14"/>
                              </w:rPr>
                              <w:t>66 NSW Education Standards Authority (2019), p. 94.</w:t>
                            </w:r>
                          </w:p>
                          <w:p w14:paraId="608487F2" w14:textId="77777777" w:rsidR="00490F33" w:rsidRDefault="00490F33">
                            <w:pPr>
                              <w:spacing w:before="30" w:line="162" w:lineRule="exact"/>
                              <w:textAlignment w:val="baseline"/>
                              <w:rPr>
                                <w:rFonts w:ascii="Tahoma" w:eastAsia="Tahoma" w:hAnsi="Tahoma"/>
                                <w:color w:val="404042"/>
                                <w:spacing w:val="3"/>
                                <w:sz w:val="14"/>
                              </w:rPr>
                            </w:pPr>
                            <w:r>
                              <w:rPr>
                                <w:rFonts w:ascii="Tahoma" w:eastAsia="Tahoma" w:hAnsi="Tahoma"/>
                                <w:color w:val="404042"/>
                                <w:spacing w:val="3"/>
                                <w:sz w:val="14"/>
                              </w:rPr>
                              <w:t>67 Ibid.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E409C" id="Text Box 524" o:spid="_x0000_s1102" type="#_x0000_t202" style="position:absolute;left:0;text-align:left;margin-left:42.7pt;margin-top:707pt;width:176.9pt;height:19.2pt;z-index:-25190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dB8AEAAMIDAAAOAAAAZHJzL2Uyb0RvYy54bWysU9uO0zAQfUfiHyy/07RpKVXUdLXsahHS&#10;wiLt8gFTx2ksEo8Zu02Wr2fsNGWBN8SLNZ7L8Zkz4+3V0LXipMkbtKVczOZSaKuwMvZQyq9Pd282&#10;UvgAtoIWrS7ls/byavf61bZ3hc6xwbbSJBjE+qJ3pWxCcEWWedXoDvwMnbYcrJE6CHylQ1YR9Ize&#10;tVk+n6+zHqlyhEp7z97bMSh3Cb+utQoPde11EG0pmVtIJ6VzH89st4XiQOAao8404B9YdGAsP3qB&#10;uoUA4kjmL6jOKEKPdZgp7DKsa6N06oG7Wcz/6OaxAadTLyyOdxeZ/P+DVZ9PX0iYqpSb+VIKCx0P&#10;6UkPQbzHQbzNV1Gh3vmCEx8dp4aBAzzp1K1396i+eWHxpgF70NdE2DcaKma4iJXZi9IRx0eQff8J&#10;K34IjgET0FBTF+VjQQSj86SeL9OJZBQ783y1Xi85pDiWr5abVRpfBsVU7ciHDxo7EY1SEk8/ocPp&#10;3ofIBoopJT5m8c60bdqA1v7m4MToSewj4ZF6GPZDkurdelJlj9Uz90M4LhZ/BDYapB9S9LxUpfTf&#10;j0BaivajZU3iBk4GTcZ+MsAqLi1lkGI0b8K4qUdH5tAw8qi6xWvWrTappSjwyOLMlxcldXpe6riJ&#10;L+8p69fX2/0EAAD//wMAUEsDBBQABgAIAAAAIQAR3tzf4AAAAAwBAAAPAAAAZHJzL2Rvd25yZXYu&#10;eG1sTI89T8MwEIZ3JP6DdZXYqNPgVm0ap6oQTEiINAyMTuwmVuNziN02/HuuE4z33qP3I99NrmcX&#10;MwbrUcJingAz2HhtsZXwWb0+roGFqFCr3qOR8GMC7Ir7u1xl2l+xNJdDbBmZYMiUhC7GIeM8NJ1x&#10;Ksz9YJB+Rz86FekcW65HdSVz1/M0SVbcKYuU0KnBPHemOR3OTsL+C8sX+/1ef5TH0lbVJsG31UnK&#10;h9m03wKLZop/MNzqU3UoqFPtz6gD6yWsl4JI0sVC0CgixNMmBVbfpGUqgBc5/z+i+AUAAP//AwBQ&#10;SwECLQAUAAYACAAAACEAtoM4kv4AAADhAQAAEwAAAAAAAAAAAAAAAAAAAAAAW0NvbnRlbnRfVHlw&#10;ZXNdLnhtbFBLAQItABQABgAIAAAAIQA4/SH/1gAAAJQBAAALAAAAAAAAAAAAAAAAAC8BAABfcmVs&#10;cy8ucmVsc1BLAQItABQABgAIAAAAIQBNl1dB8AEAAMIDAAAOAAAAAAAAAAAAAAAAAC4CAABkcnMv&#10;ZTJvRG9jLnhtbFBLAQItABQABgAIAAAAIQAR3tzf4AAAAAwBAAAPAAAAAAAAAAAAAAAAAEoEAABk&#10;cnMvZG93bnJldi54bWxQSwUGAAAAAAQABADzAAAAVwUAAAAA&#10;" filled="f" stroked="f">
                <v:textbox inset="0,0,0,0">
                  <w:txbxContent>
                    <w:p w14:paraId="217D5722" w14:textId="77777777" w:rsidR="00490F33" w:rsidRDefault="00490F33">
                      <w:pPr>
                        <w:spacing w:before="12" w:line="171" w:lineRule="exact"/>
                        <w:textAlignment w:val="baseline"/>
                        <w:rPr>
                          <w:rFonts w:ascii="Tahoma" w:eastAsia="Tahoma" w:hAnsi="Tahoma"/>
                          <w:color w:val="404042"/>
                          <w:spacing w:val="1"/>
                          <w:sz w:val="14"/>
                        </w:rPr>
                      </w:pPr>
                      <w:r>
                        <w:rPr>
                          <w:rFonts w:ascii="Tahoma" w:eastAsia="Tahoma" w:hAnsi="Tahoma"/>
                          <w:color w:val="404042"/>
                          <w:spacing w:val="1"/>
                          <w:sz w:val="14"/>
                        </w:rPr>
                        <w:t>66 NSW Education Standards Authority (2019), p. 94.</w:t>
                      </w:r>
                    </w:p>
                    <w:p w14:paraId="608487F2" w14:textId="77777777" w:rsidR="00490F33" w:rsidRDefault="00490F33">
                      <w:pPr>
                        <w:spacing w:before="30" w:line="162" w:lineRule="exact"/>
                        <w:textAlignment w:val="baseline"/>
                        <w:rPr>
                          <w:rFonts w:ascii="Tahoma" w:eastAsia="Tahoma" w:hAnsi="Tahoma"/>
                          <w:color w:val="404042"/>
                          <w:spacing w:val="3"/>
                          <w:sz w:val="14"/>
                        </w:rPr>
                      </w:pPr>
                      <w:r>
                        <w:rPr>
                          <w:rFonts w:ascii="Tahoma" w:eastAsia="Tahoma" w:hAnsi="Tahoma"/>
                          <w:color w:val="404042"/>
                          <w:spacing w:val="3"/>
                          <w:sz w:val="14"/>
                        </w:rPr>
                        <w:t>67 Ibid.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09920" behindDoc="1" locked="0" layoutInCell="1" allowOverlap="1" wp14:anchorId="0417A63A" wp14:editId="1A50BA7E">
                <wp:simplePos x="0" y="0"/>
                <wp:positionH relativeFrom="page">
                  <wp:posOffset>5083810</wp:posOffset>
                </wp:positionH>
                <wp:positionV relativeFrom="page">
                  <wp:posOffset>9698355</wp:posOffset>
                </wp:positionV>
                <wp:extent cx="1923415" cy="130810"/>
                <wp:effectExtent l="0" t="0" r="0" b="0"/>
                <wp:wrapSquare wrapText="bothSides"/>
                <wp:docPr id="802"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2A101" w14:textId="77777777" w:rsidR="00490F33" w:rsidRPr="00EF397F" w:rsidRDefault="00490F33">
                            <w:pPr>
                              <w:tabs>
                                <w:tab w:val="right" w:pos="3024"/>
                              </w:tabs>
                              <w:spacing w:after="7" w:line="185" w:lineRule="exact"/>
                              <w:textAlignment w:val="baseline"/>
                              <w:rPr>
                                <w:rFonts w:ascii="Tahoma" w:eastAsia="Tahoma" w:hAnsi="Tahoma"/>
                                <w:color w:val="404042"/>
                                <w:sz w:val="14"/>
                              </w:rPr>
                            </w:pPr>
                            <w:r w:rsidRPr="00EF397F">
                              <w:rPr>
                                <w:rFonts w:ascii="Tahoma" w:eastAsia="Tahoma" w:hAnsi="Tahoma"/>
                                <w:color w:val="404042"/>
                                <w:sz w:val="14"/>
                              </w:rPr>
                              <w:t>Chapter 2: Exercising informed choice</w:t>
                            </w:r>
                            <w:r w:rsidRPr="00EF397F">
                              <w:rPr>
                                <w:rFonts w:ascii="Arial" w:eastAsia="Arial" w:hAnsi="Arial"/>
                                <w:b/>
                                <w:color w:val="5556A1"/>
                                <w:sz w:val="17"/>
                              </w:rPr>
                              <w:tab/>
                              <w:t>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7A63A" id="Text Box 523" o:spid="_x0000_s1103" type="#_x0000_t202" style="position:absolute;left:0;text-align:left;margin-left:400.3pt;margin-top:763.65pt;width:151.45pt;height:10.3pt;z-index:-251906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s+8QEAAMIDAAAOAAAAZHJzL2Uyb0RvYy54bWysU9tu2zAMfR+wfxD0vthO1jUz4hRdiw4D&#10;ugvQ7gMYWY6F2aJGKbG7rx8lx1m3vQ17ESiRPDw8pDZXY9+JoyZv0FayWORSaKuwNnZfya+Pd6/W&#10;UvgAtoYOra7kk/byavvyxWZwpV5ii12tSTCI9eXgKtmG4Mos86rVPfgFOm3Z2SD1EPhK+6wmGBi9&#10;77Jlnr/JBqTaESrtPb/eTk65TfhNo1X43DReB9FVkrmFdFI6d/HMthso9wSuNepEA/6BRQ/GctEz&#10;1C0EEAcyf0H1RhF6bMJCYZ9h0xilUw/cTZH/0c1DC06nXlgc784y+f8Hqz4dv5AwdSXX+VIKCz0P&#10;6VGPQbzDUVwsV1GhwfmSAx8ch4aRHTzp1K1396i+eWHxpgW719dEOLQaamZYxMzsWeqE4yPIbviI&#10;NReCQ8AENDbUR/lYEMHoPKmn83QiGRVLvl2uXhcXUij2Fat8XaTxZVDO2Y58eK+xF9GoJPH0Ezoc&#10;732IbKCcQ2Ixi3em69IGdPa3Bw6ML4l9JDxRD+NuTFJdXs6q7LB+4n4Ip8Xij8BGi/RDioGXqpL+&#10;+wFIS9F9sKxJ3MDZoNnYzQZYxamVDFJM5k2YNvXgyOxbRp5Ut3jNujUmtRQFnlic+PKipE5PSx03&#10;8fk9Rf36etufAAAA//8DAFBLAwQUAAYACAAAACEAPGZaleEAAAAOAQAADwAAAGRycy9kb3ducmV2&#10;LnhtbEyPy07DMBBF90j8gzVI7Kjdlr5CnKpCsEKqSMOCpRO7idV4HGK3DX/fyQqWM/fqzJl0O7iW&#10;XUwfrEcJ04kAZrDy2mIt4at4f1oDC1GhVq1HI+HXBNhm93epSrS/Ym4uh1gzgmBIlIQmxi7hPFSN&#10;cSpMfGeQsqPvnYo09jXXvboS3LV8JsSSO2WRLjSqM6+NqU6Hs5Ow+8b8zf7sy8/8mNui2Aj8WJ6k&#10;fHwYdi/AohniXxlGfVKHjJxKf0YdWCthTXSqUrCYrebAxspUzBfAynH3vNoAz1L+/43sBgAA//8D&#10;AFBLAQItABQABgAIAAAAIQC2gziS/gAAAOEBAAATAAAAAAAAAAAAAAAAAAAAAABbQ29udGVudF9U&#10;eXBlc10ueG1sUEsBAi0AFAAGAAgAAAAhADj9If/WAAAAlAEAAAsAAAAAAAAAAAAAAAAALwEAAF9y&#10;ZWxzLy5yZWxzUEsBAi0AFAAGAAgAAAAhAIsH+z7xAQAAwgMAAA4AAAAAAAAAAAAAAAAALgIAAGRy&#10;cy9lMm9Eb2MueG1sUEsBAi0AFAAGAAgAAAAhADxmWpXhAAAADgEAAA8AAAAAAAAAAAAAAAAASwQA&#10;AGRycy9kb3ducmV2LnhtbFBLBQYAAAAABAAEAPMAAABZBQAAAAA=&#10;" filled="f" stroked="f">
                <v:textbox inset="0,0,0,0">
                  <w:txbxContent>
                    <w:p w14:paraId="1F72A101" w14:textId="77777777" w:rsidR="00490F33" w:rsidRPr="00EF397F" w:rsidRDefault="00490F33">
                      <w:pPr>
                        <w:tabs>
                          <w:tab w:val="right" w:pos="3024"/>
                        </w:tabs>
                        <w:spacing w:after="7" w:line="185" w:lineRule="exact"/>
                        <w:textAlignment w:val="baseline"/>
                        <w:rPr>
                          <w:rFonts w:ascii="Tahoma" w:eastAsia="Tahoma" w:hAnsi="Tahoma"/>
                          <w:color w:val="404042"/>
                          <w:sz w:val="14"/>
                        </w:rPr>
                      </w:pPr>
                      <w:r w:rsidRPr="00EF397F">
                        <w:rPr>
                          <w:rFonts w:ascii="Tahoma" w:eastAsia="Tahoma" w:hAnsi="Tahoma"/>
                          <w:color w:val="404042"/>
                          <w:sz w:val="14"/>
                        </w:rPr>
                        <w:t>Chapter 2: Exercising informed choice</w:t>
                      </w:r>
                      <w:r w:rsidRPr="00EF397F">
                        <w:rPr>
                          <w:rFonts w:ascii="Arial" w:eastAsia="Arial" w:hAnsi="Arial"/>
                          <w:b/>
                          <w:color w:val="5556A1"/>
                          <w:sz w:val="17"/>
                        </w:rPr>
                        <w:tab/>
                        <w:t>61</w:t>
                      </w:r>
                    </w:p>
                  </w:txbxContent>
                </v:textbox>
                <w10:wrap type="square" anchorx="page" anchory="page"/>
              </v:shape>
            </w:pict>
          </mc:Fallback>
        </mc:AlternateContent>
      </w:r>
      <w:r w:rsidR="00083242">
        <w:rPr>
          <w:rFonts w:ascii="Tahoma" w:eastAsia="Tahoma" w:hAnsi="Tahoma"/>
          <w:color w:val="404042"/>
          <w:spacing w:val="7"/>
          <w:sz w:val="18"/>
        </w:rPr>
        <w:t>In considering the requirements for students to achieve an SSCE or an ATAR, the Panel supports the proposition in the interim report of the NSW curriculum review that systems should facilitate the choice of subjects that “develop students’ disciplinary knowledge, understandings, skills and attributes; integrate theory and practical application; set demanding and high expectations for every student’s learning; and include learning relevant to the world of work.”</w:t>
      </w:r>
      <w:r w:rsidR="00083242">
        <w:rPr>
          <w:rFonts w:ascii="Tahoma" w:eastAsia="Tahoma" w:hAnsi="Tahoma"/>
          <w:color w:val="404042"/>
          <w:spacing w:val="7"/>
          <w:sz w:val="18"/>
          <w:vertAlign w:val="superscript"/>
        </w:rPr>
        <w:t>67</w:t>
      </w:r>
      <w:r w:rsidR="00083242">
        <w:rPr>
          <w:rFonts w:ascii="Tahoma" w:eastAsia="Tahoma" w:hAnsi="Tahoma"/>
          <w:color w:val="404042"/>
          <w:spacing w:val="7"/>
          <w:sz w:val="18"/>
        </w:rPr>
        <w:t xml:space="preserve"> In our view, it is those attributes that provide a firmer foundation for the lifelong learning that an uncertain future is going to require.</w:t>
      </w:r>
    </w:p>
    <w:p w14:paraId="480618C4" w14:textId="5F8D8107" w:rsidR="009757A9" w:rsidRDefault="009757A9">
      <w:pPr>
        <w:rPr>
          <w:rFonts w:ascii="Tahoma" w:eastAsia="Tahoma" w:hAnsi="Tahoma"/>
          <w:color w:val="404042"/>
          <w:spacing w:val="7"/>
          <w:sz w:val="18"/>
        </w:rPr>
      </w:pPr>
    </w:p>
    <w:p w14:paraId="35ADBEC3" w14:textId="45E93FE6" w:rsidR="00EF397F" w:rsidRPr="00EF397F" w:rsidRDefault="00EF397F" w:rsidP="00EF397F">
      <w:r>
        <w:rPr>
          <w:noProof/>
          <w:lang w:val="en-AU" w:eastAsia="en-AU"/>
        </w:rPr>
        <w:drawing>
          <wp:anchor distT="0" distB="0" distL="114300" distR="114300" simplePos="0" relativeHeight="252054016" behindDoc="1" locked="0" layoutInCell="1" allowOverlap="1" wp14:anchorId="2508C9BC" wp14:editId="79FA9E2F">
            <wp:simplePos x="0" y="0"/>
            <wp:positionH relativeFrom="margin">
              <wp:align>right</wp:align>
            </wp:positionH>
            <wp:positionV relativeFrom="paragraph">
              <wp:posOffset>10795</wp:posOffset>
            </wp:positionV>
            <wp:extent cx="4641850" cy="4162425"/>
            <wp:effectExtent l="0" t="0" r="6350" b="9525"/>
            <wp:wrapTight wrapText="bothSides">
              <wp:wrapPolygon edited="0">
                <wp:start x="0" y="0"/>
                <wp:lineTo x="0" y="21551"/>
                <wp:lineTo x="21541" y="21551"/>
                <wp:lineTo x="21541" y="0"/>
                <wp:lineTo x="0" y="0"/>
              </wp:wrapPolygon>
            </wp:wrapTight>
            <wp:docPr id="5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4" name="Picture">
                      <a:extLst>
                        <a:ext uri="{C183D7F6-B498-43B3-948B-1728B52AA6E4}">
                          <adec:decorative xmlns:adec="http://schemas.microsoft.com/office/drawing/2017/decorative" val="1"/>
                        </a:ext>
                      </a:extLst>
                    </pic:cNvPr>
                    <pic:cNvPicPr preferRelativeResize="0"/>
                  </pic:nvPicPr>
                  <pic:blipFill>
                    <a:blip r:embed="rId110">
                      <a:extLst>
                        <a:ext uri="{28A0092B-C50C-407E-A947-70E740481C1C}">
                          <a14:useLocalDpi xmlns:a14="http://schemas.microsoft.com/office/drawing/2010/main" val="0"/>
                        </a:ext>
                      </a:extLst>
                    </a:blip>
                    <a:stretch>
                      <a:fillRect/>
                    </a:stretch>
                  </pic:blipFill>
                  <pic:spPr>
                    <a:xfrm>
                      <a:off x="0" y="0"/>
                      <a:ext cx="4641850" cy="4162425"/>
                    </a:xfrm>
                    <a:prstGeom prst="rect">
                      <a:avLst/>
                    </a:prstGeom>
                  </pic:spPr>
                </pic:pic>
              </a:graphicData>
            </a:graphic>
            <wp14:sizeRelH relativeFrom="page">
              <wp14:pctWidth>0</wp14:pctWidth>
            </wp14:sizeRelH>
            <wp14:sizeRelV relativeFrom="page">
              <wp14:pctHeight>0</wp14:pctHeight>
            </wp14:sizeRelV>
          </wp:anchor>
        </w:drawing>
      </w:r>
    </w:p>
    <w:p w14:paraId="60E349E3" w14:textId="588BE6CF" w:rsidR="00EF397F" w:rsidRPr="00EF397F" w:rsidRDefault="00EF397F" w:rsidP="00EF397F"/>
    <w:p w14:paraId="488EA070" w14:textId="3BBAA629" w:rsidR="00EF397F" w:rsidRPr="00EF397F" w:rsidRDefault="00EF397F" w:rsidP="00EF397F"/>
    <w:p w14:paraId="7C9FA2A5" w14:textId="0739B398" w:rsidR="00EF397F" w:rsidRPr="00EF397F" w:rsidRDefault="00EF397F" w:rsidP="00EF397F"/>
    <w:p w14:paraId="246CD484" w14:textId="5C6BB8B9" w:rsidR="00EF397F" w:rsidRPr="00EF397F" w:rsidRDefault="00EF397F" w:rsidP="00EF397F"/>
    <w:p w14:paraId="69D42615" w14:textId="5369E0B2" w:rsidR="00EF397F" w:rsidRPr="00EF397F" w:rsidRDefault="00EF397F" w:rsidP="00EF397F"/>
    <w:p w14:paraId="65229B54" w14:textId="2524F422" w:rsidR="00EF397F" w:rsidRPr="00EF397F" w:rsidRDefault="00EF397F" w:rsidP="00EF397F"/>
    <w:p w14:paraId="55700243" w14:textId="3A49BC35" w:rsidR="00EF397F" w:rsidRPr="00EF397F" w:rsidRDefault="00EF397F" w:rsidP="00EF397F"/>
    <w:p w14:paraId="1D8E120A" w14:textId="3042AEA2" w:rsidR="00EF397F" w:rsidRPr="00EF397F" w:rsidRDefault="00EF397F" w:rsidP="00EF397F"/>
    <w:p w14:paraId="12E652B9" w14:textId="6102979B" w:rsidR="00EF397F" w:rsidRPr="00EF397F" w:rsidRDefault="00EF397F" w:rsidP="00EF397F"/>
    <w:p w14:paraId="09E8161C" w14:textId="77777777" w:rsidR="00EF397F" w:rsidRPr="00EF397F" w:rsidRDefault="00EF397F" w:rsidP="00EF397F"/>
    <w:p w14:paraId="7C426306" w14:textId="77777777" w:rsidR="00EF397F" w:rsidRPr="00EF397F" w:rsidRDefault="00EF397F" w:rsidP="00EF397F"/>
    <w:p w14:paraId="6FC7C73E" w14:textId="77777777" w:rsidR="00EF397F" w:rsidRPr="00EF397F" w:rsidRDefault="00EF397F" w:rsidP="00EF397F"/>
    <w:p w14:paraId="79AB0D6B" w14:textId="77777777" w:rsidR="00EF397F" w:rsidRPr="00EF397F" w:rsidRDefault="00EF397F" w:rsidP="00EF397F"/>
    <w:p w14:paraId="45B5D1C9" w14:textId="77777777" w:rsidR="00EF397F" w:rsidRPr="00EF397F" w:rsidRDefault="00EF397F" w:rsidP="00EF397F"/>
    <w:p w14:paraId="41D00D46" w14:textId="77777777" w:rsidR="00EF397F" w:rsidRPr="00EF397F" w:rsidRDefault="00EF397F" w:rsidP="00EF397F"/>
    <w:p w14:paraId="6201BDA7" w14:textId="77777777" w:rsidR="00EF397F" w:rsidRPr="00EF397F" w:rsidRDefault="00EF397F" w:rsidP="00EF397F"/>
    <w:p w14:paraId="56708D3E" w14:textId="77777777" w:rsidR="00EF397F" w:rsidRPr="00EF397F" w:rsidRDefault="00EF397F" w:rsidP="00EF397F"/>
    <w:p w14:paraId="65AD822E" w14:textId="77777777" w:rsidR="00EF397F" w:rsidRPr="00EF397F" w:rsidRDefault="00EF397F" w:rsidP="00EF397F"/>
    <w:p w14:paraId="4C5DC365" w14:textId="77777777" w:rsidR="00EF397F" w:rsidRPr="00EF397F" w:rsidRDefault="00EF397F" w:rsidP="00EF397F"/>
    <w:p w14:paraId="45E46A1D" w14:textId="77777777" w:rsidR="00EF397F" w:rsidRPr="00EF397F" w:rsidRDefault="00EF397F" w:rsidP="00EF397F"/>
    <w:p w14:paraId="1825C41E" w14:textId="77777777" w:rsidR="00EF397F" w:rsidRPr="00EF397F" w:rsidRDefault="00EF397F" w:rsidP="00EF397F"/>
    <w:p w14:paraId="11384184" w14:textId="26631D1E" w:rsidR="00EF397F" w:rsidRPr="00EF397F" w:rsidRDefault="00EF397F" w:rsidP="00EF397F">
      <w:pPr>
        <w:tabs>
          <w:tab w:val="left" w:pos="1005"/>
        </w:tabs>
      </w:pPr>
      <w:r>
        <w:tab/>
      </w:r>
    </w:p>
    <w:p w14:paraId="55177CD6" w14:textId="4360E02A" w:rsidR="00EF397F" w:rsidRPr="00EF397F" w:rsidRDefault="00EF397F" w:rsidP="00EF397F">
      <w:r>
        <w:rPr>
          <w:noProof/>
          <w:lang w:val="en-AU" w:eastAsia="en-AU"/>
        </w:rPr>
        <mc:AlternateContent>
          <mc:Choice Requires="wps">
            <w:drawing>
              <wp:anchor distT="0" distB="0" distL="114300" distR="114300" simplePos="0" relativeHeight="252052992" behindDoc="1" locked="0" layoutInCell="1" allowOverlap="1" wp14:anchorId="27430635" wp14:editId="1FDB2C69">
                <wp:simplePos x="0" y="0"/>
                <wp:positionH relativeFrom="page">
                  <wp:posOffset>542925</wp:posOffset>
                </wp:positionH>
                <wp:positionV relativeFrom="page">
                  <wp:posOffset>8933180</wp:posOffset>
                </wp:positionV>
                <wp:extent cx="917575" cy="0"/>
                <wp:effectExtent l="0" t="0" r="0" b="0"/>
                <wp:wrapTight wrapText="bothSides">
                  <wp:wrapPolygon edited="0">
                    <wp:start x="0" y="0"/>
                    <wp:lineTo x="0" y="21600"/>
                    <wp:lineTo x="21600" y="21600"/>
                    <wp:lineTo x="21600" y="0"/>
                  </wp:wrapPolygon>
                </wp:wrapTight>
                <wp:docPr id="53"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A4CCE" id="Line 528" o:spid="_x0000_s1026" style="position:absolute;z-index:-2512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03.4pt" to="115pt,7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HRzQEAAIUDAAAOAAAAZHJzL2Uyb0RvYy54bWysU01v2zAMvQ/YfxB0X+xkcNsZcXpI1l2y&#10;LUC7H8BIsi1MFgVJiZ1/P0r5aLfdhvkgiCL5+PhILx+nwbCj8kGjbfh8VnKmrECpbdfwHy9PHx44&#10;CxGsBINWNfykAn9cvX+3HF2tFtijkcozArGhHl3D+xhdXRRB9GqAMEOnLDlb9ANEMn1XSA8joQ+m&#10;WJTlXTGil86jUCHQ6+bs5KuM37ZKxO9tG1RkpuHELebT53OfzmK1hLrz4HotLjTgH1gMoC0VvUFt&#10;IAI7eP0X1KCFx4BtnAkcCmxbLVTugbqZl39089yDU7kXEie4m0zh/8GKb8edZ1o2vPrImYWBZrTV&#10;VrFq8ZDEGV2oKWZtdz61Jyb77LYofgZmcd2D7VQm+XJylDhPGcVvKckIjkrsx68oKQYOEbNSU+uH&#10;BEkasCkP5HQbiJoiE/T4aX5f3VeciaurgPqa53yIXxQOLF0aboh0xoXjNsTEA+prSCpj8Ukbk8dt&#10;LBuJ7KK8q3JGQKNl8qa44Lv92nh2hLQx+ctdkedtWILeQOjPcdl13iWPBytzmV6B/Hy5R9DmfCda&#10;xl5USsKcJd6jPO38VT2adeZ/2cu0TG/tnP3696x+AQAA//8DAFBLAwQUAAYACAAAACEAulFjIt4A&#10;AAAMAQAADwAAAGRycy9kb3ducmV2LnhtbEyPTUvDQBCG70L/wzIFL2J3rWkJMZsiBb0ptVra4zY7&#10;JsHsbMhum/jvOx5Ej/POw/uRr0bXijP2ofGk4W6mQCCV3jZUafh4f7pNQYRoyJrWE2r4xgCrYnKV&#10;m8z6gd7wvI2VYBMKmdFQx9hlUoayRmfCzHdI/Pv0vTORz76StjcDm7tWzpVaSmca4oTadLiusfza&#10;npwGKVWajLv98JLchLQ5rKvD8+tG6+vp+PgAIuIY/2D4qc/VoeBOR38iG0SrIV0smGQ9UUvewMT8&#10;XvG6468ki1z+H1FcAAAA//8DAFBLAQItABQABgAIAAAAIQC2gziS/gAAAOEBAAATAAAAAAAAAAAA&#10;AAAAAAAAAABbQ29udGVudF9UeXBlc10ueG1sUEsBAi0AFAAGAAgAAAAhADj9If/WAAAAlAEAAAsA&#10;AAAAAAAAAAAAAAAALwEAAF9yZWxzLy5yZWxzUEsBAi0AFAAGAAgAAAAhAC3HodHNAQAAhQMAAA4A&#10;AAAAAAAAAAAAAAAALgIAAGRycy9lMm9Eb2MueG1sUEsBAi0AFAAGAAgAAAAhALpRYyLeAAAADAEA&#10;AA8AAAAAAAAAAAAAAAAAJwQAAGRycy9kb3ducmV2LnhtbFBLBQYAAAAABAAEAPMAAAAyBQAAAAA=&#10;" strokeweight=".95pt">
                <w10:wrap type="tight" anchorx="page" anchory="page"/>
              </v:line>
            </w:pict>
          </mc:Fallback>
        </mc:AlternateContent>
      </w:r>
    </w:p>
    <w:p w14:paraId="5340F389" w14:textId="4B95FCED" w:rsidR="00EF397F" w:rsidRPr="00EF397F" w:rsidRDefault="00EF397F" w:rsidP="00EF397F"/>
    <w:p w14:paraId="0B4F2BF2" w14:textId="77777777" w:rsidR="00EF397F" w:rsidRPr="00EF397F" w:rsidRDefault="00EF397F" w:rsidP="00EF397F"/>
    <w:p w14:paraId="2B2C3858" w14:textId="77777777" w:rsidR="00EF397F" w:rsidRPr="00EF397F" w:rsidRDefault="00EF397F" w:rsidP="00EF397F"/>
    <w:p w14:paraId="45A4787A" w14:textId="77777777" w:rsidR="00EF397F" w:rsidRDefault="00EF397F" w:rsidP="00EF397F"/>
    <w:p w14:paraId="201D8625" w14:textId="0029009B" w:rsidR="009B5D71" w:rsidRPr="009B5D71" w:rsidRDefault="009B5D71" w:rsidP="009B5D71"/>
    <w:p w14:paraId="26232263" w14:textId="0DC1702A" w:rsidR="009B5D71" w:rsidRPr="009B5D71" w:rsidRDefault="009B5D71" w:rsidP="009B5D71"/>
    <w:p w14:paraId="4B496A88" w14:textId="50F8B22E" w:rsidR="009B5D71" w:rsidRPr="009B5D71" w:rsidRDefault="0016093F" w:rsidP="009B5D71">
      <w:r>
        <w:rPr>
          <w:noProof/>
          <w:lang w:val="en-AU" w:eastAsia="en-AU"/>
        </w:rPr>
        <w:drawing>
          <wp:anchor distT="0" distB="0" distL="114300" distR="114300" simplePos="0" relativeHeight="252056064" behindDoc="1" locked="0" layoutInCell="1" allowOverlap="1" wp14:anchorId="68F1EC0B" wp14:editId="468B1CAB">
            <wp:simplePos x="0" y="0"/>
            <wp:positionH relativeFrom="page">
              <wp:align>right</wp:align>
            </wp:positionH>
            <wp:positionV relativeFrom="paragraph">
              <wp:posOffset>232410</wp:posOffset>
            </wp:positionV>
            <wp:extent cx="7562215" cy="504825"/>
            <wp:effectExtent l="0" t="0" r="635" b="9525"/>
            <wp:wrapNone/>
            <wp:docPr id="58" name="Picture"/>
            <wp:cNvGraphicFramePr/>
            <a:graphic xmlns:a="http://schemas.openxmlformats.org/drawingml/2006/main">
              <a:graphicData uri="http://schemas.openxmlformats.org/drawingml/2006/picture">
                <pic:pic xmlns:pic="http://schemas.openxmlformats.org/drawingml/2006/picture">
                  <pic:nvPicPr>
                    <pic:cNvPr id="98" name="Picture"/>
                    <pic:cNvPicPr preferRelativeResize="0"/>
                  </pic:nvPicPr>
                  <pic:blipFill>
                    <a:blip r:embed="rId107">
                      <a:extLst>
                        <a:ext uri="{28A0092B-C50C-407E-A947-70E740481C1C}">
                          <a14:useLocalDpi xmlns:a14="http://schemas.microsoft.com/office/drawing/2010/main" val="0"/>
                        </a:ext>
                      </a:extLst>
                    </a:blip>
                    <a:stretch>
                      <a:fillRect/>
                    </a:stretch>
                  </pic:blipFill>
                  <pic:spPr>
                    <a:xfrm>
                      <a:off x="0" y="0"/>
                      <a:ext cx="7562215" cy="504825"/>
                    </a:xfrm>
                    <a:prstGeom prst="rect">
                      <a:avLst/>
                    </a:prstGeom>
                  </pic:spPr>
                </pic:pic>
              </a:graphicData>
            </a:graphic>
            <wp14:sizeRelH relativeFrom="page">
              <wp14:pctWidth>0</wp14:pctWidth>
            </wp14:sizeRelH>
            <wp14:sizeRelV relativeFrom="page">
              <wp14:pctHeight>0</wp14:pctHeight>
            </wp14:sizeRelV>
          </wp:anchor>
        </w:drawing>
      </w:r>
    </w:p>
    <w:p w14:paraId="1B18AF79" w14:textId="53F7B5DE" w:rsidR="009B5D71" w:rsidRPr="009B5D71" w:rsidRDefault="009B5D71" w:rsidP="009B5D71">
      <w:pPr>
        <w:sectPr w:rsidR="009B5D71" w:rsidRPr="009B5D71" w:rsidSect="00845D14">
          <w:pgSz w:w="11909" w:h="16838"/>
          <w:pgMar w:top="920" w:right="0" w:bottom="42" w:left="0" w:header="720" w:footer="720" w:gutter="0"/>
          <w:cols w:space="720"/>
        </w:sectPr>
      </w:pPr>
    </w:p>
    <w:p w14:paraId="1D10625E"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10944" behindDoc="1" locked="0" layoutInCell="1" allowOverlap="1" wp14:anchorId="260F28D3" wp14:editId="2E9DF135">
                <wp:simplePos x="0" y="0"/>
                <wp:positionH relativeFrom="page">
                  <wp:posOffset>539750</wp:posOffset>
                </wp:positionH>
                <wp:positionV relativeFrom="page">
                  <wp:posOffset>719455</wp:posOffset>
                </wp:positionV>
                <wp:extent cx="6568440" cy="7543800"/>
                <wp:effectExtent l="0" t="0" r="0" b="0"/>
                <wp:wrapSquare wrapText="bothSides"/>
                <wp:docPr id="801"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754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F66DF" w14:textId="77777777" w:rsidR="00490F33" w:rsidRDefault="00490F33">
                            <w:pPr>
                              <w:textAlignment w:val="baseline"/>
                            </w:pPr>
                            <w:r>
                              <w:rPr>
                                <w:noProof/>
                                <w:lang w:val="en-AU" w:eastAsia="en-AU"/>
                              </w:rPr>
                              <w:drawing>
                                <wp:inline distT="0" distB="0" distL="0" distR="0" wp14:anchorId="7011EB88" wp14:editId="45B35132">
                                  <wp:extent cx="6568440" cy="7543800"/>
                                  <wp:effectExtent l="0" t="0" r="0" b="0"/>
                                  <wp:docPr id="101" name="Picture" descr="School logo"/>
                                  <wp:cNvGraphicFramePr/>
                                  <a:graphic xmlns:a="http://schemas.openxmlformats.org/drawingml/2006/main">
                                    <a:graphicData uri="http://schemas.openxmlformats.org/drawingml/2006/picture">
                                      <pic:pic xmlns:pic="http://schemas.openxmlformats.org/drawingml/2006/picture">
                                        <pic:nvPicPr>
                                          <pic:cNvPr id="101" name="Picture" descr="School logo"/>
                                          <pic:cNvPicPr preferRelativeResize="0"/>
                                        </pic:nvPicPr>
                                        <pic:blipFill>
                                          <a:blip r:embed="rId143"/>
                                          <a:stretch>
                                            <a:fillRect/>
                                          </a:stretch>
                                        </pic:blipFill>
                                        <pic:spPr>
                                          <a:xfrm>
                                            <a:off x="0" y="0"/>
                                            <a:ext cx="6568440" cy="75438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F28D3" id="Text Box 522" o:spid="_x0000_s1104" type="#_x0000_t202" style="position:absolute;margin-left:42.5pt;margin-top:56.65pt;width:517.2pt;height:594pt;z-index:-25190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0+8QEAAMMDAAAOAAAAZHJzL2Uyb0RvYy54bWysU9tu2zAMfR+wfxD0vtjJkjQw4hRdiw4D&#10;ugvQ7gMYWY6F2aJGKbG7rx8lx1m3vQ17EShejg4Pqe310LXipMkbtKWcz3IptFVYGXso5den+zcb&#10;KXwAW0GLVpfyWXt5vXv9atu7Qi+wwbbSJBjE+qJ3pWxCcEWWedXoDvwMnbYcrJE6CHylQ1YR9Ize&#10;tdkiz9dZj1Q5QqW9Z+/dGJS7hF/XWoXPde11EG0pmVtIJ6VzH89st4XiQOAao8404B9YdGAsP3qB&#10;uoMA4kjmL6jOKEKPdZgp7DKsa6N06oG7med/dPPYgNOpFxbHu4tM/v/Bqk+nLyRMVcpNPpfCQsdD&#10;etJDEO9wEKvFIirUO19w4qPj1DBwgCeduvXuAdU3LyzeNmAP+oYI+0ZDxQznsTJ7UTri+Aiy7z9i&#10;xQ/BMWACGmrqonwsiGB0ntTzZTqRjGLnerXeLJccUhy7Wi3fbvI0vwyKqdyRD+81diIapSQef4KH&#10;04MPkQ4UU0p8zeK9adu0Aq39zcGJ0ZPoR8Yj9zDsh6TV1WaSZY/VMzdEOG4W/wQ2GqQfUvS8VaX0&#10;349AWor2g2VR4gpOBk3GfjLAKi4tZZBiNG/DuKpHR+bQMPIou8UbFq42qaWo8MjizJc3JXV63uq4&#10;ii/vKevX39v9BAAA//8DAFBLAwQUAAYACAAAACEAvuJyZ+EAAAAMAQAADwAAAGRycy9kb3ducmV2&#10;LnhtbEyPwU7DMBBE70j8g7VI3KhtAlUb4lQVghMSIg0Hjk7sJlbjdYjdNvw92xPcdndGs2+KzewH&#10;drJTdAEVyIUAZrENxmGn4LN+vVsBi0mj0UNAq+DHRtiU11eFzk04Y2VPu9QxCsGYawV9SmPOeWx7&#10;63VchNEiafsweZ1onTpuJn2mcD/weyGW3GuH9KHXo33ubXvYHb2C7RdWL+77vfmo9pWr67XAt+VB&#10;qdubefsELNk5/Znhgk/oUBJTE45oIhsUrB6pSqK7zDJgF4OU6wdgDU2ZkBnwsuD/S5S/AAAA//8D&#10;AFBLAQItABQABgAIAAAAIQC2gziS/gAAAOEBAAATAAAAAAAAAAAAAAAAAAAAAABbQ29udGVudF9U&#10;eXBlc10ueG1sUEsBAi0AFAAGAAgAAAAhADj9If/WAAAAlAEAAAsAAAAAAAAAAAAAAAAALwEAAF9y&#10;ZWxzLy5yZWxzUEsBAi0AFAAGAAgAAAAhAJqsTT7xAQAAwwMAAA4AAAAAAAAAAAAAAAAALgIAAGRy&#10;cy9lMm9Eb2MueG1sUEsBAi0AFAAGAAgAAAAhAL7icmfhAAAADAEAAA8AAAAAAAAAAAAAAAAASwQA&#10;AGRycy9kb3ducmV2LnhtbFBLBQYAAAAABAAEAPMAAABZBQAAAAA=&#10;" filled="f" stroked="f">
                <v:textbox inset="0,0,0,0">
                  <w:txbxContent>
                    <w:p w14:paraId="47FF66DF" w14:textId="77777777" w:rsidR="00490F33" w:rsidRDefault="00490F33">
                      <w:pPr>
                        <w:textAlignment w:val="baseline"/>
                      </w:pPr>
                      <w:r>
                        <w:rPr>
                          <w:noProof/>
                          <w:lang w:val="en-AU" w:eastAsia="en-AU"/>
                        </w:rPr>
                        <w:drawing>
                          <wp:inline distT="0" distB="0" distL="0" distR="0" wp14:anchorId="7011EB88" wp14:editId="45B35132">
                            <wp:extent cx="6568440" cy="7543800"/>
                            <wp:effectExtent l="0" t="0" r="0" b="0"/>
                            <wp:docPr id="101" name="Picture" descr="School logo"/>
                            <wp:cNvGraphicFramePr/>
                            <a:graphic xmlns:a="http://schemas.openxmlformats.org/drawingml/2006/main">
                              <a:graphicData uri="http://schemas.openxmlformats.org/drawingml/2006/picture">
                                <pic:pic xmlns:pic="http://schemas.openxmlformats.org/drawingml/2006/picture">
                                  <pic:nvPicPr>
                                    <pic:cNvPr id="101" name="Picture" descr="School logo"/>
                                    <pic:cNvPicPr preferRelativeResize="0"/>
                                  </pic:nvPicPr>
                                  <pic:blipFill>
                                    <a:blip r:embed="rId143"/>
                                    <a:stretch>
                                      <a:fillRect/>
                                    </a:stretch>
                                  </pic:blipFill>
                                  <pic:spPr>
                                    <a:xfrm>
                                      <a:off x="0" y="0"/>
                                      <a:ext cx="6568440" cy="754380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1968" behindDoc="1" locked="0" layoutInCell="1" allowOverlap="1" wp14:anchorId="7C3B4DD3" wp14:editId="0A25941D">
                <wp:simplePos x="0" y="0"/>
                <wp:positionH relativeFrom="page">
                  <wp:posOffset>4182110</wp:posOffset>
                </wp:positionH>
                <wp:positionV relativeFrom="page">
                  <wp:posOffset>946150</wp:posOffset>
                </wp:positionV>
                <wp:extent cx="2456180" cy="1262380"/>
                <wp:effectExtent l="0" t="0" r="0" b="0"/>
                <wp:wrapSquare wrapText="bothSides"/>
                <wp:docPr id="800"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1739" w14:textId="77777777" w:rsidR="00490F33" w:rsidRDefault="00490F33">
                            <w:pPr>
                              <w:spacing w:before="8" w:line="219" w:lineRule="exact"/>
                              <w:textAlignment w:val="baseline"/>
                              <w:rPr>
                                <w:rFonts w:ascii="Tahoma" w:eastAsia="Tahoma" w:hAnsi="Tahoma"/>
                                <w:color w:val="414042"/>
                                <w:spacing w:val="6"/>
                                <w:sz w:val="18"/>
                              </w:rPr>
                            </w:pPr>
                            <w:r>
                              <w:rPr>
                                <w:rFonts w:ascii="Tahoma" w:eastAsia="Tahoma" w:hAnsi="Tahoma"/>
                                <w:color w:val="414042"/>
                                <w:spacing w:val="6"/>
                                <w:sz w:val="18"/>
                              </w:rPr>
                              <w:t>This approach</w:t>
                            </w:r>
                            <w:r>
                              <w:rPr>
                                <w:rFonts w:ascii="Tahoma" w:eastAsia="Tahoma" w:hAnsi="Tahoma"/>
                                <w:color w:val="000000"/>
                                <w:spacing w:val="6"/>
                                <w:sz w:val="18"/>
                              </w:rPr>
                              <w:t xml:space="preserve"> seeks to provide students with </w:t>
                            </w:r>
                            <w:r>
                              <w:rPr>
                                <w:rFonts w:ascii="Tahoma" w:eastAsia="Tahoma" w:hAnsi="Tahoma"/>
                                <w:color w:val="414042"/>
                                <w:spacing w:val="6"/>
                                <w:sz w:val="18"/>
                              </w:rPr>
                              <w:t>new learning</w:t>
                            </w:r>
                            <w:r>
                              <w:rPr>
                                <w:rFonts w:ascii="Tahoma" w:eastAsia="Tahoma" w:hAnsi="Tahoma"/>
                                <w:color w:val="000000"/>
                                <w:spacing w:val="6"/>
                                <w:sz w:val="18"/>
                              </w:rPr>
                              <w:t xml:space="preserve"> and employment opportunities </w:t>
                            </w:r>
                            <w:r>
                              <w:rPr>
                                <w:rFonts w:ascii="Tahoma" w:eastAsia="Tahoma" w:hAnsi="Tahoma"/>
                                <w:color w:val="414042"/>
                                <w:spacing w:val="6"/>
                                <w:sz w:val="18"/>
                              </w:rPr>
                              <w:t>beyond school</w:t>
                            </w:r>
                            <w:r>
                              <w:rPr>
                                <w:rFonts w:ascii="Tahoma" w:eastAsia="Tahoma" w:hAnsi="Tahoma"/>
                                <w:color w:val="000000"/>
                                <w:spacing w:val="6"/>
                                <w:sz w:val="18"/>
                              </w:rPr>
                              <w:t xml:space="preserve"> to help inform their choices </w:t>
                            </w:r>
                            <w:r>
                              <w:rPr>
                                <w:rFonts w:ascii="Tahoma" w:eastAsia="Tahoma" w:hAnsi="Tahoma"/>
                                <w:color w:val="414042"/>
                                <w:spacing w:val="6"/>
                                <w:sz w:val="18"/>
                              </w:rPr>
                              <w:t>for future</w:t>
                            </w:r>
                            <w:r>
                              <w:rPr>
                                <w:rFonts w:ascii="Tahoma" w:eastAsia="Tahoma" w:hAnsi="Tahoma"/>
                                <w:color w:val="000000"/>
                                <w:spacing w:val="6"/>
                                <w:sz w:val="18"/>
                              </w:rPr>
                              <w:t xml:space="preserve"> education and work. Through </w:t>
                            </w:r>
                            <w:r>
                              <w:rPr>
                                <w:rFonts w:ascii="Tahoma" w:eastAsia="Tahoma" w:hAnsi="Tahoma"/>
                                <w:color w:val="414042"/>
                                <w:spacing w:val="6"/>
                                <w:sz w:val="18"/>
                              </w:rPr>
                              <w:t>industry</w:t>
                            </w:r>
                            <w:r>
                              <w:rPr>
                                <w:rFonts w:ascii="Tahoma" w:eastAsia="Tahoma" w:hAnsi="Tahoma"/>
                                <w:color w:val="000000"/>
                                <w:spacing w:val="6"/>
                                <w:sz w:val="18"/>
                              </w:rPr>
                              <w:t xml:space="preserve"> connections, practical training </w:t>
                            </w:r>
                            <w:r>
                              <w:rPr>
                                <w:rFonts w:ascii="Tahoma" w:eastAsia="Tahoma" w:hAnsi="Tahoma"/>
                                <w:color w:val="414042"/>
                                <w:spacing w:val="6"/>
                                <w:sz w:val="18"/>
                              </w:rPr>
                              <w:t>and academic</w:t>
                            </w:r>
                            <w:r>
                              <w:rPr>
                                <w:rFonts w:ascii="Tahoma" w:eastAsia="Tahoma" w:hAnsi="Tahoma"/>
                                <w:color w:val="000000"/>
                                <w:spacing w:val="6"/>
                                <w:sz w:val="18"/>
                              </w:rPr>
                              <w:t xml:space="preserve"> growth, students gain the </w:t>
                            </w:r>
                            <w:r>
                              <w:rPr>
                                <w:rFonts w:ascii="Verdana" w:eastAsia="Verdana" w:hAnsi="Verdana"/>
                                <w:color w:val="414042"/>
                                <w:spacing w:val="6"/>
                                <w:sz w:val="17"/>
                              </w:rPr>
                              <w:t>skills and</w:t>
                            </w:r>
                            <w:r>
                              <w:rPr>
                                <w:rFonts w:ascii="Verdana" w:eastAsia="Verdana" w:hAnsi="Verdana"/>
                                <w:color w:val="000000"/>
                                <w:spacing w:val="6"/>
                                <w:sz w:val="17"/>
                              </w:rPr>
                              <w:t xml:space="preserve"> qualifications employers want, </w:t>
                            </w:r>
                            <w:r>
                              <w:rPr>
                                <w:rFonts w:ascii="Tahoma" w:eastAsia="Tahoma" w:hAnsi="Tahoma"/>
                                <w:color w:val="000000"/>
                                <w:spacing w:val="6"/>
                                <w:sz w:val="18"/>
                              </w:rPr>
                              <w:t>and</w:t>
                            </w:r>
                            <w:r>
                              <w:rPr>
                                <w:rFonts w:ascii="Tahoma" w:eastAsia="Tahoma" w:hAnsi="Tahoma"/>
                                <w:color w:val="414042"/>
                                <w:spacing w:val="6"/>
                                <w:sz w:val="18"/>
                              </w:rPr>
                              <w:t xml:space="preserve"> that are</w:t>
                            </w:r>
                            <w:r>
                              <w:rPr>
                                <w:rFonts w:ascii="Tahoma" w:eastAsia="Tahoma" w:hAnsi="Tahoma"/>
                                <w:color w:val="000000"/>
                                <w:spacing w:val="6"/>
                                <w:sz w:val="18"/>
                              </w:rPr>
                              <w:t xml:space="preserve"> required for ever-changing work</w:t>
                            </w:r>
                            <w:r>
                              <w:rPr>
                                <w:rFonts w:ascii="Tahoma" w:eastAsia="Tahoma" w:hAnsi="Tahoma"/>
                                <w:color w:val="414042"/>
                                <w:spacing w:val="6"/>
                                <w:sz w:val="18"/>
                              </w:rPr>
                              <w:t xml:space="preserve"> environments.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B4DD3" id="Text Box 521" o:spid="_x0000_s1105" type="#_x0000_t202" style="position:absolute;margin-left:329.3pt;margin-top:74.5pt;width:193.4pt;height:99.4pt;z-index:-251904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0o7gEAAMMDAAAOAAAAZHJzL2Uyb0RvYy54bWysU9tu1DAQfUfiHyy/s7lAlyXabFVaFSGV&#10;gtTyAY7jJBaJx4y9myxfz9jZLC19Q7xY47kcnzkz3l5OQ88OCp0GU/JslXKmjIRam7bk3x9v32w4&#10;c16YWvRgVMmPyvHL3etX29EWKocO+lohIxDjitGWvPPeFkniZKcG4VZglaFgAzgIT1dskxrFSOhD&#10;n+Rpuk5GwNoiSOUceW/mIN9F/KZR0n9tGqc860tO3Hw8MZ5VOJPdVhQtCttpeaIh/oHFILShR89Q&#10;N8ILtkf9AmrQEsFB41cShgSaRksVe6BusvSvbh46YVXshcRx9iyT+3+w8v7wDZmuS75JSR8jBhrS&#10;o5o8+wgTu8izoNBoXUGJD5ZS/UQBmnTs1tk7kD8cM3DdCdOqK0QYOyVqYhgrkyelM44LINX4BWp6&#10;SOw9RKCpwSHIR4IwQicmx/N0AhlJzvzdxTrbUEhSLMvX+Vu6ELtEFEu5Rec/KRhYMEqONP4ILw53&#10;zs+pS0p4zcCt7vu4Ar155iDM4In0A+OZu5+qKWr1/sMiSwX1kRpCmDeLfgIZHeAvzkbaqpK7n3uB&#10;irP+syFRwgouBi5GtRjCSCotuedsNq/9vKp7i7rtCHmW3cAVCdfo2FJQeGZx4kubEkU5bXVYxaf3&#10;mPXn7+1+AwAA//8DAFBLAwQUAAYACAAAACEAwBvyTOEAAAAMAQAADwAAAGRycy9kb3ducmV2Lnht&#10;bEyPwU7DMBBE70j8g7VI3KgNpCENcaoKwQkJNQ0Hjk7sJlbjdYjdNvw92xMcV/M0+6ZYz25gJzMF&#10;61HC/UIAM9h6bbGT8Fm/3WXAQlSo1eDRSPgxAdbl9VWhcu3PWJnTLnaMSjDkSkIf45hzHtreOBUW&#10;fjRI2d5PTkU6p47rSZ2p3A38QYiUO2WRPvRqNC+9aQ+7o5Ow+cLq1X5/NNtqX9m6Xgl8Tw9S3t7M&#10;m2dg0czxD4aLPqlDSU6NP6IObJCQLrOUUAqSFY26ECJZJsAaCY/JUwa8LPj/EeUvAAAA//8DAFBL&#10;AQItABQABgAIAAAAIQC2gziS/gAAAOEBAAATAAAAAAAAAAAAAAAAAAAAAABbQ29udGVudF9UeXBl&#10;c10ueG1sUEsBAi0AFAAGAAgAAAAhADj9If/WAAAAlAEAAAsAAAAAAAAAAAAAAAAALwEAAF9yZWxz&#10;Ly5yZWxzUEsBAi0AFAAGAAgAAAAhADRFLSjuAQAAwwMAAA4AAAAAAAAAAAAAAAAALgIAAGRycy9l&#10;Mm9Eb2MueG1sUEsBAi0AFAAGAAgAAAAhAMAb8kzhAAAADAEAAA8AAAAAAAAAAAAAAAAASAQAAGRy&#10;cy9kb3ducmV2LnhtbFBLBQYAAAAABAAEAPMAAABWBQAAAAA=&#10;" filled="f" stroked="f">
                <v:textbox inset="0,0,0,0">
                  <w:txbxContent>
                    <w:p w14:paraId="0A451739" w14:textId="77777777" w:rsidR="00490F33" w:rsidRDefault="00490F33">
                      <w:pPr>
                        <w:spacing w:before="8" w:line="219" w:lineRule="exact"/>
                        <w:textAlignment w:val="baseline"/>
                        <w:rPr>
                          <w:rFonts w:ascii="Tahoma" w:eastAsia="Tahoma" w:hAnsi="Tahoma"/>
                          <w:color w:val="414042"/>
                          <w:spacing w:val="6"/>
                          <w:sz w:val="18"/>
                        </w:rPr>
                      </w:pPr>
                      <w:r>
                        <w:rPr>
                          <w:rFonts w:ascii="Tahoma" w:eastAsia="Tahoma" w:hAnsi="Tahoma"/>
                          <w:color w:val="414042"/>
                          <w:spacing w:val="6"/>
                          <w:sz w:val="18"/>
                        </w:rPr>
                        <w:t>This approach</w:t>
                      </w:r>
                      <w:r>
                        <w:rPr>
                          <w:rFonts w:ascii="Tahoma" w:eastAsia="Tahoma" w:hAnsi="Tahoma"/>
                          <w:color w:val="000000"/>
                          <w:spacing w:val="6"/>
                          <w:sz w:val="18"/>
                        </w:rPr>
                        <w:t xml:space="preserve"> seeks to provide students with </w:t>
                      </w:r>
                      <w:r>
                        <w:rPr>
                          <w:rFonts w:ascii="Tahoma" w:eastAsia="Tahoma" w:hAnsi="Tahoma"/>
                          <w:color w:val="414042"/>
                          <w:spacing w:val="6"/>
                          <w:sz w:val="18"/>
                        </w:rPr>
                        <w:t>new learning</w:t>
                      </w:r>
                      <w:r>
                        <w:rPr>
                          <w:rFonts w:ascii="Tahoma" w:eastAsia="Tahoma" w:hAnsi="Tahoma"/>
                          <w:color w:val="000000"/>
                          <w:spacing w:val="6"/>
                          <w:sz w:val="18"/>
                        </w:rPr>
                        <w:t xml:space="preserve"> and employment opportunities </w:t>
                      </w:r>
                      <w:r>
                        <w:rPr>
                          <w:rFonts w:ascii="Tahoma" w:eastAsia="Tahoma" w:hAnsi="Tahoma"/>
                          <w:color w:val="414042"/>
                          <w:spacing w:val="6"/>
                          <w:sz w:val="18"/>
                        </w:rPr>
                        <w:t>beyond school</w:t>
                      </w:r>
                      <w:r>
                        <w:rPr>
                          <w:rFonts w:ascii="Tahoma" w:eastAsia="Tahoma" w:hAnsi="Tahoma"/>
                          <w:color w:val="000000"/>
                          <w:spacing w:val="6"/>
                          <w:sz w:val="18"/>
                        </w:rPr>
                        <w:t xml:space="preserve"> to help inform their choices </w:t>
                      </w:r>
                      <w:r>
                        <w:rPr>
                          <w:rFonts w:ascii="Tahoma" w:eastAsia="Tahoma" w:hAnsi="Tahoma"/>
                          <w:color w:val="414042"/>
                          <w:spacing w:val="6"/>
                          <w:sz w:val="18"/>
                        </w:rPr>
                        <w:t>for future</w:t>
                      </w:r>
                      <w:r>
                        <w:rPr>
                          <w:rFonts w:ascii="Tahoma" w:eastAsia="Tahoma" w:hAnsi="Tahoma"/>
                          <w:color w:val="000000"/>
                          <w:spacing w:val="6"/>
                          <w:sz w:val="18"/>
                        </w:rPr>
                        <w:t xml:space="preserve"> education and work. Through </w:t>
                      </w:r>
                      <w:r>
                        <w:rPr>
                          <w:rFonts w:ascii="Tahoma" w:eastAsia="Tahoma" w:hAnsi="Tahoma"/>
                          <w:color w:val="414042"/>
                          <w:spacing w:val="6"/>
                          <w:sz w:val="18"/>
                        </w:rPr>
                        <w:t>industry</w:t>
                      </w:r>
                      <w:r>
                        <w:rPr>
                          <w:rFonts w:ascii="Tahoma" w:eastAsia="Tahoma" w:hAnsi="Tahoma"/>
                          <w:color w:val="000000"/>
                          <w:spacing w:val="6"/>
                          <w:sz w:val="18"/>
                        </w:rPr>
                        <w:t xml:space="preserve"> connections, practical training </w:t>
                      </w:r>
                      <w:r>
                        <w:rPr>
                          <w:rFonts w:ascii="Tahoma" w:eastAsia="Tahoma" w:hAnsi="Tahoma"/>
                          <w:color w:val="414042"/>
                          <w:spacing w:val="6"/>
                          <w:sz w:val="18"/>
                        </w:rPr>
                        <w:t>and academic</w:t>
                      </w:r>
                      <w:r>
                        <w:rPr>
                          <w:rFonts w:ascii="Tahoma" w:eastAsia="Tahoma" w:hAnsi="Tahoma"/>
                          <w:color w:val="000000"/>
                          <w:spacing w:val="6"/>
                          <w:sz w:val="18"/>
                        </w:rPr>
                        <w:t xml:space="preserve"> growth, students gain the </w:t>
                      </w:r>
                      <w:r>
                        <w:rPr>
                          <w:rFonts w:ascii="Verdana" w:eastAsia="Verdana" w:hAnsi="Verdana"/>
                          <w:color w:val="414042"/>
                          <w:spacing w:val="6"/>
                          <w:sz w:val="17"/>
                        </w:rPr>
                        <w:t>skills and</w:t>
                      </w:r>
                      <w:r>
                        <w:rPr>
                          <w:rFonts w:ascii="Verdana" w:eastAsia="Verdana" w:hAnsi="Verdana"/>
                          <w:color w:val="000000"/>
                          <w:spacing w:val="6"/>
                          <w:sz w:val="17"/>
                        </w:rPr>
                        <w:t xml:space="preserve"> qualifications employers want, </w:t>
                      </w:r>
                      <w:r>
                        <w:rPr>
                          <w:rFonts w:ascii="Tahoma" w:eastAsia="Tahoma" w:hAnsi="Tahoma"/>
                          <w:color w:val="000000"/>
                          <w:spacing w:val="6"/>
                          <w:sz w:val="18"/>
                        </w:rPr>
                        <w:t>and</w:t>
                      </w:r>
                      <w:r>
                        <w:rPr>
                          <w:rFonts w:ascii="Tahoma" w:eastAsia="Tahoma" w:hAnsi="Tahoma"/>
                          <w:color w:val="414042"/>
                          <w:spacing w:val="6"/>
                          <w:sz w:val="18"/>
                        </w:rPr>
                        <w:t xml:space="preserve"> that are</w:t>
                      </w:r>
                      <w:r>
                        <w:rPr>
                          <w:rFonts w:ascii="Tahoma" w:eastAsia="Tahoma" w:hAnsi="Tahoma"/>
                          <w:color w:val="000000"/>
                          <w:spacing w:val="6"/>
                          <w:sz w:val="18"/>
                        </w:rPr>
                        <w:t xml:space="preserve"> required for ever-changing work</w:t>
                      </w:r>
                      <w:r>
                        <w:rPr>
                          <w:rFonts w:ascii="Tahoma" w:eastAsia="Tahoma" w:hAnsi="Tahoma"/>
                          <w:color w:val="414042"/>
                          <w:spacing w:val="6"/>
                          <w:sz w:val="18"/>
                        </w:rPr>
                        <w:t xml:space="preserve"> environments.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2992" behindDoc="1" locked="0" layoutInCell="1" allowOverlap="1" wp14:anchorId="5EAFC4C5" wp14:editId="181CA82A">
                <wp:simplePos x="0" y="0"/>
                <wp:positionH relativeFrom="page">
                  <wp:posOffset>847090</wp:posOffset>
                </wp:positionH>
                <wp:positionV relativeFrom="page">
                  <wp:posOffset>982980</wp:posOffset>
                </wp:positionV>
                <wp:extent cx="1511935" cy="259080"/>
                <wp:effectExtent l="0" t="0" r="0" b="0"/>
                <wp:wrapSquare wrapText="bothSides"/>
                <wp:docPr id="799"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B1264" w14:textId="77777777" w:rsidR="00490F33" w:rsidRDefault="00490F33">
                            <w:pPr>
                              <w:spacing w:line="396"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FC4C5" id="Text Box 520" o:spid="_x0000_s1106" type="#_x0000_t202" style="position:absolute;margin-left:66.7pt;margin-top:77.4pt;width:119.05pt;height:20.4pt;z-index:-251903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V37wEAAMIDAAAOAAAAZHJzL2Uyb0RvYy54bWysU8Fu2zAMvQ/YPwi6L44zZGuMOEXXosOA&#10;bh3Q7gNoWY6F2aJGKbGzrx8lJ2m33opdBEqiHt97pNaXY9+JvSZv0JYyn82l0FZhbey2lD8eb99d&#10;SOED2Bo6tLqUB+3l5ebtm/XgCr3AFrtak2AQ64vBlbINwRVZ5lWre/AzdNryZYPUQ+AtbbOaYGD0&#10;vssW8/mHbECqHaHS3vPpzXQpNwm/abQK903jdRBdKZlbSCultYprtllDsSVwrVFHGvAKFj0Yy0XP&#10;UDcQQOzIvIDqjSL02ISZwj7DpjFKJw2sJp//o+ahBaeTFjbHu7NN/v/Bqm/77yRMXcqPq5UUFnpu&#10;0qMeg/iEo1gukkOD8wUnPjhODSNfcKeTWu/uUP30wuJ1C3arr4hwaDXUzDCP3mbPnsae+MJHkGr4&#10;ijUXgl3ABDQ21Ef72BDB6Nypw7k7kYyKJZd5vnq/lELx3WK5ml8kchkUp9eOfPissRcxKCVx9xM6&#10;7O98iGygOKXEYhZvTdelCejsXwecGE8S+0h4oh7GakxWTYWjmgrrA+shnAaLPwIHLdJvKQYeqlL6&#10;XzsgLUX3xbIncQJPAZ2C6hSAVfy0lEGKKbwO06TuHJlty8iT6xav2LfGJElPLI58eVCS0uNQx0l8&#10;vk9ZT19v8wcAAP//AwBQSwMEFAAGAAgAAAAhAKULIdfgAAAACwEAAA8AAABkcnMvZG93bnJldi54&#10;bWxMj0FPg0AQhe8m/ofNmHizS6WgRZamMXoyMaV48LiwUyBlZ5HdtvjvHU96mzfz8uZ7+Wa2gzjj&#10;5HtHCpaLCARS40xPrYKP6vXuEYQPmoweHKGCb/SwKa6vcp0Zd6ESz/vQCg4hn2kFXQhjJqVvOrTa&#10;L9yIxLeDm6wOLKdWmklfONwO8j6KUml1T/yh0yM+d9gc9yerYPtJ5Uv/9V7vykPZV9U6orf0qNTt&#10;zbx9AhFwDn9m+MVndCiYqXYnMl4MrON4xVYekhV3YEf8sExA1LxZJynIIpf/OxQ/AAAA//8DAFBL&#10;AQItABQABgAIAAAAIQC2gziS/gAAAOEBAAATAAAAAAAAAAAAAAAAAAAAAABbQ29udGVudF9UeXBl&#10;c10ueG1sUEsBAi0AFAAGAAgAAAAhADj9If/WAAAAlAEAAAsAAAAAAAAAAAAAAAAALwEAAF9yZWxz&#10;Ly5yZWxzUEsBAi0AFAAGAAgAAAAhAGON1XfvAQAAwgMAAA4AAAAAAAAAAAAAAAAALgIAAGRycy9l&#10;Mm9Eb2MueG1sUEsBAi0AFAAGAAgAAAAhAKULIdfgAAAACwEAAA8AAAAAAAAAAAAAAAAASQQAAGRy&#10;cy9kb3ducmV2LnhtbFBLBQYAAAAABAAEAPMAAABWBQAAAAA=&#10;" filled="f" stroked="f">
                <v:textbox inset="0,0,0,0">
                  <w:txbxContent>
                    <w:p w14:paraId="542B1264" w14:textId="77777777" w:rsidR="00490F33" w:rsidRDefault="00490F33">
                      <w:pPr>
                        <w:spacing w:line="396"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4016" behindDoc="1" locked="0" layoutInCell="1" allowOverlap="1" wp14:anchorId="1E6C0AA2" wp14:editId="31E0A53F">
                <wp:simplePos x="0" y="0"/>
                <wp:positionH relativeFrom="page">
                  <wp:posOffset>2359025</wp:posOffset>
                </wp:positionH>
                <wp:positionV relativeFrom="page">
                  <wp:posOffset>982980</wp:posOffset>
                </wp:positionV>
                <wp:extent cx="88265" cy="259080"/>
                <wp:effectExtent l="0" t="0" r="0" b="0"/>
                <wp:wrapSquare wrapText="bothSides"/>
                <wp:docPr id="798"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46081" w14:textId="77777777" w:rsidR="00490F33" w:rsidRDefault="00490F33">
                            <w:pPr>
                              <w:spacing w:line="396" w:lineRule="exact"/>
                              <w:textAlignment w:val="baseline"/>
                              <w:rPr>
                                <w:rFonts w:ascii="Arial" w:eastAsia="Arial" w:hAnsi="Arial"/>
                                <w:b/>
                                <w:color w:val="BF5B1F"/>
                                <w:w w:val="90"/>
                                <w:sz w:val="39"/>
                              </w:rPr>
                            </w:pPr>
                            <w:r>
                              <w:rPr>
                                <w:rFonts w:ascii="Arial" w:eastAsia="Arial" w:hAnsi="Arial"/>
                                <w:b/>
                                <w:color w:val="BF5B1F"/>
                                <w:w w:val="90"/>
                                <w:sz w:val="3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C0AA2" id="Text Box 519" o:spid="_x0000_s1107" type="#_x0000_t202" style="position:absolute;margin-left:185.75pt;margin-top:77.4pt;width:6.95pt;height:20.4pt;z-index:-25190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1o7gEAAMADAAAOAAAAZHJzL2Uyb0RvYy54bWysU8Fu2zAMvQ/YPwi6L3YCpHOMOEXXosOA&#10;bivQ7gMYWY6F2aJGKbGzrx8lJ2m33YZdBIqint57pNbXY9+JgyZv0FZyPsul0FZhbeyukt+e798V&#10;UvgAtoYOra7kUXt5vXn7Zj24Ui+wxa7WJBjE+nJwlWxDcGWWedXqHvwMnbZ82CD1EHhLu6wmGBi9&#10;77JFnl9lA1LtCJX2nrN306HcJPym0Sp8bRqvg+gqydxCWimt27hmmzWUOwLXGnWiAf/Aogdj+dEL&#10;1B0EEHsyf0H1RhF6bMJMYZ9h0xilkwZWM8//UPPUgtNJC5vj3cUm//9g1ZfDIwlTV/L9iltloecm&#10;PesxiA84iuV8FR0anC+58MlxaRj5gDud1Hr3gOq7FxZvW7A7fUOEQ6uhZobzeDN7dXXC8RFkO3zG&#10;mh+CfcAENDbUR/vYEMHo3KnjpTuRjOJkUSyullIoPlksV3mRmpdBeb7ryIePGnsRg0oS9z5hw+HB&#10;h8gFynNJfMrivem61P/O/pbgwphJ3CPdiXgYt2MyqkjKorAt1kdWQziNFX8DDlqkn1IMPFKV9D/2&#10;QFqK7pNlR+L8nQM6B9tzAFbx1UoGKabwNkxzundkdi0jT55bvGHXGpMkvbA48eUxSUpPIx3n8PU+&#10;Vb18vM0vAAAA//8DAFBLAwQUAAYACAAAACEAHkWTkuEAAAALAQAADwAAAGRycy9kb3ducmV2Lnht&#10;bEyPwU7DMBBE70j8g7VI3KhT2oQ2jVNVCE5IiDQcenTibRI1XofYbcPfs5zguDNPszPZdrK9uODo&#10;O0cK5rMIBFLtTEeNgs/y9WEFwgdNRveOUME3etjmtzeZTo27UoGXfWgEh5BPtYI2hCGV0tctWu1n&#10;bkBi7+hGqwOfYyPNqK8cbnv5GEWJtLoj/tDqAZ9brE/7s1WwO1Dx0n29Vx/FsejKch3RW3JS6v5u&#10;2m1ABJzCHwy/9bk65NypcmcyXvQKFk/zmFE24iVvYGKxipcgKlbWcQIyz+T/DfkPAAAA//8DAFBL&#10;AQItABQABgAIAAAAIQC2gziS/gAAAOEBAAATAAAAAAAAAAAAAAAAAAAAAABbQ29udGVudF9UeXBl&#10;c10ueG1sUEsBAi0AFAAGAAgAAAAhADj9If/WAAAAlAEAAAsAAAAAAAAAAAAAAAAALwEAAF9yZWxz&#10;Ly5yZWxzUEsBAi0AFAAGAAgAAAAhAGTInWjuAQAAwAMAAA4AAAAAAAAAAAAAAAAALgIAAGRycy9l&#10;Mm9Eb2MueG1sUEsBAi0AFAAGAAgAAAAhAB5Fk5LhAAAACwEAAA8AAAAAAAAAAAAAAAAASAQAAGRy&#10;cy9kb3ducmV2LnhtbFBLBQYAAAAABAAEAPMAAABWBQAAAAA=&#10;" filled="f" stroked="f">
                <v:textbox inset="0,0,0,0">
                  <w:txbxContent>
                    <w:p w14:paraId="69146081" w14:textId="77777777" w:rsidR="00490F33" w:rsidRDefault="00490F33">
                      <w:pPr>
                        <w:spacing w:line="396" w:lineRule="exact"/>
                        <w:textAlignment w:val="baseline"/>
                        <w:rPr>
                          <w:rFonts w:ascii="Arial" w:eastAsia="Arial" w:hAnsi="Arial"/>
                          <w:b/>
                          <w:color w:val="BF5B1F"/>
                          <w:w w:val="90"/>
                          <w:sz w:val="39"/>
                        </w:rPr>
                      </w:pPr>
                      <w:r>
                        <w:rPr>
                          <w:rFonts w:ascii="Arial" w:eastAsia="Arial" w:hAnsi="Arial"/>
                          <w:b/>
                          <w:color w:val="BF5B1F"/>
                          <w:w w:val="90"/>
                          <w:sz w:val="39"/>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5040" behindDoc="1" locked="0" layoutInCell="1" allowOverlap="1" wp14:anchorId="123024CD" wp14:editId="5C0087D1">
                <wp:simplePos x="0" y="0"/>
                <wp:positionH relativeFrom="page">
                  <wp:posOffset>835025</wp:posOffset>
                </wp:positionH>
                <wp:positionV relativeFrom="page">
                  <wp:posOffset>1242060</wp:posOffset>
                </wp:positionV>
                <wp:extent cx="2341245" cy="876300"/>
                <wp:effectExtent l="0" t="0" r="0" b="0"/>
                <wp:wrapSquare wrapText="bothSides"/>
                <wp:docPr id="797"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2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2FAFB" w14:textId="77777777" w:rsidR="00490F33" w:rsidRDefault="00490F33">
                            <w:pPr>
                              <w:spacing w:line="459" w:lineRule="exact"/>
                              <w:textAlignment w:val="baseline"/>
                              <w:rPr>
                                <w:rFonts w:ascii="Tahoma" w:eastAsia="Tahoma" w:hAnsi="Tahoma"/>
                                <w:color w:val="BF5B1F"/>
                                <w:spacing w:val="29"/>
                                <w:w w:val="90"/>
                                <w:sz w:val="38"/>
                              </w:rPr>
                            </w:pPr>
                            <w:r>
                              <w:rPr>
                                <w:rFonts w:ascii="Tahoma" w:eastAsia="Tahoma" w:hAnsi="Tahoma"/>
                                <w:color w:val="BF5B1F"/>
                                <w:spacing w:val="29"/>
                                <w:w w:val="90"/>
                                <w:sz w:val="38"/>
                              </w:rPr>
                              <w:t>HSC SMARTTRACK</w:t>
                            </w:r>
                          </w:p>
                          <w:p w14:paraId="18336D11" w14:textId="77777777" w:rsidR="00490F33" w:rsidRDefault="00490F33">
                            <w:pPr>
                              <w:spacing w:before="1" w:line="459" w:lineRule="exact"/>
                              <w:textAlignment w:val="baseline"/>
                              <w:rPr>
                                <w:rFonts w:ascii="Tahoma" w:eastAsia="Tahoma" w:hAnsi="Tahoma"/>
                                <w:color w:val="BF5B1F"/>
                                <w:spacing w:val="12"/>
                                <w:w w:val="90"/>
                                <w:sz w:val="38"/>
                              </w:rPr>
                            </w:pPr>
                            <w:r>
                              <w:rPr>
                                <w:rFonts w:ascii="Tahoma" w:eastAsia="Tahoma" w:hAnsi="Tahoma"/>
                                <w:color w:val="BF5B1F"/>
                                <w:spacing w:val="12"/>
                                <w:w w:val="90"/>
                                <w:sz w:val="38"/>
                              </w:rPr>
                              <w:t>AT ST PHILIP’S</w:t>
                            </w:r>
                          </w:p>
                          <w:p w14:paraId="07EBDEA6" w14:textId="77777777" w:rsidR="00490F33" w:rsidRDefault="00490F33">
                            <w:pPr>
                              <w:spacing w:before="2" w:line="449" w:lineRule="exact"/>
                              <w:textAlignment w:val="baseline"/>
                              <w:rPr>
                                <w:rFonts w:ascii="Tahoma" w:eastAsia="Tahoma" w:hAnsi="Tahoma"/>
                                <w:color w:val="BF5B1F"/>
                                <w:spacing w:val="18"/>
                                <w:w w:val="90"/>
                                <w:sz w:val="38"/>
                              </w:rPr>
                            </w:pPr>
                            <w:r>
                              <w:rPr>
                                <w:rFonts w:ascii="Tahoma" w:eastAsia="Tahoma" w:hAnsi="Tahoma"/>
                                <w:color w:val="BF5B1F"/>
                                <w:spacing w:val="18"/>
                                <w:w w:val="90"/>
                                <w:sz w:val="38"/>
                              </w:rPr>
                              <w:t>CHRISTIAN COLLEGE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024CD" id="Text Box 518" o:spid="_x0000_s1108" type="#_x0000_t202" style="position:absolute;margin-left:65.75pt;margin-top:97.8pt;width:184.35pt;height:69pt;z-index:-251901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128QEAAMIDAAAOAAAAZHJzL2Uyb0RvYy54bWysU9tu2zAMfR+wfxD0vthJL8mMOEXXosOA&#10;7gK0+wBGlmNhtqhRSuzs60fJcdZtb8NeBIqXo8NDan0zdK04aPIGbSnns1wKbRVWxu5K+fX54c1K&#10;Ch/AVtCi1aU8ai9vNq9frXtX6AU22FaaBINYX/SulE0IrsgyrxrdgZ+h05aDNVIHga+0yyqCntG7&#10;Nlvk+XXWI1WOUGnv2Xs/BuUm4de1VuFzXXsdRFtK5hbSSencxjPbrKHYEbjGqBMN+AcWHRjLj56h&#10;7iGA2JP5C6ozitBjHWYKuwzr2iideuBu5vkf3Tw14HTqhcXx7iyT/3+w6tPhCwlTlXL5dimFhY6H&#10;9KyHIN7hIK7mq6hQ73zBiU+OU8PAAZ506ta7R1TfvLB414Dd6Vsi7BsNFTOcx8rsRemI4yPItv+I&#10;FT8E+4AJaKipi/KxIILReVLH83QiGcXOxcXlfHF5JYXi2Gp5fZGn8WVQTNWOfHivsRPRKCXx9BM6&#10;HB59iGygmFLiYxYfTNumDWjtbw5OjJ7EPhIeqYdhOySpVotJlS1WR+6HcFws/ghsNEg/pOh5qUrp&#10;v++BtBTtB8uaxA2cDJqM7WSAVVxayiDFaN6FcVP3jsyuYeRRdYu3rFttUktR4JHFiS8vSur0tNRx&#10;E1/eU9avr7f5CQAA//8DAFBLAwQUAAYACAAAACEAOXpB+OAAAAALAQAADwAAAGRycy9kb3ducmV2&#10;LnhtbEyPwU7DMAyG70h7h8iTuLFkq1qx0nSaEJyQEF05cEybrI3WOKXJtvL2mBO7+Zc//f5c7GY3&#10;sIuZgvUoYb0SwAy2XlvsJHzWrw+PwEJUqNXg0Uj4MQF25eKuULn2V6zM5RA7RiUYciWhj3HMOQ9t&#10;b5wKKz8apN3RT05FilPH9aSuVO4GvhEi405ZpAu9Gs1zb9rT4ewk7L+werHf781HdaxsXW8FvmUn&#10;Ke+X8/4JWDRz/IfhT5/UoSSnxp9RBzZQTtYpoTRs0wwYEakQG2CNhCRJMuBlwW9/KH8BAAD//wMA&#10;UEsBAi0AFAAGAAgAAAAhALaDOJL+AAAA4QEAABMAAAAAAAAAAAAAAAAAAAAAAFtDb250ZW50X1R5&#10;cGVzXS54bWxQSwECLQAUAAYACAAAACEAOP0h/9YAAACUAQAACwAAAAAAAAAAAAAAAAAvAQAAX3Jl&#10;bHMvLnJlbHNQSwECLQAUAAYACAAAACEALcSddvEBAADCAwAADgAAAAAAAAAAAAAAAAAuAgAAZHJz&#10;L2Uyb0RvYy54bWxQSwECLQAUAAYACAAAACEAOXpB+OAAAAALAQAADwAAAAAAAAAAAAAAAABLBAAA&#10;ZHJzL2Rvd25yZXYueG1sUEsFBgAAAAAEAAQA8wAAAFgFAAAAAA==&#10;" filled="f" stroked="f">
                <v:textbox inset="0,0,0,0">
                  <w:txbxContent>
                    <w:p w14:paraId="6912FAFB" w14:textId="77777777" w:rsidR="00490F33" w:rsidRDefault="00490F33">
                      <w:pPr>
                        <w:spacing w:line="459" w:lineRule="exact"/>
                        <w:textAlignment w:val="baseline"/>
                        <w:rPr>
                          <w:rFonts w:ascii="Tahoma" w:eastAsia="Tahoma" w:hAnsi="Tahoma"/>
                          <w:color w:val="BF5B1F"/>
                          <w:spacing w:val="29"/>
                          <w:w w:val="90"/>
                          <w:sz w:val="38"/>
                        </w:rPr>
                      </w:pPr>
                      <w:r>
                        <w:rPr>
                          <w:rFonts w:ascii="Tahoma" w:eastAsia="Tahoma" w:hAnsi="Tahoma"/>
                          <w:color w:val="BF5B1F"/>
                          <w:spacing w:val="29"/>
                          <w:w w:val="90"/>
                          <w:sz w:val="38"/>
                        </w:rPr>
                        <w:t>HSC SMARTTRACK</w:t>
                      </w:r>
                    </w:p>
                    <w:p w14:paraId="18336D11" w14:textId="77777777" w:rsidR="00490F33" w:rsidRDefault="00490F33">
                      <w:pPr>
                        <w:spacing w:before="1" w:line="459" w:lineRule="exact"/>
                        <w:textAlignment w:val="baseline"/>
                        <w:rPr>
                          <w:rFonts w:ascii="Tahoma" w:eastAsia="Tahoma" w:hAnsi="Tahoma"/>
                          <w:color w:val="BF5B1F"/>
                          <w:spacing w:val="12"/>
                          <w:w w:val="90"/>
                          <w:sz w:val="38"/>
                        </w:rPr>
                      </w:pPr>
                      <w:r>
                        <w:rPr>
                          <w:rFonts w:ascii="Tahoma" w:eastAsia="Tahoma" w:hAnsi="Tahoma"/>
                          <w:color w:val="BF5B1F"/>
                          <w:spacing w:val="12"/>
                          <w:w w:val="90"/>
                          <w:sz w:val="38"/>
                        </w:rPr>
                        <w:t>AT ST PHILIP’S</w:t>
                      </w:r>
                    </w:p>
                    <w:p w14:paraId="07EBDEA6" w14:textId="77777777" w:rsidR="00490F33" w:rsidRDefault="00490F33">
                      <w:pPr>
                        <w:spacing w:before="2" w:line="449" w:lineRule="exact"/>
                        <w:textAlignment w:val="baseline"/>
                        <w:rPr>
                          <w:rFonts w:ascii="Tahoma" w:eastAsia="Tahoma" w:hAnsi="Tahoma"/>
                          <w:color w:val="BF5B1F"/>
                          <w:spacing w:val="18"/>
                          <w:w w:val="90"/>
                          <w:sz w:val="38"/>
                        </w:rPr>
                      </w:pPr>
                      <w:r>
                        <w:rPr>
                          <w:rFonts w:ascii="Tahoma" w:eastAsia="Tahoma" w:hAnsi="Tahoma"/>
                          <w:color w:val="BF5B1F"/>
                          <w:spacing w:val="18"/>
                          <w:w w:val="90"/>
                          <w:sz w:val="38"/>
                        </w:rPr>
                        <w:t>CHRISTIAN COLLEGE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6064" behindDoc="1" locked="0" layoutInCell="1" allowOverlap="1" wp14:anchorId="1B67315F" wp14:editId="60DDD82F">
                <wp:simplePos x="0" y="0"/>
                <wp:positionH relativeFrom="page">
                  <wp:posOffset>3176270</wp:posOffset>
                </wp:positionH>
                <wp:positionV relativeFrom="page">
                  <wp:posOffset>1843405</wp:posOffset>
                </wp:positionV>
                <wp:extent cx="74930" cy="278130"/>
                <wp:effectExtent l="0" t="0" r="0" b="0"/>
                <wp:wrapSquare wrapText="bothSides"/>
                <wp:docPr id="796"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F0A40" w14:textId="77777777" w:rsidR="00490F33" w:rsidRDefault="00490F33">
                            <w:pPr>
                              <w:spacing w:after="4" w:line="433" w:lineRule="exact"/>
                              <w:textAlignment w:val="baseline"/>
                              <w:rPr>
                                <w:rFonts w:ascii="Tahoma" w:eastAsia="Tahoma" w:hAnsi="Tahoma"/>
                                <w:color w:val="BF5B1F"/>
                                <w:w w:val="90"/>
                                <w:sz w:val="38"/>
                              </w:rPr>
                            </w:pPr>
                            <w:r>
                              <w:rPr>
                                <w:rFonts w:ascii="Tahoma" w:eastAsia="Tahoma" w:hAnsi="Tahoma"/>
                                <w:color w:val="BF5B1F"/>
                                <w:w w:val="90"/>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7315F" id="Text Box 517" o:spid="_x0000_s1109" type="#_x0000_t202" style="position:absolute;margin-left:250.1pt;margin-top:145.15pt;width:5.9pt;height:21.9pt;z-index:-251900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Wy7gEAAMADAAAOAAAAZHJzL2Uyb0RvYy54bWysU8Fu2zAMvQ/YPwi6L47TrUmNOEXXosOA&#10;rhvQ7gMYWY6F2aJGKbGzrx8lx1m33YZdBIqkHh8fqfX10LXioMkbtKXMZ3MptFVYGbsr5dfn+zcr&#10;KXwAW0GLVpfyqL283rx+te5doRfYYFtpEgxifdG7UjYhuCLLvGp0B36GTlsO1kgdBL7SLqsIekbv&#10;2mwxn19mPVLlCJX2nr13Y1BuEn5daxU+17XXQbSlZG4hnZTObTyzzRqKHYFrjDrRgH9g0YGxXPQM&#10;dQcBxJ7MX1CdUYQe6zBT2GVY10bp1AN3k8//6OapAadTLyyOd2eZ/P+DVY+HLyRMVcrl1aUUFjoe&#10;0rMegniPg3iXL6NCvfMFJz45Tg0DB3jSqVvvHlB988LibQN2p2+IsG80VMwwjy+zF09HHB9Btv0n&#10;rLgQ7AMmoKGmLsrHgghG50kdz9OJZBQ7l2+vLjigOLJYrnK2YwEopreOfPigsRPRKCXx7BM2HB58&#10;GFOnlFjK4r1pW/ZD0drfHIwZPYl7pDsSD8N2SEKtLiZNtlgduRvCca34G7DRIP2QoueVKqX/vgfS&#10;UrQfLSsS928yaDK2kwFW8dNSBilG8zaMe7p3ZHYNI4+aW7xh1WqTWoryjixOfHlNkiinlY57+PKe&#10;sn59vM1PAAAA//8DAFBLAwQUAAYACAAAACEALEFNY+EAAAALAQAADwAAAGRycy9kb3ducmV2Lnht&#10;bEyPwU7DMBBE70j8g7VI3KidhFY0ZFNVCE5IFWk4cHRiN7Ear0PstuHva05wXO3TzJtiM9uBnfXk&#10;jSOEZCGAaWqdMtQhfNZvD0/AfJCk5OBII/xoD5vy9qaQuXIXqvR5HzoWQ8jnEqEPYcw5922vrfQL&#10;N2qKv4ObrAzxnDquJnmJ4XbgqRArbqWh2NDLUb/0uj3uTxZh+0XVq/neNR/VoTJ1vRb0vjoi3t/N&#10;22dgQc/hD4Zf/agOZXRq3ImUZwPCUog0ogjpWmTAIrFM0riuQciyxwR4WfD/G8orAAAA//8DAFBL&#10;AQItABQABgAIAAAAIQC2gziS/gAAAOEBAAATAAAAAAAAAAAAAAAAAAAAAABbQ29udGVudF9UeXBl&#10;c10ueG1sUEsBAi0AFAAGAAgAAAAhADj9If/WAAAAlAEAAAsAAAAAAAAAAAAAAAAALwEAAF9yZWxz&#10;Ly5yZWxzUEsBAi0AFAAGAAgAAAAhAJdLBbLuAQAAwAMAAA4AAAAAAAAAAAAAAAAALgIAAGRycy9l&#10;Mm9Eb2MueG1sUEsBAi0AFAAGAAgAAAAhACxBTWPhAAAACwEAAA8AAAAAAAAAAAAAAAAASAQAAGRy&#10;cy9kb3ducmV2LnhtbFBLBQYAAAAABAAEAPMAAABWBQAAAAA=&#10;" filled="f" stroked="f">
                <v:textbox inset="0,0,0,0">
                  <w:txbxContent>
                    <w:p w14:paraId="0A8F0A40" w14:textId="77777777" w:rsidR="00490F33" w:rsidRDefault="00490F33">
                      <w:pPr>
                        <w:spacing w:after="4" w:line="433" w:lineRule="exact"/>
                        <w:textAlignment w:val="baseline"/>
                        <w:rPr>
                          <w:rFonts w:ascii="Tahoma" w:eastAsia="Tahoma" w:hAnsi="Tahoma"/>
                          <w:color w:val="BF5B1F"/>
                          <w:w w:val="90"/>
                          <w:sz w:val="38"/>
                        </w:rPr>
                      </w:pPr>
                      <w:r>
                        <w:rPr>
                          <w:rFonts w:ascii="Tahoma" w:eastAsia="Tahoma" w:hAnsi="Tahoma"/>
                          <w:color w:val="BF5B1F"/>
                          <w:w w:val="90"/>
                          <w:sz w:val="38"/>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7088" behindDoc="1" locked="0" layoutInCell="1" allowOverlap="1" wp14:anchorId="39BB78A3" wp14:editId="680FDED4">
                <wp:simplePos x="0" y="0"/>
                <wp:positionH relativeFrom="page">
                  <wp:posOffset>859790</wp:posOffset>
                </wp:positionH>
                <wp:positionV relativeFrom="page">
                  <wp:posOffset>2119630</wp:posOffset>
                </wp:positionV>
                <wp:extent cx="1383665" cy="291465"/>
                <wp:effectExtent l="0" t="0" r="0" b="0"/>
                <wp:wrapSquare wrapText="bothSides"/>
                <wp:docPr id="795"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18D6E" w14:textId="77777777" w:rsidR="00490F33" w:rsidRDefault="00490F33">
                            <w:pPr>
                              <w:spacing w:line="449" w:lineRule="exact"/>
                              <w:textAlignment w:val="baseline"/>
                              <w:rPr>
                                <w:rFonts w:ascii="Tahoma" w:eastAsia="Tahoma" w:hAnsi="Tahoma"/>
                                <w:color w:val="BF5B1F"/>
                                <w:spacing w:val="15"/>
                                <w:w w:val="90"/>
                                <w:sz w:val="38"/>
                              </w:rPr>
                            </w:pPr>
                            <w:r>
                              <w:rPr>
                                <w:rFonts w:ascii="Tahoma" w:eastAsia="Tahoma" w:hAnsi="Tahoma"/>
                                <w:color w:val="BF5B1F"/>
                                <w:spacing w:val="15"/>
                                <w:w w:val="90"/>
                                <w:sz w:val="38"/>
                              </w:rPr>
                              <w:t>NEWCASTLE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B78A3" id="Text Box 516" o:spid="_x0000_s1110" type="#_x0000_t202" style="position:absolute;margin-left:67.7pt;margin-top:166.9pt;width:108.95pt;height:22.95pt;z-index:-251899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T8L8AEAAMIDAAAOAAAAZHJzL2Uyb0RvYy54bWysU9tu2zAMfR+wfxD0vjhO2yw14hRdiw4D&#10;ugvQ7gMYWY6F2aJGKbGzrx8lx1m3vQ17ESiSOjw8pNY3Q9eKgyZv0JYyn82l0FZhZeyulF+fH96s&#10;pPABbAUtWl3Ko/byZvP61bp3hV5gg22lSTCI9UXvStmE4Ios86rRHfgZOm05WCN1EPhKu6wi6Bm9&#10;a7PFfL7MeqTKESrtPXvvx6DcJPy61ip8rmuvg2hLydxCOimd23hmmzUUOwLXGHWiAf/AogNjuegZ&#10;6h4CiD2Zv6A6owg91mGmsMuwro3SqQfuJp//0c1TA06nXlgc784y+f8Hqz4dvpAwVSnfXl9JYaHj&#10;IT3rIYh3OIirfBkV6p0vOPHJcWoYOMCTTt1694jqmxcW7xqwO31LhH2joWKGeXyZvXg64vgIsu0/&#10;YsWFYB8wAQ01dVE+FkQwOk/qeJ5OJKNiyYvVxXLJJBXHFtf5JduxBBTTa0c+vNfYiWiUknj6CR0O&#10;jz6MqVNKLGbxwbQt+6Fo7W8OxoyexD4SHqmHYTskqVaXkypbrI7cD+G4WPwR2GiQfkjR81KV0n/f&#10;A2kp2g+WNYkbOBk0GdvJAKv4aSmDFKN5F8ZN3Tsyu4aRR9Ut3rJutUktRYFHFie+vChJlNNSx018&#10;eU9Zv77e5icAAAD//wMAUEsDBBQABgAIAAAAIQB71JjW3wAAAAsBAAAPAAAAZHJzL2Rvd25yZXYu&#10;eG1sTI89T8MwEIZ3JP6DdUhs1AHTloY4VYVgqoRIw8DoxNckanwOsduGf891gu1e3aP3I1tPrhcn&#10;HEPnScP9LAGBVHvbUaPhs3y7ewIRoiFrek+o4QcDrPPrq8yk1p+pwNMuNoJNKKRGQxvjkEoZ6had&#10;CTM/IPFv70dnIsuxkXY0ZzZ3vXxIkoV0piNOaM2ALy3Wh93Radh8UfHafb9XH8W+6MpyldB2cdD6&#10;9mbaPIOIOMU/GC71uTrk3KnyR7JB9KzV/JFRDUop3sCEmisFouJjuVqCzDP5f0P+CwAA//8DAFBL&#10;AQItABQABgAIAAAAIQC2gziS/gAAAOEBAAATAAAAAAAAAAAAAAAAAAAAAABbQ29udGVudF9UeXBl&#10;c10ueG1sUEsBAi0AFAAGAAgAAAAhADj9If/WAAAAlAEAAAsAAAAAAAAAAAAAAAAALwEAAF9yZWxz&#10;Ly5yZWxzUEsBAi0AFAAGAAgAAAAhADW1PwvwAQAAwgMAAA4AAAAAAAAAAAAAAAAALgIAAGRycy9l&#10;Mm9Eb2MueG1sUEsBAi0AFAAGAAgAAAAhAHvUmNbfAAAACwEAAA8AAAAAAAAAAAAAAAAASgQAAGRy&#10;cy9kb3ducmV2LnhtbFBLBQYAAAAABAAEAPMAAABWBQAAAAA=&#10;" filled="f" stroked="f">
                <v:textbox inset="0,0,0,0">
                  <w:txbxContent>
                    <w:p w14:paraId="1EB18D6E" w14:textId="77777777" w:rsidR="00490F33" w:rsidRDefault="00490F33">
                      <w:pPr>
                        <w:spacing w:line="449" w:lineRule="exact"/>
                        <w:textAlignment w:val="baseline"/>
                        <w:rPr>
                          <w:rFonts w:ascii="Tahoma" w:eastAsia="Tahoma" w:hAnsi="Tahoma"/>
                          <w:color w:val="BF5B1F"/>
                          <w:spacing w:val="15"/>
                          <w:w w:val="90"/>
                          <w:sz w:val="38"/>
                        </w:rPr>
                      </w:pPr>
                      <w:r>
                        <w:rPr>
                          <w:rFonts w:ascii="Tahoma" w:eastAsia="Tahoma" w:hAnsi="Tahoma"/>
                          <w:color w:val="BF5B1F"/>
                          <w:spacing w:val="15"/>
                          <w:w w:val="90"/>
                          <w:sz w:val="38"/>
                        </w:rPr>
                        <w:t>NEWCASTLE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8112" behindDoc="1" locked="0" layoutInCell="1" allowOverlap="1" wp14:anchorId="43E44E25" wp14:editId="2896C732">
                <wp:simplePos x="0" y="0"/>
                <wp:positionH relativeFrom="page">
                  <wp:posOffset>2243455</wp:posOffset>
                </wp:positionH>
                <wp:positionV relativeFrom="page">
                  <wp:posOffset>2119630</wp:posOffset>
                </wp:positionV>
                <wp:extent cx="78105" cy="294640"/>
                <wp:effectExtent l="0" t="0" r="0" b="0"/>
                <wp:wrapSquare wrapText="bothSides"/>
                <wp:docPr id="79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E3D1D" w14:textId="77777777" w:rsidR="00490F33" w:rsidRDefault="00490F33">
                            <w:pPr>
                              <w:spacing w:after="4" w:line="459" w:lineRule="exact"/>
                              <w:textAlignment w:val="baseline"/>
                              <w:rPr>
                                <w:rFonts w:ascii="Tahoma" w:eastAsia="Tahoma" w:hAnsi="Tahoma"/>
                                <w:color w:val="BF5B1F"/>
                                <w:w w:val="90"/>
                                <w:sz w:val="38"/>
                              </w:rPr>
                            </w:pPr>
                            <w:r>
                              <w:rPr>
                                <w:rFonts w:ascii="Tahoma" w:eastAsia="Tahoma" w:hAnsi="Tahoma"/>
                                <w:color w:val="BF5B1F"/>
                                <w:w w:val="90"/>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44E25" id="Text Box 515" o:spid="_x0000_s1111" type="#_x0000_t202" style="position:absolute;margin-left:176.65pt;margin-top:166.9pt;width:6.15pt;height:23.2pt;z-index:-251898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tp7wEAAMADAAAOAAAAZHJzL2Uyb0RvYy54bWysU9tu2zAMfR+wfxD0vjgJkjY14hRdiw4D&#10;unVAuw9gZDkWZosapcTOvn6UHGfd9lb0RaB4OTo8pNbXfduIgyZv0BZyNplKoa3C0thdIb8/339Y&#10;SeED2BIatLqQR+3l9eb9u3Xncj3HGptSk2AQ6/POFbIOweVZ5lWtW/ATdNpysEJqIfCVdllJ0DF6&#10;22Tz6fQi65BKR6i09+y9G4Jyk/CrSqvwWFVeB9EUkrmFdFI6t/HMNmvIdwSuNupEA17BogVj+dEz&#10;1B0EEHsy/0G1RhF6rMJEYZthVRmlUw/czWz6TzdPNTidemFxvDvL5N8OVn09fCNhykJeXi2ksNDy&#10;kJ51H8RH7MVytowKdc7nnPjkODX0HOBJp269e0D1wwuLtzXYnb4hwq7WUDLDWazMXpQOOD6CbLsv&#10;WPJDsA+YgPqK2igfCyIYnSd1PE8nklHsvFzNpkspFEfmV4uLRRpeBvlY68iHTxpbEY1CEs8+YcPh&#10;wYfIBfIxJT5l8d40TZp/Y/9ycGL0JO6R7kA89Ns+CbU6a7LF8sjdEA5rxd+AjRrplxQdr1Qh/c89&#10;kJai+WxZkbh/o0GjsR0NsIpLCxmkGMzbMOzp3pHZ1Yw8aG7xhlWrTGopyjuwOPHlNUmdnlY67uHL&#10;e8r68/E2vwEAAP//AwBQSwMEFAAGAAgAAAAhAPsMFs7fAAAACwEAAA8AAABkcnMvZG93bnJldi54&#10;bWxMj8FOwzAQRO9I/IO1SNyo3VqNShqnqhCckBBpOHB0YjexGq9D7Lbh71lOcJvRPs3OFLvZD+xi&#10;p+gCKlguBDCLbTAOOwUf9cvDBlhMGo0eAloF3zbCrry9KXRuwhUrezmkjlEIxlwr6FMac85j21uv&#10;4yKMFul2DJPXiezUcTPpK4X7ga+EyLjXDulDr0f71Nv2dDh7BftPrJ7d11vzXh0rV9ePAl+zk1L3&#10;d/N+CyzZOf3B8FufqkNJnZpwRhPZoECupSSUhJS0gQiZrTNgDYmNWAEvC/5/Q/kDAAD//wMAUEsB&#10;Ai0AFAAGAAgAAAAhALaDOJL+AAAA4QEAABMAAAAAAAAAAAAAAAAAAAAAAFtDb250ZW50X1R5cGVz&#10;XS54bWxQSwECLQAUAAYACAAAACEAOP0h/9YAAACUAQAACwAAAAAAAAAAAAAAAAAvAQAAX3JlbHMv&#10;LnJlbHNQSwECLQAUAAYACAAAACEAd75Lae8BAADAAwAADgAAAAAAAAAAAAAAAAAuAgAAZHJzL2Uy&#10;b0RvYy54bWxQSwECLQAUAAYACAAAACEA+wwWzt8AAAALAQAADwAAAAAAAAAAAAAAAABJBAAAZHJz&#10;L2Rvd25yZXYueG1sUEsFBgAAAAAEAAQA8wAAAFUFAAAAAA==&#10;" filled="f" stroked="f">
                <v:textbox inset="0,0,0,0">
                  <w:txbxContent>
                    <w:p w14:paraId="2E6E3D1D" w14:textId="77777777" w:rsidR="00490F33" w:rsidRDefault="00490F33">
                      <w:pPr>
                        <w:spacing w:after="4" w:line="459" w:lineRule="exact"/>
                        <w:textAlignment w:val="baseline"/>
                        <w:rPr>
                          <w:rFonts w:ascii="Tahoma" w:eastAsia="Tahoma" w:hAnsi="Tahoma"/>
                          <w:color w:val="BF5B1F"/>
                          <w:w w:val="90"/>
                          <w:sz w:val="38"/>
                        </w:rPr>
                      </w:pPr>
                      <w:r>
                        <w:rPr>
                          <w:rFonts w:ascii="Tahoma" w:eastAsia="Tahoma" w:hAnsi="Tahoma"/>
                          <w:color w:val="BF5B1F"/>
                          <w:w w:val="90"/>
                          <w:sz w:val="38"/>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19136" behindDoc="1" locked="0" layoutInCell="1" allowOverlap="1" wp14:anchorId="3B649644" wp14:editId="1CE58506">
                <wp:simplePos x="0" y="0"/>
                <wp:positionH relativeFrom="page">
                  <wp:posOffset>859790</wp:posOffset>
                </wp:positionH>
                <wp:positionV relativeFrom="page">
                  <wp:posOffset>2411095</wp:posOffset>
                </wp:positionV>
                <wp:extent cx="2264410" cy="289560"/>
                <wp:effectExtent l="0" t="0" r="0" b="0"/>
                <wp:wrapSquare wrapText="bothSides"/>
                <wp:docPr id="793"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8002F" w14:textId="77777777" w:rsidR="00490F33" w:rsidRDefault="00490F33">
                            <w:pPr>
                              <w:spacing w:line="451" w:lineRule="exact"/>
                              <w:textAlignment w:val="baseline"/>
                              <w:rPr>
                                <w:rFonts w:ascii="Tahoma" w:eastAsia="Tahoma" w:hAnsi="Tahoma"/>
                                <w:color w:val="BF5B1F"/>
                                <w:spacing w:val="20"/>
                                <w:w w:val="90"/>
                                <w:sz w:val="38"/>
                              </w:rPr>
                            </w:pPr>
                            <w:r>
                              <w:rPr>
                                <w:rFonts w:ascii="Tahoma" w:eastAsia="Tahoma" w:hAnsi="Tahoma"/>
                                <w:color w:val="BF5B1F"/>
                                <w:spacing w:val="20"/>
                                <w:w w:val="90"/>
                                <w:sz w:val="38"/>
                              </w:rPr>
                              <w:t>NEW SOUTH 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49644" id="Text Box 514" o:spid="_x0000_s1112" type="#_x0000_t202" style="position:absolute;margin-left:67.7pt;margin-top:189.85pt;width:178.3pt;height:22.8pt;z-index:-251897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Go8QEAAMIDAAAOAAAAZHJzL2Uyb0RvYy54bWysU9tu2zAMfR+wfxD0vjjJ0iw14hRdiw4D&#10;um5A2w9gZDkWZosapcTOvn6UHGfd+jbsRaB4OTo8pNZXfduIgyZv0BZyNplKoa3C0thdIZ+f7t6t&#10;pPABbAkNWl3Io/byavP2zbpzuZ5jjU2pSTCI9XnnClmH4PIs86rWLfgJOm05WCG1EPhKu6wk6Bi9&#10;bbL5dLrMOqTSESrtPXtvh6DcJPyq0ip8rSqvg2gKydxCOimd23hmmzXkOwJXG3WiAf/AogVj+dEz&#10;1C0EEHsyr6Baowg9VmGisM2wqozSqQfuZjb9q5vHGpxOvbA43p1l8v8PVj0cvpEwZSE/XL6XwkLL&#10;Q3rSfRAfsRcXs0VUqHM+58RHx6mh5wBPOnXr3T2q715YvKnB7vQ1EXa1hpIZzmJl9qJ0wPERZNt9&#10;wZIfgn3ABNRX1Eb5WBDB6Dyp43k6kYxi53y+XCxmHFIcm68uL5ZpfBnkY7UjHz5pbEU0Ckk8/YQO&#10;h3sfIhvIx5T4mMU70zRpAxr7h4MToyexj4QH6qHf9kmq1XJUZYvlkfshHBaLPwIbNdJPKTpeqkL6&#10;H3sgLUXz2bImcQNHg0ZjOxpgFZcWMkgxmDdh2NS9I7OrGXlQ3eI161aZ1FIUeGBx4suLkjo9LXXc&#10;xJf3lPX7621+AQAA//8DAFBLAwQUAAYACAAAACEAVWBn+uAAAAALAQAADwAAAGRycy9kb3ducmV2&#10;LnhtbEyPTU+DQBCG7yb+h82YeLOL0A9BlqYxejIxUjx4XNgpkLKzyG5b/PeOJ73Nm3nyfuTb2Q7i&#10;jJPvHSm4X0QgkBpnemoVfFQvdw8gfNBk9OAIFXyjh21xfZXrzLgLlXjeh1awCflMK+hCGDMpfdOh&#10;1X7hRiT+HdxkdWA5tdJM+sLmdpBxFK2l1T1xQqdHfOqwOe5PVsHuk8rn/uutfi8PZV9VaUSv66NS&#10;tzfz7hFEwDn8wfBbn6tDwZ1qdyLjxcA6WS0ZVZBs0g0IJpZpzOtqPuJVArLI5f8NxQ8AAAD//wMA&#10;UEsBAi0AFAAGAAgAAAAhALaDOJL+AAAA4QEAABMAAAAAAAAAAAAAAAAAAAAAAFtDb250ZW50X1R5&#10;cGVzXS54bWxQSwECLQAUAAYACAAAACEAOP0h/9YAAACUAQAACwAAAAAAAAAAAAAAAAAvAQAAX3Jl&#10;bHMvLnJlbHNQSwECLQAUAAYACAAAACEA5OWRqPEBAADCAwAADgAAAAAAAAAAAAAAAAAuAgAAZHJz&#10;L2Uyb0RvYy54bWxQSwECLQAUAAYACAAAACEAVWBn+uAAAAALAQAADwAAAAAAAAAAAAAAAABLBAAA&#10;ZHJzL2Rvd25yZXYueG1sUEsFBgAAAAAEAAQA8wAAAFgFAAAAAA==&#10;" filled="f" stroked="f">
                <v:textbox inset="0,0,0,0">
                  <w:txbxContent>
                    <w:p w14:paraId="58A8002F" w14:textId="77777777" w:rsidR="00490F33" w:rsidRDefault="00490F33">
                      <w:pPr>
                        <w:spacing w:line="451" w:lineRule="exact"/>
                        <w:textAlignment w:val="baseline"/>
                        <w:rPr>
                          <w:rFonts w:ascii="Tahoma" w:eastAsia="Tahoma" w:hAnsi="Tahoma"/>
                          <w:color w:val="BF5B1F"/>
                          <w:spacing w:val="20"/>
                          <w:w w:val="90"/>
                          <w:sz w:val="38"/>
                        </w:rPr>
                      </w:pPr>
                      <w:r>
                        <w:rPr>
                          <w:rFonts w:ascii="Tahoma" w:eastAsia="Tahoma" w:hAnsi="Tahoma"/>
                          <w:color w:val="BF5B1F"/>
                          <w:spacing w:val="20"/>
                          <w:w w:val="90"/>
                          <w:sz w:val="38"/>
                        </w:rPr>
                        <w:t>NEW SOUTH WALES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0160" behindDoc="1" locked="0" layoutInCell="1" allowOverlap="1" wp14:anchorId="2C2CF43F" wp14:editId="53A2F026">
                <wp:simplePos x="0" y="0"/>
                <wp:positionH relativeFrom="page">
                  <wp:posOffset>905510</wp:posOffset>
                </wp:positionH>
                <wp:positionV relativeFrom="page">
                  <wp:posOffset>2872740</wp:posOffset>
                </wp:positionV>
                <wp:extent cx="2407920" cy="2360295"/>
                <wp:effectExtent l="0" t="0" r="0" b="0"/>
                <wp:wrapSquare wrapText="bothSides"/>
                <wp:docPr id="792"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2360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929C0" w14:textId="77777777" w:rsidR="00490F33" w:rsidRDefault="00490F33">
                            <w:pPr>
                              <w:spacing w:before="10" w:line="220" w:lineRule="exact"/>
                              <w:ind w:right="72"/>
                              <w:textAlignment w:val="baseline"/>
                              <w:rPr>
                                <w:rFonts w:ascii="Tahoma" w:eastAsia="Tahoma" w:hAnsi="Tahoma"/>
                                <w:color w:val="414042"/>
                                <w:sz w:val="18"/>
                              </w:rPr>
                            </w:pPr>
                            <w:r>
                              <w:rPr>
                                <w:rFonts w:ascii="Tahoma" w:eastAsia="Tahoma" w:hAnsi="Tahoma"/>
                                <w:color w:val="414042"/>
                                <w:sz w:val="18"/>
                              </w:rPr>
                              <w:t>St Philip’s Christian College</w:t>
                            </w:r>
                            <w:r>
                              <w:rPr>
                                <w:rFonts w:ascii="Tahoma" w:eastAsia="Tahoma" w:hAnsi="Tahoma"/>
                                <w:color w:val="000000"/>
                                <w:sz w:val="18"/>
                              </w:rPr>
                              <w:t xml:space="preserve"> acknowledges </w:t>
                            </w:r>
                            <w:r>
                              <w:rPr>
                                <w:rFonts w:ascii="Tahoma" w:eastAsia="Tahoma" w:hAnsi="Tahoma"/>
                                <w:color w:val="414042"/>
                                <w:sz w:val="18"/>
                              </w:rPr>
                              <w:t>the importance of vocational</w:t>
                            </w:r>
                            <w:r>
                              <w:rPr>
                                <w:rFonts w:ascii="Tahoma" w:eastAsia="Tahoma" w:hAnsi="Tahoma"/>
                                <w:color w:val="000000"/>
                                <w:sz w:val="18"/>
                              </w:rPr>
                              <w:t xml:space="preserve"> education </w:t>
                            </w:r>
                            <w:r>
                              <w:rPr>
                                <w:rFonts w:ascii="Tahoma" w:eastAsia="Tahoma" w:hAnsi="Tahoma"/>
                                <w:color w:val="414042"/>
                                <w:sz w:val="18"/>
                              </w:rPr>
                              <w:t>and training, and of delivering a</w:t>
                            </w:r>
                            <w:r>
                              <w:rPr>
                                <w:rFonts w:ascii="Tahoma" w:eastAsia="Tahoma" w:hAnsi="Tahoma"/>
                                <w:color w:val="000000"/>
                                <w:sz w:val="18"/>
                              </w:rPr>
                              <w:t xml:space="preserve"> curriculum </w:t>
                            </w:r>
                            <w:r>
                              <w:rPr>
                                <w:rFonts w:ascii="Tahoma" w:eastAsia="Tahoma" w:hAnsi="Tahoma"/>
                                <w:color w:val="414042"/>
                                <w:sz w:val="18"/>
                              </w:rPr>
                              <w:t>that meets market needs. In 2020,</w:t>
                            </w:r>
                            <w:r>
                              <w:rPr>
                                <w:rFonts w:ascii="Tahoma" w:eastAsia="Tahoma" w:hAnsi="Tahoma"/>
                                <w:color w:val="000000"/>
                                <w:sz w:val="18"/>
                              </w:rPr>
                              <w:t xml:space="preserve"> St </w:t>
                            </w:r>
                            <w:r>
                              <w:rPr>
                                <w:rFonts w:ascii="Tahoma" w:eastAsia="Tahoma" w:hAnsi="Tahoma"/>
                                <w:color w:val="414042"/>
                                <w:sz w:val="18"/>
                              </w:rPr>
                              <w:t>Philip’s introduced HSC SmartTrack,</w:t>
                            </w:r>
                            <w:r>
                              <w:rPr>
                                <w:rFonts w:ascii="Tahoma" w:eastAsia="Tahoma" w:hAnsi="Tahoma"/>
                                <w:color w:val="000000"/>
                                <w:sz w:val="18"/>
                              </w:rPr>
                              <w:t xml:space="preserve"> a </w:t>
                            </w:r>
                            <w:r>
                              <w:rPr>
                                <w:rFonts w:ascii="Tahoma" w:eastAsia="Tahoma" w:hAnsi="Tahoma"/>
                                <w:color w:val="414042"/>
                                <w:sz w:val="18"/>
                              </w:rPr>
                              <w:t>practical alternative approach to Years</w:t>
                            </w:r>
                            <w:r>
                              <w:rPr>
                                <w:rFonts w:ascii="Tahoma" w:eastAsia="Tahoma" w:hAnsi="Tahoma"/>
                                <w:color w:val="000000"/>
                                <w:sz w:val="18"/>
                              </w:rPr>
                              <w:t xml:space="preserve"> 11 </w:t>
                            </w:r>
                            <w:r>
                              <w:rPr>
                                <w:rFonts w:ascii="Tahoma" w:eastAsia="Tahoma" w:hAnsi="Tahoma"/>
                                <w:color w:val="414042"/>
                                <w:sz w:val="18"/>
                              </w:rPr>
                              <w:t>and 12, allowing students to complete</w:t>
                            </w:r>
                            <w:r>
                              <w:rPr>
                                <w:rFonts w:ascii="Tahoma" w:eastAsia="Tahoma" w:hAnsi="Tahoma"/>
                                <w:color w:val="000000"/>
                                <w:sz w:val="18"/>
                              </w:rPr>
                              <w:t xml:space="preserve"> the </w:t>
                            </w:r>
                            <w:r>
                              <w:rPr>
                                <w:rFonts w:ascii="Verdana" w:eastAsia="Verdana" w:hAnsi="Verdana"/>
                                <w:color w:val="414042"/>
                                <w:sz w:val="17"/>
                              </w:rPr>
                              <w:t>Higher School Certificate (non-ATAR) in</w:t>
                            </w:r>
                            <w:r>
                              <w:rPr>
                                <w:rFonts w:ascii="Verdana" w:eastAsia="Verdana" w:hAnsi="Verdana"/>
                                <w:color w:val="000000"/>
                                <w:sz w:val="17"/>
                              </w:rPr>
                              <w:t xml:space="preserve"> an </w:t>
                            </w:r>
                            <w:r>
                              <w:rPr>
                                <w:rFonts w:ascii="Tahoma" w:eastAsia="Tahoma" w:hAnsi="Tahoma"/>
                                <w:color w:val="414042"/>
                                <w:sz w:val="18"/>
                              </w:rPr>
                              <w:t>independent adult-learning environment.</w:t>
                            </w:r>
                          </w:p>
                          <w:p w14:paraId="33D367AB" w14:textId="77777777" w:rsidR="00490F33" w:rsidRDefault="00490F33">
                            <w:pPr>
                              <w:spacing w:before="168" w:after="14" w:line="220" w:lineRule="exact"/>
                              <w:textAlignment w:val="baseline"/>
                              <w:rPr>
                                <w:rFonts w:ascii="Tahoma" w:eastAsia="Tahoma" w:hAnsi="Tahoma"/>
                                <w:color w:val="414042"/>
                                <w:sz w:val="18"/>
                              </w:rPr>
                            </w:pPr>
                            <w:r>
                              <w:rPr>
                                <w:rFonts w:ascii="Tahoma" w:eastAsia="Tahoma" w:hAnsi="Tahoma"/>
                                <w:color w:val="414042"/>
                                <w:sz w:val="18"/>
                              </w:rPr>
                              <w:t xml:space="preserve">According to the college, “[e]mployers </w:t>
                            </w:r>
                            <w:r>
                              <w:rPr>
                                <w:rFonts w:ascii="Verdana" w:eastAsia="Verdana" w:hAnsi="Verdana"/>
                                <w:color w:val="414042"/>
                                <w:sz w:val="17"/>
                              </w:rPr>
                              <w:t xml:space="preserve">want more than qualifications, they want </w:t>
                            </w:r>
                            <w:r>
                              <w:rPr>
                                <w:rFonts w:ascii="Tahoma" w:eastAsia="Tahoma" w:hAnsi="Tahoma"/>
                                <w:color w:val="414042"/>
                                <w:sz w:val="18"/>
                              </w:rPr>
                              <w:t xml:space="preserve">employees with social intelligence, adaptive thinking, transdisciplinary and cross-cultural competence. SmartTrack aims to provide students the opportunity to develop these </w:t>
                            </w:r>
                            <w:r>
                              <w:rPr>
                                <w:rFonts w:ascii="Verdana" w:eastAsia="Verdana" w:hAnsi="Verdana"/>
                                <w:color w:val="414042"/>
                                <w:sz w:val="17"/>
                              </w:rPr>
                              <w:t>skills before finishing their HSC.”</w:t>
                            </w:r>
                            <w:r>
                              <w:rPr>
                                <w:rFonts w:ascii="Tahoma" w:eastAsia="Tahoma" w:hAnsi="Tahoma"/>
                                <w:color w:val="414042"/>
                                <w:sz w:val="17"/>
                                <w:vertAlign w:val="superscript"/>
                              </w:rPr>
                              <w:t>1</w:t>
                            </w:r>
                            <w:r>
                              <w:rPr>
                                <w:rFonts w:ascii="Tahoma" w:eastAsia="Tahoma" w:hAnsi="Tahoma"/>
                                <w:color w:val="414042"/>
                                <w:sz w:val="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F43F" id="Text Box 513" o:spid="_x0000_s1113" type="#_x0000_t202" style="position:absolute;margin-left:71.3pt;margin-top:226.2pt;width:189.6pt;height:185.85pt;z-index:-251896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m4V8AEAAMMDAAAOAAAAZHJzL2Uyb0RvYy54bWysU9tu2zAMfR+wfxD0vthx15sRp+hadBjQ&#10;XYB2H8DIcizMFjVKiZ19/Sg5zrrtbdiLQJHU4eEhtboZ+07sNXmDtpLLRS6FtgprY7eV/Pr88OZK&#10;Ch/A1tCh1ZU8aC9v1q9frQZX6gJb7GpNgkGsLwdXyTYEV2aZV63uwS/QacvBBqmHwFfaZjXBwOh9&#10;lxV5fpENSLUjVNp79t5PQblO+E2jVfjcNF4H0VWSuYV0Ujo38czWKyi3BK416kgD/oFFD8Zy0RPU&#10;PQQQOzJ/QfVGEXpswkJhn2HTGKVTD9zNMv+jm6cWnE69sDjenWTy/w9Wfdp/IWHqSl5eF1JY6HlI&#10;z3oM4h2O4nx5FhUanC858clxahg5wJNO3Xr3iOqbFxbvWrBbfUuEQ6uhZobL+DJ78XTC8RFkM3zE&#10;mgvBLmACGhvqo3wsiGB0ntThNJ1IRrGzeJszRw4pjhVnF3lxfZ5qQDk/d+TDe429iEYlicef4GH/&#10;6EOkA+WcEqtZfDBdl1ags785ODF6Ev3IeOIexs2YtLq6nGXZYH3ghginzeKfwEaL9EOKgbeqkv77&#10;DkhL0X2wLEpcwdmg2djMBljFTysZpJjMuzCt6s6R2baMPMlu8ZaFa0xqKSo8sTjy5U1JnR63Oq7i&#10;y3vK+vX31j8BAAD//wMAUEsDBBQABgAIAAAAIQByHp6Z4AAAAAsBAAAPAAAAZHJzL2Rvd25yZXYu&#10;eG1sTI/BTsMwEETvSPyDtUjcqBMrjUqIU1UITkiINBw4OrGbWI3XIXbb8PcsJ3oc7dPsm3K7uJGd&#10;zRysRwnpKgFmsPPaYi/hs3l92AALUaFWo0cj4ccE2Fa3N6UqtL9gbc772DMqwVAoCUOMU8F56Abj&#10;VFj5ySDdDn52KlKce65ndaFyN3KRJDl3yiJ9GNRkngfTHfcnJ2H3hfWL/X5vP+pDbZvmMcG3/Cjl&#10;/d2yewIWzRL/YfjTJ3WoyKn1J9SBjZQzkRMqIVuLDBgRa5HSmFbCRmQp8Krk1xuqXwAAAP//AwBQ&#10;SwECLQAUAAYACAAAACEAtoM4kv4AAADhAQAAEwAAAAAAAAAAAAAAAAAAAAAAW0NvbnRlbnRfVHlw&#10;ZXNdLnhtbFBLAQItABQABgAIAAAAIQA4/SH/1gAAAJQBAAALAAAAAAAAAAAAAAAAAC8BAABfcmVs&#10;cy8ucmVsc1BLAQItABQABgAIAAAAIQA6zm4V8AEAAMMDAAAOAAAAAAAAAAAAAAAAAC4CAABkcnMv&#10;ZTJvRG9jLnhtbFBLAQItABQABgAIAAAAIQByHp6Z4AAAAAsBAAAPAAAAAAAAAAAAAAAAAEoEAABk&#10;cnMvZG93bnJldi54bWxQSwUGAAAAAAQABADzAAAAVwUAAAAA&#10;" filled="f" stroked="f">
                <v:textbox inset="0,0,0,0">
                  <w:txbxContent>
                    <w:p w14:paraId="0A4929C0" w14:textId="77777777" w:rsidR="00490F33" w:rsidRDefault="00490F33">
                      <w:pPr>
                        <w:spacing w:before="10" w:line="220" w:lineRule="exact"/>
                        <w:ind w:right="72"/>
                        <w:textAlignment w:val="baseline"/>
                        <w:rPr>
                          <w:rFonts w:ascii="Tahoma" w:eastAsia="Tahoma" w:hAnsi="Tahoma"/>
                          <w:color w:val="414042"/>
                          <w:sz w:val="18"/>
                        </w:rPr>
                      </w:pPr>
                      <w:r>
                        <w:rPr>
                          <w:rFonts w:ascii="Tahoma" w:eastAsia="Tahoma" w:hAnsi="Tahoma"/>
                          <w:color w:val="414042"/>
                          <w:sz w:val="18"/>
                        </w:rPr>
                        <w:t>St Philip’s Christian College</w:t>
                      </w:r>
                      <w:r>
                        <w:rPr>
                          <w:rFonts w:ascii="Tahoma" w:eastAsia="Tahoma" w:hAnsi="Tahoma"/>
                          <w:color w:val="000000"/>
                          <w:sz w:val="18"/>
                        </w:rPr>
                        <w:t xml:space="preserve"> acknowledges </w:t>
                      </w:r>
                      <w:r>
                        <w:rPr>
                          <w:rFonts w:ascii="Tahoma" w:eastAsia="Tahoma" w:hAnsi="Tahoma"/>
                          <w:color w:val="414042"/>
                          <w:sz w:val="18"/>
                        </w:rPr>
                        <w:t>the importance of vocational</w:t>
                      </w:r>
                      <w:r>
                        <w:rPr>
                          <w:rFonts w:ascii="Tahoma" w:eastAsia="Tahoma" w:hAnsi="Tahoma"/>
                          <w:color w:val="000000"/>
                          <w:sz w:val="18"/>
                        </w:rPr>
                        <w:t xml:space="preserve"> education </w:t>
                      </w:r>
                      <w:r>
                        <w:rPr>
                          <w:rFonts w:ascii="Tahoma" w:eastAsia="Tahoma" w:hAnsi="Tahoma"/>
                          <w:color w:val="414042"/>
                          <w:sz w:val="18"/>
                        </w:rPr>
                        <w:t>and training, and of delivering a</w:t>
                      </w:r>
                      <w:r>
                        <w:rPr>
                          <w:rFonts w:ascii="Tahoma" w:eastAsia="Tahoma" w:hAnsi="Tahoma"/>
                          <w:color w:val="000000"/>
                          <w:sz w:val="18"/>
                        </w:rPr>
                        <w:t xml:space="preserve"> curriculum </w:t>
                      </w:r>
                      <w:r>
                        <w:rPr>
                          <w:rFonts w:ascii="Tahoma" w:eastAsia="Tahoma" w:hAnsi="Tahoma"/>
                          <w:color w:val="414042"/>
                          <w:sz w:val="18"/>
                        </w:rPr>
                        <w:t>that meets market needs. In 2020,</w:t>
                      </w:r>
                      <w:r>
                        <w:rPr>
                          <w:rFonts w:ascii="Tahoma" w:eastAsia="Tahoma" w:hAnsi="Tahoma"/>
                          <w:color w:val="000000"/>
                          <w:sz w:val="18"/>
                        </w:rPr>
                        <w:t xml:space="preserve"> St </w:t>
                      </w:r>
                      <w:r>
                        <w:rPr>
                          <w:rFonts w:ascii="Tahoma" w:eastAsia="Tahoma" w:hAnsi="Tahoma"/>
                          <w:color w:val="414042"/>
                          <w:sz w:val="18"/>
                        </w:rPr>
                        <w:t>Philip’s introduced HSC SmartTrack,</w:t>
                      </w:r>
                      <w:r>
                        <w:rPr>
                          <w:rFonts w:ascii="Tahoma" w:eastAsia="Tahoma" w:hAnsi="Tahoma"/>
                          <w:color w:val="000000"/>
                          <w:sz w:val="18"/>
                        </w:rPr>
                        <w:t xml:space="preserve"> a </w:t>
                      </w:r>
                      <w:r>
                        <w:rPr>
                          <w:rFonts w:ascii="Tahoma" w:eastAsia="Tahoma" w:hAnsi="Tahoma"/>
                          <w:color w:val="414042"/>
                          <w:sz w:val="18"/>
                        </w:rPr>
                        <w:t>practical alternative approach to Years</w:t>
                      </w:r>
                      <w:r>
                        <w:rPr>
                          <w:rFonts w:ascii="Tahoma" w:eastAsia="Tahoma" w:hAnsi="Tahoma"/>
                          <w:color w:val="000000"/>
                          <w:sz w:val="18"/>
                        </w:rPr>
                        <w:t xml:space="preserve"> 11 </w:t>
                      </w:r>
                      <w:r>
                        <w:rPr>
                          <w:rFonts w:ascii="Tahoma" w:eastAsia="Tahoma" w:hAnsi="Tahoma"/>
                          <w:color w:val="414042"/>
                          <w:sz w:val="18"/>
                        </w:rPr>
                        <w:t>and 12, allowing students to complete</w:t>
                      </w:r>
                      <w:r>
                        <w:rPr>
                          <w:rFonts w:ascii="Tahoma" w:eastAsia="Tahoma" w:hAnsi="Tahoma"/>
                          <w:color w:val="000000"/>
                          <w:sz w:val="18"/>
                        </w:rPr>
                        <w:t xml:space="preserve"> the </w:t>
                      </w:r>
                      <w:r>
                        <w:rPr>
                          <w:rFonts w:ascii="Verdana" w:eastAsia="Verdana" w:hAnsi="Verdana"/>
                          <w:color w:val="414042"/>
                          <w:sz w:val="17"/>
                        </w:rPr>
                        <w:t>Higher School Certificate (non-ATAR) in</w:t>
                      </w:r>
                      <w:r>
                        <w:rPr>
                          <w:rFonts w:ascii="Verdana" w:eastAsia="Verdana" w:hAnsi="Verdana"/>
                          <w:color w:val="000000"/>
                          <w:sz w:val="17"/>
                        </w:rPr>
                        <w:t xml:space="preserve"> an </w:t>
                      </w:r>
                      <w:r>
                        <w:rPr>
                          <w:rFonts w:ascii="Tahoma" w:eastAsia="Tahoma" w:hAnsi="Tahoma"/>
                          <w:color w:val="414042"/>
                          <w:sz w:val="18"/>
                        </w:rPr>
                        <w:t>independent adult-learning environment.</w:t>
                      </w:r>
                    </w:p>
                    <w:p w14:paraId="33D367AB" w14:textId="77777777" w:rsidR="00490F33" w:rsidRDefault="00490F33">
                      <w:pPr>
                        <w:spacing w:before="168" w:after="14" w:line="220" w:lineRule="exact"/>
                        <w:textAlignment w:val="baseline"/>
                        <w:rPr>
                          <w:rFonts w:ascii="Tahoma" w:eastAsia="Tahoma" w:hAnsi="Tahoma"/>
                          <w:color w:val="414042"/>
                          <w:sz w:val="18"/>
                        </w:rPr>
                      </w:pPr>
                      <w:r>
                        <w:rPr>
                          <w:rFonts w:ascii="Tahoma" w:eastAsia="Tahoma" w:hAnsi="Tahoma"/>
                          <w:color w:val="414042"/>
                          <w:sz w:val="18"/>
                        </w:rPr>
                        <w:t xml:space="preserve">According to the college, “[e]mployers </w:t>
                      </w:r>
                      <w:r>
                        <w:rPr>
                          <w:rFonts w:ascii="Verdana" w:eastAsia="Verdana" w:hAnsi="Verdana"/>
                          <w:color w:val="414042"/>
                          <w:sz w:val="17"/>
                        </w:rPr>
                        <w:t xml:space="preserve">want more than qualifications, they want </w:t>
                      </w:r>
                      <w:r>
                        <w:rPr>
                          <w:rFonts w:ascii="Tahoma" w:eastAsia="Tahoma" w:hAnsi="Tahoma"/>
                          <w:color w:val="414042"/>
                          <w:sz w:val="18"/>
                        </w:rPr>
                        <w:t xml:space="preserve">employees with social intelligence, adaptive thinking, transdisciplinary and cross-cultural competence. SmartTrack aims to provide students the opportunity to develop these </w:t>
                      </w:r>
                      <w:r>
                        <w:rPr>
                          <w:rFonts w:ascii="Verdana" w:eastAsia="Verdana" w:hAnsi="Verdana"/>
                          <w:color w:val="414042"/>
                          <w:sz w:val="17"/>
                        </w:rPr>
                        <w:t>skills before finishing their HSC.”</w:t>
                      </w:r>
                      <w:r>
                        <w:rPr>
                          <w:rFonts w:ascii="Tahoma" w:eastAsia="Tahoma" w:hAnsi="Tahoma"/>
                          <w:color w:val="414042"/>
                          <w:sz w:val="17"/>
                          <w:vertAlign w:val="superscript"/>
                        </w:rPr>
                        <w:t>1</w:t>
                      </w:r>
                      <w:r>
                        <w:rPr>
                          <w:rFonts w:ascii="Tahoma" w:eastAsia="Tahoma" w:hAnsi="Tahoma"/>
                          <w:color w:val="414042"/>
                          <w:sz w:val="9"/>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1184" behindDoc="1" locked="0" layoutInCell="1" allowOverlap="1" wp14:anchorId="2CE3C4C9" wp14:editId="39012AD6">
                <wp:simplePos x="0" y="0"/>
                <wp:positionH relativeFrom="page">
                  <wp:posOffset>4184650</wp:posOffset>
                </wp:positionH>
                <wp:positionV relativeFrom="page">
                  <wp:posOffset>3611245</wp:posOffset>
                </wp:positionV>
                <wp:extent cx="2356485" cy="566420"/>
                <wp:effectExtent l="0" t="0" r="0" b="0"/>
                <wp:wrapSquare wrapText="bothSides"/>
                <wp:docPr id="79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878A3" w14:textId="77777777" w:rsidR="00490F33" w:rsidRDefault="00490F33">
                            <w:pPr>
                              <w:spacing w:before="7" w:line="172" w:lineRule="exact"/>
                              <w:textAlignment w:val="baseline"/>
                              <w:rPr>
                                <w:rFonts w:ascii="Tahoma" w:eastAsia="Tahoma" w:hAnsi="Tahoma"/>
                                <w:color w:val="060301"/>
                                <w:spacing w:val="1"/>
                                <w:sz w:val="14"/>
                              </w:rPr>
                            </w:pPr>
                            <w:r>
                              <w:rPr>
                                <w:rFonts w:ascii="Tahoma" w:eastAsia="Tahoma" w:hAnsi="Tahoma"/>
                                <w:color w:val="060301"/>
                                <w:spacing w:val="1"/>
                                <w:sz w:val="14"/>
                              </w:rPr>
                              <w:t>Source: St Philip’s Christian College.</w:t>
                            </w:r>
                          </w:p>
                          <w:p w14:paraId="7C48DC47" w14:textId="77777777" w:rsidR="00490F33" w:rsidRDefault="00490F33">
                            <w:pPr>
                              <w:spacing w:before="116" w:line="194" w:lineRule="exact"/>
                              <w:textAlignment w:val="baseline"/>
                              <w:rPr>
                                <w:rFonts w:ascii="Tahoma" w:eastAsia="Tahoma" w:hAnsi="Tahoma"/>
                                <w:color w:val="000000"/>
                                <w:sz w:val="14"/>
                              </w:rPr>
                            </w:pPr>
                            <w:r>
                              <w:rPr>
                                <w:rFonts w:ascii="Tahoma" w:eastAsia="Tahoma" w:hAnsi="Tahoma"/>
                                <w:color w:val="000000"/>
                                <w:sz w:val="14"/>
                              </w:rPr>
                              <w:t>1.</w:t>
                            </w:r>
                            <w:r>
                              <w:rPr>
                                <w:rFonts w:ascii="Tahoma" w:eastAsia="Tahoma" w:hAnsi="Tahoma"/>
                                <w:color w:val="414042"/>
                                <w:sz w:val="14"/>
                              </w:rPr>
                              <w:t xml:space="preserve"> St Philip’s</w:t>
                            </w:r>
                            <w:r>
                              <w:rPr>
                                <w:rFonts w:ascii="Tahoma" w:eastAsia="Tahoma" w:hAnsi="Tahoma"/>
                                <w:color w:val="000000"/>
                                <w:sz w:val="14"/>
                              </w:rPr>
                              <w:t xml:space="preserve"> Christian College, ‘SmartTrack’, webpage </w:t>
                            </w:r>
                            <w:r>
                              <w:rPr>
                                <w:rFonts w:ascii="Tahoma" w:eastAsia="Tahoma" w:hAnsi="Tahoma"/>
                                <w:color w:val="414042"/>
                                <w:sz w:val="14"/>
                              </w:rPr>
                              <w:t>(accessed 20</w:t>
                            </w:r>
                            <w:r>
                              <w:rPr>
                                <w:rFonts w:ascii="Tahoma" w:eastAsia="Tahoma" w:hAnsi="Tahoma"/>
                                <w:color w:val="000000"/>
                                <w:sz w:val="14"/>
                              </w:rPr>
                              <w:t xml:space="preserve"> May 2020), https://www.spcc.nsw.edu.au/ newcastle/our-school/senior-school/smarttrack-1.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3C4C9" id="Text Box 512" o:spid="_x0000_s1114" type="#_x0000_t202" style="position:absolute;margin-left:329.5pt;margin-top:284.35pt;width:185.55pt;height:44.6pt;z-index:-251895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tM8QEAAMIDAAAOAAAAZHJzL2Uyb0RvYy54bWysU9uO0zAQfUfiHyy/0zRlW0rUdLXsahHS&#10;cpF2+YCp4zQWiceM3Sbl6xk7TVngDfFijedyfObMeHM9dK04avIGbSnz2VwKbRVWxu5L+fXp/tVa&#10;Ch/AVtCi1aU8aS+vty9fbHpX6AU22FaaBINYX/SulE0IrsgyrxrdgZ+h05aDNVIHga+0zyqCntG7&#10;NlvM56usR6ocodLes/duDMptwq9rrcLnuvY6iLaUzC2kk9K5i2e23UCxJ3CNUWca8A8sOjCWH71A&#10;3UEAcSDzF1RnFKHHOswUdhnWtVE69cDd5PM/unlswOnUC4vj3UUm//9g1afjFxKmKuWbt7kUFjoe&#10;0pMegniHg1jmi6hQ73zBiY+OU8PAAZ506ta7B1TfvLB424Dd6xsi7BsNFTPMY2X2rHTE8RFk13/E&#10;ih+CQ8AENNTURflYEMHoPKnTZTqRjGLn4vVydbVeSqE4tlytrhZpfBkUU7UjH95r7EQ0Skk8/YQO&#10;xwcfIhsoppT4mMV707ZpA1r7m4MToyexj4RH6mHYDUmq9XpSZYfVifshHBeLPwIbDdIPKXpeqlL6&#10;7wcgLUX7wbImcQMngyZjNxlgFZeWMkgxmrdh3NSDI7NvGHlU3eIN61ab1FIUeGRx5suLkjo9L3Xc&#10;xOf3lPXr621/AgAA//8DAFBLAwQUAAYACAAAACEA7b8pk+AAAAAMAQAADwAAAGRycy9kb3ducmV2&#10;LnhtbEyPMU/DMBSEdyT+g/WQ2KhdUNMmxKkqBBMSIg0DoxO/Jlbj5xC7bfj3OFMZT3e6+y7fTrZn&#10;Zxy9cSRhuRDAkBqnDbUSvqq3hw0wHxRp1TtCCb/oYVvc3uQq0+5CJZ73oWWxhHymJHQhDBnnvunQ&#10;Kr9wA1L0Dm60KkQ5tlyP6hLLbc8fhUi4VYbiQqcGfOmwOe5PVsLum8pX8/NRf5aH0lRVKug9OUp5&#10;fzftnoEFnMI1DDN+RIciMtXuRNqzXkKySuOXIGGVbNbA5oR4Ektg9eytU+BFzv+fKP4AAAD//wMA&#10;UEsBAi0AFAAGAAgAAAAhALaDOJL+AAAA4QEAABMAAAAAAAAAAAAAAAAAAAAAAFtDb250ZW50X1R5&#10;cGVzXS54bWxQSwECLQAUAAYACAAAACEAOP0h/9YAAACUAQAACwAAAAAAAAAAAAAAAAAvAQAAX3Jl&#10;bHMvLnJlbHNQSwECLQAUAAYACAAAACEAid7LTPEBAADCAwAADgAAAAAAAAAAAAAAAAAuAgAAZHJz&#10;L2Uyb0RvYy54bWxQSwECLQAUAAYACAAAACEA7b8pk+AAAAAMAQAADwAAAAAAAAAAAAAAAABLBAAA&#10;ZHJzL2Rvd25yZXYueG1sUEsFBgAAAAAEAAQA8wAAAFgFAAAAAA==&#10;" filled="f" stroked="f">
                <v:textbox inset="0,0,0,0">
                  <w:txbxContent>
                    <w:p w14:paraId="494878A3" w14:textId="77777777" w:rsidR="00490F33" w:rsidRDefault="00490F33">
                      <w:pPr>
                        <w:spacing w:before="7" w:line="172" w:lineRule="exact"/>
                        <w:textAlignment w:val="baseline"/>
                        <w:rPr>
                          <w:rFonts w:ascii="Tahoma" w:eastAsia="Tahoma" w:hAnsi="Tahoma"/>
                          <w:color w:val="060301"/>
                          <w:spacing w:val="1"/>
                          <w:sz w:val="14"/>
                        </w:rPr>
                      </w:pPr>
                      <w:r>
                        <w:rPr>
                          <w:rFonts w:ascii="Tahoma" w:eastAsia="Tahoma" w:hAnsi="Tahoma"/>
                          <w:color w:val="060301"/>
                          <w:spacing w:val="1"/>
                          <w:sz w:val="14"/>
                        </w:rPr>
                        <w:t>Source: St Philip’s Christian College.</w:t>
                      </w:r>
                    </w:p>
                    <w:p w14:paraId="7C48DC47" w14:textId="77777777" w:rsidR="00490F33" w:rsidRDefault="00490F33">
                      <w:pPr>
                        <w:spacing w:before="116" w:line="194" w:lineRule="exact"/>
                        <w:textAlignment w:val="baseline"/>
                        <w:rPr>
                          <w:rFonts w:ascii="Tahoma" w:eastAsia="Tahoma" w:hAnsi="Tahoma"/>
                          <w:color w:val="000000"/>
                          <w:sz w:val="14"/>
                        </w:rPr>
                      </w:pPr>
                      <w:r>
                        <w:rPr>
                          <w:rFonts w:ascii="Tahoma" w:eastAsia="Tahoma" w:hAnsi="Tahoma"/>
                          <w:color w:val="000000"/>
                          <w:sz w:val="14"/>
                        </w:rPr>
                        <w:t>1.</w:t>
                      </w:r>
                      <w:r>
                        <w:rPr>
                          <w:rFonts w:ascii="Tahoma" w:eastAsia="Tahoma" w:hAnsi="Tahoma"/>
                          <w:color w:val="414042"/>
                          <w:sz w:val="14"/>
                        </w:rPr>
                        <w:t xml:space="preserve"> St Philip’s</w:t>
                      </w:r>
                      <w:r>
                        <w:rPr>
                          <w:rFonts w:ascii="Tahoma" w:eastAsia="Tahoma" w:hAnsi="Tahoma"/>
                          <w:color w:val="000000"/>
                          <w:sz w:val="14"/>
                        </w:rPr>
                        <w:t xml:space="preserve"> Christian College, ‘SmartTrack’, webpage </w:t>
                      </w:r>
                      <w:r>
                        <w:rPr>
                          <w:rFonts w:ascii="Tahoma" w:eastAsia="Tahoma" w:hAnsi="Tahoma"/>
                          <w:color w:val="414042"/>
                          <w:sz w:val="14"/>
                        </w:rPr>
                        <w:t>(accessed 20</w:t>
                      </w:r>
                      <w:r>
                        <w:rPr>
                          <w:rFonts w:ascii="Tahoma" w:eastAsia="Tahoma" w:hAnsi="Tahoma"/>
                          <w:color w:val="000000"/>
                          <w:sz w:val="14"/>
                        </w:rPr>
                        <w:t xml:space="preserve"> May 2020), https://www.spcc.nsw.edu.au/ newcastle/our-school/senior-school/smarttrack-1.</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2208" behindDoc="1" locked="0" layoutInCell="1" allowOverlap="1" wp14:anchorId="7CD52915" wp14:editId="18960690">
                <wp:simplePos x="0" y="0"/>
                <wp:positionH relativeFrom="page">
                  <wp:posOffset>905510</wp:posOffset>
                </wp:positionH>
                <wp:positionV relativeFrom="page">
                  <wp:posOffset>5323205</wp:posOffset>
                </wp:positionV>
                <wp:extent cx="2435225" cy="2348865"/>
                <wp:effectExtent l="0" t="0" r="0" b="0"/>
                <wp:wrapSquare wrapText="bothSides"/>
                <wp:docPr id="790"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234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DB6FC" w14:textId="77777777" w:rsidR="00490F33" w:rsidRDefault="00490F33">
                            <w:pPr>
                              <w:spacing w:before="8" w:line="220" w:lineRule="exact"/>
                              <w:textAlignment w:val="baseline"/>
                              <w:rPr>
                                <w:rFonts w:ascii="Tahoma" w:eastAsia="Tahoma" w:hAnsi="Tahoma"/>
                                <w:color w:val="414042"/>
                                <w:spacing w:val="6"/>
                                <w:sz w:val="18"/>
                              </w:rPr>
                            </w:pPr>
                            <w:r>
                              <w:rPr>
                                <w:rFonts w:ascii="Tahoma" w:eastAsia="Tahoma" w:hAnsi="Tahoma"/>
                                <w:color w:val="414042"/>
                                <w:spacing w:val="6"/>
                                <w:sz w:val="18"/>
                              </w:rPr>
                              <w:t xml:space="preserve">SmartTrack is delivered as an individual, tailored program that includes a layered curriculum approach for the core subjects of mathematics, English through enquiry-based learning, as well as vocational courses </w:t>
                            </w:r>
                            <w:r>
                              <w:rPr>
                                <w:rFonts w:ascii="Verdana" w:eastAsia="Verdana" w:hAnsi="Verdana"/>
                                <w:color w:val="414042"/>
                                <w:spacing w:val="6"/>
                                <w:sz w:val="17"/>
                              </w:rPr>
                              <w:t xml:space="preserve">such as a Certificate III in Business and </w:t>
                            </w:r>
                            <w:r>
                              <w:rPr>
                                <w:rFonts w:ascii="Tahoma" w:eastAsia="Tahoma" w:hAnsi="Tahoma"/>
                                <w:color w:val="414042"/>
                                <w:spacing w:val="6"/>
                                <w:sz w:val="18"/>
                              </w:rPr>
                              <w:t>on-the-job training.</w:t>
                            </w:r>
                          </w:p>
                          <w:p w14:paraId="3861CF3E" w14:textId="77777777" w:rsidR="00490F33" w:rsidRDefault="00490F33">
                            <w:pPr>
                              <w:spacing w:before="171" w:line="219" w:lineRule="exact"/>
                              <w:textAlignment w:val="baseline"/>
                              <w:rPr>
                                <w:rFonts w:ascii="Verdana" w:eastAsia="Verdana" w:hAnsi="Verdana"/>
                                <w:color w:val="414042"/>
                                <w:spacing w:val="5"/>
                                <w:sz w:val="17"/>
                              </w:rPr>
                            </w:pPr>
                            <w:r>
                              <w:rPr>
                                <w:rFonts w:ascii="Verdana" w:eastAsia="Verdana" w:hAnsi="Verdana"/>
                                <w:color w:val="414042"/>
                                <w:spacing w:val="5"/>
                                <w:sz w:val="17"/>
                              </w:rPr>
                              <w:t xml:space="preserve">SmartTrack has a different approach to </w:t>
                            </w:r>
                            <w:r>
                              <w:rPr>
                                <w:rFonts w:ascii="Tahoma" w:eastAsia="Tahoma" w:hAnsi="Tahoma"/>
                                <w:color w:val="414042"/>
                                <w:spacing w:val="5"/>
                                <w:sz w:val="18"/>
                              </w:rPr>
                              <w:t xml:space="preserve">mainstream schooling, with an increased focus on practical learning, enterprise skills and work readiness. This method caters to all students and their individual learning styles, while afternoon and evening delivery </w:t>
                            </w:r>
                            <w:r>
                              <w:rPr>
                                <w:rFonts w:ascii="Verdana" w:eastAsia="Verdana" w:hAnsi="Verdana"/>
                                <w:color w:val="414042"/>
                                <w:spacing w:val="5"/>
                                <w:sz w:val="17"/>
                              </w:rPr>
                              <w:t xml:space="preserve">of courses gives students the flexibility and </w:t>
                            </w:r>
                            <w:r>
                              <w:rPr>
                                <w:rFonts w:ascii="Tahoma" w:eastAsia="Tahoma" w:hAnsi="Tahoma"/>
                                <w:color w:val="414042"/>
                                <w:spacing w:val="5"/>
                                <w:sz w:val="18"/>
                              </w:rPr>
                              <w:t>opportunity to gain work experience and employment during core hours.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52915" id="Text Box 511" o:spid="_x0000_s1115" type="#_x0000_t202" style="position:absolute;margin-left:71.3pt;margin-top:419.15pt;width:191.75pt;height:184.95pt;z-index:-25189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U58AEAAMMDAAAOAAAAZHJzL2Uyb0RvYy54bWysU9tu2zAMfR+wfxD0vjhxmy414hRdiw4D&#10;ugvQ7gNkWbKF2aJGKbGzrx8lx1m3vQ17EShejg4Pqe3N2HfsoNAbsCVfLZacKSuhNrYp+dfnhzcb&#10;znwQthYdWFXyo/L8Zvf61XZwhcqhha5WyAjE+mJwJW9DcEWWedmqXvgFOGUpqAF7EeiKTVajGAi9&#10;77J8ubzKBsDaIUjlPXnvpyDfJXytlQyftfYqsK7kxC2kE9NZxTPbbUXRoHCtkSca4h9Y9MJYevQM&#10;dS+CYHs0f0H1RiJ40GEhoc9AayNV6oG6WS3/6OapFU6lXkgc784y+f8HKz8dviAzdcnfXpM+VvQ0&#10;pGc1BvYORrZeraJCg/MFJT45Sg0jBWjSqVvvHkF+88zCXStso24RYWiVqIlhqsxelE44PoJUw0eo&#10;6SGxD5CARo19lI8EYYROTI7n6UQykpz55cU6z9ecSYrlF5ebzdU6sstEMZc79OG9gp5Fo+RI40/w&#10;4vDow5Q6p8TXLDyYrksr0NnfHIQZPYl+ZDxxD2M1Jq0217MsFdRHaghh2iz6CWS0gD84G2irSu6/&#10;7wUqzroPlkSJKzgbOBvVbAgrqbTkgbPJvAvTqu4dmqYl5El2C7cknDappajwxOLElzYliXLa6riK&#10;L+8p69ff2/0EAAD//wMAUEsDBBQABgAIAAAAIQCRgSMn4AAAAAwBAAAPAAAAZHJzL2Rvd25yZXYu&#10;eG1sTI/BTsMwEETvSPyDtZW4UbspRCGNU1UITkiINBw4OrGbWI3XIXbb8Pcsp3IczdPs22I7u4Gd&#10;zRSsRwmrpQBmsPXaYifhs369z4CFqFCrwaOR8GMCbMvbm0Ll2l+wMud97BiNYMiVhD7GMec8tL1x&#10;Kiz9aJC6g5+cihSnjutJXWjcDTwRIuVOWaQLvRrNc2/a4/7kJOy+sHqx3+/NR3WobF0/CXxLj1Le&#10;LebdBlg0c7zC8KdP6lCSU+NPqAMbKD8kKaESsnW2BkbEY5KugDVUJSJLgJcF//9E+QsAAP//AwBQ&#10;SwECLQAUAAYACAAAACEAtoM4kv4AAADhAQAAEwAAAAAAAAAAAAAAAAAAAAAAW0NvbnRlbnRfVHlw&#10;ZXNdLnhtbFBLAQItABQABgAIAAAAIQA4/SH/1gAAAJQBAAALAAAAAAAAAAAAAAAAAC8BAABfcmVs&#10;cy8ucmVsc1BLAQItABQABgAIAAAAIQDLTPU58AEAAMMDAAAOAAAAAAAAAAAAAAAAAC4CAABkcnMv&#10;ZTJvRG9jLnhtbFBLAQItABQABgAIAAAAIQCRgSMn4AAAAAwBAAAPAAAAAAAAAAAAAAAAAEoEAABk&#10;cnMvZG93bnJldi54bWxQSwUGAAAAAAQABADzAAAAVwUAAAAA&#10;" filled="f" stroked="f">
                <v:textbox inset="0,0,0,0">
                  <w:txbxContent>
                    <w:p w14:paraId="78FDB6FC" w14:textId="77777777" w:rsidR="00490F33" w:rsidRDefault="00490F33">
                      <w:pPr>
                        <w:spacing w:before="8" w:line="220" w:lineRule="exact"/>
                        <w:textAlignment w:val="baseline"/>
                        <w:rPr>
                          <w:rFonts w:ascii="Tahoma" w:eastAsia="Tahoma" w:hAnsi="Tahoma"/>
                          <w:color w:val="414042"/>
                          <w:spacing w:val="6"/>
                          <w:sz w:val="18"/>
                        </w:rPr>
                      </w:pPr>
                      <w:r>
                        <w:rPr>
                          <w:rFonts w:ascii="Tahoma" w:eastAsia="Tahoma" w:hAnsi="Tahoma"/>
                          <w:color w:val="414042"/>
                          <w:spacing w:val="6"/>
                          <w:sz w:val="18"/>
                        </w:rPr>
                        <w:t xml:space="preserve">SmartTrack is delivered as an individual, tailored program that includes a layered curriculum approach for the core subjects of mathematics, English through enquiry-based learning, as well as vocational courses </w:t>
                      </w:r>
                      <w:r>
                        <w:rPr>
                          <w:rFonts w:ascii="Verdana" w:eastAsia="Verdana" w:hAnsi="Verdana"/>
                          <w:color w:val="414042"/>
                          <w:spacing w:val="6"/>
                          <w:sz w:val="17"/>
                        </w:rPr>
                        <w:t xml:space="preserve">such as a Certificate III in Business and </w:t>
                      </w:r>
                      <w:r>
                        <w:rPr>
                          <w:rFonts w:ascii="Tahoma" w:eastAsia="Tahoma" w:hAnsi="Tahoma"/>
                          <w:color w:val="414042"/>
                          <w:spacing w:val="6"/>
                          <w:sz w:val="18"/>
                        </w:rPr>
                        <w:t>on-the-job training.</w:t>
                      </w:r>
                    </w:p>
                    <w:p w14:paraId="3861CF3E" w14:textId="77777777" w:rsidR="00490F33" w:rsidRDefault="00490F33">
                      <w:pPr>
                        <w:spacing w:before="171" w:line="219" w:lineRule="exact"/>
                        <w:textAlignment w:val="baseline"/>
                        <w:rPr>
                          <w:rFonts w:ascii="Verdana" w:eastAsia="Verdana" w:hAnsi="Verdana"/>
                          <w:color w:val="414042"/>
                          <w:spacing w:val="5"/>
                          <w:sz w:val="17"/>
                        </w:rPr>
                      </w:pPr>
                      <w:r>
                        <w:rPr>
                          <w:rFonts w:ascii="Verdana" w:eastAsia="Verdana" w:hAnsi="Verdana"/>
                          <w:color w:val="414042"/>
                          <w:spacing w:val="5"/>
                          <w:sz w:val="17"/>
                        </w:rPr>
                        <w:t xml:space="preserve">SmartTrack has a different approach to </w:t>
                      </w:r>
                      <w:r>
                        <w:rPr>
                          <w:rFonts w:ascii="Tahoma" w:eastAsia="Tahoma" w:hAnsi="Tahoma"/>
                          <w:color w:val="414042"/>
                          <w:spacing w:val="5"/>
                          <w:sz w:val="18"/>
                        </w:rPr>
                        <w:t xml:space="preserve">mainstream schooling, with an increased focus on practical learning, enterprise skills and work readiness. This method caters to all students and their individual learning styles, while afternoon and evening delivery </w:t>
                      </w:r>
                      <w:r>
                        <w:rPr>
                          <w:rFonts w:ascii="Verdana" w:eastAsia="Verdana" w:hAnsi="Verdana"/>
                          <w:color w:val="414042"/>
                          <w:spacing w:val="5"/>
                          <w:sz w:val="17"/>
                        </w:rPr>
                        <w:t xml:space="preserve">of courses gives students the flexibility and </w:t>
                      </w:r>
                      <w:r>
                        <w:rPr>
                          <w:rFonts w:ascii="Tahoma" w:eastAsia="Tahoma" w:hAnsi="Tahoma"/>
                          <w:color w:val="414042"/>
                          <w:spacing w:val="5"/>
                          <w:sz w:val="18"/>
                        </w:rPr>
                        <w:t>opportunity to gain work experience and employment during core hours.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3232" behindDoc="1" locked="0" layoutInCell="1" allowOverlap="1" wp14:anchorId="4E868692" wp14:editId="19E57B17">
                <wp:simplePos x="0" y="0"/>
                <wp:positionH relativeFrom="page">
                  <wp:posOffset>0</wp:posOffset>
                </wp:positionH>
                <wp:positionV relativeFrom="page">
                  <wp:posOffset>9692640</wp:posOffset>
                </wp:positionV>
                <wp:extent cx="7562215" cy="536575"/>
                <wp:effectExtent l="0" t="0" r="0" b="0"/>
                <wp:wrapSquare wrapText="bothSides"/>
                <wp:docPr id="789"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961A2" w14:textId="77777777" w:rsidR="00490F33" w:rsidRDefault="00490F33">
                            <w:pPr>
                              <w:tabs>
                                <w:tab w:val="left" w:pos="1368"/>
                              </w:tabs>
                              <w:spacing w:after="636"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62</w:t>
                            </w:r>
                            <w:r>
                              <w:rPr>
                                <w:rFonts w:ascii="Tahoma" w:eastAsia="Tahoma" w:hAnsi="Tahoma"/>
                                <w:color w:val="414042"/>
                                <w:spacing w:val="4"/>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68692" id="Text Box 510" o:spid="_x0000_s1116" type="#_x0000_t202" style="position:absolute;margin-left:0;margin-top:763.2pt;width:595.45pt;height:42.25pt;z-index:-251893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x88QEAAMIDAAAOAAAAZHJzL2Uyb0RvYy54bWysU9tu2zAMfR+wfxD0vjjJ4KQ14hRdiw4D&#10;ugvQ7gMYWY6F2aJGKbGzrx8lx1m3vQ17ESiSOjw8pDY3Q9eKoyZv0JZyMZtLoa3Cyth9Kb8+P7y5&#10;ksIHsBW0aHUpT9rLm+3rV5veFXqJDbaVJsEg1he9K2UTgiuyzKtGd+Bn6LTlYI3UQeAr7bOKoGf0&#10;rs2W8/kq65EqR6i09+y9H4Nym/DrWqvwua69DqItJXML6aR07uKZbTdQ7AlcY9SZBvwDiw6M5aIX&#10;qHsIIA5k/oLqjCL0WIeZwi7DujZKpx64m8X8j26eGnA69cLieHeRyf8/WPXp+IWEqUq5vrqWwkLH&#10;Q3rWQxDvcBD5IinUO19w4pPj1DBwgCeduvXuEdU3LyzeNWD3+pYI+0ZDxQwXUdvsxdM4E1/4CLLr&#10;P2LFheAQMAENNXVRPhZEMDpP6nSZTiSj2LnOV8vlIpdCcSx/u8rXeSoBxfTakQ/vNXYiGqUknn5C&#10;h+OjD5ENFFNKLGbxwbRt2oDW/ubgxOhJ7CPhkXoYdkOS6vqiyg6rE/dDOC4WfwQ2GqQfUvS8VKX0&#10;3w9AWor2g2VN4gZOBk3GbjLAKn5ayiDFaN6FcVMPjsy+YeRRdYu3rFttUktR05HFmS8vSur0vNRx&#10;E1/eU9avr7f9CQAA//8DAFBLAwQUAAYACAAAACEAR2iERd8AAAALAQAADwAAAGRycy9kb3ducmV2&#10;LnhtbEyPQU/DMAyF70j8h8hI3FjSCSpamk4TghMSoisHjmnrtdEapzTZVv493gluz37W8/eKzeJG&#10;ccI5WE8akpUCgdT6zlKv4bN+vXsEEaKhzoyeUMMPBtiU11eFyTt/pgpPu9gLDqGQGw1DjFMuZWgH&#10;dCas/ITE3t7PzkQe5152szlzuBvlWqlUOmOJPwxmwucB28Pu6DRsv6h6sd/vzUe1r2xdZ4re0oPW&#10;tzfL9glExCX+HcMFn9GhZKbGH6kLYtTARSJvH9bpPYiLn2QqA9GwShNWsizk/w7lLwAAAP//AwBQ&#10;SwECLQAUAAYACAAAACEAtoM4kv4AAADhAQAAEwAAAAAAAAAAAAAAAAAAAAAAW0NvbnRlbnRfVHlw&#10;ZXNdLnhtbFBLAQItABQABgAIAAAAIQA4/SH/1gAAAJQBAAALAAAAAAAAAAAAAAAAAC8BAABfcmVs&#10;cy8ucmVsc1BLAQItABQABgAIAAAAIQDJKox88QEAAMIDAAAOAAAAAAAAAAAAAAAAAC4CAABkcnMv&#10;ZTJvRG9jLnhtbFBLAQItABQABgAIAAAAIQBHaIRF3wAAAAsBAAAPAAAAAAAAAAAAAAAAAEsEAABk&#10;cnMvZG93bnJldi54bWxQSwUGAAAAAAQABADzAAAAVwUAAAAA&#10;" filled="f" stroked="f">
                <v:textbox inset="0,0,0,0">
                  <w:txbxContent>
                    <w:p w14:paraId="26A961A2" w14:textId="77777777" w:rsidR="00490F33" w:rsidRDefault="00490F33">
                      <w:pPr>
                        <w:tabs>
                          <w:tab w:val="left" w:pos="1368"/>
                        </w:tabs>
                        <w:spacing w:after="636"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62</w:t>
                      </w:r>
                      <w:r>
                        <w:rPr>
                          <w:rFonts w:ascii="Tahoma" w:eastAsia="Tahoma" w:hAnsi="Tahoma"/>
                          <w:color w:val="414042"/>
                          <w:spacing w:val="4"/>
                          <w:sz w:val="14"/>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4256" behindDoc="1" locked="0" layoutInCell="1" allowOverlap="1" wp14:anchorId="13AFD1FD" wp14:editId="5B1785F7">
                <wp:simplePos x="0" y="0"/>
                <wp:positionH relativeFrom="page">
                  <wp:posOffset>0</wp:posOffset>
                </wp:positionH>
                <wp:positionV relativeFrom="page">
                  <wp:posOffset>10229215</wp:posOffset>
                </wp:positionV>
                <wp:extent cx="7562215" cy="462915"/>
                <wp:effectExtent l="0" t="0" r="0" b="0"/>
                <wp:wrapSquare wrapText="bothSides"/>
                <wp:docPr id="788"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2104E" w14:textId="77777777" w:rsidR="00490F33" w:rsidRDefault="00490F33">
                            <w:pPr>
                              <w:textAlignment w:val="baseline"/>
                            </w:pPr>
                            <w:r>
                              <w:rPr>
                                <w:noProof/>
                                <w:lang w:val="en-AU" w:eastAsia="en-AU"/>
                              </w:rPr>
                              <w:drawing>
                                <wp:inline distT="0" distB="0" distL="0" distR="0" wp14:anchorId="758071C4" wp14:editId="5B997000">
                                  <wp:extent cx="7562215" cy="462915"/>
                                  <wp:effectExtent l="0" t="0" r="0" b="0"/>
                                  <wp:docPr id="102" name="Picture"/>
                                  <wp:cNvGraphicFramePr/>
                                  <a:graphic xmlns:a="http://schemas.openxmlformats.org/drawingml/2006/main">
                                    <a:graphicData uri="http://schemas.openxmlformats.org/drawingml/2006/picture">
                                      <pic:pic xmlns:pic="http://schemas.openxmlformats.org/drawingml/2006/picture">
                                        <pic:nvPicPr>
                                          <pic:cNvPr id="102"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FD1FD" id="Text Box 509" o:spid="_x0000_s1117" type="#_x0000_t202" style="position:absolute;margin-left:0;margin-top:805.45pt;width:595.45pt;height:36.45pt;z-index:-251892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x47wEAAMIDAAAOAAAAZHJzL2Uyb0RvYy54bWysU8Fu2zAMvQ/YPwi6L3aCJW2MOEXXosOA&#10;bh3Q7gMYWY6F2aJGKbGzrx8lJ2m33opdBIqint57pFZXQ9eKvSZv0JZyOsml0FZhZey2lD+e7j5c&#10;SuED2ApatLqUB+3l1fr9u1XvCj3DBttKk2AQ64velbIJwRVZ5lWjO/ATdNryYY3UQeAtbbOKoGf0&#10;rs1meb7IeqTKESrtPWdvx0O5Tvh1rVV4qGuvg2hLydxCWimtm7hm6xUUWwLXGHWkAW9g0YGx/OgZ&#10;6hYCiB2ZV1CdUYQe6zBR2GVY10bppIHVTPN/1Dw24HTSwuZ4d7bJ/z9Y9W3/nYSpSnlxya2y0HGT&#10;nvQQxCccxDxfRod65wsufHRcGgY+4E4ntd7do/rphcWbBuxWXxNh32iomOE03sxeXB1xfATZ9F+x&#10;4odgFzABDTV10T42RDA6d+pw7k4kozh5MV/MZtO5FIrPPi5mS47jE1Ccbjvy4bPGTsSglMTdT+iw&#10;v/dhLD2VxMcs3pm25TwUrf0rwZgxk9hHwiP1MGyGZNUyaYvSNlgdWA/hOFj8EThokH5L0fNQldL/&#10;2gFpKdovlj2JE3gK6BRsTgFYxVdLGaQYw5swTurOkdk2jDy6bvGafatNkvTM4siXByWZchzqOIkv&#10;96nq+eut/wAAAP//AwBQSwMEFAAGAAgAAAAhADsG67/eAAAACwEAAA8AAABkcnMvZG93bnJldi54&#10;bWxMj0FPhDAQhe8m/odmTLy5LZoQQMpmY/RkYmTZg8dCZ6FZOkXa3cV/bznpbea9yZvvldvFjuyC&#10;szeOJCQbAQypc9pQL+HQvD1kwHxQpNXoCCX8oIdtdXtTqkK7K9V42YeexRDyhZIwhDAVnPtuQKv8&#10;xk1I0Tu62aoQ17nnelbXGG5H/ihEyq0yFD8MasKXAbvT/mwl7L6ofjXfH+1nfaxN0+SC3tOTlPd3&#10;y+4ZWMAl/B3Dih/RoYpMrTuT9myUEIuEqKaJyIGtfpKvU7tq2VMGvCr5/w7VLwAAAP//AwBQSwEC&#10;LQAUAAYACAAAACEAtoM4kv4AAADhAQAAEwAAAAAAAAAAAAAAAAAAAAAAW0NvbnRlbnRfVHlwZXNd&#10;LnhtbFBLAQItABQABgAIAAAAIQA4/SH/1gAAAJQBAAALAAAAAAAAAAAAAAAAAC8BAABfcmVscy8u&#10;cmVsc1BLAQItABQABgAIAAAAIQACgsx47wEAAMIDAAAOAAAAAAAAAAAAAAAAAC4CAABkcnMvZTJv&#10;RG9jLnhtbFBLAQItABQABgAIAAAAIQA7Buu/3gAAAAsBAAAPAAAAAAAAAAAAAAAAAEkEAABkcnMv&#10;ZG93bnJldi54bWxQSwUGAAAAAAQABADzAAAAVAUAAAAA&#10;" filled="f" stroked="f">
                <v:textbox inset="0,0,0,0">
                  <w:txbxContent>
                    <w:p w14:paraId="3CE2104E" w14:textId="77777777" w:rsidR="00490F33" w:rsidRDefault="00490F33">
                      <w:pPr>
                        <w:textAlignment w:val="baseline"/>
                      </w:pPr>
                      <w:r>
                        <w:rPr>
                          <w:noProof/>
                          <w:lang w:val="en-AU" w:eastAsia="en-AU"/>
                        </w:rPr>
                        <w:drawing>
                          <wp:inline distT="0" distB="0" distL="0" distR="0" wp14:anchorId="758071C4" wp14:editId="5B997000">
                            <wp:extent cx="7562215" cy="462915"/>
                            <wp:effectExtent l="0" t="0" r="0" b="0"/>
                            <wp:docPr id="102" name="Picture"/>
                            <wp:cNvGraphicFramePr/>
                            <a:graphic xmlns:a="http://schemas.openxmlformats.org/drawingml/2006/main">
                              <a:graphicData uri="http://schemas.openxmlformats.org/drawingml/2006/picture">
                                <pic:pic xmlns:pic="http://schemas.openxmlformats.org/drawingml/2006/picture">
                                  <pic:nvPicPr>
                                    <pic:cNvPr id="102"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189A6679" w14:textId="77777777" w:rsidR="009757A9" w:rsidRDefault="009757A9">
      <w:pPr>
        <w:sectPr w:rsidR="009757A9">
          <w:pgSz w:w="11909" w:h="16838"/>
          <w:pgMar w:top="832" w:right="0" w:bottom="0" w:left="0" w:header="720" w:footer="720" w:gutter="0"/>
          <w:cols w:space="720"/>
        </w:sectPr>
      </w:pPr>
    </w:p>
    <w:p w14:paraId="7659FDE1" w14:textId="77777777" w:rsidR="009757A9" w:rsidRPr="0081073F" w:rsidRDefault="00083242" w:rsidP="0081073F">
      <w:pPr>
        <w:pStyle w:val="Heading2"/>
        <w:rPr>
          <w:rFonts w:eastAsia="Arial"/>
          <w:sz w:val="25"/>
          <w:szCs w:val="25"/>
        </w:rPr>
      </w:pPr>
      <w:r w:rsidRPr="0081073F">
        <w:rPr>
          <w:rFonts w:eastAsia="Arial"/>
          <w:sz w:val="25"/>
          <w:szCs w:val="25"/>
        </w:rPr>
        <w:lastRenderedPageBreak/>
        <w:t>Pathways decisions</w:t>
      </w:r>
    </w:p>
    <w:p w14:paraId="756D9D57" w14:textId="77777777" w:rsidR="009757A9" w:rsidRDefault="00083242">
      <w:pPr>
        <w:spacing w:before="146"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Young people have access to a variety of pathways during school. One of the key challenges they face is to navigate the </w:t>
      </w:r>
      <w:r>
        <w:rPr>
          <w:rFonts w:ascii="Verdana" w:eastAsia="Verdana" w:hAnsi="Verdana"/>
          <w:color w:val="404042"/>
          <w:sz w:val="18"/>
        </w:rPr>
        <w:t>information and influences available to them in deciding which pathway to choose. The world beyond school can be difficult to discern clearly.</w:t>
      </w:r>
    </w:p>
    <w:p w14:paraId="093A1582"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For an increasing number of students, post-school pathways to work are no longer linear. The National Centre for Vocational Education Research (NCVER) released a report in 2019 that explored the school-to-work transitions of youth aged 16 to 25 based on the 2006 cohort of the Longitudinal Surveys of Australian Youth (LSAY). The study found that </w:t>
      </w:r>
      <w:r>
        <w:rPr>
          <w:rFonts w:ascii="Verdana" w:eastAsia="Verdana" w:hAnsi="Verdana"/>
          <w:color w:val="404042"/>
          <w:sz w:val="18"/>
        </w:rPr>
        <w:t>young people experience diverse and individualised school-to-work pathways. Five key pathways were identified:</w:t>
      </w:r>
    </w:p>
    <w:p w14:paraId="1457DC4B"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4"/>
          <w:sz w:val="18"/>
        </w:rPr>
      </w:pPr>
      <w:r>
        <w:rPr>
          <w:rFonts w:ascii="Tahoma" w:eastAsia="Tahoma" w:hAnsi="Tahoma"/>
          <w:color w:val="404042"/>
          <w:spacing w:val="4"/>
          <w:sz w:val="18"/>
        </w:rPr>
        <w:t>Pathway 1: Higher education and work – 60 per cent</w:t>
      </w:r>
    </w:p>
    <w:p w14:paraId="09AAE857" w14:textId="77777777" w:rsidR="009757A9" w:rsidRDefault="00083242">
      <w:pPr>
        <w:numPr>
          <w:ilvl w:val="0"/>
          <w:numId w:val="6"/>
        </w:numPr>
        <w:tabs>
          <w:tab w:val="clear" w:pos="216"/>
          <w:tab w:val="left" w:pos="1080"/>
        </w:tabs>
        <w:spacing w:before="106" w:line="221" w:lineRule="exact"/>
        <w:ind w:left="864"/>
        <w:textAlignment w:val="baseline"/>
        <w:rPr>
          <w:rFonts w:ascii="Tahoma" w:eastAsia="Tahoma" w:hAnsi="Tahoma"/>
          <w:color w:val="404042"/>
          <w:spacing w:val="4"/>
          <w:sz w:val="18"/>
        </w:rPr>
      </w:pPr>
      <w:r>
        <w:rPr>
          <w:rFonts w:ascii="Tahoma" w:eastAsia="Tahoma" w:hAnsi="Tahoma"/>
          <w:color w:val="404042"/>
          <w:spacing w:val="4"/>
          <w:sz w:val="18"/>
        </w:rPr>
        <w:t>Pathway 2: Early entry through VET to full-time work – 23 per cent</w:t>
      </w:r>
    </w:p>
    <w:p w14:paraId="7CA002D4"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3"/>
          <w:sz w:val="18"/>
        </w:rPr>
      </w:pPr>
      <w:r>
        <w:rPr>
          <w:rFonts w:ascii="Tahoma" w:eastAsia="Tahoma" w:hAnsi="Tahoma"/>
          <w:color w:val="404042"/>
          <w:spacing w:val="3"/>
          <w:sz w:val="18"/>
        </w:rPr>
        <w:t>Pathway 3: Mix of higher education and VET – 8 per cent</w:t>
      </w:r>
    </w:p>
    <w:p w14:paraId="21998C2F" w14:textId="77777777" w:rsidR="009757A9" w:rsidRDefault="00083242">
      <w:pPr>
        <w:numPr>
          <w:ilvl w:val="0"/>
          <w:numId w:val="6"/>
        </w:numPr>
        <w:tabs>
          <w:tab w:val="clear" w:pos="216"/>
          <w:tab w:val="left" w:pos="1080"/>
        </w:tabs>
        <w:spacing w:before="101" w:line="221" w:lineRule="exact"/>
        <w:ind w:left="864"/>
        <w:textAlignment w:val="baseline"/>
        <w:rPr>
          <w:rFonts w:ascii="Tahoma" w:eastAsia="Tahoma" w:hAnsi="Tahoma"/>
          <w:color w:val="404042"/>
          <w:spacing w:val="4"/>
          <w:sz w:val="18"/>
        </w:rPr>
      </w:pPr>
      <w:r>
        <w:rPr>
          <w:rFonts w:ascii="Tahoma" w:eastAsia="Tahoma" w:hAnsi="Tahoma"/>
          <w:color w:val="404042"/>
          <w:spacing w:val="4"/>
          <w:sz w:val="18"/>
        </w:rPr>
        <w:t>Pathway 4: Mixed and repeatedly disengaged – 5 per cent</w:t>
      </w:r>
    </w:p>
    <w:p w14:paraId="1AA3A2A5" w14:textId="77777777" w:rsidR="009757A9" w:rsidRDefault="00083242">
      <w:pPr>
        <w:numPr>
          <w:ilvl w:val="0"/>
          <w:numId w:val="6"/>
        </w:numPr>
        <w:tabs>
          <w:tab w:val="clear" w:pos="216"/>
          <w:tab w:val="left" w:pos="1080"/>
        </w:tabs>
        <w:spacing w:before="102" w:line="224" w:lineRule="exact"/>
        <w:ind w:left="864"/>
        <w:textAlignment w:val="baseline"/>
        <w:rPr>
          <w:rFonts w:ascii="Tahoma" w:eastAsia="Tahoma" w:hAnsi="Tahoma"/>
          <w:color w:val="404042"/>
          <w:spacing w:val="2"/>
          <w:sz w:val="18"/>
        </w:rPr>
      </w:pPr>
      <w:r>
        <w:rPr>
          <w:rFonts w:ascii="Tahoma" w:eastAsia="Tahoma" w:hAnsi="Tahoma"/>
          <w:color w:val="404042"/>
          <w:spacing w:val="2"/>
          <w:sz w:val="18"/>
        </w:rPr>
        <w:t>Pathway 5: Mostly working part-time – 4 per cent.</w:t>
      </w:r>
      <w:r>
        <w:rPr>
          <w:rFonts w:ascii="Tahoma" w:eastAsia="Tahoma" w:hAnsi="Tahoma"/>
          <w:color w:val="404042"/>
          <w:spacing w:val="2"/>
          <w:sz w:val="18"/>
          <w:vertAlign w:val="superscript"/>
        </w:rPr>
        <w:t>68</w:t>
      </w:r>
      <w:r>
        <w:rPr>
          <w:rFonts w:ascii="Tahoma" w:eastAsia="Tahoma" w:hAnsi="Tahoma"/>
          <w:color w:val="404042"/>
          <w:spacing w:val="2"/>
          <w:sz w:val="10"/>
        </w:rPr>
        <w:t xml:space="preserve"> </w:t>
      </w:r>
    </w:p>
    <w:p w14:paraId="12A356EE" w14:textId="7D2096AB" w:rsidR="009757A9" w:rsidRDefault="009B5D71">
      <w:pPr>
        <w:spacing w:before="168" w:after="595" w:line="240" w:lineRule="exact"/>
        <w:ind w:left="864" w:right="1152"/>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873792" behindDoc="0" locked="0" layoutInCell="1" allowOverlap="1" wp14:anchorId="307B3145" wp14:editId="66412703">
                <wp:simplePos x="0" y="0"/>
                <wp:positionH relativeFrom="margin">
                  <wp:align>center</wp:align>
                </wp:positionH>
                <wp:positionV relativeFrom="page">
                  <wp:posOffset>4428490</wp:posOffset>
                </wp:positionV>
                <wp:extent cx="5907405" cy="0"/>
                <wp:effectExtent l="0" t="0" r="0" b="0"/>
                <wp:wrapNone/>
                <wp:docPr id="787"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8B878" id="Line 508" o:spid="_x0000_s1026" style="position:absolute;z-index:2518737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348.7pt" to="465.15pt,3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g/0QEAAIYDAAAOAAAAZHJzL2Uyb0RvYy54bWysU8Fu2zAMvQ/YPwi6L3a6pkmMOD0k6y7Z&#10;FqDtBzCSbAuTREFSYufvJ8lJ1m23YheBEsnHx0dq9ThoRU7CeYmmptNJSYkwDLk0bU1fX54+LSjx&#10;AQwHhUbU9Cw8fVx//LDqbSXusEPFhSMRxPiqtzXtQrBVUXjWCQ1+glaY6GzQaQjx6tqCO+gjulbF&#10;XVk+FD06bh0y4X183Y5Ous74TSNY+NE0XgSiahq5hXy6fB7SWaxXULUObCfZhQa8g4UGaWLRG9QW&#10;ApCjk/9AackcemzChKEusGkkE7mH2M20/Kub5w6syL1Ecby9yeT/Hyz7fto7InlN54s5JQZ0HNJO&#10;GkFm5SKp01tfxaCN2bvUHxvMs90h++mJwU0HphWZ5cvZxsRpyij+SEkXb2ONQ/8NeYyBY8As1dA4&#10;nSCjCGTIEznfJiKGQFh8nC3L+X05o4RdfQVU10TrfPgqUJNk1FRF1hkYTjsfEhGoriGpjsEnqVQe&#10;uDKkr+nD51mZEzwqyZMzhXnXHjbKkROklSnny+V97ip63oYl5C34bozLrnGZHB4Nz1U6AfzLxQ4g&#10;1WhHVspcVErCjBIfkJ/37qpeHHamf1nMtE1v7zn79/dZ/wIAAP//AwBQSwMEFAAGAAgAAAAhAMPU&#10;MGnbAAAACAEAAA8AAABkcnMvZG93bnJldi54bWxMj8FOwzAQRO9I/IO1SNyoDYVCQzYVKuqpl9Ii&#10;cd3GSxKI11HspunfY6RKcJyd1cybfDG6Vg3ch8YLwu3EgGIpvW2kQnjfrW6eQIVIYqn1wggnDrAo&#10;Li9yyqw/yhsP21ipFCIhI4Q6xi7TOpQ1OwoT37Ek79P3jmKSfaVtT8cU7lp9Z8xMO2okNdTU8bLm&#10;8nt7cAgrMruNXa/9V/h4OC0pavvKA+L11fjyDCryGP+e4Rc/oUORmPb+IDaoFiENiQiz+eM9qGTP&#10;p2YKan++6CLX/wcUPwAAAP//AwBQSwECLQAUAAYACAAAACEAtoM4kv4AAADhAQAAEwAAAAAAAAAA&#10;AAAAAAAAAAAAW0NvbnRlbnRfVHlwZXNdLnhtbFBLAQItABQABgAIAAAAIQA4/SH/1gAAAJQBAAAL&#10;AAAAAAAAAAAAAAAAAC8BAABfcmVscy8ucmVsc1BLAQItABQABgAIAAAAIQBHURg/0QEAAIYDAAAO&#10;AAAAAAAAAAAAAAAAAC4CAABkcnMvZTJvRG9jLnhtbFBLAQItABQABgAIAAAAIQDD1DBp2wAAAAgB&#10;AAAPAAAAAAAAAAAAAAAAACsEAABkcnMvZG93bnJldi54bWxQSwUGAAAAAAQABADzAAAAMwUAAAAA&#10;" strokecolor="#007994" strokeweight=".5pt">
                <w10:wrap anchorx="margin" anchory="page"/>
              </v:line>
            </w:pict>
          </mc:Fallback>
        </mc:AlternateContent>
      </w:r>
      <w:r w:rsidR="00083242">
        <w:rPr>
          <w:rFonts w:ascii="Tahoma" w:eastAsia="Tahoma" w:hAnsi="Tahoma"/>
          <w:color w:val="404042"/>
          <w:sz w:val="18"/>
        </w:rPr>
        <w:t>While there are many and varied pathways, it is crucial for young people to be equipped with the management skills that enable them to navigate and move in and out of multiple pathways. This capability will serve them well not just immediately after they leave school, but over their entire working lives.</w:t>
      </w:r>
    </w:p>
    <w:p w14:paraId="1F4AAAC6" w14:textId="54F95AE3" w:rsidR="009757A9" w:rsidRDefault="00083242">
      <w:pPr>
        <w:spacing w:before="157" w:line="247"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“Being able and willing to learn throughout life must now be a central attribute for all</w:t>
      </w:r>
    </w:p>
    <w:p w14:paraId="0E863E42" w14:textId="77777777" w:rsidR="009757A9" w:rsidRDefault="00083242">
      <w:pPr>
        <w:spacing w:before="51" w:line="237" w:lineRule="exact"/>
        <w:ind w:left="1296"/>
        <w:textAlignment w:val="baseline"/>
        <w:rPr>
          <w:rFonts w:ascii="Tahoma" w:eastAsia="Tahoma" w:hAnsi="Tahoma"/>
          <w:i/>
          <w:color w:val="007994"/>
          <w:spacing w:val="2"/>
          <w:sz w:val="21"/>
        </w:rPr>
      </w:pPr>
      <w:r>
        <w:rPr>
          <w:rFonts w:ascii="Tahoma" w:eastAsia="Tahoma" w:hAnsi="Tahoma"/>
          <w:i/>
          <w:color w:val="007994"/>
          <w:spacing w:val="2"/>
          <w:sz w:val="21"/>
        </w:rPr>
        <w:t>school leavers.”</w:t>
      </w:r>
    </w:p>
    <w:p w14:paraId="4F0F12A9" w14:textId="7FBF5ADB" w:rsidR="009757A9" w:rsidRDefault="009B5D71">
      <w:pPr>
        <w:spacing w:before="65" w:after="225" w:line="247" w:lineRule="exact"/>
        <w:ind w:left="6840"/>
        <w:textAlignment w:val="baseline"/>
        <w:rPr>
          <w:rFonts w:ascii="Tahoma" w:eastAsia="Tahoma" w:hAnsi="Tahoma"/>
          <w:i/>
          <w:color w:val="007994"/>
          <w:spacing w:val="2"/>
          <w:sz w:val="21"/>
        </w:rPr>
      </w:pPr>
      <w:r>
        <w:rPr>
          <w:noProof/>
          <w:lang w:val="en-AU" w:eastAsia="en-AU"/>
        </w:rPr>
        <mc:AlternateContent>
          <mc:Choice Requires="wps">
            <w:drawing>
              <wp:anchor distT="0" distB="0" distL="114300" distR="114300" simplePos="0" relativeHeight="251874816" behindDoc="0" locked="0" layoutInCell="1" allowOverlap="1" wp14:anchorId="72C2CB91" wp14:editId="6B0D7FDD">
                <wp:simplePos x="0" y="0"/>
                <wp:positionH relativeFrom="margin">
                  <wp:align>center</wp:align>
                </wp:positionH>
                <wp:positionV relativeFrom="page">
                  <wp:posOffset>5144770</wp:posOffset>
                </wp:positionV>
                <wp:extent cx="5907405" cy="0"/>
                <wp:effectExtent l="0" t="0" r="0" b="0"/>
                <wp:wrapNone/>
                <wp:docPr id="786"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6268C" id="Line 507" o:spid="_x0000_s1026" style="position:absolute;z-index:2518748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05.1pt" to="465.15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IR0QEAAIYDAAAOAAAAZHJzL2Uyb0RvYy54bWysU8Fu2zAMvQ/YPwi6L3a6JmmMOD0k6y7Z&#10;FqDtBzCSbAuTREFSYufvJ8lJ1m23YheBEsnHx0dq9ThoRU7CeYmmptNJSYkwDLk0bU1fX54+PVDi&#10;AxgOCo2o6Vl4+rj++GHV20rcYYeKC0ciiPFVb2vahWCrovCsExr8BK0w0dmg0xDi1bUFd9BHdK2K&#10;u7KcFz06bh0y4X183Y5Ous74TSNY+NE0XgSiahq5hXy6fB7SWaxXULUObCfZhQa8g4UGaWLRG9QW&#10;ApCjk/9AackcemzChKEusGkkE7mH2M20/Kub5w6syL1Ecby9yeT/Hyz7fto7InlNFw9zSgzoOKSd&#10;NILMykVSp7e+ikEbs3epPzaYZ7tD9tMTg5sOTCsyy5ezjYnTlFH8kZIu3sYah/4b8hgDx4BZqqFx&#10;OkFGEciQJ3K+TUQMgbD4OFuWi/tyRgm7+gqoronW+fBVoCbJqKmKrDMwnHY+JCJQXUNSHYNPUqk8&#10;cGVIX9P551mZEzwqyZMzhXnXHjbKkROklSkXy+V97ip63oYl5C34bozLrnGZHB4Nz1U6AfzLxQ4g&#10;1WhHVspcVErCjBIfkJ/37qpeHHamf1nMtE1v7zn79/dZ/wIAAP//AwBQSwMEFAAGAAgAAAAhAD04&#10;o2/aAAAACAEAAA8AAABkcnMvZG93bnJldi54bWxMj0FLw0AQhe+C/2EZwZvdbYtSYzZFKj31oq3g&#10;dZqdJqnZ2ZCdpum/dwXBHt+84b3v5cvRt2qgPjaBLUwnBhRxGVzDlYXP3fphASoKssM2MFm4UIRl&#10;cXuTY+bCmT9o2EqlUgjHDC3UIl2mdSxr8hgnoSNO3iH0HiXJvtKux3MK962eGfOkPTacGmrsaFVT&#10;+b09eQtrNLt3t9mEY/x6vKxQtHujwdr7u/H1BZTQKP/P8Iuf0KFITPtwYhdVayENEQuLqZmBSvbz&#10;3MxB7f8uusj19YDiBwAA//8DAFBLAQItABQABgAIAAAAIQC2gziS/gAAAOEBAAATAAAAAAAAAAAA&#10;AAAAAAAAAABbQ29udGVudF9UeXBlc10ueG1sUEsBAi0AFAAGAAgAAAAhADj9If/WAAAAlAEAAAsA&#10;AAAAAAAAAAAAAAAALwEAAF9yZWxzLy5yZWxzUEsBAi0AFAAGAAgAAAAhACeuQhHRAQAAhgMAAA4A&#10;AAAAAAAAAAAAAAAALgIAAGRycy9lMm9Eb2MueG1sUEsBAi0AFAAGAAgAAAAhAD04o2/aAAAACAEA&#10;AA8AAAAAAAAAAAAAAAAAKwQAAGRycy9kb3ducmV2LnhtbFBLBQYAAAAABAAEAPMAAAAyBQAAAAA=&#10;" strokecolor="#007994" strokeweight=".5pt">
                <w10:wrap anchorx="margin" anchory="page"/>
              </v:line>
            </w:pict>
          </mc:Fallback>
        </mc:AlternateContent>
      </w:r>
      <w:r w:rsidR="00083242">
        <w:rPr>
          <w:rFonts w:ascii="Tahoma" w:eastAsia="Tahoma" w:hAnsi="Tahoma"/>
          <w:i/>
          <w:color w:val="007994"/>
          <w:spacing w:val="2"/>
          <w:sz w:val="21"/>
        </w:rPr>
        <w:t>Francesca Beddie, personal submission</w:t>
      </w:r>
    </w:p>
    <w:p w14:paraId="104BCF70" w14:textId="50F26FFF" w:rsidR="009757A9" w:rsidRDefault="00083242">
      <w:pPr>
        <w:spacing w:before="414" w:line="240" w:lineRule="exact"/>
        <w:ind w:left="864" w:right="864"/>
        <w:textAlignment w:val="baseline"/>
        <w:rPr>
          <w:rFonts w:ascii="Tahoma" w:eastAsia="Tahoma" w:hAnsi="Tahoma"/>
          <w:color w:val="404042"/>
          <w:spacing w:val="2"/>
          <w:sz w:val="18"/>
        </w:rPr>
      </w:pPr>
      <w:r>
        <w:rPr>
          <w:rFonts w:ascii="Tahoma" w:eastAsia="Tahoma" w:hAnsi="Tahoma"/>
          <w:color w:val="404042"/>
          <w:spacing w:val="2"/>
          <w:sz w:val="18"/>
        </w:rPr>
        <w:t xml:space="preserve">Students often start senior secondary schooling with limited understanding of the pathways available to them and the variety of entry points that exist. They often feel if they do not make the right choice, doors may be closed to them. It is important to emphasise to students that this is not the case. They need to understand that after school there will be many options available to them to increase their education, be trained and/or gain work experience. Schoolwork </w:t>
      </w:r>
      <w:r>
        <w:rPr>
          <w:rFonts w:ascii="Verdana" w:eastAsia="Verdana" w:hAnsi="Verdana"/>
          <w:color w:val="404042"/>
          <w:spacing w:val="2"/>
          <w:sz w:val="18"/>
        </w:rPr>
        <w:t xml:space="preserve">should be challenging but there is no need to increase stress on students by suggesting to them that the final years of school represent a once-in-a-lifetime opportunity based on a choice you make at 16. Senior secondary students should </w:t>
      </w:r>
      <w:r>
        <w:rPr>
          <w:rFonts w:ascii="Tahoma" w:eastAsia="Tahoma" w:hAnsi="Tahoma"/>
          <w:color w:val="404042"/>
          <w:spacing w:val="2"/>
          <w:sz w:val="18"/>
        </w:rPr>
        <w:t>understand that, in planning for their futures, there are no wrong doors and – so long as they have the capacity to keep on learning – plenty of opportunities to change direction.</w:t>
      </w:r>
    </w:p>
    <w:p w14:paraId="4761C0B2"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Although there is an abundance of information available, it is often confusing and of varying quality, leading to reduced usage and poor outcomes.</w:t>
      </w:r>
      <w:r>
        <w:rPr>
          <w:rFonts w:ascii="Tahoma" w:eastAsia="Tahoma" w:hAnsi="Tahoma"/>
          <w:color w:val="404042"/>
          <w:sz w:val="18"/>
          <w:vertAlign w:val="superscript"/>
        </w:rPr>
        <w:t>69</w:t>
      </w:r>
      <w:r>
        <w:rPr>
          <w:rFonts w:ascii="Verdana" w:eastAsia="Verdana" w:hAnsi="Verdana"/>
          <w:color w:val="404042"/>
          <w:sz w:val="18"/>
        </w:rPr>
        <w:t xml:space="preserve"> In a review of research undertaken for the Panel by NCVER, LSAY data identified issues </w:t>
      </w:r>
      <w:r>
        <w:rPr>
          <w:rFonts w:ascii="Tahoma" w:eastAsia="Tahoma" w:hAnsi="Tahoma"/>
          <w:color w:val="404042"/>
          <w:sz w:val="18"/>
        </w:rPr>
        <w:t xml:space="preserve">including costs, the proximity of education or work, perceptions of the quality of education providers, and the standard </w:t>
      </w:r>
      <w:r>
        <w:rPr>
          <w:rFonts w:ascii="Verdana" w:eastAsia="Verdana" w:hAnsi="Verdana"/>
          <w:color w:val="404042"/>
          <w:sz w:val="18"/>
        </w:rPr>
        <w:t>of career advice as factors that influence the pathway decisions of young people.</w:t>
      </w:r>
      <w:r>
        <w:rPr>
          <w:rFonts w:ascii="Tahoma" w:eastAsia="Tahoma" w:hAnsi="Tahoma"/>
          <w:color w:val="404042"/>
          <w:sz w:val="18"/>
          <w:vertAlign w:val="superscript"/>
        </w:rPr>
        <w:t>70</w:t>
      </w:r>
      <w:r>
        <w:rPr>
          <w:rFonts w:ascii="Tahoma" w:eastAsia="Tahoma" w:hAnsi="Tahoma"/>
          <w:color w:val="404042"/>
          <w:sz w:val="10"/>
        </w:rPr>
        <w:t xml:space="preserve"> </w:t>
      </w:r>
    </w:p>
    <w:p w14:paraId="0C2A51AC" w14:textId="0A051E34" w:rsidR="009757A9" w:rsidRDefault="00083242">
      <w:pPr>
        <w:spacing w:before="168" w:after="835" w:line="240" w:lineRule="exact"/>
        <w:ind w:left="864" w:right="1008"/>
        <w:textAlignment w:val="baseline"/>
        <w:rPr>
          <w:rFonts w:ascii="Verdana" w:eastAsia="Verdana" w:hAnsi="Verdana"/>
          <w:color w:val="404042"/>
          <w:spacing w:val="-3"/>
          <w:sz w:val="18"/>
        </w:rPr>
      </w:pPr>
      <w:r>
        <w:rPr>
          <w:rFonts w:ascii="Verdana" w:eastAsia="Verdana" w:hAnsi="Verdana"/>
          <w:color w:val="404042"/>
          <w:spacing w:val="-3"/>
          <w:sz w:val="18"/>
        </w:rPr>
        <w:t xml:space="preserve">In a second piece of research conducted for the Panel by the Behavioural Insights Team, they also identified that in </w:t>
      </w:r>
      <w:r>
        <w:rPr>
          <w:rFonts w:ascii="Tahoma" w:eastAsia="Tahoma" w:hAnsi="Tahoma"/>
          <w:color w:val="404042"/>
          <w:spacing w:val="-3"/>
          <w:sz w:val="18"/>
        </w:rPr>
        <w:t xml:space="preserve">making pathway decisions, young people take mental shortcuts. They usually look at sources that are easy to navigate </w:t>
      </w:r>
      <w:r>
        <w:rPr>
          <w:rFonts w:ascii="Verdana" w:eastAsia="Verdana" w:hAnsi="Verdana"/>
          <w:color w:val="404042"/>
          <w:spacing w:val="-3"/>
          <w:sz w:val="18"/>
        </w:rPr>
        <w:t xml:space="preserve">and find, seek out information that tends to confirm their existing preferences, put short-term considerations first, and are influenced by real-life role models and experiences. In the absence of credible guidance, they tend to pursue </w:t>
      </w:r>
      <w:r>
        <w:rPr>
          <w:rFonts w:ascii="Tahoma" w:eastAsia="Tahoma" w:hAnsi="Tahoma"/>
          <w:color w:val="404042"/>
          <w:spacing w:val="-3"/>
          <w:sz w:val="18"/>
        </w:rPr>
        <w:t>default pathways involving university.</w:t>
      </w:r>
      <w:r>
        <w:rPr>
          <w:rFonts w:ascii="Tahoma" w:eastAsia="Tahoma" w:hAnsi="Tahoma"/>
          <w:color w:val="404042"/>
          <w:spacing w:val="-3"/>
          <w:sz w:val="18"/>
          <w:vertAlign w:val="superscript"/>
        </w:rPr>
        <w:t>71</w:t>
      </w:r>
      <w:r>
        <w:rPr>
          <w:rFonts w:ascii="Tahoma" w:eastAsia="Tahoma" w:hAnsi="Tahoma"/>
          <w:color w:val="404042"/>
          <w:spacing w:val="-3"/>
          <w:sz w:val="10"/>
        </w:rPr>
        <w:t xml:space="preserve"> </w:t>
      </w:r>
    </w:p>
    <w:p w14:paraId="4E8BE144" w14:textId="0164674B" w:rsidR="009757A9" w:rsidRDefault="009B5D71">
      <w:pPr>
        <w:spacing w:before="46" w:line="203" w:lineRule="exact"/>
        <w:ind w:left="1080" w:right="1008"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75840" behindDoc="0" locked="0" layoutInCell="1" allowOverlap="1" wp14:anchorId="7E8066B6" wp14:editId="69066153">
                <wp:simplePos x="0" y="0"/>
                <wp:positionH relativeFrom="page">
                  <wp:posOffset>530225</wp:posOffset>
                </wp:positionH>
                <wp:positionV relativeFrom="page">
                  <wp:posOffset>8820785</wp:posOffset>
                </wp:positionV>
                <wp:extent cx="917575" cy="0"/>
                <wp:effectExtent l="0" t="0" r="0" b="0"/>
                <wp:wrapNone/>
                <wp:docPr id="785" name="Lin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073F6" id="Line 506" o:spid="_x0000_s1026" style="position:absolute;z-index:25187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5pt,694.55pt" to="114pt,6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PgzQEAAIYDAAAOAAAAZHJzL2Uyb0RvYy54bWysU01v2zAMvQ/YfxB0X+wESNIZcXpI1l2y&#10;LUC7H8BIsi1MFgVJiZ1/P0r5WLfeivkgiCL5+PhIrx7H3rCT8kGjrfl0UnKmrECpbVvzny9Pnx44&#10;CxGsBINW1fysAn9cf/ywGlylZtihkcozArGhGlzNuxhdVRRBdKqHMEGnLDkb9D1EMn1bSA8Dofem&#10;mJXlohjQS+dRqBDodXtx8nXGbxol4o+mCSoyU3PiFvPp83lIZ7FeQdV6cJ0WVxrwDhY9aEtF71Bb&#10;iMCOXr+B6rXwGLCJE4F9gU2jhco9UDfT8p9unjtwKvdC4gR3lyn8P1jx/bT3TMuaLx/mnFnoaUg7&#10;bRWbl4ukzuBCRUEbu/epPzHaZ7dD8Sswi5sObKsyy5ezo8Rpyij+SklGcFTjMHxDSTFwjJilGhvf&#10;J0gSgY15Iuf7RNQYmaDHz9PlfEm8xM1VQHXLcz7Erwp7li41N0Q648JpF2LiAdUtJJWx+KSNyfM2&#10;lg1EdlYu5jkjoNEyeVNc8O1hYzw7QVqZ/OWuyPM6LEFvIXSXuOy6LJPHo5W5TKdAfrneI2hzuRMt&#10;Y68qJWEuEh9Qnvf+ph4NO/O/Lmbaptd2zv7z+6x/AwAA//8DAFBLAwQUAAYACAAAACEA8o9N/d4A&#10;AAAMAQAADwAAAGRycy9kb3ducmV2LnhtbEyPTUvDQBCG74L/YRnBi9hN0yprmk2Rgt6UWhV73Gan&#10;STA7G7LbJv33Tg+ix3nn4f3Il6NrxRH70HjSMJ0kIJBKbxuqNHy8P90qECEasqb1hBpOGGBZXF7k&#10;JrN+oDc8bmIl2IRCZjTUMXaZlKGs0Zkw8R0S//a+dyby2VfS9mZgc9fKNEnupTMNcUJtOlzVWH5v&#10;Dk6DlImaj59fw8v8Jqhmu6q2z69rra+vxscFiIhj/IPhXJ+rQ8Gddv5ANohWg5rdMcn6TD1MQTCR&#10;porX7X4lWeTy/4jiBwAA//8DAFBLAQItABQABgAIAAAAIQC2gziS/gAAAOEBAAATAAAAAAAAAAAA&#10;AAAAAAAAAABbQ29udGVudF9UeXBlc10ueG1sUEsBAi0AFAAGAAgAAAAhADj9If/WAAAAlAEAAAsA&#10;AAAAAAAAAAAAAAAALwEAAF9yZWxzLy5yZWxzUEsBAi0AFAAGAAgAAAAhAIjxs+DNAQAAhgMAAA4A&#10;AAAAAAAAAAAAAAAALgIAAGRycy9lMm9Eb2MueG1sUEsBAi0AFAAGAAgAAAAhAPKPTf3eAAAADAEA&#10;AA8AAAAAAAAAAAAAAAAAJwQAAGRycy9kb3ducmV2LnhtbFBLBQYAAAAABAAEAPMAAAAyBQAAAAA=&#10;" strokeweight=".95pt">
                <w10:wrap anchorx="page" anchory="page"/>
              </v:line>
            </w:pict>
          </mc:Fallback>
        </mc:AlternateContent>
      </w:r>
      <w:r w:rsidR="00083242">
        <w:rPr>
          <w:rFonts w:ascii="Tahoma" w:eastAsia="Tahoma" w:hAnsi="Tahoma"/>
          <w:color w:val="404042"/>
          <w:sz w:val="14"/>
        </w:rPr>
        <w:t xml:space="preserve">68 Ranasinghe, R., Chew, E., Knight, G. and Siekmann, G. (2019), </w:t>
      </w:r>
      <w:r w:rsidR="00083242">
        <w:rPr>
          <w:rFonts w:ascii="Arial" w:eastAsia="Arial" w:hAnsi="Arial"/>
          <w:i/>
          <w:color w:val="404042"/>
          <w:sz w:val="14"/>
        </w:rPr>
        <w:t>School-to-Work Pathways</w:t>
      </w:r>
      <w:r w:rsidR="00083242">
        <w:rPr>
          <w:rFonts w:ascii="Verdana" w:eastAsia="Verdana" w:hAnsi="Verdana"/>
          <w:color w:val="404042"/>
          <w:sz w:val="14"/>
        </w:rPr>
        <w:t xml:space="preserve">, National Centre for Vocational Education Research, pp. 6–8, </w:t>
      </w:r>
      <w:hyperlink r:id="rId144">
        <w:r w:rsidR="00083242">
          <w:rPr>
            <w:rFonts w:ascii="Verdana" w:eastAsia="Verdana" w:hAnsi="Verdana"/>
            <w:color w:val="0000FF"/>
            <w:sz w:val="14"/>
            <w:u w:val="single"/>
          </w:rPr>
          <w:t>https://www.ncver.edu.au/__data/assets/pdf_file/0029/6547412/School_to_work_pathways.pdf</w:t>
        </w:r>
      </w:hyperlink>
      <w:r w:rsidR="00083242">
        <w:rPr>
          <w:rFonts w:ascii="Tahoma" w:eastAsia="Tahoma" w:hAnsi="Tahoma"/>
          <w:color w:val="404042"/>
          <w:sz w:val="14"/>
        </w:rPr>
        <w:t>.</w:t>
      </w:r>
    </w:p>
    <w:p w14:paraId="674DC6DE" w14:textId="77777777" w:rsidR="009757A9" w:rsidRDefault="00083242">
      <w:pPr>
        <w:spacing w:before="25" w:line="172" w:lineRule="exact"/>
        <w:ind w:left="864"/>
        <w:textAlignment w:val="baseline"/>
        <w:rPr>
          <w:rFonts w:ascii="Tahoma" w:eastAsia="Tahoma" w:hAnsi="Tahoma"/>
          <w:color w:val="404042"/>
          <w:spacing w:val="-6"/>
          <w:sz w:val="14"/>
        </w:rPr>
      </w:pPr>
      <w:r>
        <w:rPr>
          <w:rFonts w:ascii="Tahoma" w:eastAsia="Tahoma" w:hAnsi="Tahoma"/>
          <w:color w:val="404042"/>
          <w:spacing w:val="-6"/>
          <w:sz w:val="14"/>
        </w:rPr>
        <w:t xml:space="preserve">69 </w:t>
      </w:r>
      <w:r>
        <w:rPr>
          <w:rFonts w:ascii="Verdana" w:eastAsia="Verdana" w:hAnsi="Verdana"/>
          <w:color w:val="404042"/>
          <w:spacing w:val="-6"/>
          <w:sz w:val="14"/>
        </w:rPr>
        <w:t>Shipley and Stubley (2018), p. 13.</w:t>
      </w:r>
    </w:p>
    <w:p w14:paraId="2DD31255" w14:textId="77777777" w:rsidR="009757A9" w:rsidRDefault="00083242">
      <w:pPr>
        <w:spacing w:line="201" w:lineRule="exact"/>
        <w:ind w:left="1080" w:right="1224" w:hanging="216"/>
        <w:textAlignment w:val="baseline"/>
        <w:rPr>
          <w:rFonts w:ascii="Tahoma" w:eastAsia="Tahoma" w:hAnsi="Tahoma"/>
          <w:color w:val="404042"/>
          <w:sz w:val="14"/>
        </w:rPr>
      </w:pPr>
      <w:r>
        <w:rPr>
          <w:rFonts w:ascii="Tahoma" w:eastAsia="Tahoma" w:hAnsi="Tahoma"/>
          <w:color w:val="404042"/>
          <w:sz w:val="14"/>
        </w:rPr>
        <w:t xml:space="preserve">70 National Centre for Vocational Education Research (2020a), </w:t>
      </w:r>
      <w:r>
        <w:rPr>
          <w:rFonts w:ascii="Arial" w:eastAsia="Arial" w:hAnsi="Arial"/>
          <w:i/>
          <w:color w:val="404042"/>
          <w:sz w:val="14"/>
        </w:rPr>
        <w:t>Longitudinal Surveys of Australian Youth (LSAY) Analysis: Literature review: Final report</w:t>
      </w:r>
      <w:r>
        <w:rPr>
          <w:rFonts w:ascii="Tahoma" w:eastAsia="Tahoma" w:hAnsi="Tahoma"/>
          <w:color w:val="404042"/>
          <w:sz w:val="14"/>
        </w:rPr>
        <w:t xml:space="preserve">, </w:t>
      </w:r>
      <w:r>
        <w:rPr>
          <w:rFonts w:ascii="Verdana" w:eastAsia="Verdana" w:hAnsi="Verdana"/>
          <w:color w:val="404042"/>
          <w:sz w:val="14"/>
        </w:rPr>
        <w:t>unpublished, February 2020, p. 8.</w:t>
      </w:r>
    </w:p>
    <w:p w14:paraId="15731EFF" w14:textId="77777777" w:rsidR="009757A9" w:rsidRDefault="00083242">
      <w:pPr>
        <w:spacing w:before="25" w:line="172" w:lineRule="exact"/>
        <w:ind w:left="864"/>
        <w:textAlignment w:val="baseline"/>
        <w:rPr>
          <w:rFonts w:ascii="Tahoma" w:eastAsia="Tahoma" w:hAnsi="Tahoma"/>
          <w:color w:val="404042"/>
          <w:spacing w:val="-5"/>
          <w:sz w:val="14"/>
        </w:rPr>
      </w:pPr>
      <w:r>
        <w:rPr>
          <w:rFonts w:ascii="Tahoma" w:eastAsia="Tahoma" w:hAnsi="Tahoma"/>
          <w:color w:val="404042"/>
          <w:spacing w:val="-5"/>
          <w:sz w:val="14"/>
        </w:rPr>
        <w:t xml:space="preserve">71 </w:t>
      </w:r>
      <w:r>
        <w:rPr>
          <w:rFonts w:ascii="Verdana" w:eastAsia="Verdana" w:hAnsi="Verdana"/>
          <w:color w:val="404042"/>
          <w:spacing w:val="-5"/>
          <w:sz w:val="14"/>
        </w:rPr>
        <w:t>Behavioural Insights Team (2020), p. 2–3.</w:t>
      </w:r>
    </w:p>
    <w:p w14:paraId="7C78E77D" w14:textId="5F9FCCA4" w:rsidR="009757A9" w:rsidRDefault="009B5D71">
      <w:pPr>
        <w:tabs>
          <w:tab w:val="left" w:pos="10872"/>
        </w:tabs>
        <w:spacing w:before="587" w:after="639" w:line="209" w:lineRule="exact"/>
        <w:ind w:left="7992"/>
        <w:textAlignment w:val="baseline"/>
        <w:rPr>
          <w:rFonts w:ascii="Tahoma" w:eastAsia="Tahoma" w:hAnsi="Tahoma"/>
          <w:color w:val="404042"/>
          <w:sz w:val="14"/>
        </w:rPr>
      </w:pPr>
      <w:r>
        <w:rPr>
          <w:noProof/>
          <w:lang w:val="en-AU" w:eastAsia="en-AU"/>
        </w:rPr>
        <w:drawing>
          <wp:anchor distT="0" distB="0" distL="114300" distR="114300" simplePos="0" relativeHeight="252058112" behindDoc="1" locked="0" layoutInCell="1" allowOverlap="1" wp14:anchorId="56B9AFA5" wp14:editId="0EFF4004">
            <wp:simplePos x="0" y="0"/>
            <wp:positionH relativeFrom="margin">
              <wp:align>right</wp:align>
            </wp:positionH>
            <wp:positionV relativeFrom="paragraph">
              <wp:posOffset>626745</wp:posOffset>
            </wp:positionV>
            <wp:extent cx="7562215" cy="438150"/>
            <wp:effectExtent l="0" t="0" r="635" b="0"/>
            <wp:wrapTight wrapText="bothSides">
              <wp:wrapPolygon edited="0">
                <wp:start x="0" y="0"/>
                <wp:lineTo x="0" y="20661"/>
                <wp:lineTo x="21547" y="20661"/>
                <wp:lineTo x="21547" y="0"/>
                <wp:lineTo x="0" y="0"/>
              </wp:wrapPolygon>
            </wp:wrapTight>
            <wp:docPr id="59" name="Picture"/>
            <wp:cNvGraphicFramePr/>
            <a:graphic xmlns:a="http://schemas.openxmlformats.org/drawingml/2006/main">
              <a:graphicData uri="http://schemas.openxmlformats.org/drawingml/2006/picture">
                <pic:pic xmlns:pic="http://schemas.openxmlformats.org/drawingml/2006/picture">
                  <pic:nvPicPr>
                    <pic:cNvPr id="98" name="Picture"/>
                    <pic:cNvPicPr preferRelativeResize="0"/>
                  </pic:nvPicPr>
                  <pic:blipFill>
                    <a:blip r:embed="rId107">
                      <a:extLst>
                        <a:ext uri="{28A0092B-C50C-407E-A947-70E740481C1C}">
                          <a14:useLocalDpi xmlns:a14="http://schemas.microsoft.com/office/drawing/2010/main" val="0"/>
                        </a:ext>
                      </a:extLst>
                    </a:blip>
                    <a:stretch>
                      <a:fillRect/>
                    </a:stretch>
                  </pic:blipFill>
                  <pic:spPr>
                    <a:xfrm>
                      <a:off x="0" y="0"/>
                      <a:ext cx="7562215" cy="438150"/>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2: Exercising informed choice</w:t>
      </w:r>
      <w:r w:rsidR="00083242">
        <w:rPr>
          <w:rFonts w:ascii="Arial" w:eastAsia="Arial" w:hAnsi="Arial"/>
          <w:b/>
          <w:color w:val="5556A1"/>
          <w:sz w:val="19"/>
        </w:rPr>
        <w:tab/>
        <w:t>63</w:t>
      </w:r>
    </w:p>
    <w:p w14:paraId="7EC96AAD" w14:textId="277036EC" w:rsidR="009757A9" w:rsidRDefault="009757A9" w:rsidP="009B5D71">
      <w:pPr>
        <w:tabs>
          <w:tab w:val="left" w:pos="750"/>
        </w:tabs>
        <w:sectPr w:rsidR="009757A9">
          <w:pgSz w:w="11909" w:h="16838"/>
          <w:pgMar w:top="1080" w:right="0" w:bottom="0" w:left="0" w:header="720" w:footer="720" w:gutter="0"/>
          <w:cols w:space="720"/>
        </w:sectPr>
      </w:pPr>
    </w:p>
    <w:p w14:paraId="100E732D" w14:textId="77777777" w:rsidR="009757A9" w:rsidRDefault="00083242">
      <w:pPr>
        <w:spacing w:before="15" w:after="475" w:line="240" w:lineRule="exact"/>
        <w:ind w:left="864" w:right="1008"/>
        <w:textAlignment w:val="baseline"/>
        <w:rPr>
          <w:rFonts w:ascii="Tahoma" w:eastAsia="Tahoma" w:hAnsi="Tahoma"/>
          <w:color w:val="404042"/>
          <w:sz w:val="18"/>
        </w:rPr>
      </w:pPr>
      <w:r>
        <w:rPr>
          <w:rFonts w:ascii="Tahoma" w:eastAsia="Tahoma" w:hAnsi="Tahoma"/>
          <w:color w:val="404042"/>
          <w:sz w:val="18"/>
        </w:rPr>
        <w:lastRenderedPageBreak/>
        <w:t>Results from a 2018 survey found that 49 per cent of students have a good to strong understanding of the university pathway, but only around 16 per cent of students have a good to strong understanding of other pathways such as VET, apprenticeships and traineeships.</w:t>
      </w:r>
      <w:r>
        <w:rPr>
          <w:rFonts w:ascii="Tahoma" w:eastAsia="Tahoma" w:hAnsi="Tahoma"/>
          <w:color w:val="404042"/>
          <w:sz w:val="18"/>
          <w:vertAlign w:val="superscript"/>
        </w:rPr>
        <w:t>72</w:t>
      </w:r>
      <w:r>
        <w:rPr>
          <w:rFonts w:ascii="Tahoma" w:eastAsia="Tahoma" w:hAnsi="Tahoma"/>
          <w:color w:val="404042"/>
          <w:sz w:val="18"/>
        </w:rPr>
        <w:t xml:space="preserve"> This asymmetrical access to information, combined with unconscious behavioural tendencies, helps to explain why so few students are attracted to apprenticeships, in spite of the fact that they often provide a good pathway to stable, well-paid employment and the opportunity to build their own small businesses.</w:t>
      </w:r>
    </w:p>
    <w:p w14:paraId="1565306F" w14:textId="77777777" w:rsidR="009757A9" w:rsidRDefault="000D2E34">
      <w:pPr>
        <w:spacing w:before="152" w:line="247" w:lineRule="exact"/>
        <w:ind w:left="1296"/>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76864" behindDoc="0" locked="0" layoutInCell="1" allowOverlap="1" wp14:anchorId="23621DCB" wp14:editId="061DC2AD">
                <wp:simplePos x="0" y="0"/>
                <wp:positionH relativeFrom="page">
                  <wp:posOffset>826135</wp:posOffset>
                </wp:positionH>
                <wp:positionV relativeFrom="page">
                  <wp:posOffset>1758950</wp:posOffset>
                </wp:positionV>
                <wp:extent cx="5907405" cy="0"/>
                <wp:effectExtent l="0" t="0" r="0" b="0"/>
                <wp:wrapNone/>
                <wp:docPr id="784"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14019" id="Line 505" o:spid="_x0000_s1026" style="position:absolute;z-index:25187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38.5pt" to="530.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Zz0QEAAIYDAAAOAAAAZHJzL2Uyb0RvYy54bWysU01v2zAMvQ/YfxB0X+x0SdMYcXpI1l2y&#10;LUDbH8BIcixMFgVJiZ1/P0r5WLfdil0ESiQfHx+pxePQGXZUPmi0NR+PSs6UFSi13df89eXp0wNn&#10;IYKVYNCqmp9U4I/Ljx8WvavUHbZopPKMQGyoelfzNkZXFUUQreogjNApS84GfQeRrn5fSA89oXem&#10;uCvL+6JHL51HoUKg1/XZyZcZv2mUiD+aJqjITM2JW8ynz+cuncVyAdXeg2u1uNCAd7DoQFsqeoNa&#10;QwR28PofqE4LjwGbOBLYFdg0WqjcA3UzLv/q5rkFp3IvJE5wN5nC/4MV349bz7Ss+exhwpmFjoa0&#10;0VaxaTlN6vQuVBS0sluf+hODfXYbFD8Ds7hqwe5VZvlycpQ4ThnFHynpEhzV2PXfUFIMHCJmqYbG&#10;dwmSRGBDnsjpNhE1RCbocTovZxMiwsTVV0B1TXQ+xK8KO5aMmhtinYHhuAkxEYHqGpLqWHzSxuSB&#10;G8v6mt9/npY5IaDRMjlTWPD73cp4doS0MuVsPp/krsjzNiwhryG057jsOi+Tx4OVuUqrQH652BG0&#10;OdvEytiLSkmYs8Q7lKetv6pHw870L4uZtuntPWf//j7LXwAAAP//AwBQSwMEFAAGAAgAAAAhAJUJ&#10;YjHcAAAADAEAAA8AAABkcnMvZG93bnJldi54bWxMj8FOwzAQRO9I/IO1SNyo3QItCnEqVNRTL9Ai&#10;cd3GSxKI11Hspunfs5WQynFmn2Zn8uXoWzVQH5vAFqYTA4q4DK7hysLHbn33BComZIdtYLJwogjL&#10;4voqx8yFI7/TsE2VkhCOGVqoU+oyrWNZk8c4CR2x3L5C7zGJ7CvtejxKuG/1zJi59tiwfKixo1VN&#10;5c/24C2s0eze3GYTvuPn42mFSbtXGqy9vRlfnkElGtMFhnN9qQ6FdNqHA7uoWtH3ZiqohdliIaPO&#10;hJmbB1D7P0sXuf4/ovgFAAD//wMAUEsBAi0AFAAGAAgAAAAhALaDOJL+AAAA4QEAABMAAAAAAAAA&#10;AAAAAAAAAAAAAFtDb250ZW50X1R5cGVzXS54bWxQSwECLQAUAAYACAAAACEAOP0h/9YAAACUAQAA&#10;CwAAAAAAAAAAAAAAAAAvAQAAX3JlbHMvLnJlbHNQSwECLQAUAAYACAAAACEAQ832c9EBAACGAwAA&#10;DgAAAAAAAAAAAAAAAAAuAgAAZHJzL2Uyb0RvYy54bWxQSwECLQAUAAYACAAAACEAlQliM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“Despite a growth in the variety of jobs available, many young people are still not aware of the</w:t>
      </w:r>
    </w:p>
    <w:p w14:paraId="65FFD6CF" w14:textId="77777777" w:rsidR="009757A9" w:rsidRDefault="00083242">
      <w:pPr>
        <w:spacing w:before="56" w:line="242"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options available or what this means for them.”</w:t>
      </w:r>
    </w:p>
    <w:p w14:paraId="22E09DCA" w14:textId="77777777" w:rsidR="009757A9" w:rsidRDefault="00083242">
      <w:pPr>
        <w:spacing w:before="55" w:after="230" w:line="242" w:lineRule="exact"/>
        <w:ind w:left="4608"/>
        <w:textAlignment w:val="baseline"/>
        <w:rPr>
          <w:rFonts w:ascii="Tahoma" w:eastAsia="Tahoma" w:hAnsi="Tahoma"/>
          <w:i/>
          <w:color w:val="007994"/>
          <w:spacing w:val="2"/>
          <w:sz w:val="21"/>
        </w:rPr>
      </w:pPr>
      <w:r>
        <w:rPr>
          <w:rFonts w:ascii="Tahoma" w:eastAsia="Tahoma" w:hAnsi="Tahoma"/>
          <w:i/>
          <w:color w:val="007994"/>
          <w:spacing w:val="2"/>
          <w:sz w:val="21"/>
        </w:rPr>
        <w:t>South Australian Commissioner for Children and Young People</w:t>
      </w:r>
    </w:p>
    <w:p w14:paraId="1E121904" w14:textId="77777777" w:rsidR="009757A9" w:rsidRDefault="000D2E34">
      <w:pPr>
        <w:spacing w:before="336" w:line="240" w:lineRule="exact"/>
        <w:ind w:left="864" w:right="1368"/>
        <w:textAlignment w:val="baseline"/>
        <w:rPr>
          <w:rFonts w:ascii="Tahoma" w:eastAsia="Tahoma" w:hAnsi="Tahoma"/>
          <w:color w:val="404042"/>
          <w:spacing w:val="3"/>
          <w:sz w:val="18"/>
        </w:rPr>
      </w:pPr>
      <w:r>
        <w:rPr>
          <w:noProof/>
          <w:lang w:val="en-AU" w:eastAsia="en-AU"/>
        </w:rPr>
        <mc:AlternateContent>
          <mc:Choice Requires="wps">
            <w:drawing>
              <wp:anchor distT="0" distB="0" distL="114300" distR="114300" simplePos="0" relativeHeight="251877888" behindDoc="0" locked="0" layoutInCell="1" allowOverlap="1" wp14:anchorId="3EC216BA" wp14:editId="36EEBA08">
                <wp:simplePos x="0" y="0"/>
                <wp:positionH relativeFrom="page">
                  <wp:posOffset>826135</wp:posOffset>
                </wp:positionH>
                <wp:positionV relativeFrom="page">
                  <wp:posOffset>2538730</wp:posOffset>
                </wp:positionV>
                <wp:extent cx="5907405" cy="0"/>
                <wp:effectExtent l="0" t="0" r="0" b="0"/>
                <wp:wrapNone/>
                <wp:docPr id="783" name="Lin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449AD" id="Line 504" o:spid="_x0000_s1026" style="position:absolute;z-index:25187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99.9pt" to="530.2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ut0AEAAIYDAAAOAAAAZHJzL2Uyb0RvYy54bWysU8Fu2zAMvQ/YPwi6L3bapmmMOD0k6y7Z&#10;FqDdBzCSbAuTREFSYufvJ8lJum63oheBEsnHx0dq+ThoRY7CeYmmptNJSYkwDLk0bU1/vTx9eaDE&#10;BzAcFBpR05Pw9HH1+dOyt5W4wQ4VF45EEOOr3ta0C8FWReFZJzT4CVphorNBpyHEq2sL7qCP6FoV&#10;N2V5X/TouHXIhPfxdTM66SrjN41g4WfTeBGIqmnkFvLp8rlPZ7FaQtU6sJ1kZxrwDhYapIlFr1Ab&#10;CEAOTv4HpSVz6LEJE4a6wKaRTOQeYjfT8p9unjuwIvcSxfH2KpP/OFj247hzRPKazh9uKTGg45C2&#10;0ggyK++SOr31VQxam51L/bHBPNstst+eGFx3YFqRWb6cbEycpoziTUq6eBtr7PvvyGMMHAJmqYbG&#10;6QQZRSBDnsjpOhExBMLi42xRzu/KGSXs4iuguiRa58M3gZoko6Yqss7AcNz6kIhAdQlJdQw+SaXy&#10;wJUhfU3vb2dlTvCoJE/OFOZdu18rR46QVqacLxZZhwj2Jiwhb8B3Y1x2jcvk8GB4rtIJ4F/PdgCp&#10;RjsCKXNWKQkzSrxHftq5i3px2Jn+eTHTNv19z9mv32f1BwAA//8DAFBLAwQUAAYACAAAACEA49U8&#10;8NwAAAAMAQAADwAAAGRycy9kb3ducmV2LnhtbEyPwU7DMBBE70j8g7VI3KhdChUNcSpU1FMv0CJx&#10;3cZLEojXUeym6d+zlZDKcWafZmfy5ehbNVAfm8AWphMDirgMruHKwsduffcEKiZkh21gsnCiCMvi&#10;+irHzIUjv9OwTZWSEI4ZWqhT6jKtY1mTxzgJHbHcvkLvMYnsK+16PEq4b/W9MXPtsWH5UGNHq5rK&#10;n+3BW1ij2b25zSZ8x8/H0wqTdq80WHt7M748g0o0pgsM5/pSHQrptA8HdlG1omdmKqiF2WIhG86E&#10;mZsHUPs/Sxe5/j+i+AUAAP//AwBQSwECLQAUAAYACAAAACEAtoM4kv4AAADhAQAAEwAAAAAAAAAA&#10;AAAAAAAAAAAAW0NvbnRlbnRfVHlwZXNdLnhtbFBLAQItABQABgAIAAAAIQA4/SH/1gAAAJQBAAAL&#10;AAAAAAAAAAAAAAAAAC8BAABfcmVscy8ucmVsc1BLAQItABQABgAIAAAAIQCMKLut0AEAAIYDAAAO&#10;AAAAAAAAAAAAAAAAAC4CAABkcnMvZTJvRG9jLnhtbFBLAQItABQABgAIAAAAIQDj1Tzw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pacing w:val="3"/>
          <w:sz w:val="18"/>
        </w:rPr>
        <w:t>While fewer school students hold aspirations for VET than for university, there is actually a higher interest in VET-related jobs than in VET post-school pathways. This indicates a misalignment between students’ occupational interests and their educational aspirations. It suggests a lack of understanding about the workplace value of vocational education.</w:t>
      </w:r>
      <w:r w:rsidR="00083242">
        <w:rPr>
          <w:rFonts w:ascii="Tahoma" w:eastAsia="Tahoma" w:hAnsi="Tahoma"/>
          <w:color w:val="404042"/>
          <w:spacing w:val="3"/>
          <w:sz w:val="18"/>
          <w:vertAlign w:val="superscript"/>
        </w:rPr>
        <w:t>73</w:t>
      </w:r>
      <w:r w:rsidR="00083242">
        <w:rPr>
          <w:rFonts w:ascii="Tahoma" w:eastAsia="Tahoma" w:hAnsi="Tahoma"/>
          <w:color w:val="404042"/>
          <w:spacing w:val="3"/>
          <w:sz w:val="11"/>
        </w:rPr>
        <w:t xml:space="preserve"> </w:t>
      </w:r>
    </w:p>
    <w:p w14:paraId="37565EA2" w14:textId="77777777" w:rsidR="009757A9" w:rsidRDefault="00083242">
      <w:pPr>
        <w:spacing w:before="150" w:line="240" w:lineRule="exact"/>
        <w:ind w:left="864" w:right="864"/>
        <w:textAlignment w:val="baseline"/>
        <w:rPr>
          <w:rFonts w:ascii="Tahoma" w:eastAsia="Tahoma" w:hAnsi="Tahoma"/>
          <w:color w:val="404042"/>
          <w:spacing w:val="3"/>
          <w:sz w:val="18"/>
        </w:rPr>
      </w:pPr>
      <w:r>
        <w:rPr>
          <w:rFonts w:ascii="Tahoma" w:eastAsia="Tahoma" w:hAnsi="Tahoma"/>
          <w:color w:val="404042"/>
          <w:spacing w:val="3"/>
          <w:sz w:val="18"/>
        </w:rPr>
        <w:t xml:space="preserve">It is clear to the Panel from talking to senior secondary students that for many of them, university is an exciting </w:t>
      </w:r>
      <w:r>
        <w:rPr>
          <w:rFonts w:ascii="Verdana" w:eastAsia="Verdana" w:hAnsi="Verdana"/>
          <w:color w:val="404042"/>
          <w:spacing w:val="3"/>
          <w:sz w:val="17"/>
        </w:rPr>
        <w:t xml:space="preserve">destination. It offers freedom and, for some, a chance to leave home. They know that in general, graduation offers better career outcomes. Far more needs to be done to promote the comparative benefits of traineeships, such as being </w:t>
      </w:r>
      <w:r>
        <w:rPr>
          <w:rFonts w:ascii="Tahoma" w:eastAsia="Tahoma" w:hAnsi="Tahoma"/>
          <w:color w:val="404042"/>
          <w:spacing w:val="3"/>
          <w:sz w:val="18"/>
        </w:rPr>
        <w:t>part of a team, accumulating no income-contingent debt and having the opportunities to set up as an independent contractor or small business at a relatively young age. Guidance on career choices needs to incorporate greater understanding of the behavioural psychology of how people make decisions.</w:t>
      </w:r>
    </w:p>
    <w:p w14:paraId="07793ED4" w14:textId="77777777" w:rsidR="009757A9" w:rsidRDefault="00083242">
      <w:pPr>
        <w:spacing w:before="173" w:line="240" w:lineRule="exact"/>
        <w:ind w:left="864" w:right="936"/>
        <w:textAlignment w:val="baseline"/>
        <w:rPr>
          <w:rFonts w:ascii="Verdana" w:eastAsia="Verdana" w:hAnsi="Verdana"/>
          <w:color w:val="404042"/>
          <w:spacing w:val="3"/>
          <w:sz w:val="17"/>
        </w:rPr>
      </w:pPr>
      <w:r>
        <w:rPr>
          <w:rFonts w:ascii="Verdana" w:eastAsia="Verdana" w:hAnsi="Verdana"/>
          <w:color w:val="404042"/>
          <w:spacing w:val="3"/>
          <w:sz w:val="17"/>
        </w:rPr>
        <w:t xml:space="preserve">Let us be clear. University pathways do offer advantages in terms of salary and labour market outcomes. Students who </w:t>
      </w:r>
      <w:r>
        <w:rPr>
          <w:rFonts w:ascii="Tahoma" w:eastAsia="Tahoma" w:hAnsi="Tahoma"/>
          <w:color w:val="404042"/>
          <w:spacing w:val="3"/>
          <w:sz w:val="18"/>
        </w:rPr>
        <w:t>aspire to university should be encouraged and supported to pursue their goal. A university pathway, however, will not suit all young people as they leave school, although many will see the value of acquiring a degree later in their lives. Nor will university education meet all the needs of Australia’s economy. Research suggests that although two-thirds of students have aspirations of a professional or paraprofessional occupation by age 30, these types of positions only represent a third of available job opportunities.</w:t>
      </w:r>
      <w:r>
        <w:rPr>
          <w:rFonts w:ascii="Tahoma" w:eastAsia="Tahoma" w:hAnsi="Tahoma"/>
          <w:color w:val="404042"/>
          <w:spacing w:val="3"/>
          <w:sz w:val="18"/>
          <w:vertAlign w:val="superscript"/>
        </w:rPr>
        <w:t>74</w:t>
      </w:r>
      <w:r>
        <w:rPr>
          <w:rFonts w:ascii="Tahoma" w:eastAsia="Tahoma" w:hAnsi="Tahoma"/>
          <w:color w:val="404042"/>
          <w:spacing w:val="3"/>
          <w:sz w:val="18"/>
        </w:rPr>
        <w:t xml:space="preserve"> This helps to explain why so many graduates later undertake vocational courses provided by TAFEs and other registered training organisations.</w:t>
      </w:r>
    </w:p>
    <w:p w14:paraId="516BF38D" w14:textId="77777777" w:rsidR="009757A9" w:rsidRDefault="00083242">
      <w:pPr>
        <w:spacing w:before="168" w:after="485" w:line="240" w:lineRule="exact"/>
        <w:ind w:left="864" w:right="936"/>
        <w:textAlignment w:val="baseline"/>
        <w:rPr>
          <w:rFonts w:ascii="Tahoma" w:eastAsia="Tahoma" w:hAnsi="Tahoma"/>
          <w:color w:val="404042"/>
          <w:sz w:val="18"/>
        </w:rPr>
      </w:pPr>
      <w:r>
        <w:rPr>
          <w:rFonts w:ascii="Tahoma" w:eastAsia="Tahoma" w:hAnsi="Tahoma"/>
          <w:color w:val="404042"/>
          <w:sz w:val="18"/>
        </w:rPr>
        <w:t>Just as VET pathways should not be seen as a lesser option, university pathways should not be seen as out of reach for disadvantaged students. Research shows that:</w:t>
      </w:r>
    </w:p>
    <w:p w14:paraId="356B4C54" w14:textId="77777777" w:rsidR="009757A9" w:rsidRDefault="000D2E34">
      <w:pPr>
        <w:spacing w:before="119" w:after="201" w:line="300" w:lineRule="exact"/>
        <w:ind w:left="1296" w:right="1728"/>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78912" behindDoc="0" locked="0" layoutInCell="1" allowOverlap="1" wp14:anchorId="7F63A449" wp14:editId="2CA28D7D">
                <wp:simplePos x="0" y="0"/>
                <wp:positionH relativeFrom="page">
                  <wp:posOffset>826135</wp:posOffset>
                </wp:positionH>
                <wp:positionV relativeFrom="page">
                  <wp:posOffset>6269990</wp:posOffset>
                </wp:positionV>
                <wp:extent cx="5907405" cy="0"/>
                <wp:effectExtent l="0" t="0" r="0" b="0"/>
                <wp:wrapNone/>
                <wp:docPr id="782" name="Lin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FE326" id="Line 503" o:spid="_x0000_s1026" style="position:absolute;z-index:25187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93.7pt" to="530.2pt,4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rU0QEAAIYDAAAOAAAAZHJzL2Uyb0RvYy54bWysU8Fu2zAMvQ/YPwi6L3bSpmmMOD0k6y7Z&#10;FqDdBzCSbAuTREFSYufvJ8lJ2m23YReBEsnHx0dq9TRoRU7CeYmmptNJSYkwDLk0bU1/vD5/eqTE&#10;BzAcFBpR07Pw9Gn98cOqt5WYYYeKC0ciiPFVb2vahWCrovCsExr8BK0w0dmg0xDi1bUFd9BHdK2K&#10;WVk+FD06bh0y4X183Y5Ous74TSNY+N40XgSiahq5hXy6fB7SWaxXULUObCfZhQb8AwsN0sSiN6gt&#10;BCBHJ/+C0pI59NiECUNdYNNIJnIPsZtp+Uc3Lx1YkXuJ4nh7k8n/P1j27bR3RPKaLh5nlBjQcUg7&#10;aQSZl3dJnd76KgZtzN6l/thgXuwO2U9PDG46MK3ILF/PNiZOU0bxW0q6eBtrHPqvyGMMHANmqYbG&#10;6QQZRSBDnsj5NhExBMLi43xZLu7LOSXs6iuguiZa58MXgZoko6Yqss7AcNr5kIhAdQ1JdQw+S6Xy&#10;wJUhfU0f7uZlTvCoJE/OFOZde9goR06QVqZcLJf3uavoeR+WkLfguzEuu8Zlcng0PFfpBPDPFzuA&#10;VKMdWSlzUSkJM0p8QH7eu6t6cdiZ/mUx0za9v+fst++z/gUAAP//AwBQSwMEFAAGAAgAAAAhAFSk&#10;6wHdAAAADAEAAA8AAABkcnMvZG93bnJldi54bWxMj09PwzAMxe9IfIfISNxYMv6MUZpOaGinXdiG&#10;xNVrTFtonKrJuu7b40lIcPOzn55/L1+MvlUD9bEJbGE6MaCIy+Aariy871Y3c1AxITtsA5OFE0VY&#10;FJcXOWYuHHlDwzZVSkI4ZmihTqnLtI5lTR7jJHTEcvsMvccksq+06/Eo4b7Vt8bMtMeG5UONHS1r&#10;Kr+3B29hhWb35tbr8BU/Hk5LTNq90mDt9dX48gwq0Zj+zHDGF3QohGkfDuyiakXfmalYLTzNH+9B&#10;nR1mZmTa/650kev/JYofAAAA//8DAFBLAQItABQABgAIAAAAIQC2gziS/gAAAOEBAAATAAAAAAAA&#10;AAAAAAAAAAAAAABbQ29udGVudF9UeXBlc10ueG1sUEsBAi0AFAAGAAgAAAAhADj9If/WAAAAlAEA&#10;AAsAAAAAAAAAAAAAAAAALwEAAF9yZWxzLy5yZWxzUEsBAi0AFAAGAAgAAAAhAO9oKtTRAQAAhgMA&#10;AA4AAAAAAAAAAAAAAAAALgIAAGRycy9lMm9Eb2MueG1sUEsBAi0AFAAGAAgAAAAhAFSk6wHdAAAA&#10;DAEAAA8AAAAAAAAAAAAAAAAAKwQAAGRycy9kb3ducmV2LnhtbFBLBQYAAAAABAAEAPMAAAA1BQAA&#10;AAA=&#10;" strokecolor="#007994" strokeweight=".5pt">
                <w10:wrap anchorx="page" anchory="page"/>
              </v:line>
            </w:pict>
          </mc:Fallback>
        </mc:AlternateContent>
      </w:r>
      <w:r w:rsidR="00083242">
        <w:rPr>
          <w:rFonts w:ascii="Tahoma" w:eastAsia="Tahoma" w:hAnsi="Tahoma"/>
          <w:i/>
          <w:color w:val="007994"/>
          <w:sz w:val="21"/>
        </w:rPr>
        <w:t>students with parents that expected university attendance, [who] had friends intending to complete university, and who experience positive student–teacher relations had a 90 per cent probability of planning to attend university ...</w:t>
      </w:r>
      <w:r w:rsidR="00083242">
        <w:rPr>
          <w:rFonts w:ascii="Tahoma" w:eastAsia="Tahoma" w:hAnsi="Tahoma"/>
          <w:i/>
          <w:color w:val="007994"/>
          <w:sz w:val="21"/>
          <w:vertAlign w:val="superscript"/>
        </w:rPr>
        <w:t>75</w:t>
      </w:r>
      <w:r w:rsidR="00083242">
        <w:rPr>
          <w:rFonts w:ascii="Tahoma" w:eastAsia="Tahoma" w:hAnsi="Tahoma"/>
          <w:i/>
          <w:color w:val="007994"/>
          <w:sz w:val="13"/>
        </w:rPr>
        <w:t xml:space="preserve"> </w:t>
      </w:r>
    </w:p>
    <w:p w14:paraId="705BFFC4" w14:textId="77777777" w:rsidR="009757A9" w:rsidRDefault="000D2E34">
      <w:pPr>
        <w:spacing w:before="414" w:after="658" w:line="240" w:lineRule="exact"/>
        <w:ind w:left="864" w:right="864"/>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879936" behindDoc="0" locked="0" layoutInCell="1" allowOverlap="1" wp14:anchorId="731ACFBF" wp14:editId="66A0BC55">
                <wp:simplePos x="0" y="0"/>
                <wp:positionH relativeFrom="page">
                  <wp:posOffset>826135</wp:posOffset>
                </wp:positionH>
                <wp:positionV relativeFrom="page">
                  <wp:posOffset>7049770</wp:posOffset>
                </wp:positionV>
                <wp:extent cx="5907405" cy="0"/>
                <wp:effectExtent l="0" t="0" r="0" b="0"/>
                <wp:wrapNone/>
                <wp:docPr id="781" name="Lin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F5D67" id="Line 502" o:spid="_x0000_s1026" style="position:absolute;z-index:25187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55.1pt" to="530.2pt,5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1IJ0QEAAIYDAAAOAAAAZHJzL2Uyb0RvYy54bWysU8Fu2zAMvQ/YPwi6L3aypmmMOD0k6y7Z&#10;FqDtBzCSbAuTREFSYufvJ8lJ1m23YheBEsnHx0dq9ThoRU7CeYmmptNJSYkwDLk0bU1fX54+PVDi&#10;AxgOCo2o6Vl4+rj++GHV20rMsEPFhSMRxPiqtzXtQrBVUXjWCQ1+glaY6GzQaQjx6tqCO+gjulbF&#10;rCzvix4dtw6Z8D6+bkcnXWf8phEs/GgaLwJRNY3cQj5dPg/pLNYrqFoHtpPsQgPewUKDNLHoDWoL&#10;AcjRyX+gtGQOPTZhwlAX2DSSidxD7GZa/tXNcwdW5F6iON7eZPL/D5Z9P+0dkbymi4cpJQZ0HNJO&#10;GkHm5Syp01tfxaCN2bvUHxvMs90h++mJwU0HphWZ5cvZxsRpyij+SEkXb2ONQ/8NeYyBY8As1dA4&#10;nSCjCGTIEznfJiKGQFh8nC/LxV05p4RdfQVU10TrfPgqUJNk1FRF1hkYTjsfEhGoriGpjsEnqVQe&#10;uDKkr+n953mZEzwqyZMzhXnXHjbKkROklSkXy+Vd7ip63oYl5C34bozLrnGZHB4Nz1U6AfzLxQ4g&#10;1WhHVspcVErCjBIfkJ/37qpeHHamf1nMtE1v7zn79/dZ/wIAAP//AwBQSwMEFAAGAAgAAAAhAHVI&#10;d5LcAAAADgEAAA8AAABkcnMvZG93bnJldi54bWxMj0FPwzAMhe9I/IfISNxY0gETKk0nNLTTLrAh&#10;cfUa0xYap2qyrvv3eAfEbn720/P3iuXkOzXSENvAFrKZAUVcBddybeFjt757AhUTssMuMFk4UYRl&#10;eX1VYO7Ckd9p3KZaSQjHHC00KfW51rFqyGOchZ5Ybl9h8JhEDrV2Ax4l3Hd6bsxCe2xZPjTY06qh&#10;6md78BbWaHZvbrMJ3/Hz8bTCpN0rjdbe3kwvz6ASTenfDGd8QYdSmPbhwC6qTvS9ycQqQ5aZOaiz&#10;xSzMA6j9306Xhb6sUf4CAAD//wMAUEsBAi0AFAAGAAgAAAAhALaDOJL+AAAA4QEAABMAAAAAAAAA&#10;AAAAAAAAAAAAAFtDb250ZW50X1R5cGVzXS54bWxQSwECLQAUAAYACAAAACEAOP0h/9YAAACUAQAA&#10;CwAAAAAAAAAAAAAAAAAvAQAAX3JlbHMvLnJlbHNQSwECLQAUAAYACAAAACEASRdSCdEBAACGAwAA&#10;DgAAAAAAAAAAAAAAAAAuAgAAZHJzL2Uyb0RvYy54bWxQSwECLQAUAAYACAAAACEAdUh3ktwAAAAO&#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5"/>
          <w:sz w:val="18"/>
        </w:rPr>
        <w:t>Students in priority equity cohorts do not lack capability: the evidence is clear that disadvantaged students who are able to overcome barriers to participation demonstrate that they are just as capable of succeeding in their chosen pathways as other students. But they need guidance that conveys to them that all opportunities can be accessed and that, if they choose a non-university pathway, it is not an admission of educational failure. Well-informed career advice, based on labour market outcomes, will allow all students to make informed choices about the pathway that best suits their skills, passions and aspirations.</w:t>
      </w:r>
    </w:p>
    <w:p w14:paraId="146FE676" w14:textId="77777777" w:rsidR="009757A9" w:rsidRDefault="000D2E34">
      <w:pPr>
        <w:spacing w:before="79" w:line="167" w:lineRule="exact"/>
        <w:ind w:left="864"/>
        <w:textAlignment w:val="baseline"/>
        <w:rPr>
          <w:rFonts w:ascii="Verdana" w:eastAsia="Verdana" w:hAnsi="Verdana"/>
          <w:color w:val="404042"/>
          <w:spacing w:val="-7"/>
          <w:sz w:val="14"/>
        </w:rPr>
      </w:pPr>
      <w:r>
        <w:rPr>
          <w:noProof/>
          <w:lang w:val="en-AU" w:eastAsia="en-AU"/>
        </w:rPr>
        <mc:AlternateContent>
          <mc:Choice Requires="wps">
            <w:drawing>
              <wp:anchor distT="0" distB="0" distL="114300" distR="114300" simplePos="0" relativeHeight="251880960" behindDoc="0" locked="0" layoutInCell="1" allowOverlap="1" wp14:anchorId="3F660316" wp14:editId="479146A6">
                <wp:simplePos x="0" y="0"/>
                <wp:positionH relativeFrom="page">
                  <wp:posOffset>539750</wp:posOffset>
                </wp:positionH>
                <wp:positionV relativeFrom="page">
                  <wp:posOffset>8653145</wp:posOffset>
                </wp:positionV>
                <wp:extent cx="917575" cy="0"/>
                <wp:effectExtent l="0" t="0" r="0" b="0"/>
                <wp:wrapNone/>
                <wp:docPr id="780" name="Lin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419CE" id="Line 501" o:spid="_x0000_s1026" style="position:absolute;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81.35pt" to="114.75pt,6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eazQEAAIYDAAAOAAAAZHJzL2Uyb0RvYy54bWysU8Fu2zAMvQ/YPwi6L3YCpOmMOD0k6y7Z&#10;FqDdBzCSbAuTRUFSYufvR8lJtm63YT4Iovj4SD7S66exN+ysfNBoaz6flZwpK1Bq29b8++vzh0fO&#10;QgQrwaBVNb+owJ8279+tB1epBXZopPKMSGyoBlfzLkZXFUUQneohzNApS84GfQ+RTN8W0sNA7L0p&#10;FmX5UAzopfMoVAj0upucfJP5m0aJ+K1pgorM1Jxqi/n0+Tyms9isoWo9uE6LaxnwD1X0oC0lvVPt&#10;IAI7ef0XVa+Fx4BNnAnsC2waLVTugbqZl39089KBU7kXEie4u0zh/9GKr+eDZ1rWfPVI+ljoaUh7&#10;bRVblvOkzuBCRaCtPfjUnxjti9uj+BGYxW0HtlW5yteLo8AcUbwJSUZwlOM4fEFJGDhFzFKNje8T&#10;JYnAxjyRy30iaoxM0OPH+Wq5WnImbq4Cqluc8yF+VtizdKm5oaIzL5z3IVLlBL1BUhqLz9qYPG9j&#10;2UDFLsqHZY4IaLRM3oQLvj1ujWdnSCuTv6QDsb2BJeodhG7CZde0TB5PVuY0nQL56XqPoM10JyJj&#10;ie8mzCTxEeXl4FOe9E7Dzhmvi5m26Xc7o379PpufAAAA//8DAFBLAwQUAAYACAAAACEAwVH7qd8A&#10;AAAMAQAADwAAAGRycy9kb3ducmV2LnhtbEyPwU7DMBBE70j8g7VIXBB1CG0JIU6FKsENBAVEj9t4&#10;SSLidRS7Tfh7lgOC486OZt4Uq8l16kBDaD0buJgloIgrb1uuDby+3J1noEJEtth5JgNfFGBVHh8V&#10;mFs/8jMdNrFWEsIhRwNNjH2udagachhmvieW34cfHEY5h1rbAUcJd51Ok2SpHbYsDQ32tG6o+tzs&#10;nQGtk2w+vb2PD/OzkLXbdb29f3wy5vRkur0BFWmKf2b4wRd0KIVp5/dsg+oMZAuZEkW/XKZXoMSR&#10;ptcLULtfSZeF/j+i/AYAAP//AwBQSwECLQAUAAYACAAAACEAtoM4kv4AAADhAQAAEwAAAAAAAAAA&#10;AAAAAAAAAAAAW0NvbnRlbnRfVHlwZXNdLnhtbFBLAQItABQABgAIAAAAIQA4/SH/1gAAAJQBAAAL&#10;AAAAAAAAAAAAAAAAAC8BAABfcmVscy8ucmVsc1BLAQItABQABgAIAAAAIQCCKxeazQEAAIYDAAAO&#10;AAAAAAAAAAAAAAAAAC4CAABkcnMvZTJvRG9jLnhtbFBLAQItABQABgAIAAAAIQDBUfup3wAAAAwB&#10;AAAPAAAAAAAAAAAAAAAAACcEAABkcnMvZG93bnJldi54bWxQSwUGAAAAAAQABADzAAAAMwUAAAAA&#10;" strokeweight=".95pt">
                <w10:wrap anchorx="page" anchory="page"/>
              </v:line>
            </w:pict>
          </mc:Fallback>
        </mc:AlternateContent>
      </w:r>
      <w:r w:rsidR="00083242">
        <w:rPr>
          <w:rFonts w:ascii="Verdana" w:eastAsia="Verdana" w:hAnsi="Verdana"/>
          <w:color w:val="404042"/>
          <w:spacing w:val="-7"/>
          <w:sz w:val="14"/>
        </w:rPr>
        <w:t>72 Shipley and Stubley (2018), p. 38.</w:t>
      </w:r>
    </w:p>
    <w:p w14:paraId="23E8F1D8" w14:textId="77777777" w:rsidR="009757A9" w:rsidRDefault="00083242">
      <w:pPr>
        <w:spacing w:before="2" w:line="201" w:lineRule="exact"/>
        <w:ind w:left="1080" w:right="864" w:hanging="216"/>
        <w:textAlignment w:val="baseline"/>
        <w:rPr>
          <w:rFonts w:ascii="Tahoma" w:eastAsia="Tahoma" w:hAnsi="Tahoma"/>
          <w:color w:val="404042"/>
          <w:sz w:val="14"/>
        </w:rPr>
      </w:pPr>
      <w:r>
        <w:rPr>
          <w:rFonts w:ascii="Tahoma" w:eastAsia="Tahoma" w:hAnsi="Tahoma"/>
          <w:color w:val="404042"/>
          <w:sz w:val="14"/>
        </w:rPr>
        <w:t xml:space="preserve">73 Hargreaves, J. and Osborne, K. (2017), </w:t>
      </w:r>
      <w:r>
        <w:rPr>
          <w:rFonts w:ascii="Arial" w:eastAsia="Arial" w:hAnsi="Arial"/>
          <w:i/>
          <w:color w:val="404042"/>
          <w:sz w:val="14"/>
        </w:rPr>
        <w:t>Choosing VET: Aspirations, intentions and choice</w:t>
      </w:r>
      <w:r>
        <w:rPr>
          <w:rFonts w:ascii="Verdana" w:eastAsia="Verdana" w:hAnsi="Verdana"/>
          <w:color w:val="404042"/>
          <w:sz w:val="14"/>
        </w:rPr>
        <w:t xml:space="preserve">, National Centre for Vocational Education Research, p. 2, </w:t>
      </w:r>
      <w:hyperlink r:id="rId145">
        <w:r>
          <w:rPr>
            <w:rFonts w:ascii="Tahoma" w:eastAsia="Tahoma" w:hAnsi="Tahoma"/>
            <w:color w:val="0000FF"/>
            <w:sz w:val="14"/>
            <w:u w:val="single"/>
          </w:rPr>
          <w:t xml:space="preserve">https:// </w:t>
        </w:r>
      </w:hyperlink>
      <w:r>
        <w:rPr>
          <w:rFonts w:ascii="Verdana" w:eastAsia="Verdana" w:hAnsi="Verdana"/>
          <w:color w:val="0000FF"/>
          <w:sz w:val="14"/>
          <w:u w:val="single"/>
        </w:rPr>
        <w:t>www.ncver.edu.au/__data/assets/pdf_file/0024/1142691/Choosing</w:t>
      </w:r>
      <w:r>
        <w:rPr>
          <w:rFonts w:ascii="Tahoma" w:eastAsia="Tahoma" w:hAnsi="Tahoma"/>
          <w:color w:val="0000FF"/>
          <w:sz w:val="14"/>
          <w:u w:val="single"/>
        </w:rPr>
        <w:t>-VET-aspirations-intentions-and-choice.pdf</w:t>
      </w:r>
      <w:r>
        <w:rPr>
          <w:rFonts w:ascii="Tahoma" w:eastAsia="Tahoma" w:hAnsi="Tahoma"/>
          <w:color w:val="404042"/>
          <w:sz w:val="14"/>
        </w:rPr>
        <w:t>.</w:t>
      </w:r>
    </w:p>
    <w:p w14:paraId="3A92AF0E" w14:textId="77777777" w:rsidR="009757A9" w:rsidRDefault="00083242">
      <w:pPr>
        <w:spacing w:before="29" w:line="167" w:lineRule="exact"/>
        <w:ind w:left="864"/>
        <w:textAlignment w:val="baseline"/>
        <w:rPr>
          <w:rFonts w:ascii="Verdana" w:eastAsia="Verdana" w:hAnsi="Verdana"/>
          <w:color w:val="404042"/>
          <w:spacing w:val="-4"/>
          <w:sz w:val="14"/>
        </w:rPr>
      </w:pPr>
      <w:r>
        <w:rPr>
          <w:rFonts w:ascii="Verdana" w:eastAsia="Verdana" w:hAnsi="Verdana"/>
          <w:color w:val="404042"/>
          <w:spacing w:val="-4"/>
          <w:sz w:val="14"/>
        </w:rPr>
        <w:t>74 National Centre for Vocational Education Research (2020a), p. 10.</w:t>
      </w:r>
    </w:p>
    <w:p w14:paraId="28527FC8" w14:textId="77777777" w:rsidR="009757A9" w:rsidRDefault="00083242">
      <w:pPr>
        <w:spacing w:before="31" w:line="166" w:lineRule="exact"/>
        <w:ind w:left="864"/>
        <w:textAlignment w:val="baseline"/>
        <w:rPr>
          <w:rFonts w:ascii="Tahoma" w:eastAsia="Tahoma" w:hAnsi="Tahoma"/>
          <w:color w:val="404042"/>
          <w:spacing w:val="1"/>
          <w:sz w:val="14"/>
        </w:rPr>
      </w:pPr>
      <w:r>
        <w:rPr>
          <w:rFonts w:ascii="Tahoma" w:eastAsia="Tahoma" w:hAnsi="Tahoma"/>
          <w:color w:val="404042"/>
          <w:spacing w:val="1"/>
          <w:sz w:val="14"/>
        </w:rPr>
        <w:t>75 Ibid., pp. 9–10.</w:t>
      </w:r>
    </w:p>
    <w:p w14:paraId="7FFCF15F" w14:textId="77777777" w:rsidR="009757A9" w:rsidRDefault="00083242">
      <w:pPr>
        <w:tabs>
          <w:tab w:val="left" w:pos="1368"/>
        </w:tabs>
        <w:spacing w:before="597" w:after="638"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64</w:t>
      </w:r>
      <w:r>
        <w:rPr>
          <w:rFonts w:ascii="Tahoma" w:eastAsia="Tahoma" w:hAnsi="Tahoma"/>
          <w:color w:val="404042"/>
          <w:spacing w:val="4"/>
          <w:sz w:val="14"/>
        </w:rPr>
        <w:tab/>
        <w:t>Looking to the future</w:t>
      </w:r>
    </w:p>
    <w:p w14:paraId="25C4C1EC" w14:textId="77777777" w:rsidR="009757A9" w:rsidRDefault="00083242">
      <w:pPr>
        <w:textAlignment w:val="baseline"/>
      </w:pPr>
      <w:r>
        <w:rPr>
          <w:noProof/>
          <w:lang w:val="en-AU" w:eastAsia="en-AU"/>
        </w:rPr>
        <w:drawing>
          <wp:anchor distT="0" distB="0" distL="114300" distR="114300" simplePos="0" relativeHeight="252127744" behindDoc="1" locked="0" layoutInCell="1" allowOverlap="1" wp14:anchorId="2B50181C" wp14:editId="5DB1D7DD">
            <wp:simplePos x="0" y="0"/>
            <wp:positionH relativeFrom="column">
              <wp:posOffset>0</wp:posOffset>
            </wp:positionH>
            <wp:positionV relativeFrom="paragraph">
              <wp:posOffset>2540</wp:posOffset>
            </wp:positionV>
            <wp:extent cx="7562215" cy="462915"/>
            <wp:effectExtent l="0" t="0" r="635" b="0"/>
            <wp:wrapNone/>
            <wp:docPr id="104" name="Picture"/>
            <wp:cNvGraphicFramePr/>
            <a:graphic xmlns:a="http://schemas.openxmlformats.org/drawingml/2006/main">
              <a:graphicData uri="http://schemas.openxmlformats.org/drawingml/2006/picture">
                <pic:pic xmlns:pic="http://schemas.openxmlformats.org/drawingml/2006/picture">
                  <pic:nvPicPr>
                    <pic:cNvPr id="104" name="Picture"/>
                    <pic:cNvPicPr preferRelativeResize="0"/>
                  </pic:nvPicPr>
                  <pic:blipFill>
                    <a:blip r:embed="rId72">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085050AE" w14:textId="77777777" w:rsidR="009757A9" w:rsidRDefault="009757A9">
      <w:pPr>
        <w:sectPr w:rsidR="009757A9">
          <w:pgSz w:w="11909" w:h="16838"/>
          <w:pgMar w:top="1060" w:right="0" w:bottom="0" w:left="0" w:header="720" w:footer="720" w:gutter="0"/>
          <w:cols w:space="720"/>
        </w:sectPr>
      </w:pPr>
    </w:p>
    <w:p w14:paraId="69451647" w14:textId="1013FBD0" w:rsidR="007063D0" w:rsidRDefault="007063D0" w:rsidP="004D7D34">
      <w:pPr>
        <w:spacing w:before="2" w:line="215" w:lineRule="exact"/>
        <w:ind w:left="864" w:hanging="13"/>
        <w:textAlignment w:val="baseline"/>
        <w:rPr>
          <w:rFonts w:ascii="Arial" w:eastAsia="Arial" w:hAnsi="Arial"/>
          <w:i/>
          <w:color w:val="007896"/>
          <w:spacing w:val="1"/>
          <w:sz w:val="18"/>
        </w:rPr>
      </w:pPr>
    </w:p>
    <w:p w14:paraId="69B01322" w14:textId="22DADE83" w:rsidR="00D64119" w:rsidRDefault="00D64119" w:rsidP="004D7D34">
      <w:pPr>
        <w:spacing w:before="2" w:line="215" w:lineRule="exact"/>
        <w:ind w:left="864" w:hanging="13"/>
        <w:textAlignment w:val="baseline"/>
        <w:rPr>
          <w:rFonts w:ascii="Arial" w:eastAsia="Arial" w:hAnsi="Arial"/>
          <w:i/>
          <w:color w:val="007896"/>
          <w:spacing w:val="1"/>
          <w:sz w:val="18"/>
        </w:rPr>
      </w:pPr>
    </w:p>
    <w:p w14:paraId="4197154A" w14:textId="240C9B87" w:rsidR="00D64119" w:rsidRDefault="002C6410" w:rsidP="004D7D34">
      <w:pPr>
        <w:spacing w:before="2" w:line="215" w:lineRule="exact"/>
        <w:ind w:left="864" w:hanging="13"/>
        <w:textAlignment w:val="baseline"/>
        <w:rPr>
          <w:rFonts w:ascii="Arial" w:eastAsia="Arial" w:hAnsi="Arial"/>
          <w:i/>
          <w:color w:val="007896"/>
          <w:spacing w:val="1"/>
          <w:sz w:val="18"/>
        </w:rPr>
      </w:pPr>
      <w:r>
        <w:rPr>
          <w:noProof/>
          <w:lang w:val="en-AU" w:eastAsia="en-AU"/>
        </w:rPr>
        <mc:AlternateContent>
          <mc:Choice Requires="wps">
            <w:drawing>
              <wp:anchor distT="0" distB="314325" distL="545465" distR="536575" simplePos="0" relativeHeight="252129792" behindDoc="1" locked="0" layoutInCell="1" allowOverlap="1" wp14:anchorId="0E52D09B" wp14:editId="6311DDDC">
                <wp:simplePos x="0" y="0"/>
                <wp:positionH relativeFrom="margin">
                  <wp:align>center</wp:align>
                </wp:positionH>
                <wp:positionV relativeFrom="page">
                  <wp:posOffset>368300</wp:posOffset>
                </wp:positionV>
                <wp:extent cx="6480175" cy="1262380"/>
                <wp:effectExtent l="0" t="0" r="15875" b="13970"/>
                <wp:wrapNone/>
                <wp:docPr id="1078"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262380"/>
                        </a:xfrm>
                        <a:prstGeom prst="rect">
                          <a:avLst/>
                        </a:prstGeom>
                        <a:solidFill>
                          <a:srgbClr val="DFE6EB"/>
                        </a:solidFill>
                        <a:ln w="9525">
                          <a:solidFill>
                            <a:srgbClr val="000000"/>
                          </a:solidFill>
                          <a:miter lim="800000"/>
                          <a:headEnd/>
                          <a:tailEnd/>
                        </a:ln>
                      </wps:spPr>
                      <wps:txbx>
                        <w:txbxContent>
                          <w:p w14:paraId="74E4268B" w14:textId="77777777" w:rsidR="00490F33" w:rsidRDefault="00490F33" w:rsidP="002C64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2D09B" id="Text Box 426" o:spid="_x0000_s1118" type="#_x0000_t202" style="position:absolute;left:0;text-align:left;margin-left:0;margin-top:29pt;width:510.25pt;height:99.4pt;z-index:-251186688;visibility:visible;mso-wrap-style:square;mso-width-percent:0;mso-height-percent:0;mso-wrap-distance-left:42.95pt;mso-wrap-distance-top:0;mso-wrap-distance-right:42.25pt;mso-wrap-distance-bottom:24.75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0dLQIAAE4EAAAOAAAAZHJzL2Uyb0RvYy54bWysVMtu2zAQvBfoPxC815LV2HEEy0HiR1Eg&#10;fQBJP4CiKIsoxWVJ2pL79VlSlhuk7aWoD8RSXA5nZ3a9vO1bRY7COgm6oNNJSonQHCqp9wX99rR7&#10;t6DEeaYrpkCLgp6Eo7ert2+WnclFBg2oSliCINrlnSlo473Jk8TxRrTMTcAIjYc12JZ53Np9UlnW&#10;IXqrkixN50kHtjIWuHAOv26GQ7qK+HUtuP9S1054ogqK3HxcbVzLsCarJcv3lplG8jMN9g8sWiY1&#10;PnqB2jDPyMHK36BayS04qP2EQ5tAXUsuYg1YzTR9Vc1jw4yItaA4zlxkcv8Pln8+frVEVuhdeo1e&#10;adaiS0+i9+QeenKVzYNEnXE5Zj4azPU9HmB6LNeZB+DfHdGwbpjeiztroWsEq5DiNNxMXlwdcFwA&#10;KbtPUOFD7OAhAvW1bYN+qAhBdLTqdLEnkOH4cX61SKfXM0o4nk2zefZ+EQ1MWD5eN9b5DwJaEoKC&#10;WvQ/wrPjg/OBDsvHlPCaAyWrnVQqbuy+XCtLjgx7ZbPbzrf3sYJXaUqTrqA3s2w2KPBXiDT+/gTR&#10;So9Nr2Rb0MUlieVBt62uYkt6JtUQI2Wlz0IG7QYVfV/20babbDSohOqE0loYmhyHEoMG7E9KOmzw&#10;grofB2YFJeqjRnvCNIyBHYNyDJjmeLWgnpIhXPthag7Gyn2DyEMDaLhDC2sZxQ1eDyzOfLFpo+bn&#10;AQtT8XIfs379DayeAQAA//8DAFBLAwQUAAYACAAAACEAWLCdfd4AAAAIAQAADwAAAGRycy9kb3du&#10;cmV2LnhtbEyPQWvDMAyF74P+B6PCbqvTQELI4pQyNtjYaV132E2J1cQ0tkPsptm/n3raTkK8p6fv&#10;VbvFDmKmKRjvFGw3CQhyrdfGdQqOny8PBYgQ0WkcvCMFPxRgV6/uKiy1v7oPmg+xExziQokK+hjH&#10;UsrQ9mQxbPxIjrWTnyxGXqdO6gmvHG4HmSZJLi0axx96HOmpp/Z8uFjGSOfTc3fe4/trlm/Hty/T&#10;FN9Gqfv1sn8EEWmJf2a44fMN1MzU+IvTQQwKuEhUkBU8b2qSJhmIRkGa5QXIupL/C9S/AAAA//8D&#10;AFBLAQItABQABgAIAAAAIQC2gziS/gAAAOEBAAATAAAAAAAAAAAAAAAAAAAAAABbQ29udGVudF9U&#10;eXBlc10ueG1sUEsBAi0AFAAGAAgAAAAhADj9If/WAAAAlAEAAAsAAAAAAAAAAAAAAAAALwEAAF9y&#10;ZWxzLy5yZWxzUEsBAi0AFAAGAAgAAAAhAHOKvR0tAgAATgQAAA4AAAAAAAAAAAAAAAAALgIAAGRy&#10;cy9lMm9Eb2MueG1sUEsBAi0AFAAGAAgAAAAhAFiwnX3eAAAACAEAAA8AAAAAAAAAAAAAAAAAhwQA&#10;AGRycy9kb3ducmV2LnhtbFBLBQYAAAAABAAEAPMAAACSBQAAAAA=&#10;" fillcolor="#dfe6eb">
                <v:textbox inset="0,0,0,0">
                  <w:txbxContent>
                    <w:p w14:paraId="74E4268B" w14:textId="77777777" w:rsidR="00490F33" w:rsidRDefault="00490F33" w:rsidP="002C6410"/>
                  </w:txbxContent>
                </v:textbox>
                <w10:wrap anchorx="margin" anchory="page"/>
              </v:shape>
            </w:pict>
          </mc:Fallback>
        </mc:AlternateContent>
      </w:r>
    </w:p>
    <w:p w14:paraId="70362A5F" w14:textId="4087DF45" w:rsidR="00D64119" w:rsidRDefault="00D64119" w:rsidP="00D64119">
      <w:pPr>
        <w:spacing w:before="240" w:line="277" w:lineRule="exact"/>
        <w:ind w:left="461"/>
        <w:textAlignment w:val="baseline"/>
        <w:rPr>
          <w:rFonts w:ascii="Arial" w:eastAsia="Arial" w:hAnsi="Arial"/>
          <w:b/>
          <w:color w:val="00708E"/>
          <w:spacing w:val="-1"/>
          <w:sz w:val="25"/>
        </w:rPr>
      </w:pPr>
      <w:r>
        <w:rPr>
          <w:rFonts w:ascii="Arial" w:eastAsia="Arial" w:hAnsi="Arial"/>
          <w:b/>
          <w:color w:val="00708E"/>
          <w:spacing w:val="-1"/>
          <w:sz w:val="25"/>
        </w:rPr>
        <w:t>Recommendation 5</w:t>
      </w:r>
    </w:p>
    <w:p w14:paraId="69045EF1" w14:textId="7FB147E2" w:rsidR="00D64119" w:rsidRDefault="00D64119" w:rsidP="00D64119">
      <w:pPr>
        <w:spacing w:before="155" w:after="120" w:line="240" w:lineRule="exact"/>
        <w:ind w:left="461"/>
        <w:textAlignment w:val="baseline"/>
        <w:rPr>
          <w:rFonts w:ascii="Verdana" w:eastAsia="Verdana" w:hAnsi="Verdana"/>
          <w:color w:val="404042"/>
          <w:sz w:val="17"/>
        </w:rPr>
      </w:pPr>
      <w:r>
        <w:rPr>
          <w:rFonts w:ascii="Verdana" w:eastAsia="Verdana" w:hAnsi="Verdana"/>
          <w:color w:val="404042"/>
          <w:sz w:val="17"/>
        </w:rPr>
        <w:t xml:space="preserve">Senior secondary certification requirements and the way learning is packaged should be restructured so </w:t>
      </w:r>
      <w:r>
        <w:rPr>
          <w:rFonts w:ascii="Tahoma" w:eastAsia="Tahoma" w:hAnsi="Tahoma"/>
          <w:color w:val="404042"/>
          <w:sz w:val="18"/>
        </w:rPr>
        <w:t>that students are not presented with a binary choice between vocational or higher education pathways.</w:t>
      </w:r>
    </w:p>
    <w:p w14:paraId="715AADC1" w14:textId="4AE3E6E5" w:rsidR="004D7D34" w:rsidRDefault="004D7D34" w:rsidP="004D7D34">
      <w:pPr>
        <w:spacing w:before="2" w:line="215" w:lineRule="exact"/>
        <w:ind w:left="-142" w:right="-327"/>
        <w:textAlignment w:val="baseline"/>
        <w:rPr>
          <w:rFonts w:ascii="Arial" w:eastAsia="Arial" w:hAnsi="Arial"/>
          <w:i/>
          <w:color w:val="007896"/>
          <w:spacing w:val="1"/>
          <w:sz w:val="18"/>
        </w:rPr>
      </w:pPr>
    </w:p>
    <w:p w14:paraId="14D5A3CA" w14:textId="0B6E5DAE" w:rsidR="00D64119" w:rsidRDefault="00D64119" w:rsidP="004D7D34">
      <w:pPr>
        <w:spacing w:before="2" w:line="215" w:lineRule="exact"/>
        <w:ind w:left="-142" w:right="-327"/>
        <w:textAlignment w:val="baseline"/>
        <w:rPr>
          <w:rFonts w:ascii="Arial" w:eastAsia="Arial" w:hAnsi="Arial"/>
          <w:i/>
          <w:color w:val="007896"/>
          <w:spacing w:val="1"/>
          <w:sz w:val="18"/>
        </w:rPr>
      </w:pPr>
    </w:p>
    <w:p w14:paraId="348645EF" w14:textId="77777777" w:rsidR="004D7D34" w:rsidRDefault="004D7D34" w:rsidP="004D7D34">
      <w:pPr>
        <w:spacing w:before="2" w:line="215" w:lineRule="exact"/>
        <w:ind w:left="-142" w:right="-327"/>
        <w:textAlignment w:val="baseline"/>
        <w:rPr>
          <w:rFonts w:ascii="Arial" w:eastAsia="Arial" w:hAnsi="Arial"/>
          <w:i/>
          <w:color w:val="007896"/>
          <w:spacing w:val="1"/>
          <w:sz w:val="18"/>
        </w:rPr>
      </w:pPr>
    </w:p>
    <w:p w14:paraId="0C33E3CD" w14:textId="3EC8B2F5" w:rsidR="009757A9" w:rsidRDefault="00083242" w:rsidP="004D7D34">
      <w:pPr>
        <w:spacing w:before="2" w:line="215" w:lineRule="exact"/>
        <w:ind w:left="-142" w:right="-327"/>
        <w:textAlignment w:val="baseline"/>
        <w:rPr>
          <w:rFonts w:ascii="Arial" w:eastAsia="Arial" w:hAnsi="Arial"/>
          <w:i/>
          <w:color w:val="007896"/>
          <w:spacing w:val="1"/>
          <w:sz w:val="18"/>
        </w:rPr>
      </w:pPr>
      <w:r>
        <w:rPr>
          <w:rFonts w:ascii="Arial" w:eastAsia="Arial" w:hAnsi="Arial"/>
          <w:i/>
          <w:color w:val="007896"/>
          <w:spacing w:val="1"/>
          <w:sz w:val="18"/>
        </w:rPr>
        <w:t>Implementation guidance</w:t>
      </w:r>
    </w:p>
    <w:p w14:paraId="3DB6F8FA" w14:textId="77777777" w:rsidR="009757A9" w:rsidRDefault="00083242" w:rsidP="004D7D34">
      <w:pPr>
        <w:spacing w:before="167" w:line="240" w:lineRule="exact"/>
        <w:ind w:left="-142" w:right="-327"/>
        <w:textAlignment w:val="baseline"/>
        <w:rPr>
          <w:rFonts w:ascii="Tahoma" w:eastAsia="Tahoma" w:hAnsi="Tahoma"/>
          <w:color w:val="404042"/>
          <w:spacing w:val="5"/>
          <w:sz w:val="18"/>
        </w:rPr>
      </w:pPr>
      <w:r>
        <w:rPr>
          <w:rFonts w:ascii="Tahoma" w:eastAsia="Tahoma" w:hAnsi="Tahoma"/>
          <w:color w:val="404042"/>
          <w:spacing w:val="5"/>
          <w:sz w:val="18"/>
        </w:rPr>
        <w:t>The purpose of Years 11 and 12 should not be diminished to a process that simply directs students into a particular</w:t>
      </w:r>
    </w:p>
    <w:p w14:paraId="2F7A6FEE" w14:textId="77777777" w:rsidR="009757A9" w:rsidRDefault="00083242" w:rsidP="004D7D34">
      <w:pPr>
        <w:spacing w:line="240" w:lineRule="exact"/>
        <w:ind w:left="-142" w:right="-327"/>
        <w:textAlignment w:val="baseline"/>
        <w:rPr>
          <w:rFonts w:ascii="Tahoma" w:eastAsia="Tahoma" w:hAnsi="Tahoma"/>
          <w:color w:val="404042"/>
          <w:sz w:val="18"/>
        </w:rPr>
      </w:pPr>
      <w:r>
        <w:rPr>
          <w:rFonts w:ascii="Tahoma" w:eastAsia="Tahoma" w:hAnsi="Tahoma"/>
          <w:color w:val="404042"/>
          <w:sz w:val="18"/>
        </w:rPr>
        <w:t xml:space="preserve">post-school pathway. Rather, the system should support students to continue to learn and grow in a way that does not </w:t>
      </w:r>
      <w:r>
        <w:rPr>
          <w:rFonts w:ascii="Verdana" w:eastAsia="Verdana" w:hAnsi="Verdana"/>
          <w:color w:val="404042"/>
          <w:sz w:val="17"/>
        </w:rPr>
        <w:t>close off particular routes.</w:t>
      </w:r>
    </w:p>
    <w:p w14:paraId="0724C087" w14:textId="77777777" w:rsidR="009757A9" w:rsidRDefault="00083242" w:rsidP="004D7D34">
      <w:pPr>
        <w:spacing w:before="168" w:line="240" w:lineRule="exact"/>
        <w:ind w:left="-142" w:right="-327"/>
        <w:textAlignment w:val="baseline"/>
        <w:rPr>
          <w:rFonts w:ascii="Verdana" w:eastAsia="Verdana" w:hAnsi="Verdana"/>
          <w:color w:val="404042"/>
          <w:sz w:val="17"/>
        </w:rPr>
      </w:pPr>
      <w:r>
        <w:rPr>
          <w:rFonts w:ascii="Verdana" w:eastAsia="Verdana" w:hAnsi="Verdana"/>
          <w:color w:val="404042"/>
          <w:sz w:val="17"/>
        </w:rPr>
        <w:t xml:space="preserve">The Panel identified a range of innovative projects that support integrated learning and flexible pathways across </w:t>
      </w:r>
      <w:r>
        <w:rPr>
          <w:rFonts w:ascii="Tahoma" w:eastAsia="Tahoma" w:hAnsi="Tahoma"/>
          <w:color w:val="404042"/>
          <w:sz w:val="18"/>
        </w:rPr>
        <w:t xml:space="preserve">Australia. They need to be more widely emulated. The structures and requirements of senior secondary curriculum, </w:t>
      </w:r>
      <w:r>
        <w:rPr>
          <w:rFonts w:ascii="Verdana" w:eastAsia="Verdana" w:hAnsi="Verdana"/>
          <w:color w:val="404042"/>
          <w:sz w:val="17"/>
        </w:rPr>
        <w:t>assessment and certification that have evolved over time distort student perceptions of post-school pathways. A concerted effort needs to be made to right the balance.</w:t>
      </w:r>
    </w:p>
    <w:p w14:paraId="27FA9DF6" w14:textId="2157C402" w:rsidR="009757A9" w:rsidRDefault="00415883" w:rsidP="004D7D34">
      <w:pPr>
        <w:spacing w:before="172" w:after="1526" w:line="240" w:lineRule="exact"/>
        <w:ind w:left="-142" w:right="-327"/>
        <w:textAlignment w:val="baseline"/>
        <w:rPr>
          <w:rFonts w:ascii="Tahoma" w:eastAsia="Tahoma" w:hAnsi="Tahoma"/>
          <w:color w:val="404042"/>
          <w:spacing w:val="3"/>
          <w:sz w:val="18"/>
        </w:rPr>
      </w:pPr>
      <w:r>
        <w:rPr>
          <w:noProof/>
          <w:lang w:val="en-AU" w:eastAsia="en-AU"/>
        </w:rPr>
        <w:drawing>
          <wp:anchor distT="0" distB="0" distL="114300" distR="114300" simplePos="0" relativeHeight="252071424" behindDoc="1" locked="0" layoutInCell="1" allowOverlap="1" wp14:anchorId="4197EEF1" wp14:editId="1E9378B2">
            <wp:simplePos x="0" y="0"/>
            <wp:positionH relativeFrom="page">
              <wp:align>right</wp:align>
            </wp:positionH>
            <wp:positionV relativeFrom="paragraph">
              <wp:posOffset>1747520</wp:posOffset>
            </wp:positionV>
            <wp:extent cx="6714490" cy="4008120"/>
            <wp:effectExtent l="0" t="0" r="0" b="0"/>
            <wp:wrapTight wrapText="bothSides">
              <wp:wrapPolygon edited="0">
                <wp:start x="0" y="0"/>
                <wp:lineTo x="0" y="21456"/>
                <wp:lineTo x="21510" y="21456"/>
                <wp:lineTo x="21510" y="0"/>
                <wp:lineTo x="0" y="0"/>
              </wp:wrapPolygon>
            </wp:wrapTight>
            <wp:docPr id="10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 name="Picture">
                      <a:extLst>
                        <a:ext uri="{C183D7F6-B498-43B3-948B-1728B52AA6E4}">
                          <adec:decorative xmlns:adec="http://schemas.microsoft.com/office/drawing/2017/decorative" val="1"/>
                        </a:ext>
                      </a:extLst>
                    </pic:cNvPr>
                    <pic:cNvPicPr preferRelativeResize="0"/>
                  </pic:nvPicPr>
                  <pic:blipFill>
                    <a:blip r:embed="rId146">
                      <a:extLst>
                        <a:ext uri="{28A0092B-C50C-407E-A947-70E740481C1C}">
                          <a14:useLocalDpi xmlns:a14="http://schemas.microsoft.com/office/drawing/2010/main" val="0"/>
                        </a:ext>
                      </a:extLst>
                    </a:blip>
                    <a:stretch>
                      <a:fillRect/>
                    </a:stretch>
                  </pic:blipFill>
                  <pic:spPr>
                    <a:xfrm>
                      <a:off x="0" y="0"/>
                      <a:ext cx="6714490" cy="4008120"/>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3"/>
          <w:sz w:val="18"/>
        </w:rPr>
        <w:t xml:space="preserve">As tertiary institutions increasingly look at more diverse ways to select students for their courses, the schooling </w:t>
      </w:r>
      <w:r w:rsidR="00083242">
        <w:rPr>
          <w:rFonts w:ascii="Verdana" w:eastAsia="Verdana" w:hAnsi="Verdana"/>
          <w:color w:val="404042"/>
          <w:spacing w:val="3"/>
          <w:sz w:val="17"/>
        </w:rPr>
        <w:t xml:space="preserve">system should also consider moving to more flexible packages of learning. While curriculum issues are out of scope </w:t>
      </w:r>
      <w:r w:rsidR="00083242">
        <w:rPr>
          <w:rFonts w:ascii="Tahoma" w:eastAsia="Tahoma" w:hAnsi="Tahoma"/>
          <w:color w:val="404042"/>
          <w:spacing w:val="3"/>
          <w:sz w:val="18"/>
        </w:rPr>
        <w:t>of this review, the Panel believes that systems should consider carefully the design of subjects, the combination and number of subjects required to achieve an SSCE, and the combination of subjects and activities that contribute to the calculation of an ATAR. We believe this would give students greater freedom to explore their interests, develop their skills, strengthen their all-round capabilities, and be better prepared for lifelong learning.</w:t>
      </w:r>
    </w:p>
    <w:p w14:paraId="2C40B32A" w14:textId="15CE9982" w:rsidR="009F7F0B" w:rsidRDefault="009F7F0B" w:rsidP="00415883">
      <w:pPr>
        <w:spacing w:after="278"/>
        <w:ind w:left="864" w:right="471"/>
        <w:textAlignment w:val="baseline"/>
      </w:pPr>
    </w:p>
    <w:p w14:paraId="39218073" w14:textId="77777777" w:rsidR="00415883" w:rsidRPr="00415883" w:rsidRDefault="00415883" w:rsidP="00415883">
      <w:pPr>
        <w:spacing w:after="278"/>
        <w:ind w:left="864" w:right="471"/>
        <w:textAlignment w:val="baseline"/>
      </w:pPr>
    </w:p>
    <w:p w14:paraId="67F15A76" w14:textId="5D4D73DC" w:rsidR="009757A9" w:rsidRDefault="009F7F0B" w:rsidP="00415883">
      <w:pPr>
        <w:tabs>
          <w:tab w:val="left" w:pos="10872"/>
        </w:tabs>
        <w:spacing w:after="641" w:line="194" w:lineRule="exact"/>
        <w:ind w:left="7992" w:right="-1440" w:hanging="1188"/>
        <w:textAlignment w:val="baseline"/>
        <w:rPr>
          <w:rFonts w:ascii="Tahoma" w:eastAsia="Tahoma" w:hAnsi="Tahoma"/>
          <w:color w:val="404042"/>
          <w:sz w:val="14"/>
        </w:rPr>
      </w:pPr>
      <w:r>
        <w:rPr>
          <w:noProof/>
          <w:lang w:val="en-AU" w:eastAsia="en-AU"/>
        </w:rPr>
        <w:drawing>
          <wp:anchor distT="0" distB="0" distL="114300" distR="114300" simplePos="0" relativeHeight="252059136" behindDoc="1" locked="0" layoutInCell="1" allowOverlap="1" wp14:anchorId="7E97DB19" wp14:editId="1837AF77">
            <wp:simplePos x="0" y="0"/>
            <wp:positionH relativeFrom="page">
              <wp:posOffset>-635</wp:posOffset>
            </wp:positionH>
            <wp:positionV relativeFrom="paragraph">
              <wp:posOffset>336550</wp:posOffset>
            </wp:positionV>
            <wp:extent cx="7562215" cy="462915"/>
            <wp:effectExtent l="0" t="0" r="635" b="0"/>
            <wp:wrapNone/>
            <wp:docPr id="108" name="Picture"/>
            <wp:cNvGraphicFramePr/>
            <a:graphic xmlns:a="http://schemas.openxmlformats.org/drawingml/2006/main">
              <a:graphicData uri="http://schemas.openxmlformats.org/drawingml/2006/picture">
                <pic:pic xmlns:pic="http://schemas.openxmlformats.org/drawingml/2006/picture">
                  <pic:nvPicPr>
                    <pic:cNvPr id="108" name="Picture"/>
                    <pic:cNvPicPr preferRelativeResize="0"/>
                  </pic:nvPicPr>
                  <pic:blipFill>
                    <a:blip r:embed="rId14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2: Exercising informed choice</w:t>
      </w:r>
      <w:r w:rsidR="00415883">
        <w:rPr>
          <w:rFonts w:ascii="Tahoma" w:eastAsia="Tahoma" w:hAnsi="Tahoma"/>
          <w:color w:val="404042"/>
          <w:sz w:val="14"/>
        </w:rPr>
        <w:t xml:space="preserve"> </w:t>
      </w:r>
      <w:r w:rsidR="00083242">
        <w:rPr>
          <w:rFonts w:ascii="Arial" w:eastAsia="Arial" w:hAnsi="Arial"/>
          <w:b/>
          <w:color w:val="5556A1"/>
          <w:sz w:val="18"/>
        </w:rPr>
        <w:t>65</w:t>
      </w:r>
    </w:p>
    <w:p w14:paraId="5BB76FCF"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26304" behindDoc="1" locked="0" layoutInCell="1" allowOverlap="1" wp14:anchorId="54121106" wp14:editId="5423F2F0">
                <wp:simplePos x="0" y="0"/>
                <wp:positionH relativeFrom="page">
                  <wp:posOffset>0</wp:posOffset>
                </wp:positionH>
                <wp:positionV relativeFrom="page">
                  <wp:posOffset>0</wp:posOffset>
                </wp:positionV>
                <wp:extent cx="7562215" cy="10692130"/>
                <wp:effectExtent l="0" t="0" r="0" b="0"/>
                <wp:wrapSquare wrapText="bothSides"/>
                <wp:docPr id="77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E7EE3" w14:textId="77777777" w:rsidR="00490F33" w:rsidRDefault="00490F33">
                            <w:pPr>
                              <w:textAlignment w:val="baseline"/>
                            </w:pPr>
                            <w:r>
                              <w:rPr>
                                <w:noProof/>
                                <w:lang w:val="en-AU" w:eastAsia="en-AU"/>
                              </w:rPr>
                              <w:drawing>
                                <wp:inline distT="0" distB="0" distL="0" distR="0" wp14:anchorId="067F142B" wp14:editId="0B3EB26D">
                                  <wp:extent cx="7562215" cy="10692130"/>
                                  <wp:effectExtent l="0" t="0" r="0" b="0"/>
                                  <wp:docPr id="10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9" name="Picture">
                                            <a:extLst>
                                              <a:ext uri="{C183D7F6-B498-43B3-948B-1728B52AA6E4}">
                                                <adec:decorative xmlns:adec="http://schemas.microsoft.com/office/drawing/2017/decorative" val="1"/>
                                              </a:ext>
                                            </a:extLst>
                                          </pic:cNvPr>
                                          <pic:cNvPicPr preferRelativeResize="0"/>
                                        </pic:nvPicPr>
                                        <pic:blipFill>
                                          <a:blip r:embed="rId148"/>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21106" id="Text Box 499" o:spid="_x0000_s1119" type="#_x0000_t202" style="position:absolute;margin-left:0;margin-top:0;width:595.45pt;height:841.9pt;z-index:-251890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4AN8wEAAMQDAAAOAAAAZHJzL2Uyb0RvYy54bWysU21v0zAQ/o7Ef7D8nabpWEejptPYNIQ0&#10;BtLGD7g6TmOR+MzZbVJ+PWenKQO+Ib5Y53t5/Nxz5/X10LXioMkbtKXMZ3MptFVYGbsr5dfn+zfv&#10;pPABbAUtWl3Ko/byevP61bp3hV5gg22lSTCI9UXvStmE4Ios86rRHfgZOm05WCN1EPhKu6wi6Bm9&#10;a7PFfL7MeqTKESrtPXvvxqDcJPy61ip8rmuvg2hLydxCOimd23hmmzUUOwLXGHWiAf/AogNj+dEz&#10;1B0EEHsyf0F1RhF6rMNMYZdhXRulUw/cTT7/o5unBpxOvbA43p1l8v8PVj0evpAwVSmvrnhUFjoe&#10;0rMegniPg3i7WkWFeucLTnxynBoGDvCkU7fePaD65oXF2wbsTt8QYd9oqJhhHiuzF6Ujjo8g2/4T&#10;VvwQ7AMmoKGmLsrHgghG50kdz9OJZBQ7ry6Xi0V+KYXiWD5frhb5RRpgBsVU78iHDxo7EY1SEs8/&#10;4cPhwYfIB4opJT5n8d60bdqB1v7m4MToSfwj5ZF8GLZDEmt1MemyxerIHRGOq8VfgY0G6YcUPa9V&#10;Kf33PZCWov1oWZW4g5NBk7GdDLCKS0sZpBjN2zDu6t6R2TWMPOpu8YaVq01qKUo8sjjx5VVJnZ7W&#10;Ou7iy3vK+vX5Nj8BAAD//wMAUEsDBBQABgAIAAAAIQB7Iski3QAAAAcBAAAPAAAAZHJzL2Rvd25y&#10;ZXYueG1sTI/BTsMwEETvSPyDtUjcqF2QoiTEqaqKnioh0nDg6MTbxGq8TmO3DX+PywUuq1nNauZt&#10;sZrtwC44eeNIwnIhgCG1ThvqJHzW26cUmA+KtBocoYRv9LAq7+8KlWt3pQov+9CxGEI+VxL6EMac&#10;c9/2aJVfuBEpegc3WRXiOnVcT+oaw+3An4VIuFWGYkOvRtz02B73Zyth/UXVmzm9Nx/VoTJ1nQna&#10;JUcpHx/m9SuwgHP4O4YbfkSHMjI17kzas0FCfCT8zpu3zEQGrIkqSV9S4GXB//OXPwAAAP//AwBQ&#10;SwECLQAUAAYACAAAACEAtoM4kv4AAADhAQAAEwAAAAAAAAAAAAAAAAAAAAAAW0NvbnRlbnRfVHlw&#10;ZXNdLnhtbFBLAQItABQABgAIAAAAIQA4/SH/1gAAAJQBAAALAAAAAAAAAAAAAAAAAC8BAABfcmVs&#10;cy8ucmVsc1BLAQItABQABgAIAAAAIQAAk4AN8wEAAMQDAAAOAAAAAAAAAAAAAAAAAC4CAABkcnMv&#10;ZTJvRG9jLnhtbFBLAQItABQABgAIAAAAIQB7Iski3QAAAAcBAAAPAAAAAAAAAAAAAAAAAE0EAABk&#10;cnMvZG93bnJldi54bWxQSwUGAAAAAAQABADzAAAAVwUAAAAA&#10;" filled="f" stroked="f">
                <v:textbox inset="0,0,0,0">
                  <w:txbxContent>
                    <w:p w14:paraId="28FE7EE3" w14:textId="77777777" w:rsidR="00490F33" w:rsidRDefault="00490F33">
                      <w:pPr>
                        <w:textAlignment w:val="baseline"/>
                      </w:pPr>
                      <w:r>
                        <w:rPr>
                          <w:noProof/>
                          <w:lang w:val="en-AU" w:eastAsia="en-AU"/>
                        </w:rPr>
                        <w:drawing>
                          <wp:inline distT="0" distB="0" distL="0" distR="0" wp14:anchorId="067F142B" wp14:editId="0B3EB26D">
                            <wp:extent cx="7562215" cy="10692130"/>
                            <wp:effectExtent l="0" t="0" r="0" b="0"/>
                            <wp:docPr id="10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9" name="Picture">
                                      <a:extLst>
                                        <a:ext uri="{C183D7F6-B498-43B3-948B-1728B52AA6E4}">
                                          <adec:decorative xmlns:adec="http://schemas.microsoft.com/office/drawing/2017/decorative" val="1"/>
                                        </a:ext>
                                      </a:extLst>
                                    </pic:cNvPr>
                                    <pic:cNvPicPr preferRelativeResize="0"/>
                                  </pic:nvPicPr>
                                  <pic:blipFill>
                                    <a:blip r:embed="rId148"/>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7328" behindDoc="1" locked="0" layoutInCell="1" allowOverlap="1" wp14:anchorId="022BC047" wp14:editId="637C0429">
                <wp:simplePos x="0" y="0"/>
                <wp:positionH relativeFrom="page">
                  <wp:posOffset>847090</wp:posOffset>
                </wp:positionH>
                <wp:positionV relativeFrom="page">
                  <wp:posOffset>982980</wp:posOffset>
                </wp:positionV>
                <wp:extent cx="1511935" cy="285115"/>
                <wp:effectExtent l="0" t="0" r="0" b="0"/>
                <wp:wrapSquare wrapText="bothSides"/>
                <wp:docPr id="777"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F4EF9"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BC047" id="Text Box 498" o:spid="_x0000_s1120" type="#_x0000_t202" style="position:absolute;margin-left:66.7pt;margin-top:77.4pt;width:119.05pt;height:22.45pt;z-index:-25188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T78AEAAMIDAAAOAAAAZHJzL2Uyb0RvYy54bWysU1GP0zAMfkfiP0R5Z93GjW3VutNxp0NI&#10;x4F0xw/w0nSNaOPgZGvHr8dJ13HAG+IlcmL78+fPzua6bxtx1OQN2kLOJlMptFVYGrsv5Nfn+zcr&#10;KXwAW0KDVhfypL283r5+telcrudYY1NqEgxifd65QtYhuDzLvKp1C36CTlt2VkgtBL7SPisJOkZv&#10;m2w+nb7LOqTSESrtPb/eDU65TfhVpVX4XFVeB9EUkrmFdFI6d/HMthvI9wSuNupMA/6BRQvGctEL&#10;1B0EEAcyf0G1RhF6rMJEYZthVRmlUw/czWz6RzdPNTidemFxvLvI5P8frHo8fiFhykIul0spLLQ8&#10;pGfdB/Eee3G1XkWFOudzDnxyHBp6dvCkU7fePaD65oXF2xrsXt8QYVdrKJnhLGZmL1IHHB9Bdt0n&#10;LLkQHAImoL6iNsrHgghG50mdLtOJZFQsuZjN1m8XUij2zVd8W6QSkI/Zjnz4oLEV0Sgk8fQTOhwf&#10;fIhsIB9DYjGL96Zp0gY09rcHDowviX0kPFAP/a5PUq2vRlV2WJ64H8JhsfgjsFEj/ZCi46UqpP9+&#10;ANJSNB8taxI3cDRoNHajAVZxaiGDFIN5G4ZNPTgy+5qRB9Ut3rBulUktRYEHFme+vCip0/NSx018&#10;eU9Rv77e9icAAAD//wMAUEsDBBQABgAIAAAAIQAWtvXT4AAAAAsBAAAPAAAAZHJzL2Rvd25yZXYu&#10;eG1sTI/NTsMwEITvSLyDtUjcqFPSv4Q4VYXghIRIw6FHJ94mUeN1iN02vD3LCW47u6PZb7LtZHtx&#10;wdF3jhTMZxEIpNqZjhoFn+XrwwaED5qM7h2hgm/0sM1vbzKdGnelAi/70AgOIZ9qBW0IQyqlr1u0&#10;2s/cgMS3oxutDizHRppRXznc9vIxilbS6o74Q6sHfG6xPu3PVsHuQMVL9/VefRTHoivLJKK31Ump&#10;+7tp9wQi4BT+zPCLz+iQM1PlzmS86FnH8YKtPCwX3IEd8Xq+BFHxJknWIPNM/u+Q/wAAAP//AwBQ&#10;SwECLQAUAAYACAAAACEAtoM4kv4AAADhAQAAEwAAAAAAAAAAAAAAAAAAAAAAW0NvbnRlbnRfVHlw&#10;ZXNdLnhtbFBLAQItABQABgAIAAAAIQA4/SH/1gAAAJQBAAALAAAAAAAAAAAAAAAAAC8BAABfcmVs&#10;cy8ucmVsc1BLAQItABQABgAIAAAAIQAofcT78AEAAMIDAAAOAAAAAAAAAAAAAAAAAC4CAABkcnMv&#10;ZTJvRG9jLnhtbFBLAQItABQABgAIAAAAIQAWtvXT4AAAAAsBAAAPAAAAAAAAAAAAAAAAAEoEAABk&#10;cnMvZG93bnJldi54bWxQSwUGAAAAAAQABADzAAAAVwUAAAAA&#10;" filled="f" stroked="f">
                <v:textbox inset="0,0,0,0">
                  <w:txbxContent>
                    <w:p w14:paraId="02BF4EF9"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8352" behindDoc="1" locked="0" layoutInCell="1" allowOverlap="1" wp14:anchorId="27B884B8" wp14:editId="6CC85FEE">
                <wp:simplePos x="0" y="0"/>
                <wp:positionH relativeFrom="page">
                  <wp:posOffset>2359025</wp:posOffset>
                </wp:positionH>
                <wp:positionV relativeFrom="page">
                  <wp:posOffset>982980</wp:posOffset>
                </wp:positionV>
                <wp:extent cx="88265" cy="285115"/>
                <wp:effectExtent l="0" t="0" r="0" b="0"/>
                <wp:wrapSquare wrapText="bothSides"/>
                <wp:docPr id="776"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CE9FD"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884B8" id="Text Box 497" o:spid="_x0000_s1121" type="#_x0000_t202" style="position:absolute;margin-left:185.75pt;margin-top:77.4pt;width:6.95pt;height:22.45pt;z-index:-251888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ip7wEAAMADAAAOAAAAZHJzL2Uyb0RvYy54bWysU9tu2zAMfR+wfxD0vjgJlkuNOEXXosOA&#10;bh3Q7gMYWY6F2aJGKbGzrx8lx2m3vQ17ESiJOjznkNpc920jjpq8QVvI2WQqhbYKS2P3hfz2fP9u&#10;LYUPYEto0OpCnrSX19u3bzady/Uca2xKTYJBrM87V8g6BJdnmVe1bsFP0GnLlxVSC4G3tM9Kgo7R&#10;2yabT6fLrEMqHaHS3vPp3XAptwm/qrQKj1XldRBNIZlbSCuldRfXbLuBfE/gaqPONOAfWLRgLBe9&#10;QN1BAHEg8xdUaxShxypMFLYZVpVROmlgNbPpH2qeanA6aWFzvLvY5P8frPpy/ErClIVcrZZSWGi5&#10;Sc+6D+ID9uL91So61Dmfc+KT49TQ8wV3Oqn17gHVdy8s3tZg9/qGCLtaQ8kMZ/Fl9urpgOMjyK77&#10;jCUXgkPABNRX1Eb72BDB6Nyp06U7kYziw/V6vlxIofhmvl7MZotUAPLxrSMfPmpsRQwKSdz7hA3H&#10;Bx8iF8jHlFjK4r1pmtT/xv52wInxJHGPdAfiod/1yairVDgK22F5YjWEw1jxN+CgRvopRccjVUj/&#10;4wCkpWg+WXYkzt8Y0BjsxgCs4qeFDFIM4W0Y5vTgyOxrRh48t3jDrlUmSXphcebLY5KUnkc6zuHr&#10;fcp6+XjbXwAAAP//AwBQSwMEFAAGAAgAAAAhAK34R5bhAAAACwEAAA8AAABkcnMvZG93bnJldi54&#10;bWxMj8FOwzAQRO9I/IO1SNyoU9q0TYhTVQhOSIg0HDg6yTaxGq9D7Lbh71lO5bgzT7Mz2XayvTjj&#10;6I0jBfNZBAKpdo2hVsFn+fqwAeGDpkb3jlDBD3rY5rc3mU4bd6ECz/vQCg4hn2oFXQhDKqWvO7Ta&#10;z9yAxN7BjVYHPsdWNqO+cLjt5WMUraTVhvhDpwd87rA+7k9Wwe6Lihfz/V59FIfClGUS0dvqqNT9&#10;3bR7AhFwClcY/upzdci5U+VO1HjRK1is5zGjbMRL3sDEYhMvQVSsJMkaZJ7J/xvyXwAAAP//AwBQ&#10;SwECLQAUAAYACAAAACEAtoM4kv4AAADhAQAAEwAAAAAAAAAAAAAAAAAAAAAAW0NvbnRlbnRfVHlw&#10;ZXNdLnhtbFBLAQItABQABgAIAAAAIQA4/SH/1gAAAJQBAAALAAAAAAAAAAAAAAAAAC8BAABfcmVs&#10;cy8ucmVsc1BLAQItABQABgAIAAAAIQBB3kip7wEAAMADAAAOAAAAAAAAAAAAAAAAAC4CAABkcnMv&#10;ZTJvRG9jLnhtbFBLAQItABQABgAIAAAAIQCt+EeW4QAAAAsBAAAPAAAAAAAAAAAAAAAAAEkEAABk&#10;cnMvZG93bnJldi54bWxQSwUGAAAAAAQABADzAAAAVwUAAAAA&#10;" filled="f" stroked="f">
                <v:textbox inset="0,0,0,0">
                  <w:txbxContent>
                    <w:p w14:paraId="7DFCE9FD"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29376" behindDoc="1" locked="0" layoutInCell="1" allowOverlap="1" wp14:anchorId="5E152C8A" wp14:editId="6D5A865E">
                <wp:simplePos x="0" y="0"/>
                <wp:positionH relativeFrom="page">
                  <wp:posOffset>835025</wp:posOffset>
                </wp:positionH>
                <wp:positionV relativeFrom="page">
                  <wp:posOffset>1268095</wp:posOffset>
                </wp:positionV>
                <wp:extent cx="2673350" cy="530225"/>
                <wp:effectExtent l="0" t="0" r="0" b="0"/>
                <wp:wrapSquare wrapText="bothSides"/>
                <wp:docPr id="775"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92A1A" w14:textId="77777777" w:rsidR="00490F33" w:rsidRDefault="00490F33">
                            <w:pPr>
                              <w:spacing w:line="418"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AN ALTERNATIVE</w:t>
                            </w:r>
                          </w:p>
                          <w:p w14:paraId="5FF0D081" w14:textId="77777777" w:rsidR="00490F33" w:rsidRDefault="00490F33">
                            <w:pPr>
                              <w:spacing w:line="460" w:lineRule="exact"/>
                              <w:textAlignment w:val="baseline"/>
                              <w:rPr>
                                <w:rFonts w:ascii="Tahoma" w:eastAsia="Tahoma" w:hAnsi="Tahoma"/>
                                <w:color w:val="BF5B1F"/>
                                <w:spacing w:val="15"/>
                                <w:w w:val="95"/>
                                <w:sz w:val="38"/>
                              </w:rPr>
                            </w:pPr>
                            <w:r>
                              <w:rPr>
                                <w:rFonts w:ascii="Tahoma" w:eastAsia="Tahoma" w:hAnsi="Tahoma"/>
                                <w:color w:val="BF5B1F"/>
                                <w:spacing w:val="15"/>
                                <w:w w:val="95"/>
                                <w:sz w:val="38"/>
                              </w:rPr>
                              <w:t>SCHOOLING MODEL 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52C8A" id="Text Box 496" o:spid="_x0000_s1122" type="#_x0000_t202" style="position:absolute;margin-left:65.75pt;margin-top:99.85pt;width:210.5pt;height:41.75pt;z-index:-251887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K67wEAAMIDAAAOAAAAZHJzL2Uyb0RvYy54bWysU1GP0zAMfkfiP0R5Z+02tkG17nTc6RDS&#10;cSDd8QO8NF0j2jg42drx63HSbXfAG+Ilcmzn8+fPzvpq6Fpx0OQN2lJOJ7kU2iqsjN2V8tvT3Zt3&#10;UvgAtoIWrS7lUXt5tXn9at27Qs+wwbbSJBjE+qJ3pWxCcEWWedXoDvwEnbYcrJE6CHylXVYR9Ize&#10;tdksz5dZj1Q5QqW9Z+/tGJSbhF/XWoUvde11EG0pmVtIJ6VzG89ss4ZiR+Aao0404B9YdGAsF71A&#10;3UIAsSfzF1RnFKHHOkwUdhnWtVE69cDdTPM/unlswOnUC4vj3UUm//9g1cPhKwlTlXK1WkhhoeMh&#10;PekhiA84iLfvl1Gh3vmCEx8dp4aBAzzp1K1396i+e2HxpgG709dE2DcaKmY4jS+zF09HHB9Btv1n&#10;rLgQ7AMmoKGmLsrHgghG50kdL9OJZBQ7Z8vVfL7gkOLYYp7PZotUAorza0c+fNTYiWiUknj6CR0O&#10;9z5ENlCcU2Ixi3embdMGtPY3BydGT2IfCY/Uw7AdklTPqmyxOnI/hONi8Udgo0H6KUXPS1VK/2MP&#10;pKVoP1nWJG7g2aCzsT0bYBU/LWWQYjRvwripe0dm1zDyqLrFa9atNqmlKPDI4sSXFyV1elrquIkv&#10;7ynr+ettfgEAAP//AwBQSwMEFAAGAAgAAAAhAH+mKTvgAAAACwEAAA8AAABkcnMvZG93bnJldi54&#10;bWxMj0FPg0AQhe8m/ofNmHizS2moBVmaxujJxEjx4HGBKWzKziK7bfHfO57sbd7My5vv5dvZDuKM&#10;kzeOFCwXEQikxrWGOgWf1evDBoQPmlo9OEIFP+hhW9ze5Dpr3YVKPO9DJziEfKYV9CGMmZS+6dFq&#10;v3AjEt8ObrI6sJw62U76wuF2kHEUraXVhvhDr0d87rE57k9Wwe6Lyhfz/V5/lIfSVFUa0dv6qNT9&#10;3bx7AhFwDv9m+MNndCiYqXYnar0YWK+WCVt5SNNHEOxIkpg3tYJ4s4pBFrm87lD8AgAA//8DAFBL&#10;AQItABQABgAIAAAAIQC2gziS/gAAAOEBAAATAAAAAAAAAAAAAAAAAAAAAABbQ29udGVudF9UeXBl&#10;c10ueG1sUEsBAi0AFAAGAAgAAAAhADj9If/WAAAAlAEAAAsAAAAAAAAAAAAAAAAALwEAAF9yZWxz&#10;Ly5yZWxzUEsBAi0AFAAGAAgAAAAhAOy9IrrvAQAAwgMAAA4AAAAAAAAAAAAAAAAALgIAAGRycy9l&#10;Mm9Eb2MueG1sUEsBAi0AFAAGAAgAAAAhAH+mKTvgAAAACwEAAA8AAAAAAAAAAAAAAAAASQQAAGRy&#10;cy9kb3ducmV2LnhtbFBLBQYAAAAABAAEAPMAAABWBQAAAAA=&#10;" filled="f" stroked="f">
                <v:textbox inset="0,0,0,0">
                  <w:txbxContent>
                    <w:p w14:paraId="05992A1A" w14:textId="77777777" w:rsidR="00490F33" w:rsidRDefault="00490F33">
                      <w:pPr>
                        <w:spacing w:line="418"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AN ALTERNATIVE</w:t>
                      </w:r>
                    </w:p>
                    <w:p w14:paraId="5FF0D081" w14:textId="77777777" w:rsidR="00490F33" w:rsidRDefault="00490F33">
                      <w:pPr>
                        <w:spacing w:line="460" w:lineRule="exact"/>
                        <w:textAlignment w:val="baseline"/>
                        <w:rPr>
                          <w:rFonts w:ascii="Tahoma" w:eastAsia="Tahoma" w:hAnsi="Tahoma"/>
                          <w:color w:val="BF5B1F"/>
                          <w:spacing w:val="15"/>
                          <w:w w:val="95"/>
                          <w:sz w:val="38"/>
                        </w:rPr>
                      </w:pPr>
                      <w:r>
                        <w:rPr>
                          <w:rFonts w:ascii="Tahoma" w:eastAsia="Tahoma" w:hAnsi="Tahoma"/>
                          <w:color w:val="BF5B1F"/>
                          <w:spacing w:val="15"/>
                          <w:w w:val="95"/>
                          <w:sz w:val="38"/>
                        </w:rPr>
                        <w:t>SCHOOLING MODEL AT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0400" behindDoc="1" locked="0" layoutInCell="1" allowOverlap="1" wp14:anchorId="44E1B4FE" wp14:editId="21E93D08">
                <wp:simplePos x="0" y="0"/>
                <wp:positionH relativeFrom="page">
                  <wp:posOffset>835025</wp:posOffset>
                </wp:positionH>
                <wp:positionV relativeFrom="page">
                  <wp:posOffset>1798320</wp:posOffset>
                </wp:positionV>
                <wp:extent cx="2511425" cy="320040"/>
                <wp:effectExtent l="0" t="0" r="0" b="0"/>
                <wp:wrapSquare wrapText="bothSides"/>
                <wp:docPr id="774"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142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92D5F" w14:textId="77777777" w:rsidR="00490F33" w:rsidRDefault="00490F33">
                            <w:pPr>
                              <w:spacing w:before="1" w:line="45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RMIT URBAN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1B4FE" id="Text Box 495" o:spid="_x0000_s1123" type="#_x0000_t202" style="position:absolute;margin-left:65.75pt;margin-top:141.6pt;width:197.75pt;height:25.2pt;z-index:-251886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MP88AEAAMIDAAAOAAAAZHJzL2Uyb0RvYy54bWysU9uO0zAQfUfiHyy/0zSlpWzUdLXsahHS&#10;cpF2+YCp4zQWiceM3Sbl6xk7TVngDfFijedyfObMeHM9dK04avIGbSnz2VwKbRVWxu5L+fXp/tVb&#10;KXwAW0GLVpfypL283r58seldoRfYYFtpEgxifdG7UjYhuCLLvGp0B36GTlsO1kgdBL7SPqsIekbv&#10;2mwxn7/JeqTKESrtPXvvxqDcJvy61ip8rmuvg2hLydxCOimdu3hm2w0UewLXGHWmAf/AogNj+dEL&#10;1B0EEAcyf0F1RhF6rMNMYZdhXRulUw/cTT7/o5vHBpxOvbA43l1k8v8PVn06fiFhqlKu10spLHQ8&#10;pCc9BPEOB7G8WkWFeucLTnx0nBoGDvCkU7fePaD65oXF2wbsXt8QYd9oqJhhHiuzZ6Ujjo8gu/4j&#10;VvwQHAImoKGmLsrHgghG50mdLtOJZBQ7F6s8Xy5WUiiOvebhL9P4Miimakc+vNfYiWiUknj6CR2O&#10;Dz5ENlBMKfExi/embdMGtPY3BydGT2IfCY/Uw7AbklRX60mVHVYn7odwXCz+CGw0SD+k6HmpSum/&#10;H4C0FO0Hy5rEDZwMmozdZIBVXFrKIMVo3oZxUw+OzL5h5FF1izesW21SS1HgkcWZLy9K6vS81HET&#10;n99T1q+vt/0JAAD//wMAUEsDBBQABgAIAAAAIQD+ojvg4AAAAAsBAAAPAAAAZHJzL2Rvd25yZXYu&#10;eG1sTI/BTsMwEETvSPyDtUjcqNNYDSXEqSoEJ6SKNBw4OrGbWI3XIXbb8PdsT3Ac7dPsm2Izu4Gd&#10;zRSsRwnLRQLMYOu1xU7CZ/32sAYWokKtBo9Gwo8JsClvbwqVa3/Bypz3sWNUgiFXEvoYx5zz0PbG&#10;qbDwo0G6HfzkVKQ4dVxP6kLlbuBpkmTcKYv0oVejeelNe9yfnITtF1av9nvXfFSHytb1U4Lv2VHK&#10;+7t5+wwsmjn+wXDVJ3UoyanxJ9SBDZTFckWohHQtUmBErNJHWtdIEEJkwMuC/99Q/gIAAP//AwBQ&#10;SwECLQAUAAYACAAAACEAtoM4kv4AAADhAQAAEwAAAAAAAAAAAAAAAAAAAAAAW0NvbnRlbnRfVHlw&#10;ZXNdLnhtbFBLAQItABQABgAIAAAAIQA4/SH/1gAAAJQBAAALAAAAAAAAAAAAAAAAAC8BAABfcmVs&#10;cy8ucmVsc1BLAQItABQABgAIAAAAIQBt1MP88AEAAMIDAAAOAAAAAAAAAAAAAAAAAC4CAABkcnMv&#10;ZTJvRG9jLnhtbFBLAQItABQABgAIAAAAIQD+ojvg4AAAAAsBAAAPAAAAAAAAAAAAAAAAAEoEAABk&#10;cnMvZG93bnJldi54bWxQSwUGAAAAAAQABADzAAAAVwUAAAAA&#10;" filled="f" stroked="f">
                <v:textbox inset="0,0,0,0">
                  <w:txbxContent>
                    <w:p w14:paraId="0D692D5F" w14:textId="77777777" w:rsidR="00490F33" w:rsidRDefault="00490F33">
                      <w:pPr>
                        <w:spacing w:before="1" w:line="45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RMIT URBAN SCHOOL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1424" behindDoc="1" locked="0" layoutInCell="1" allowOverlap="1" wp14:anchorId="0BD71DB2" wp14:editId="569AFB92">
                <wp:simplePos x="0" y="0"/>
                <wp:positionH relativeFrom="page">
                  <wp:posOffset>3346450</wp:posOffset>
                </wp:positionH>
                <wp:positionV relativeFrom="page">
                  <wp:posOffset>1826260</wp:posOffset>
                </wp:positionV>
                <wp:extent cx="75565" cy="292735"/>
                <wp:effectExtent l="0" t="0" r="0" b="0"/>
                <wp:wrapSquare wrapText="bothSides"/>
                <wp:docPr id="773"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70D15" w14:textId="77777777" w:rsidR="00490F33" w:rsidRDefault="00490F33">
                            <w:pPr>
                              <w:spacing w:line="450" w:lineRule="exact"/>
                              <w:textAlignment w:val="baseline"/>
                              <w:rPr>
                                <w:rFonts w:ascii="Tahoma" w:eastAsia="Tahoma" w:hAnsi="Tahoma"/>
                                <w:color w:val="BF5B1F"/>
                                <w:w w:val="95"/>
                                <w:sz w:val="38"/>
                              </w:rPr>
                            </w:pPr>
                            <w:r>
                              <w:rPr>
                                <w:rFonts w:ascii="Tahoma" w:eastAsia="Tahoma" w:hAnsi="Tahoma"/>
                                <w:color w:val="BF5B1F"/>
                                <w:w w:val="9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71DB2" id="Text Box 494" o:spid="_x0000_s1124" type="#_x0000_t202" style="position:absolute;margin-left:263.5pt;margin-top:143.8pt;width:5.95pt;height:23.05pt;z-index:-251885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OAP8AEAAMADAAAOAAAAZHJzL2Uyb0RvYy54bWysU8Fu2zAMvQ/YPwi6L07SpmmMOEXXosOA&#10;rhvQ7gMYWY6F2aJGKbGzrx8lx1m33YZdBIqkHh8fqfVN3zbioMkbtIWcTaZSaKuwNHZXyK8vD++u&#10;pfABbAkNWl3Io/byZvP2zbpzuZ5jjU2pSTCI9XnnClmH4PIs86rWLfgJOm05WCG1EPhKu6wk6Bi9&#10;bbL5dHqVdUilI1Tae/beD0G5SfhVpVX4XFVeB9EUkrmFdFI6t/HMNmvIdwSuNupEA/6BRQvGctEz&#10;1D0EEHsyf0G1RhF6rMJEYZthVRmlUw/czWz6RzfPNTidemFxvDvL5P8frHo6fCFhykIulxdSWGh5&#10;SC+6D+I99uJydRkV6pzPOfHZcWroOcCTTt1694jqmxcW72qwO31LhF2toWSGs/gye/V0wPERZNt9&#10;wpILwT5gAuoraqN8LIhgdJ7U8TydSEaxc7lYXC2kUByZr+bLi0UqAPn41pEPHzS2IhqFJJ59wobD&#10;ow+RC+RjSixl8cE0TZp/Y39zcGL0JO6R7kA89Ns+CbW6HjXZYnnkbgiHteJvwEaN9EOKjleqkP77&#10;HkhL0Xy0rEjcv9Gg0diOBljFTwsZpBjMuzDs6d6R2dWMPGhu8ZZVq0xqKco7sDjx5TVJnZ5WOu7h&#10;63vK+vXxNj8BAAD//wMAUEsDBBQABgAIAAAAIQBiJ0H04QAAAAsBAAAPAAAAZHJzL2Rvd25yZXYu&#10;eG1sTI9BT4NAFITvJv6HzTPxZhchBYo8msboycRI8eBxYbewKfsW2W2L/971VI+Tmcx8U24XM7Kz&#10;mp22hPC4ioAp6qzU1CN8Nq8POTDnBUkxWlIIP8rBtrq9KUUh7YVqdd77noUScoVAGLyfCs5dNygj&#10;3MpOioJ3sLMRPsi553IWl1BuRh5HUcqN0BQWBjGp50F1x/3JIOy+qH7R3+/tR32oddNsInpLj4j3&#10;d8vuCZhXi7+G4Q8/oEMVmFp7IunYiLCOs/DFI8R5lgILiXWSb4C1CEmSZMCrkv//UP0CAAD//wMA&#10;UEsBAi0AFAAGAAgAAAAhALaDOJL+AAAA4QEAABMAAAAAAAAAAAAAAAAAAAAAAFtDb250ZW50X1R5&#10;cGVzXS54bWxQSwECLQAUAAYACAAAACEAOP0h/9YAAACUAQAACwAAAAAAAAAAAAAAAAAvAQAAX3Jl&#10;bHMvLnJlbHNQSwECLQAUAAYACAAAACEANezgD/ABAADAAwAADgAAAAAAAAAAAAAAAAAuAgAAZHJz&#10;L2Uyb0RvYy54bWxQSwECLQAUAAYACAAAACEAYidB9OEAAAALAQAADwAAAAAAAAAAAAAAAABKBAAA&#10;ZHJzL2Rvd25yZXYueG1sUEsFBgAAAAAEAAQA8wAAAFgFAAAAAA==&#10;" filled="f" stroked="f">
                <v:textbox inset="0,0,0,0">
                  <w:txbxContent>
                    <w:p w14:paraId="36370D15" w14:textId="77777777" w:rsidR="00490F33" w:rsidRDefault="00490F33">
                      <w:pPr>
                        <w:spacing w:line="450" w:lineRule="exact"/>
                        <w:textAlignment w:val="baseline"/>
                        <w:rPr>
                          <w:rFonts w:ascii="Tahoma" w:eastAsia="Tahoma" w:hAnsi="Tahoma"/>
                          <w:color w:val="BF5B1F"/>
                          <w:w w:val="95"/>
                          <w:sz w:val="38"/>
                        </w:rPr>
                      </w:pPr>
                      <w:r>
                        <w:rPr>
                          <w:rFonts w:ascii="Tahoma" w:eastAsia="Tahoma" w:hAnsi="Tahoma"/>
                          <w:color w:val="BF5B1F"/>
                          <w:w w:val="95"/>
                          <w:sz w:val="38"/>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2448" behindDoc="1" locked="0" layoutInCell="1" allowOverlap="1" wp14:anchorId="12B1FBF0" wp14:editId="511AEF3E">
                <wp:simplePos x="0" y="0"/>
                <wp:positionH relativeFrom="page">
                  <wp:posOffset>859790</wp:posOffset>
                </wp:positionH>
                <wp:positionV relativeFrom="page">
                  <wp:posOffset>2118995</wp:posOffset>
                </wp:positionV>
                <wp:extent cx="2651760" cy="295275"/>
                <wp:effectExtent l="0" t="0" r="0" b="0"/>
                <wp:wrapSquare wrapText="bothSides"/>
                <wp:docPr id="77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FD3D3" w14:textId="77777777" w:rsidR="00490F33" w:rsidRDefault="00490F33">
                            <w:pPr>
                              <w:spacing w:after="4" w:line="460" w:lineRule="exact"/>
                              <w:textAlignment w:val="baseline"/>
                              <w:rPr>
                                <w:rFonts w:ascii="Tahoma" w:eastAsia="Tahoma" w:hAnsi="Tahoma"/>
                                <w:color w:val="BF5B1F"/>
                                <w:spacing w:val="8"/>
                                <w:w w:val="95"/>
                                <w:sz w:val="38"/>
                              </w:rPr>
                            </w:pPr>
                            <w:r>
                              <w:rPr>
                                <w:rFonts w:ascii="Tahoma" w:eastAsia="Tahoma" w:hAnsi="Tahoma"/>
                                <w:color w:val="BF5B1F"/>
                                <w:spacing w:val="8"/>
                                <w:w w:val="95"/>
                                <w:sz w:val="38"/>
                              </w:rPr>
                              <w:t>MELBOURNE, VICTORIA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1FBF0" id="Text Box 493" o:spid="_x0000_s1125" type="#_x0000_t202" style="position:absolute;margin-left:67.7pt;margin-top:166.85pt;width:208.8pt;height:23.25pt;z-index:-251884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5dL8QEAAMIDAAAOAAAAZHJzL2Uyb0RvYy54bWysU9tu2zAMfR+wfxD0vjjxlmQx4hRdiw4D&#10;ugvQ7gMYWY6F2aJGKbG7rx8lx1m3vQ17ESiSOjw8pLZXQ9eKkyZv0JZyMZtLoa3CythDKb8+3r16&#10;K4UPYCto0epSPmkvr3YvX2x7V+gcG2wrTYJBrC96V8omBFdkmVeN7sDP0GnLwRqpg8BXOmQVQc/o&#10;XZvl8/kq65EqR6i09+y9HYNyl/DrWqvwua69DqItJXML6aR07uOZ7bZQHAhcY9SZBvwDiw6M5aIX&#10;qFsIII5k/oLqjCL0WIeZwi7DujZKpx64m8X8j24eGnA69cLieHeRyf8/WPXp9IWEqUq5XudSWOh4&#10;SI96COIdDuLN5nVUqHe+4MQHx6lh4ABPOnXr3T2qb15YvGnAHvQ1EfaNhooZLuLL7NnTEcdHkH3/&#10;ESsuBMeACWioqYvysSCC0XlST5fpRDKKnflquVivOKQ4lm+W+XqZSkAxvXbkw3uNnYhGKYmnn9Dh&#10;dO9DZAPFlBKLWbwzbZs2oLW/OTgxehL7SHikHob9kKTabCZV9lg9cT+E42LxR2CjQfohRc9LVUr/&#10;/QikpWg/WNYkbuBk0GTsJwOs4qelDFKM5k0YN/XoyBwaRh5Vt3jNutUmtRQFHlmc+fKipE7PSx03&#10;8fk9Zf36erufAAAA//8DAFBLAwQUAAYACAAAACEAe4qhkN8AAAALAQAADwAAAGRycy9kb3ducmV2&#10;LnhtbEyPwU7DMBBE70j8g7VI3KhNTUoJcaoKwQkJkYYDRyd2E6vxOsRuG/6e5QTHmX2anSk2sx/Y&#10;yU7RBVRwuxDALLbBOOwUfNQvN2tgMWk0eghoFXzbCJvy8qLQuQlnrOxplzpGIRhzraBPacw5j21v&#10;vY6LMFqk2z5MXieSU8fNpM8U7ge+FGLFvXZIH3o92qfetofd0SvYfmL17L7emvdqX7m6fhD4ujoo&#10;dX01bx+BJTunPxh+61N1KKlTE45oIhtIy+yOUAVSyntgRGSZpHUNOWuxBF4W/P+G8gcAAP//AwBQ&#10;SwECLQAUAAYACAAAACEAtoM4kv4AAADhAQAAEwAAAAAAAAAAAAAAAAAAAAAAW0NvbnRlbnRfVHlw&#10;ZXNdLnhtbFBLAQItABQABgAIAAAAIQA4/SH/1gAAAJQBAAALAAAAAAAAAAAAAAAAAC8BAABfcmVs&#10;cy8ucmVsc1BLAQItABQABgAIAAAAIQBt75dL8QEAAMIDAAAOAAAAAAAAAAAAAAAAAC4CAABkcnMv&#10;ZTJvRG9jLnhtbFBLAQItABQABgAIAAAAIQB7iqGQ3wAAAAsBAAAPAAAAAAAAAAAAAAAAAEsEAABk&#10;cnMvZG93bnJldi54bWxQSwUGAAAAAAQABADzAAAAVwUAAAAA&#10;" filled="f" stroked="f">
                <v:textbox inset="0,0,0,0">
                  <w:txbxContent>
                    <w:p w14:paraId="348FD3D3" w14:textId="77777777" w:rsidR="00490F33" w:rsidRDefault="00490F33">
                      <w:pPr>
                        <w:spacing w:after="4" w:line="460" w:lineRule="exact"/>
                        <w:textAlignment w:val="baseline"/>
                        <w:rPr>
                          <w:rFonts w:ascii="Tahoma" w:eastAsia="Tahoma" w:hAnsi="Tahoma"/>
                          <w:color w:val="BF5B1F"/>
                          <w:spacing w:val="8"/>
                          <w:w w:val="95"/>
                          <w:sz w:val="38"/>
                        </w:rPr>
                      </w:pPr>
                      <w:r>
                        <w:rPr>
                          <w:rFonts w:ascii="Tahoma" w:eastAsia="Tahoma" w:hAnsi="Tahoma"/>
                          <w:color w:val="BF5B1F"/>
                          <w:spacing w:val="8"/>
                          <w:w w:val="95"/>
                          <w:sz w:val="38"/>
                        </w:rPr>
                        <w:t>MELBOURNE, VICTORIA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3472" behindDoc="1" locked="0" layoutInCell="1" allowOverlap="1" wp14:anchorId="1158FB30" wp14:editId="1DA915DD">
                <wp:simplePos x="0" y="0"/>
                <wp:positionH relativeFrom="page">
                  <wp:posOffset>905510</wp:posOffset>
                </wp:positionH>
                <wp:positionV relativeFrom="page">
                  <wp:posOffset>2580005</wp:posOffset>
                </wp:positionV>
                <wp:extent cx="2169795" cy="704850"/>
                <wp:effectExtent l="0" t="0" r="0" b="0"/>
                <wp:wrapSquare wrapText="bothSides"/>
                <wp:docPr id="77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C8CB0" w14:textId="77777777" w:rsidR="00490F33" w:rsidRDefault="00490F33">
                            <w:pPr>
                              <w:spacing w:before="5" w:line="220" w:lineRule="exact"/>
                              <w:textAlignment w:val="baseline"/>
                              <w:rPr>
                                <w:rFonts w:ascii="Tahoma" w:eastAsia="Tahoma" w:hAnsi="Tahoma"/>
                                <w:color w:val="404042"/>
                                <w:sz w:val="18"/>
                              </w:rPr>
                            </w:pPr>
                            <w:r>
                              <w:rPr>
                                <w:rFonts w:ascii="Tahoma" w:eastAsia="Tahoma" w:hAnsi="Tahoma"/>
                                <w:color w:val="404042"/>
                                <w:sz w:val="18"/>
                              </w:rPr>
                              <w:t>The RMIT Urban School provides an alternative schooling model through its emphasis on education pathways and measures of success that go beyond the ATAR alone.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8FB30" id="Text Box 492" o:spid="_x0000_s1126" type="#_x0000_t202" style="position:absolute;margin-left:71.3pt;margin-top:203.15pt;width:170.85pt;height:55.5pt;z-index:-251883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T8QEAAMMDAAAOAAAAZHJzL2Uyb0RvYy54bWysU9tu2zAMfR+wfxD0vtgO2qYx4hRdiw4D&#10;ugvQ7gMYWY6F2aJGKbGzrx8lJ2m3vQ17ESiJOjznkFrdjH0n9pq8QVvJYpZLoa3C2thtJb89P7y7&#10;lsIHsDV0aHUlD9rLm/XbN6vBlXqOLXa1JsEg1peDq2QbgiuzzKtW9+Bn6LTlywaph8Bb2mY1wcDo&#10;fZfN8/wqG5BqR6i093x6P13KdcJvGq3Cl6bxOoiukswtpJXSuolrtl5BuSVwrVFHGvAPLHowloue&#10;oe4hgNiR+QuqN4rQYxNmCvsMm8YonTSwmiL/Q81TC04nLWyOd2eb/P+DVZ/3X0mYupKLRSGFhZ6b&#10;9KzHIN7jKC6W8+jQ4HzJiU+OU8PIF9zppNa7R1TfvbB414Ld6lsiHFoNNTMs4svs1dMJx0eQzfAJ&#10;ay4Eu4AJaGyoj/axIYLRuVOHc3ciGcWH8+JquVheSqH4bpFfXF+m9mVQnl478uGDxl7EoJLE3U/o&#10;sH/0IbKB8pQSi1l8MF2XJqCzvx1wYjxJ7CPhiXoYN2OyqshT5ahtg/WBBRFOk8U/gYMW6acUA09V&#10;Jf2PHZCWovto2ZQ4gqeATsHmFIBV/LSSQYopvAvTqO4cmW3LyJPtFm/ZuMYkTS8sjoR5UpLU41TH&#10;UXy9T1kvf2/9CwAA//8DAFBLAwQUAAYACAAAACEASNVBfuEAAAALAQAADwAAAGRycy9kb3ducmV2&#10;LnhtbEyPwU7DMAyG70i8Q2QkbizZVsrWNZ0mBCcktK4cOKZN1kZrnNJkW3l7zAlu/uVPvz/n28n1&#10;7GLGYD1KmM8EMION1xZbCR/V68MKWIgKteo9GgnfJsC2uL3JVab9FUtzOcSWUQmGTEnoYhwyzkPT&#10;GafCzA8GaXf0o1OR4thyPaorlbueL4RIuVMW6UKnBvPcmeZ0ODsJu08sX+zXe70vj6WtqrXAt/Qk&#10;5f3dtNsAi2aKfzD86pM6FORU+zPqwHrKySIlVEIi0iUwIpJVQkMt4XH+tARe5Pz/D8UPAAAA//8D&#10;AFBLAQItABQABgAIAAAAIQC2gziS/gAAAOEBAAATAAAAAAAAAAAAAAAAAAAAAABbQ29udGVudF9U&#10;eXBlc10ueG1sUEsBAi0AFAAGAAgAAAAhADj9If/WAAAAlAEAAAsAAAAAAAAAAAAAAAAALwEAAF9y&#10;ZWxzLy5yZWxzUEsBAi0AFAAGAAgAAAAhAND45VPxAQAAwwMAAA4AAAAAAAAAAAAAAAAALgIAAGRy&#10;cy9lMm9Eb2MueG1sUEsBAi0AFAAGAAgAAAAhAEjVQX7hAAAACwEAAA8AAAAAAAAAAAAAAAAASwQA&#10;AGRycy9kb3ducmV2LnhtbFBLBQYAAAAABAAEAPMAAABZBQAAAAA=&#10;" filled="f" stroked="f">
                <v:textbox inset="0,0,0,0">
                  <w:txbxContent>
                    <w:p w14:paraId="72DC8CB0" w14:textId="77777777" w:rsidR="00490F33" w:rsidRDefault="00490F33">
                      <w:pPr>
                        <w:spacing w:before="5" w:line="220" w:lineRule="exact"/>
                        <w:textAlignment w:val="baseline"/>
                        <w:rPr>
                          <w:rFonts w:ascii="Tahoma" w:eastAsia="Tahoma" w:hAnsi="Tahoma"/>
                          <w:color w:val="404042"/>
                          <w:sz w:val="18"/>
                        </w:rPr>
                      </w:pPr>
                      <w:r>
                        <w:rPr>
                          <w:rFonts w:ascii="Tahoma" w:eastAsia="Tahoma" w:hAnsi="Tahoma"/>
                          <w:color w:val="404042"/>
                          <w:sz w:val="18"/>
                        </w:rPr>
                        <w:t>The RMIT Urban School provides an alternative schooling model through its emphasis on education pathways and measures of success that go beyond the ATAR alone.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4496" behindDoc="1" locked="0" layoutInCell="1" allowOverlap="1" wp14:anchorId="7AB88650" wp14:editId="1405B2C3">
                <wp:simplePos x="0" y="0"/>
                <wp:positionH relativeFrom="page">
                  <wp:posOffset>905510</wp:posOffset>
                </wp:positionH>
                <wp:positionV relativeFrom="page">
                  <wp:posOffset>3387725</wp:posOffset>
                </wp:positionV>
                <wp:extent cx="2447290" cy="3433445"/>
                <wp:effectExtent l="0" t="0" r="0" b="0"/>
                <wp:wrapSquare wrapText="bothSides"/>
                <wp:docPr id="770"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343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26643" w14:textId="77777777" w:rsidR="00490F33" w:rsidRDefault="00490F33">
                            <w:pPr>
                              <w:spacing w:before="7" w:line="221" w:lineRule="exact"/>
                              <w:ind w:right="288"/>
                              <w:textAlignment w:val="baseline"/>
                              <w:rPr>
                                <w:rFonts w:ascii="Tahoma" w:eastAsia="Tahoma" w:hAnsi="Tahoma"/>
                                <w:color w:val="404042"/>
                                <w:sz w:val="18"/>
                              </w:rPr>
                            </w:pPr>
                            <w:r>
                              <w:rPr>
                                <w:rFonts w:ascii="Tahoma" w:eastAsia="Tahoma" w:hAnsi="Tahoma"/>
                                <w:color w:val="404042"/>
                                <w:sz w:val="18"/>
                              </w:rPr>
                              <w:t>Students appreciate the independent learning environment and the breadth of focus on the whole learner rather than a narrow academic pursuit.</w:t>
                            </w:r>
                          </w:p>
                          <w:p w14:paraId="10E9E2F9" w14:textId="77777777" w:rsidR="00490F33" w:rsidRDefault="00490F33">
                            <w:pPr>
                              <w:spacing w:before="161" w:line="221" w:lineRule="exact"/>
                              <w:ind w:right="72"/>
                              <w:textAlignment w:val="baseline"/>
                              <w:rPr>
                                <w:rFonts w:ascii="Tahoma" w:eastAsia="Tahoma" w:hAnsi="Tahoma"/>
                                <w:color w:val="404042"/>
                                <w:sz w:val="18"/>
                              </w:rPr>
                            </w:pPr>
                            <w:r>
                              <w:rPr>
                                <w:rFonts w:ascii="Tahoma" w:eastAsia="Tahoma" w:hAnsi="Tahoma"/>
                                <w:color w:val="404042"/>
                                <w:sz w:val="18"/>
                              </w:rPr>
                              <w:t xml:space="preserve">Students have the opportunity to shape their own learning by blending subjects from </w:t>
                            </w:r>
                            <w:r>
                              <w:rPr>
                                <w:rFonts w:ascii="Verdana" w:eastAsia="Verdana" w:hAnsi="Verdana"/>
                                <w:color w:val="404042"/>
                                <w:sz w:val="17"/>
                              </w:rPr>
                              <w:t xml:space="preserve">the Victorian Certificate of Education (VCE); </w:t>
                            </w:r>
                            <w:r>
                              <w:rPr>
                                <w:rFonts w:ascii="Tahoma" w:eastAsia="Tahoma" w:hAnsi="Tahoma"/>
                                <w:color w:val="404042"/>
                                <w:sz w:val="18"/>
                              </w:rPr>
                              <w:t>vocational education (VE); higher education (HE); work-integrated learning modules and micro-credentials, alongside a recognition of life experiences, into one bespoke program over a two-year period.</w:t>
                            </w:r>
                          </w:p>
                          <w:p w14:paraId="77B51AA2" w14:textId="77777777" w:rsidR="00490F33" w:rsidRDefault="00490F33">
                            <w:pPr>
                              <w:spacing w:before="156" w:line="219" w:lineRule="exact"/>
                              <w:textAlignment w:val="baseline"/>
                              <w:rPr>
                                <w:rFonts w:ascii="Tahoma" w:eastAsia="Tahoma" w:hAnsi="Tahoma"/>
                                <w:color w:val="404042"/>
                                <w:spacing w:val="1"/>
                                <w:sz w:val="18"/>
                              </w:rPr>
                            </w:pPr>
                            <w:r>
                              <w:rPr>
                                <w:rFonts w:ascii="Tahoma" w:eastAsia="Tahoma" w:hAnsi="Tahoma"/>
                                <w:color w:val="404042"/>
                                <w:spacing w:val="1"/>
                                <w:sz w:val="18"/>
                              </w:rPr>
                              <w:t xml:space="preserve">RMIT Urban School has a ‘no wrong door’ approach, providing opportunities to explore skills, further develop strengths and test career options. Students try a range of </w:t>
                            </w:r>
                            <w:r>
                              <w:rPr>
                                <w:rFonts w:ascii="Verdana" w:eastAsia="Verdana" w:hAnsi="Verdana"/>
                                <w:color w:val="404042"/>
                                <w:spacing w:val="1"/>
                                <w:sz w:val="17"/>
                              </w:rPr>
                              <w:t xml:space="preserve">subjects without the pressure to make finite </w:t>
                            </w:r>
                            <w:r>
                              <w:rPr>
                                <w:rFonts w:ascii="Tahoma" w:eastAsia="Tahoma" w:hAnsi="Tahoma"/>
                                <w:color w:val="404042"/>
                                <w:spacing w:val="1"/>
                                <w:sz w:val="18"/>
                              </w:rPr>
                              <w:t xml:space="preserve">career decisions too early. They are able to </w:t>
                            </w:r>
                            <w:r>
                              <w:rPr>
                                <w:rFonts w:ascii="Verdana" w:eastAsia="Verdana" w:hAnsi="Verdana"/>
                                <w:color w:val="404042"/>
                                <w:spacing w:val="1"/>
                                <w:sz w:val="17"/>
                              </w:rPr>
                              <w:t xml:space="preserve">explore tertiary fields of study, build depth in specific skills and knowledge, and attempt </w:t>
                            </w:r>
                            <w:r>
                              <w:rPr>
                                <w:rFonts w:ascii="Tahoma" w:eastAsia="Tahoma" w:hAnsi="Tahoma"/>
                                <w:color w:val="404042"/>
                                <w:spacing w:val="1"/>
                                <w:sz w:val="18"/>
                              </w:rPr>
                              <w:t xml:space="preserve">the broadest possible range of courses to </w:t>
                            </w:r>
                            <w:r>
                              <w:rPr>
                                <w:rFonts w:ascii="Verdana" w:eastAsia="Verdana" w:hAnsi="Verdana"/>
                                <w:color w:val="404042"/>
                                <w:spacing w:val="1"/>
                                <w:sz w:val="17"/>
                              </w:rPr>
                              <w:t xml:space="preserve">begin to refine and define the next stages of </w:t>
                            </w:r>
                            <w:r>
                              <w:rPr>
                                <w:rFonts w:ascii="Tahoma" w:eastAsia="Tahoma" w:hAnsi="Tahoma"/>
                                <w:color w:val="404042"/>
                                <w:spacing w:val="1"/>
                                <w:sz w:val="18"/>
                              </w:rPr>
                              <w:t>their life journey.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88650" id="Text Box 491" o:spid="_x0000_s1127" type="#_x0000_t202" style="position:absolute;margin-left:71.3pt;margin-top:266.75pt;width:192.7pt;height:270.35pt;z-index:-251881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5r7wEAAMQDAAAOAAAAZHJzL2Uyb0RvYy54bWysU9uO0zAQfUfiHyy/06RtoGzUdLXsahHS&#10;cpF2+QDHsRuLxGPGbpPy9YydpizwhnixxnM5PnNmvL0e+44dFXoDtuLLRc6ZshIaY/cV//p0/+ot&#10;Zz4I24gOrKr4SXl+vXv5Yju4Uq2gha5RyAjE+nJwFW9DcGWWedmqXvgFOGUpqAF7EeiK+6xBMRB6&#10;32WrPH+TDYCNQ5DKe/LeTUG+S/haKxk+a+1VYF3FiVtIJ6azjme224pyj8K1Rp5piH9g0Qtj6dEL&#10;1J0Igh3Q/AXVG4ngQYeFhD4DrY1UqQfqZpn/0c1jK5xKvZA43l1k8v8PVn46fkFmmopvNqSPFT0N&#10;6UmNgb2DkRVXy6jQ4HxJiY+OUsNIAZp06ta7B5DfPLNw2wq7VzeIMLRKNMQwVWbPSiccH0Hq4SM0&#10;9JA4BEhAo8Y+ykeCMEInJqfLdCIZSc5VUWxWVxSSFFsX63VRvI7sMlHO5Q59eK+gZ9GoONL4E7w4&#10;Pvgwpc4p8TUL96br0gp09jcHYUZPoh8ZT9zDWI9Jq2V+0aWG5kQdIUyrRV+BjBbwB2cDrVXF/feD&#10;QMVZ98GSKnEHZwNno54NYSWVVjxwNpm3YdrVg0Ozbwl50t3CDSmnTeopSjyxOBOmVUmqnNc67uLz&#10;e8r69fl2PwEAAP//AwBQSwMEFAAGAAgAAAAhAKJ30uPgAAAADAEAAA8AAABkcnMvZG93bnJldi54&#10;bWxMjzFPwzAUhHck/oP1kNioTdqEEuJUFYIJCTUNA6MTu4nV+DnEbhv+PY8JxtOd7r4rNrMb2NlM&#10;wXqUcL8QwAy2XlvsJHzUr3drYCEq1GrwaCR8mwCb8vqqULn2F6zMeR87RiUYciWhj3HMOQ9tb5wK&#10;Cz8aJO/gJ6ciyanjelIXKncDT4TIuFMWaaFXo3nuTXvcn5yE7SdWL/brvdlVh8rW9aPAt+wo5e3N&#10;vH0CFs0c/8Lwi0/oUBJT40+oAxtIr5KMohLS5TIFRok0WdO7hizxsEqAlwX/f6L8AQAA//8DAFBL&#10;AQItABQABgAIAAAAIQC2gziS/gAAAOEBAAATAAAAAAAAAAAAAAAAAAAAAABbQ29udGVudF9UeXBl&#10;c10ueG1sUEsBAi0AFAAGAAgAAAAhADj9If/WAAAAlAEAAAsAAAAAAAAAAAAAAAAALwEAAF9yZWxz&#10;Ly5yZWxzUEsBAi0AFAAGAAgAAAAhACcVTmvvAQAAxAMAAA4AAAAAAAAAAAAAAAAALgIAAGRycy9l&#10;Mm9Eb2MueG1sUEsBAi0AFAAGAAgAAAAhAKJ30uPgAAAADAEAAA8AAAAAAAAAAAAAAAAASQQAAGRy&#10;cy9kb3ducmV2LnhtbFBLBQYAAAAABAAEAPMAAABWBQAAAAA=&#10;" filled="f" stroked="f">
                <v:textbox inset="0,0,0,0">
                  <w:txbxContent>
                    <w:p w14:paraId="44126643" w14:textId="77777777" w:rsidR="00490F33" w:rsidRDefault="00490F33">
                      <w:pPr>
                        <w:spacing w:before="7" w:line="221" w:lineRule="exact"/>
                        <w:ind w:right="288"/>
                        <w:textAlignment w:val="baseline"/>
                        <w:rPr>
                          <w:rFonts w:ascii="Tahoma" w:eastAsia="Tahoma" w:hAnsi="Tahoma"/>
                          <w:color w:val="404042"/>
                          <w:sz w:val="18"/>
                        </w:rPr>
                      </w:pPr>
                      <w:r>
                        <w:rPr>
                          <w:rFonts w:ascii="Tahoma" w:eastAsia="Tahoma" w:hAnsi="Tahoma"/>
                          <w:color w:val="404042"/>
                          <w:sz w:val="18"/>
                        </w:rPr>
                        <w:t>Students appreciate the independent learning environment and the breadth of focus on the whole learner rather than a narrow academic pursuit.</w:t>
                      </w:r>
                    </w:p>
                    <w:p w14:paraId="10E9E2F9" w14:textId="77777777" w:rsidR="00490F33" w:rsidRDefault="00490F33">
                      <w:pPr>
                        <w:spacing w:before="161" w:line="221" w:lineRule="exact"/>
                        <w:ind w:right="72"/>
                        <w:textAlignment w:val="baseline"/>
                        <w:rPr>
                          <w:rFonts w:ascii="Tahoma" w:eastAsia="Tahoma" w:hAnsi="Tahoma"/>
                          <w:color w:val="404042"/>
                          <w:sz w:val="18"/>
                        </w:rPr>
                      </w:pPr>
                      <w:r>
                        <w:rPr>
                          <w:rFonts w:ascii="Tahoma" w:eastAsia="Tahoma" w:hAnsi="Tahoma"/>
                          <w:color w:val="404042"/>
                          <w:sz w:val="18"/>
                        </w:rPr>
                        <w:t xml:space="preserve">Students have the opportunity to shape their own learning by blending subjects from </w:t>
                      </w:r>
                      <w:r>
                        <w:rPr>
                          <w:rFonts w:ascii="Verdana" w:eastAsia="Verdana" w:hAnsi="Verdana"/>
                          <w:color w:val="404042"/>
                          <w:sz w:val="17"/>
                        </w:rPr>
                        <w:t xml:space="preserve">the Victorian Certificate of Education (VCE); </w:t>
                      </w:r>
                      <w:r>
                        <w:rPr>
                          <w:rFonts w:ascii="Tahoma" w:eastAsia="Tahoma" w:hAnsi="Tahoma"/>
                          <w:color w:val="404042"/>
                          <w:sz w:val="18"/>
                        </w:rPr>
                        <w:t>vocational education (VE); higher education (HE); work-integrated learning modules and micro-credentials, alongside a recognition of life experiences, into one bespoke program over a two-year period.</w:t>
                      </w:r>
                    </w:p>
                    <w:p w14:paraId="77B51AA2" w14:textId="77777777" w:rsidR="00490F33" w:rsidRDefault="00490F33">
                      <w:pPr>
                        <w:spacing w:before="156" w:line="219" w:lineRule="exact"/>
                        <w:textAlignment w:val="baseline"/>
                        <w:rPr>
                          <w:rFonts w:ascii="Tahoma" w:eastAsia="Tahoma" w:hAnsi="Tahoma"/>
                          <w:color w:val="404042"/>
                          <w:spacing w:val="1"/>
                          <w:sz w:val="18"/>
                        </w:rPr>
                      </w:pPr>
                      <w:r>
                        <w:rPr>
                          <w:rFonts w:ascii="Tahoma" w:eastAsia="Tahoma" w:hAnsi="Tahoma"/>
                          <w:color w:val="404042"/>
                          <w:spacing w:val="1"/>
                          <w:sz w:val="18"/>
                        </w:rPr>
                        <w:t xml:space="preserve">RMIT Urban School has a ‘no wrong door’ approach, providing opportunities to explore skills, further develop strengths and test career options. Students try a range of </w:t>
                      </w:r>
                      <w:r>
                        <w:rPr>
                          <w:rFonts w:ascii="Verdana" w:eastAsia="Verdana" w:hAnsi="Verdana"/>
                          <w:color w:val="404042"/>
                          <w:spacing w:val="1"/>
                          <w:sz w:val="17"/>
                        </w:rPr>
                        <w:t xml:space="preserve">subjects without the pressure to make finite </w:t>
                      </w:r>
                      <w:r>
                        <w:rPr>
                          <w:rFonts w:ascii="Tahoma" w:eastAsia="Tahoma" w:hAnsi="Tahoma"/>
                          <w:color w:val="404042"/>
                          <w:spacing w:val="1"/>
                          <w:sz w:val="18"/>
                        </w:rPr>
                        <w:t xml:space="preserve">career decisions too early. They are able to </w:t>
                      </w:r>
                      <w:r>
                        <w:rPr>
                          <w:rFonts w:ascii="Verdana" w:eastAsia="Verdana" w:hAnsi="Verdana"/>
                          <w:color w:val="404042"/>
                          <w:spacing w:val="1"/>
                          <w:sz w:val="17"/>
                        </w:rPr>
                        <w:t xml:space="preserve">explore tertiary fields of study, build depth in specific skills and knowledge, and attempt </w:t>
                      </w:r>
                      <w:r>
                        <w:rPr>
                          <w:rFonts w:ascii="Tahoma" w:eastAsia="Tahoma" w:hAnsi="Tahoma"/>
                          <w:color w:val="404042"/>
                          <w:spacing w:val="1"/>
                          <w:sz w:val="18"/>
                        </w:rPr>
                        <w:t xml:space="preserve">the broadest possible range of courses to </w:t>
                      </w:r>
                      <w:r>
                        <w:rPr>
                          <w:rFonts w:ascii="Verdana" w:eastAsia="Verdana" w:hAnsi="Verdana"/>
                          <w:color w:val="404042"/>
                          <w:spacing w:val="1"/>
                          <w:sz w:val="17"/>
                        </w:rPr>
                        <w:t xml:space="preserve">begin to refine and define the next stages of </w:t>
                      </w:r>
                      <w:r>
                        <w:rPr>
                          <w:rFonts w:ascii="Tahoma" w:eastAsia="Tahoma" w:hAnsi="Tahoma"/>
                          <w:color w:val="404042"/>
                          <w:spacing w:val="1"/>
                          <w:sz w:val="18"/>
                        </w:rPr>
                        <w:t>their life journey.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5520" behindDoc="1" locked="0" layoutInCell="1" allowOverlap="1" wp14:anchorId="39A79485" wp14:editId="6CF97633">
                <wp:simplePos x="0" y="0"/>
                <wp:positionH relativeFrom="page">
                  <wp:posOffset>4182110</wp:posOffset>
                </wp:positionH>
                <wp:positionV relativeFrom="page">
                  <wp:posOffset>951865</wp:posOffset>
                </wp:positionV>
                <wp:extent cx="2474595" cy="4018915"/>
                <wp:effectExtent l="0" t="0" r="0" b="0"/>
                <wp:wrapSquare wrapText="bothSides"/>
                <wp:docPr id="769"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401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94D7D" w14:textId="77777777" w:rsidR="00490F33" w:rsidRDefault="00490F33">
                            <w:pPr>
                              <w:spacing w:line="220" w:lineRule="exact"/>
                              <w:textAlignment w:val="baseline"/>
                              <w:rPr>
                                <w:rFonts w:ascii="Verdana" w:eastAsia="Verdana" w:hAnsi="Verdana"/>
                                <w:color w:val="404042"/>
                                <w:spacing w:val="3"/>
                                <w:sz w:val="17"/>
                              </w:rPr>
                            </w:pPr>
                            <w:r>
                              <w:rPr>
                                <w:rFonts w:ascii="Verdana" w:eastAsia="Verdana" w:hAnsi="Verdana"/>
                                <w:color w:val="404042"/>
                                <w:spacing w:val="3"/>
                                <w:sz w:val="17"/>
                              </w:rPr>
                              <w:t xml:space="preserve">The RMIT Urban School offers dedicated </w:t>
                            </w:r>
                            <w:r>
                              <w:rPr>
                                <w:rFonts w:ascii="Tahoma" w:eastAsia="Tahoma" w:hAnsi="Tahoma"/>
                                <w:color w:val="404042"/>
                                <w:spacing w:val="3"/>
                                <w:sz w:val="18"/>
                              </w:rPr>
                              <w:t xml:space="preserve">pathway advisers who can provide guidance on the wide range of programs and courses </w:t>
                            </w:r>
                            <w:r>
                              <w:rPr>
                                <w:rFonts w:ascii="Verdana" w:eastAsia="Verdana" w:hAnsi="Verdana"/>
                                <w:color w:val="404042"/>
                                <w:spacing w:val="3"/>
                                <w:sz w:val="17"/>
                              </w:rPr>
                              <w:t xml:space="preserve">on offer. Students are also supported to build </w:t>
                            </w:r>
                            <w:r>
                              <w:rPr>
                                <w:rFonts w:ascii="Tahoma" w:eastAsia="Tahoma" w:hAnsi="Tahoma"/>
                                <w:color w:val="404042"/>
                                <w:spacing w:val="3"/>
                                <w:sz w:val="18"/>
                              </w:rPr>
                              <w:t xml:space="preserve">lifelong learning ‘passports’ that combine </w:t>
                            </w:r>
                            <w:r>
                              <w:rPr>
                                <w:rFonts w:ascii="Verdana" w:eastAsia="Verdana" w:hAnsi="Verdana"/>
                                <w:color w:val="404042"/>
                                <w:spacing w:val="3"/>
                                <w:sz w:val="17"/>
                              </w:rPr>
                              <w:t xml:space="preserve">their interests and allow for flexibility in </w:t>
                            </w:r>
                            <w:r>
                              <w:rPr>
                                <w:rFonts w:ascii="Tahoma" w:eastAsia="Tahoma" w:hAnsi="Tahoma"/>
                                <w:color w:val="404042"/>
                                <w:spacing w:val="3"/>
                                <w:sz w:val="18"/>
                              </w:rPr>
                              <w:t xml:space="preserve">trialling new areas of content knowledge and skills application. Opportunities for work-integrated learning and community partnerships are provided, with timetable </w:t>
                            </w:r>
                            <w:r>
                              <w:rPr>
                                <w:rFonts w:ascii="Verdana" w:eastAsia="Verdana" w:hAnsi="Verdana"/>
                                <w:color w:val="404042"/>
                                <w:spacing w:val="3"/>
                                <w:sz w:val="17"/>
                              </w:rPr>
                              <w:t xml:space="preserve">flexibility allowing students to pursue these </w:t>
                            </w:r>
                            <w:r>
                              <w:rPr>
                                <w:rFonts w:ascii="Tahoma" w:eastAsia="Tahoma" w:hAnsi="Tahoma"/>
                                <w:color w:val="404042"/>
                                <w:spacing w:val="3"/>
                                <w:sz w:val="18"/>
                              </w:rPr>
                              <w:t>activities alongside their studies.</w:t>
                            </w:r>
                          </w:p>
                          <w:p w14:paraId="7AFE8029" w14:textId="77777777" w:rsidR="00490F33" w:rsidRDefault="00490F33">
                            <w:pPr>
                              <w:spacing w:before="150" w:line="220" w:lineRule="exact"/>
                              <w:textAlignment w:val="baseline"/>
                              <w:rPr>
                                <w:rFonts w:ascii="Tahoma" w:eastAsia="Tahoma" w:hAnsi="Tahoma"/>
                                <w:color w:val="404042"/>
                                <w:spacing w:val="6"/>
                                <w:sz w:val="18"/>
                              </w:rPr>
                            </w:pPr>
                            <w:r>
                              <w:rPr>
                                <w:rFonts w:ascii="Tahoma" w:eastAsia="Tahoma" w:hAnsi="Tahoma"/>
                                <w:color w:val="404042"/>
                                <w:spacing w:val="6"/>
                                <w:sz w:val="18"/>
                              </w:rPr>
                              <w:t xml:space="preserve">Each year, RMIT Urban School attracts an average of 450 students to its VCE program from a wide range of educational and socioeconomic backgrounds. Graduates have gone on to a wide range of pathways, from </w:t>
                            </w:r>
                            <w:r>
                              <w:rPr>
                                <w:rFonts w:ascii="Verdana" w:eastAsia="Verdana" w:hAnsi="Verdana"/>
                                <w:color w:val="404042"/>
                                <w:spacing w:val="6"/>
                                <w:sz w:val="17"/>
                              </w:rPr>
                              <w:t xml:space="preserve">finishing a degree in nursing commenced </w:t>
                            </w:r>
                            <w:r>
                              <w:rPr>
                                <w:rFonts w:ascii="Tahoma" w:eastAsia="Tahoma" w:hAnsi="Tahoma"/>
                                <w:color w:val="404042"/>
                                <w:spacing w:val="6"/>
                                <w:sz w:val="18"/>
                              </w:rPr>
                              <w:t>through a blended learning program in Year 11, to building on their work experience as a combined element of their academic program to develop a career in environmental management. Over 40 per cent of students go on to careers related to building thriving communities, with a focus on society and culture or health. Careers in the creative arts, sciences or management each attract 15 per cent of 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9485" id="Text Box 490" o:spid="_x0000_s1128" type="#_x0000_t202" style="position:absolute;margin-left:329.3pt;margin-top:74.95pt;width:194.85pt;height:316.45pt;z-index:-251880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6Q9AEAAMQDAAAOAAAAZHJzL2Uyb0RvYy54bWysU9tu2zAMfR+wfxD0vtgOkrYx4hRdiw4D&#10;ugvQ7gMYWY6F2aJGKbG7rx8lJ2m3vQ17ESiJOjznkFpfj30nDpq8QVvJYpZLoa3C2thdJb893b+7&#10;ksIHsDV0aHUln7WX15u3b9aDK/UcW+xqTYJBrC8HV8k2BFdmmVet7sHP0GnLlw1SD4G3tMtqgoHR&#10;+y6b5/lFNiDVjlBp7/n0brqUm4TfNFqFL03jdRBdJZlbSCuldRvXbLOGckfgWqOONOAfWPRgLBc9&#10;Q91BALEn8xdUbxShxybMFPYZNo1ROmlgNUX+h5rHFpxOWtgc7842+f8Hqz4fvpIwdSUvL1ZSWOi5&#10;SU96DOI9jmKxSg4Nzpec+Og4NYx8wZ1Oar17QPXdC4u3LdidviHCodVQM8Miepu9ehp74ksfQbbD&#10;J6y5EOwDJqCxoT7ax4YIRudOPZ+7E8koPpwvLhfL1VIKxXeLvLhaFctUA8rTc0c+fNDYixhUkrj9&#10;CR4ODz5EOlCeUmI1i/em69IIdPa3A06MJ4l+ZDxxD+N2TF4V+TxWjnq2WD+zIsJptPgrcNAi/ZRi&#10;4LGqpP+xB9JSdB8tuxJn8BTQKdieArCKn1YySDGFt2Ga1b0js2sZefLd4g0715ik6YXFkTCPSpJ6&#10;HOs4i6/3Kevl821+AQAA//8DAFBLAwQUAAYACAAAACEAYt+HqOEAAAAMAQAADwAAAGRycy9kb3du&#10;cmV2LnhtbEyPwU7DMBBE70j8g7VI3KhNKcEJcaoKwQkJNQ0Hjk68TaLG6xC7bfh73BMcV/M08zZf&#10;z3ZgJ5x870jB/UIAQ2qc6alV8Fm93UlgPmgyenCECn7Qw7q4vsp1ZtyZSjztQstiCflMK+hCGDPO&#10;fdOh1X7hRqSY7d1kdYjn1HIz6XMstwNfCpFwq3uKC50e8aXD5rA7WgWbLypf+++Pelvuy76qUkHv&#10;yUGp25t58wws4Bz+YLjoR3UoolPtjmQ8GxQkjzKJaAxWaQrsQoiVfABWK3iSSwm8yPn/J4pfAAAA&#10;//8DAFBLAQItABQABgAIAAAAIQC2gziS/gAAAOEBAAATAAAAAAAAAAAAAAAAAAAAAABbQ29udGVu&#10;dF9UeXBlc10ueG1sUEsBAi0AFAAGAAgAAAAhADj9If/WAAAAlAEAAAsAAAAAAAAAAAAAAAAALwEA&#10;AF9yZWxzLy5yZWxzUEsBAi0AFAAGAAgAAAAhAFS+vpD0AQAAxAMAAA4AAAAAAAAAAAAAAAAALgIA&#10;AGRycy9lMm9Eb2MueG1sUEsBAi0AFAAGAAgAAAAhAGLfh6jhAAAADAEAAA8AAAAAAAAAAAAAAAAA&#10;TgQAAGRycy9kb3ducmV2LnhtbFBLBQYAAAAABAAEAPMAAABcBQAAAAA=&#10;" filled="f" stroked="f">
                <v:textbox inset="0,0,0,0">
                  <w:txbxContent>
                    <w:p w14:paraId="16594D7D" w14:textId="77777777" w:rsidR="00490F33" w:rsidRDefault="00490F33">
                      <w:pPr>
                        <w:spacing w:line="220" w:lineRule="exact"/>
                        <w:textAlignment w:val="baseline"/>
                        <w:rPr>
                          <w:rFonts w:ascii="Verdana" w:eastAsia="Verdana" w:hAnsi="Verdana"/>
                          <w:color w:val="404042"/>
                          <w:spacing w:val="3"/>
                          <w:sz w:val="17"/>
                        </w:rPr>
                      </w:pPr>
                      <w:r>
                        <w:rPr>
                          <w:rFonts w:ascii="Verdana" w:eastAsia="Verdana" w:hAnsi="Verdana"/>
                          <w:color w:val="404042"/>
                          <w:spacing w:val="3"/>
                          <w:sz w:val="17"/>
                        </w:rPr>
                        <w:t xml:space="preserve">The RMIT Urban School offers dedicated </w:t>
                      </w:r>
                      <w:r>
                        <w:rPr>
                          <w:rFonts w:ascii="Tahoma" w:eastAsia="Tahoma" w:hAnsi="Tahoma"/>
                          <w:color w:val="404042"/>
                          <w:spacing w:val="3"/>
                          <w:sz w:val="18"/>
                        </w:rPr>
                        <w:t xml:space="preserve">pathway advisers who can provide guidance on the wide range of programs and courses </w:t>
                      </w:r>
                      <w:r>
                        <w:rPr>
                          <w:rFonts w:ascii="Verdana" w:eastAsia="Verdana" w:hAnsi="Verdana"/>
                          <w:color w:val="404042"/>
                          <w:spacing w:val="3"/>
                          <w:sz w:val="17"/>
                        </w:rPr>
                        <w:t xml:space="preserve">on offer. Students are also supported to build </w:t>
                      </w:r>
                      <w:r>
                        <w:rPr>
                          <w:rFonts w:ascii="Tahoma" w:eastAsia="Tahoma" w:hAnsi="Tahoma"/>
                          <w:color w:val="404042"/>
                          <w:spacing w:val="3"/>
                          <w:sz w:val="18"/>
                        </w:rPr>
                        <w:t xml:space="preserve">lifelong learning ‘passports’ that combine </w:t>
                      </w:r>
                      <w:r>
                        <w:rPr>
                          <w:rFonts w:ascii="Verdana" w:eastAsia="Verdana" w:hAnsi="Verdana"/>
                          <w:color w:val="404042"/>
                          <w:spacing w:val="3"/>
                          <w:sz w:val="17"/>
                        </w:rPr>
                        <w:t xml:space="preserve">their interests and allow for flexibility in </w:t>
                      </w:r>
                      <w:r>
                        <w:rPr>
                          <w:rFonts w:ascii="Tahoma" w:eastAsia="Tahoma" w:hAnsi="Tahoma"/>
                          <w:color w:val="404042"/>
                          <w:spacing w:val="3"/>
                          <w:sz w:val="18"/>
                        </w:rPr>
                        <w:t xml:space="preserve">trialling new areas of content knowledge and skills application. Opportunities for work-integrated learning and community partnerships are provided, with timetable </w:t>
                      </w:r>
                      <w:r>
                        <w:rPr>
                          <w:rFonts w:ascii="Verdana" w:eastAsia="Verdana" w:hAnsi="Verdana"/>
                          <w:color w:val="404042"/>
                          <w:spacing w:val="3"/>
                          <w:sz w:val="17"/>
                        </w:rPr>
                        <w:t xml:space="preserve">flexibility allowing students to pursue these </w:t>
                      </w:r>
                      <w:r>
                        <w:rPr>
                          <w:rFonts w:ascii="Tahoma" w:eastAsia="Tahoma" w:hAnsi="Tahoma"/>
                          <w:color w:val="404042"/>
                          <w:spacing w:val="3"/>
                          <w:sz w:val="18"/>
                        </w:rPr>
                        <w:t>activities alongside their studies.</w:t>
                      </w:r>
                    </w:p>
                    <w:p w14:paraId="7AFE8029" w14:textId="77777777" w:rsidR="00490F33" w:rsidRDefault="00490F33">
                      <w:pPr>
                        <w:spacing w:before="150" w:line="220" w:lineRule="exact"/>
                        <w:textAlignment w:val="baseline"/>
                        <w:rPr>
                          <w:rFonts w:ascii="Tahoma" w:eastAsia="Tahoma" w:hAnsi="Tahoma"/>
                          <w:color w:val="404042"/>
                          <w:spacing w:val="6"/>
                          <w:sz w:val="18"/>
                        </w:rPr>
                      </w:pPr>
                      <w:r>
                        <w:rPr>
                          <w:rFonts w:ascii="Tahoma" w:eastAsia="Tahoma" w:hAnsi="Tahoma"/>
                          <w:color w:val="404042"/>
                          <w:spacing w:val="6"/>
                          <w:sz w:val="18"/>
                        </w:rPr>
                        <w:t xml:space="preserve">Each year, RMIT Urban School attracts an average of 450 students to its VCE program from a wide range of educational and socioeconomic backgrounds. Graduates have gone on to a wide range of pathways, from </w:t>
                      </w:r>
                      <w:r>
                        <w:rPr>
                          <w:rFonts w:ascii="Verdana" w:eastAsia="Verdana" w:hAnsi="Verdana"/>
                          <w:color w:val="404042"/>
                          <w:spacing w:val="6"/>
                          <w:sz w:val="17"/>
                        </w:rPr>
                        <w:t xml:space="preserve">finishing a degree in nursing commenced </w:t>
                      </w:r>
                      <w:r>
                        <w:rPr>
                          <w:rFonts w:ascii="Tahoma" w:eastAsia="Tahoma" w:hAnsi="Tahoma"/>
                          <w:color w:val="404042"/>
                          <w:spacing w:val="6"/>
                          <w:sz w:val="18"/>
                        </w:rPr>
                        <w:t>through a blended learning program in Year 11, to building on their work experience as a combined element of their academic program to develop a career in environmental management. Over 40 per cent of students go on to careers related to building thriving communities, with a focus on society and culture or health. Careers in the creative arts, sciences or management each attract 15 per cent of students.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6544" behindDoc="1" locked="0" layoutInCell="1" allowOverlap="1" wp14:anchorId="39387219" wp14:editId="457DEE64">
                <wp:simplePos x="0" y="0"/>
                <wp:positionH relativeFrom="page">
                  <wp:posOffset>4182110</wp:posOffset>
                </wp:positionH>
                <wp:positionV relativeFrom="page">
                  <wp:posOffset>5251450</wp:posOffset>
                </wp:positionV>
                <wp:extent cx="2456180" cy="253365"/>
                <wp:effectExtent l="0" t="0" r="0" b="0"/>
                <wp:wrapSquare wrapText="bothSides"/>
                <wp:docPr id="768"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1B9D4" w14:textId="77777777" w:rsidR="00490F33" w:rsidRDefault="00490F33">
                            <w:pPr>
                              <w:spacing w:line="199" w:lineRule="exact"/>
                              <w:jc w:val="both"/>
                              <w:textAlignment w:val="baseline"/>
                              <w:rPr>
                                <w:rFonts w:ascii="Tahoma" w:eastAsia="Tahoma" w:hAnsi="Tahoma"/>
                                <w:color w:val="000000"/>
                                <w:sz w:val="14"/>
                              </w:rPr>
                            </w:pPr>
                            <w:r>
                              <w:rPr>
                                <w:rFonts w:ascii="Tahoma" w:eastAsia="Tahoma" w:hAnsi="Tahoma"/>
                                <w:color w:val="000000"/>
                                <w:sz w:val="14"/>
                              </w:rPr>
                              <w:t>Source: RMIT University submission and RMIT Urban School VCE Annual Report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87219" id="Text Box 489" o:spid="_x0000_s1129" type="#_x0000_t202" style="position:absolute;margin-left:329.3pt;margin-top:413.5pt;width:193.4pt;height:19.95pt;z-index:-251879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Kf08gEAAMMDAAAOAAAAZHJzL2Uyb0RvYy54bWysU9tu2zAMfR+wfxD0vjiXJsuMOEXXosOA&#10;rhvQ7gMYWY6F2aJGKbGzrx8lx1m3vQ17ESiSOjw8pDbXfduIoyZv0BZyNplKoa3C0th9Ib8+379Z&#10;S+ED2BIatLqQJ+3l9fb1q03ncj3HGptSk2AQ6/POFbIOweVZ5lWtW/ATdNpysEJqIfCV9llJ0DF6&#10;22Tz6XSVdUilI1Tae/beDUG5TfhVpVX4XFVeB9EUkrmFdFI6d/HMthvI9wSuNupMA/6BRQvGctEL&#10;1B0EEAcyf0G1RhF6rMJEYZthVRmlUw/czWz6RzdPNTidemFxvLvI5P8frHo8fiFhykK+XfGoLLQ8&#10;pGfdB/Eee3G1fhcV6pzPOfHJcWroOcCTTt1694DqmxcWb2uwe31DhF2toWSGs/gye/F0wPERZNd9&#10;wpILwSFgAuoraqN8LIhgdJ7U6TKdSEaxc361XM3WHFIcmy8Xi9UylYB8fO3Ihw8aWxGNQhJPP6HD&#10;8cGHyAbyMSUWs3hvmiZtQGN/c3Bi9CT2kfBAPfS7Pkk1my5GWXZYnrghwmGz+CewUSP9kKLjrSqk&#10;/34A0lI0Hy2LEldwNGg0dqMBVvHTQgYpBvM2DKt6cGT2NSMPslu8YeEqk3qKCg8szoR5U1Kr562O&#10;q/jynrJ+/b3tTwAAAP//AwBQSwMEFAAGAAgAAAAhAGIvAm/hAAAADAEAAA8AAABkcnMvZG93bnJl&#10;di54bWxMj8FOwzAMhu9IvEPkSdxYsmkLXWk6TQhOSIiuHDimTdZWa5zSZFt5e7wTO9r+9Pv7s+3k&#10;ena2Y+g8KljMBTCLtTcdNgq+yrfHBFiIGo3uPVoFvzbANr+/y3Rq/AULe97HhlEIhlQraGMcUs5D&#10;3Vqnw9wPFul28KPTkcax4WbUFwp3PV8KIbnTHdKHVg/2pbX1cX9yCnbfWLx2Px/VZ3EourLcCHyX&#10;R6UeZtPuGVi0U/yH4apP6pCTU+VPaALrFch1IglVkCyfqNSVEKv1ClhFKyk3wPOM35bI/wAAAP//&#10;AwBQSwECLQAUAAYACAAAACEAtoM4kv4AAADhAQAAEwAAAAAAAAAAAAAAAAAAAAAAW0NvbnRlbnRf&#10;VHlwZXNdLnhtbFBLAQItABQABgAIAAAAIQA4/SH/1gAAAJQBAAALAAAAAAAAAAAAAAAAAC8BAABf&#10;cmVscy8ucmVsc1BLAQItABQABgAIAAAAIQDt1Kf08gEAAMMDAAAOAAAAAAAAAAAAAAAAAC4CAABk&#10;cnMvZTJvRG9jLnhtbFBLAQItABQABgAIAAAAIQBiLwJv4QAAAAwBAAAPAAAAAAAAAAAAAAAAAEwE&#10;AABkcnMvZG93bnJldi54bWxQSwUGAAAAAAQABADzAAAAWgUAAAAA&#10;" filled="f" stroked="f">
                <v:textbox inset="0,0,0,0">
                  <w:txbxContent>
                    <w:p w14:paraId="3CC1B9D4" w14:textId="77777777" w:rsidR="00490F33" w:rsidRDefault="00490F33">
                      <w:pPr>
                        <w:spacing w:line="199" w:lineRule="exact"/>
                        <w:jc w:val="both"/>
                        <w:textAlignment w:val="baseline"/>
                        <w:rPr>
                          <w:rFonts w:ascii="Tahoma" w:eastAsia="Tahoma" w:hAnsi="Tahoma"/>
                          <w:color w:val="000000"/>
                          <w:sz w:val="14"/>
                        </w:rPr>
                      </w:pPr>
                      <w:r>
                        <w:rPr>
                          <w:rFonts w:ascii="Tahoma" w:eastAsia="Tahoma" w:hAnsi="Tahoma"/>
                          <w:color w:val="000000"/>
                          <w:sz w:val="14"/>
                        </w:rPr>
                        <w:t>Source: RMIT University submission and RMIT Urban School VCE Annual Report 2018.</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7568" behindDoc="1" locked="0" layoutInCell="1" allowOverlap="1" wp14:anchorId="0B2F4CD8" wp14:editId="30A3BE21">
                <wp:simplePos x="0" y="0"/>
                <wp:positionH relativeFrom="page">
                  <wp:posOffset>905510</wp:posOffset>
                </wp:positionH>
                <wp:positionV relativeFrom="page">
                  <wp:posOffset>6923405</wp:posOffset>
                </wp:positionV>
                <wp:extent cx="1800860" cy="144780"/>
                <wp:effectExtent l="0" t="0" r="0" b="0"/>
                <wp:wrapSquare wrapText="bothSides"/>
                <wp:docPr id="767"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0DB5B" w14:textId="77777777" w:rsidR="00490F33" w:rsidRDefault="00490F33">
                            <w:pPr>
                              <w:spacing w:before="7" w:line="206" w:lineRule="exact"/>
                              <w:textAlignment w:val="baseline"/>
                              <w:rPr>
                                <w:rFonts w:ascii="Tahoma" w:eastAsia="Tahoma" w:hAnsi="Tahoma"/>
                                <w:color w:val="404042"/>
                                <w:sz w:val="18"/>
                              </w:rPr>
                            </w:pPr>
                            <w:r>
                              <w:rPr>
                                <w:rFonts w:ascii="Tahoma" w:eastAsia="Tahoma" w:hAnsi="Tahoma"/>
                                <w:color w:val="404042"/>
                                <w:sz w:val="18"/>
                              </w:rPr>
                              <w:t>According to Ella Serle, a student: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F4CD8" id="Text Box 488" o:spid="_x0000_s1130" type="#_x0000_t202" style="position:absolute;margin-left:71.3pt;margin-top:545.15pt;width:141.8pt;height:11.4pt;z-index:-251878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8AEAAMMDAAAOAAAAZHJzL2Uyb0RvYy54bWysU9tu2zAMfR+wfxD0vtgpgsQw4hRdiw4D&#10;ugvQ9gMYWY6F2aJGKbG7rx8lx1m3vQ17ESiRPDw8pLbXY9+JkyZv0FZyucil0FZhbeyhks9P9+8K&#10;KXwAW0OHVlfyRXt5vXv7Zju4Ul9hi12tSTCI9eXgKtmG4Mos86rVPfgFOm3Z2SD1EPhKh6wmGBi9&#10;77KrPF9nA1LtCJX2nl/vJqfcJfym0Sp8aRqvg+gqydxCOimd+3hmuy2UBwLXGnWmAf/AogdjuegF&#10;6g4CiCOZv6B6owg9NmGhsM+waYzSqQfuZpn/0c1jC06nXlgc7y4y+f8Hqz6fvpIwdSU3640UFnoe&#10;0pMeg3iPo1gVRVRocL7kwEfHoWFkB086devdA6pvXli8bcEe9A0RDq2GmhkuY2b2KnXC8RFkP3zC&#10;mgvBMWACGhvqo3wsiGB0ntTLZTqRjIolizwv1uxS7FuuVpsijS+Dcs525MMHjb2IRiWJp5/Q4fTg&#10;Q2QD5RwSi1m8N12XNqCzvz1wYHxJ7CPhiXoY92OSapmvZln2WL9wQ4TTZvFPYKNF+iHFwFtVSf/9&#10;CKSl6D5aFiWu4GzQbOxnA6zi1EoGKSbzNkyrenRkDi0jT7JbvGHhGpN6igpPLM6EeVNSq+etjqv4&#10;+p6ifv293U8AAAD//wMAUEsDBBQABgAIAAAAIQCO8dAS4AAAAA0BAAAPAAAAZHJzL2Rvd25yZXYu&#10;eG1sTI9BT8MwDIXvSPyHyEjcWNIOVaw0nSYEJyREVw4c09ZrozVOabKt/HvMCW5+z0/Pn4vt4kZx&#10;xjlYTxqSlQKB1PrOUq/ho365ewARoqHOjJ5QwzcG2JbXV4XJO3+hCs/72AsuoZAbDUOMUy5laAd0&#10;Jqz8hMS7g5+diSznXnazuXC5G2WqVCadscQXBjPh04DtcX9yGnafVD3br7fmvTpUtq43il6zo9a3&#10;N8vuEUTEJf6F4Ref0aFkpsafqAtiZH2fZhzlQW3UGgRH2ElBNGwlyToBWRby/xflDwAAAP//AwBQ&#10;SwECLQAUAAYACAAAACEAtoM4kv4AAADhAQAAEwAAAAAAAAAAAAAAAAAAAAAAW0NvbnRlbnRfVHlw&#10;ZXNdLnhtbFBLAQItABQABgAIAAAAIQA4/SH/1gAAAJQBAAALAAAAAAAAAAAAAAAAAC8BAABfcmVs&#10;cy8ucmVsc1BLAQItABQABgAIAAAAIQCp//GO8AEAAMMDAAAOAAAAAAAAAAAAAAAAAC4CAABkcnMv&#10;ZTJvRG9jLnhtbFBLAQItABQABgAIAAAAIQCO8dAS4AAAAA0BAAAPAAAAAAAAAAAAAAAAAEoEAABk&#10;cnMvZG93bnJldi54bWxQSwUGAAAAAAQABADzAAAAVwUAAAAA&#10;" filled="f" stroked="f">
                <v:textbox inset="0,0,0,0">
                  <w:txbxContent>
                    <w:p w14:paraId="5BD0DB5B" w14:textId="77777777" w:rsidR="00490F33" w:rsidRDefault="00490F33">
                      <w:pPr>
                        <w:spacing w:before="7" w:line="206" w:lineRule="exact"/>
                        <w:textAlignment w:val="baseline"/>
                        <w:rPr>
                          <w:rFonts w:ascii="Tahoma" w:eastAsia="Tahoma" w:hAnsi="Tahoma"/>
                          <w:color w:val="404042"/>
                          <w:sz w:val="18"/>
                        </w:rPr>
                      </w:pPr>
                      <w:r>
                        <w:rPr>
                          <w:rFonts w:ascii="Tahoma" w:eastAsia="Tahoma" w:hAnsi="Tahoma"/>
                          <w:color w:val="404042"/>
                          <w:sz w:val="18"/>
                        </w:rPr>
                        <w:t>According to Ella Serle, a student: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8592" behindDoc="1" locked="0" layoutInCell="1" allowOverlap="1" wp14:anchorId="14C1D2A8" wp14:editId="6ABB2243">
                <wp:simplePos x="0" y="0"/>
                <wp:positionH relativeFrom="page">
                  <wp:posOffset>844550</wp:posOffset>
                </wp:positionH>
                <wp:positionV relativeFrom="page">
                  <wp:posOffset>7178675</wp:posOffset>
                </wp:positionV>
                <wp:extent cx="2526665" cy="1906905"/>
                <wp:effectExtent l="0" t="0" r="0" b="0"/>
                <wp:wrapSquare wrapText="bothSides"/>
                <wp:docPr id="766"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90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5E12" w14:textId="77777777" w:rsidR="00490F33" w:rsidRDefault="00490F33">
                            <w:pPr>
                              <w:spacing w:line="299" w:lineRule="exact"/>
                              <w:textAlignment w:val="baseline"/>
                              <w:rPr>
                                <w:rFonts w:ascii="Tahoma" w:eastAsia="Tahoma" w:hAnsi="Tahoma"/>
                                <w:i/>
                                <w:color w:val="007691"/>
                                <w:sz w:val="21"/>
                              </w:rPr>
                            </w:pPr>
                            <w:r>
                              <w:rPr>
                                <w:rFonts w:ascii="Tahoma" w:eastAsia="Tahoma" w:hAnsi="Tahoma"/>
                                <w:i/>
                                <w:color w:val="007691"/>
                                <w:sz w:val="21"/>
                              </w:rPr>
                              <w:t xml:space="preserve">“RMIT Urban School gives me the freedom to pursue my own learning path and the opportunity to be involved in all aspects </w:t>
                            </w:r>
                            <w:r>
                              <w:rPr>
                                <w:rFonts w:ascii="Verdana" w:eastAsia="Verdana" w:hAnsi="Verdana"/>
                                <w:i/>
                                <w:color w:val="007691"/>
                                <w:sz w:val="19"/>
                              </w:rPr>
                              <w:t xml:space="preserve">of RMIT life. Studying Certificate and </w:t>
                            </w:r>
                            <w:r>
                              <w:rPr>
                                <w:rFonts w:ascii="Tahoma" w:eastAsia="Tahoma" w:hAnsi="Tahoma"/>
                                <w:i/>
                                <w:color w:val="007691"/>
                                <w:sz w:val="21"/>
                              </w:rPr>
                              <w:t xml:space="preserve">Diploma level courses as a complement to my VCE has allowed me to learn and grow </w:t>
                            </w:r>
                            <w:r>
                              <w:rPr>
                                <w:rFonts w:ascii="Verdana" w:eastAsia="Verdana" w:hAnsi="Verdana"/>
                                <w:i/>
                                <w:color w:val="007691"/>
                                <w:sz w:val="19"/>
                              </w:rPr>
                              <w:t xml:space="preserve">in different ways, as well as experience life at university before finishing my VCE. </w:t>
                            </w:r>
                            <w:r>
                              <w:rPr>
                                <w:rFonts w:ascii="Tahoma" w:eastAsia="Tahoma" w:hAnsi="Tahoma"/>
                                <w:i/>
                                <w:color w:val="007691"/>
                                <w:sz w:val="21"/>
                              </w:rPr>
                              <w:t>It also teaches me practical skills for the real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1D2A8" id="Text Box 487" o:spid="_x0000_s1131" type="#_x0000_t202" style="position:absolute;margin-left:66.5pt;margin-top:565.25pt;width:198.95pt;height:150.15pt;z-index:-251877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EE8QEAAMQDAAAOAAAAZHJzL2Uyb0RvYy54bWysU8Fu2zAMvQ/YPwi6L3aCxW2NOEXXosOA&#10;bh3Q7gMYWY6F2aJGKbGzrx8lJ2m33YZdBEqiHt97pFbXY9+JvSZv0FZyPsul0FZhbey2kt+e799d&#10;SuED2Bo6tLqSB+3l9frtm9XgSr3AFrtak2AQ68vBVbINwZVZ5lWre/AzdNryZYPUQ+AtbbOaYGD0&#10;vssWeV5kA1LtCJX2nk/vpku5TvhNo1V4bBqvg+gqydxCWimtm7hm6xWUWwLXGnWkAf/AogdjuegZ&#10;6g4CiB2Zv6B6owg9NmGmsM+waYzSSQOrmed/qHlqwemkhc3x7myT/3+w6sv+KwlTV/KiKKSw0HOT&#10;nvUYxAccxfvLi+jQ4HzJiU+OU8PIF9zppNa7B1TfvbB424Ld6hsiHFoNNTOcx5fZq6cTjo8gm+Ez&#10;1lwIdgET0NhQH+1jQwSjc6cO5+5EMooPF8tFURRLKRTfza/y4ipfphpQnp478uGjxl7EoJLE7U/w&#10;sH/wIdKB8pQSq1m8N12XRqCzvx1wYjxJ9CPjiXsYN2Pyaj5VjuI2WB9YEeE0WvwVOGiRfkox8FhV&#10;0v/YAWkpuk+WXYkzeAroFGxOAVjFTysZpJjC2zDN6s6R2baMPPlu8Yada0zS9MLiSJhHJUk9jnWc&#10;xdf7lPXy+da/AAAA//8DAFBLAwQUAAYACAAAACEAcOkZFeEAAAANAQAADwAAAGRycy9kb3ducmV2&#10;LnhtbEyPwU7DMBBE70j8g7VI3KhdTKs2xKkqBCekijQcODqxm1iN1yF22/D3XU5w29kdzb7JN5Pv&#10;2dmO0QVUMJ8JYBabYBy2Cj6rt4cVsJg0Gt0HtAp+bIRNcXuT68yEC5b2vE8toxCMmVbQpTRknMem&#10;s17HWRgs0u0QRq8TybHlZtQXCvc9fxRiyb12SB86PdiXzjbH/ckr2H5h+eq+d/VHeShdVa0Fvi+P&#10;St3fTdtnYMlO6c8Mv/iEDgUx1eGEJrKetJTUJdEwl2IBjCwLKdbAalo9SbECXuT8f4viCgAA//8D&#10;AFBLAQItABQABgAIAAAAIQC2gziS/gAAAOEBAAATAAAAAAAAAAAAAAAAAAAAAABbQ29udGVudF9U&#10;eXBlc10ueG1sUEsBAi0AFAAGAAgAAAAhADj9If/WAAAAlAEAAAsAAAAAAAAAAAAAAAAALwEAAF9y&#10;ZWxzLy5yZWxzUEsBAi0AFAAGAAgAAAAhAPpewQTxAQAAxAMAAA4AAAAAAAAAAAAAAAAALgIAAGRy&#10;cy9lMm9Eb2MueG1sUEsBAi0AFAAGAAgAAAAhAHDpGRXhAAAADQEAAA8AAAAAAAAAAAAAAAAASwQA&#10;AGRycy9kb3ducmV2LnhtbFBLBQYAAAAABAAEAPMAAABZBQAAAAA=&#10;" filled="f" stroked="f">
                <v:textbox inset="0,0,0,0">
                  <w:txbxContent>
                    <w:p w14:paraId="138A5E12" w14:textId="77777777" w:rsidR="00490F33" w:rsidRDefault="00490F33">
                      <w:pPr>
                        <w:spacing w:line="299" w:lineRule="exact"/>
                        <w:textAlignment w:val="baseline"/>
                        <w:rPr>
                          <w:rFonts w:ascii="Tahoma" w:eastAsia="Tahoma" w:hAnsi="Tahoma"/>
                          <w:i/>
                          <w:color w:val="007691"/>
                          <w:sz w:val="21"/>
                        </w:rPr>
                      </w:pPr>
                      <w:r>
                        <w:rPr>
                          <w:rFonts w:ascii="Tahoma" w:eastAsia="Tahoma" w:hAnsi="Tahoma"/>
                          <w:i/>
                          <w:color w:val="007691"/>
                          <w:sz w:val="21"/>
                        </w:rPr>
                        <w:t xml:space="preserve">“RMIT Urban School gives me the freedom to pursue my own learning path and the opportunity to be involved in all aspects </w:t>
                      </w:r>
                      <w:r>
                        <w:rPr>
                          <w:rFonts w:ascii="Verdana" w:eastAsia="Verdana" w:hAnsi="Verdana"/>
                          <w:i/>
                          <w:color w:val="007691"/>
                          <w:sz w:val="19"/>
                        </w:rPr>
                        <w:t xml:space="preserve">of RMIT life. Studying Certificate and </w:t>
                      </w:r>
                      <w:r>
                        <w:rPr>
                          <w:rFonts w:ascii="Tahoma" w:eastAsia="Tahoma" w:hAnsi="Tahoma"/>
                          <w:i/>
                          <w:color w:val="007691"/>
                          <w:sz w:val="21"/>
                        </w:rPr>
                        <w:t xml:space="preserve">Diploma level courses as a complement to my VCE has allowed me to learn and grow </w:t>
                      </w:r>
                      <w:r>
                        <w:rPr>
                          <w:rFonts w:ascii="Verdana" w:eastAsia="Verdana" w:hAnsi="Verdana"/>
                          <w:i/>
                          <w:color w:val="007691"/>
                          <w:sz w:val="19"/>
                        </w:rPr>
                        <w:t xml:space="preserve">in different ways, as well as experience life at university before finishing my VCE. </w:t>
                      </w:r>
                      <w:r>
                        <w:rPr>
                          <w:rFonts w:ascii="Tahoma" w:eastAsia="Tahoma" w:hAnsi="Tahoma"/>
                          <w:i/>
                          <w:color w:val="007691"/>
                          <w:sz w:val="21"/>
                        </w:rPr>
                        <w:t>It also teaches me practical skills for the real world.”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39616" behindDoc="1" locked="0" layoutInCell="1" allowOverlap="1" wp14:anchorId="281E5D20" wp14:editId="2FE766F9">
                <wp:simplePos x="0" y="0"/>
                <wp:positionH relativeFrom="page">
                  <wp:posOffset>542290</wp:posOffset>
                </wp:positionH>
                <wp:positionV relativeFrom="page">
                  <wp:posOffset>9692640</wp:posOffset>
                </wp:positionV>
                <wp:extent cx="1222375" cy="144780"/>
                <wp:effectExtent l="0" t="0" r="0" b="0"/>
                <wp:wrapSquare wrapText="bothSides"/>
                <wp:docPr id="76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54931" w14:textId="77777777" w:rsidR="00490F33" w:rsidRDefault="00490F33">
                            <w:pPr>
                              <w:tabs>
                                <w:tab w:val="right" w:pos="1944"/>
                              </w:tabs>
                              <w:spacing w:after="17" w:line="199" w:lineRule="exact"/>
                              <w:textAlignment w:val="baseline"/>
                              <w:rPr>
                                <w:rFonts w:ascii="Arial" w:eastAsia="Arial" w:hAnsi="Arial"/>
                                <w:b/>
                                <w:color w:val="5556A2"/>
                                <w:sz w:val="19"/>
                              </w:rPr>
                            </w:pPr>
                            <w:r>
                              <w:rPr>
                                <w:rFonts w:ascii="Arial" w:eastAsia="Arial" w:hAnsi="Arial"/>
                                <w:b/>
                                <w:color w:val="5556A2"/>
                                <w:sz w:val="19"/>
                              </w:rPr>
                              <w:t>66</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E5D20" id="Text Box 486" o:spid="_x0000_s1132" type="#_x0000_t202" style="position:absolute;margin-left:42.7pt;margin-top:763.2pt;width:96.25pt;height:11.4pt;z-index:-251876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Yq8AEAAMMDAAAOAAAAZHJzL2Uyb0RvYy54bWysU8Fu2zAMvQ/YPwi6L06yLAmMOEXXosOA&#10;bh3Q7gMYWY6F2aJGKbGzrx8lx1m33YpeBEokHx8fqc1V3zbiqMkbtIWcTaZSaKuwNHZfyO9Pd+/W&#10;UvgAtoQGrS7kSXt5tX37ZtO5XM+xxqbUJBjE+rxzhaxDcHmWeVXrFvwEnbbsrJBaCHylfVYSdIze&#10;Ntl8Ol1mHVLpCJX2nl9vB6fcJvyq0io8VJXXQTSFZG4hnZTOXTyz7QbyPYGrjTrTgBewaMFYLnqB&#10;uoUA4kDmP6jWKEKPVZgobDOsKqN06oG7mU3/6eaxBqdTLyyOdxeZ/OvBqq/HbyRMWcjV8oMUFloe&#10;0pPug/iIvVisl1GhzvmcAx8dh4aeHTzp1K1396h+eGHxpga719dE2NUaSmY4i5nZs9QBx0eQXfcF&#10;Sy4Eh4AJqK+ojfKxIILReVKny3QiGRVLzufz9ysmqdg3WyxW6zS+DPIx25EPnzS2IhqFJJ5+Qofj&#10;vQ+RDeRjSCxm8c40TdqAxv71wIHxJbGPhAfqod/1SarZ9CLLDssTN0Q4bBb/BDZqpF9SdLxVhfQ/&#10;D0BaiuazZVHiCo4GjcZuNMAqTi1kkGIwb8KwqgdHZl8z8iC7xWsWrjKpp6jwwOJMmDcltXre6riK&#10;z+8p6s/f2/4GAAD//wMAUEsDBBQABgAIAAAAIQCQLbk04QAAAAwBAAAPAAAAZHJzL2Rvd25yZXYu&#10;eG1sTI9BT4NAEIXvJv6HzZh4s4ukpQVZmsboycRI8eBxYadAys4iu23x3zs96W3mvZc33+Tb2Q7i&#10;jJPvHSl4XEQgkBpnemoVfFavDxsQPmgyenCECn7Qw7a4vcl1ZtyFSjzvQyu4hHymFXQhjJmUvunQ&#10;ar9wIxJ7BzdZHXidWmkmfeFyO8g4ihJpdU98odMjPnfYHPcnq2D3ReVL//1ef5SHsq+qNKK35KjU&#10;/d28ewIRcA5/YbjiMzoUzFS7ExkvBgWb1ZKTrK/ihCdOxOt1CqK+Sss0Blnk8v8TxS8AAAD//wMA&#10;UEsBAi0AFAAGAAgAAAAhALaDOJL+AAAA4QEAABMAAAAAAAAAAAAAAAAAAAAAAFtDb250ZW50X1R5&#10;cGVzXS54bWxQSwECLQAUAAYACAAAACEAOP0h/9YAAACUAQAACwAAAAAAAAAAAAAAAAAvAQAAX3Jl&#10;bHMvLnJlbHNQSwECLQAUAAYACAAAACEAJvVmKvABAADDAwAADgAAAAAAAAAAAAAAAAAuAgAAZHJz&#10;L2Uyb0RvYy54bWxQSwECLQAUAAYACAAAACEAkC25NOEAAAAMAQAADwAAAAAAAAAAAAAAAABKBAAA&#10;ZHJzL2Rvd25yZXYueG1sUEsFBgAAAAAEAAQA8wAAAFgFAAAAAA==&#10;" filled="f" stroked="f">
                <v:textbox inset="0,0,0,0">
                  <w:txbxContent>
                    <w:p w14:paraId="59A54931" w14:textId="77777777" w:rsidR="00490F33" w:rsidRDefault="00490F33">
                      <w:pPr>
                        <w:tabs>
                          <w:tab w:val="right" w:pos="1944"/>
                        </w:tabs>
                        <w:spacing w:after="17" w:line="199" w:lineRule="exact"/>
                        <w:textAlignment w:val="baseline"/>
                        <w:rPr>
                          <w:rFonts w:ascii="Arial" w:eastAsia="Arial" w:hAnsi="Arial"/>
                          <w:b/>
                          <w:color w:val="5556A2"/>
                          <w:sz w:val="19"/>
                        </w:rPr>
                      </w:pPr>
                      <w:r>
                        <w:rPr>
                          <w:rFonts w:ascii="Arial" w:eastAsia="Arial" w:hAnsi="Arial"/>
                          <w:b/>
                          <w:color w:val="5556A2"/>
                          <w:sz w:val="19"/>
                        </w:rPr>
                        <w:t>66</w:t>
                      </w:r>
                      <w:r>
                        <w:rPr>
                          <w:rFonts w:ascii="Tahoma" w:eastAsia="Tahoma" w:hAnsi="Tahoma"/>
                          <w:color w:val="404042"/>
                          <w:sz w:val="14"/>
                        </w:rPr>
                        <w:tab/>
                        <w:t>Looking to the future</w:t>
                      </w:r>
                    </w:p>
                  </w:txbxContent>
                </v:textbox>
                <w10:wrap type="square" anchorx="page" anchory="page"/>
              </v:shape>
            </w:pict>
          </mc:Fallback>
        </mc:AlternateContent>
      </w:r>
    </w:p>
    <w:p w14:paraId="2749412D" w14:textId="77777777" w:rsidR="009757A9" w:rsidRDefault="009757A9">
      <w:pPr>
        <w:sectPr w:rsidR="009757A9">
          <w:pgSz w:w="11909" w:h="16838"/>
          <w:pgMar w:top="0" w:right="1440" w:bottom="0" w:left="1440" w:header="720" w:footer="720" w:gutter="0"/>
          <w:cols w:space="720"/>
        </w:sectPr>
      </w:pPr>
    </w:p>
    <w:p w14:paraId="4056212E" w14:textId="77777777" w:rsidR="009757A9" w:rsidRPr="007D4E2D" w:rsidRDefault="00083242" w:rsidP="007D4E2D">
      <w:pPr>
        <w:pStyle w:val="Heading2"/>
        <w:rPr>
          <w:rFonts w:eastAsia="Arial"/>
          <w:sz w:val="25"/>
          <w:szCs w:val="25"/>
        </w:rPr>
      </w:pPr>
      <w:r w:rsidRPr="007D4E2D">
        <w:rPr>
          <w:rFonts w:eastAsia="Arial"/>
          <w:sz w:val="25"/>
          <w:szCs w:val="25"/>
        </w:rPr>
        <w:lastRenderedPageBreak/>
        <w:t>High-quality career information</w:t>
      </w:r>
    </w:p>
    <w:p w14:paraId="4343C6A4" w14:textId="77777777" w:rsidR="009757A9" w:rsidRDefault="00083242">
      <w:pPr>
        <w:spacing w:before="166" w:line="238"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As part of the Panel’s consultation process, the Foundation for Young Australians undertook a process to support deeper engagement with 50 young people, to identify their lived experience of secondary school pathways. The outcome was discouraging. Sixty-three per cent of these young people felt they did not have enough information about post-school options.</w:t>
      </w:r>
      <w:r>
        <w:rPr>
          <w:rFonts w:ascii="Tahoma" w:eastAsia="Tahoma" w:hAnsi="Tahoma"/>
          <w:color w:val="404042"/>
          <w:spacing w:val="6"/>
          <w:sz w:val="18"/>
          <w:vertAlign w:val="superscript"/>
        </w:rPr>
        <w:t>76</w:t>
      </w:r>
      <w:r>
        <w:rPr>
          <w:rFonts w:ascii="Tahoma" w:eastAsia="Tahoma" w:hAnsi="Tahoma"/>
          <w:color w:val="404042"/>
          <w:spacing w:val="6"/>
          <w:sz w:val="10"/>
        </w:rPr>
        <w:t xml:space="preserve"> </w:t>
      </w:r>
    </w:p>
    <w:p w14:paraId="1A284EC2" w14:textId="77777777" w:rsidR="009757A9" w:rsidRDefault="00083242">
      <w:pPr>
        <w:spacing w:before="155" w:line="240" w:lineRule="exact"/>
        <w:ind w:left="864" w:right="1224"/>
        <w:textAlignment w:val="baseline"/>
        <w:rPr>
          <w:rFonts w:ascii="Tahoma" w:eastAsia="Tahoma" w:hAnsi="Tahoma"/>
          <w:color w:val="404042"/>
          <w:sz w:val="18"/>
        </w:rPr>
      </w:pPr>
      <w:r>
        <w:rPr>
          <w:rFonts w:ascii="Tahoma" w:eastAsia="Tahoma" w:hAnsi="Tahoma"/>
          <w:color w:val="404042"/>
          <w:sz w:val="18"/>
        </w:rPr>
        <w:t xml:space="preserve">The impact of students and transitioning workers not having access to the best information on their education and </w:t>
      </w:r>
      <w:r>
        <w:rPr>
          <w:rFonts w:ascii="Verdana" w:eastAsia="Verdana" w:hAnsi="Verdana"/>
          <w:color w:val="404042"/>
          <w:sz w:val="18"/>
        </w:rPr>
        <w:t xml:space="preserve">training pathways can be considerable. It results in skills mismatches with labour market demand, inefficient use of </w:t>
      </w:r>
      <w:r>
        <w:rPr>
          <w:rFonts w:ascii="Tahoma" w:eastAsia="Tahoma" w:hAnsi="Tahoma"/>
          <w:color w:val="404042"/>
          <w:sz w:val="18"/>
        </w:rPr>
        <w:t>taxpayer dollars in subsidies, and poorer outcomes for individuals.</w:t>
      </w:r>
    </w:p>
    <w:p w14:paraId="17621F67" w14:textId="77777777" w:rsidR="009757A9" w:rsidRDefault="00083242">
      <w:pPr>
        <w:spacing w:before="196" w:line="237" w:lineRule="exact"/>
        <w:ind w:left="864" w:right="1008"/>
        <w:textAlignment w:val="baseline"/>
        <w:rPr>
          <w:rFonts w:ascii="Verdana" w:eastAsia="Verdana" w:hAnsi="Verdana"/>
          <w:color w:val="404042"/>
          <w:sz w:val="18"/>
        </w:rPr>
      </w:pPr>
      <w:r>
        <w:rPr>
          <w:rFonts w:ascii="Verdana" w:eastAsia="Verdana" w:hAnsi="Verdana"/>
          <w:color w:val="404042"/>
          <w:sz w:val="18"/>
        </w:rPr>
        <w:t xml:space="preserve">While there is a wealth of useful material available to students transitioning to post-school life, it is difficult to navigate for the purpose of decision-making. To students, it appears “a confusing maze”, making it difficult for them to find </w:t>
      </w:r>
      <w:r>
        <w:rPr>
          <w:rFonts w:ascii="Tahoma" w:eastAsia="Tahoma" w:hAnsi="Tahoma"/>
          <w:color w:val="404042"/>
          <w:sz w:val="18"/>
        </w:rPr>
        <w:t>relevant and useful information.</w:t>
      </w:r>
      <w:r>
        <w:rPr>
          <w:rFonts w:ascii="Tahoma" w:eastAsia="Tahoma" w:hAnsi="Tahoma"/>
          <w:color w:val="404042"/>
          <w:sz w:val="18"/>
          <w:vertAlign w:val="superscript"/>
        </w:rPr>
        <w:t>77</w:t>
      </w:r>
      <w:r>
        <w:rPr>
          <w:rFonts w:ascii="Tahoma" w:eastAsia="Tahoma" w:hAnsi="Tahoma"/>
          <w:color w:val="404042"/>
          <w:sz w:val="10"/>
        </w:rPr>
        <w:t xml:space="preserve"> </w:t>
      </w:r>
    </w:p>
    <w:p w14:paraId="2A5B6B5D" w14:textId="77777777" w:rsidR="009757A9" w:rsidRDefault="00083242">
      <w:pPr>
        <w:spacing w:before="154" w:line="240" w:lineRule="exact"/>
        <w:ind w:left="864" w:right="936"/>
        <w:textAlignment w:val="baseline"/>
        <w:rPr>
          <w:rFonts w:ascii="Tahoma" w:eastAsia="Tahoma" w:hAnsi="Tahoma"/>
          <w:color w:val="404042"/>
          <w:spacing w:val="3"/>
          <w:sz w:val="18"/>
        </w:rPr>
      </w:pPr>
      <w:r>
        <w:rPr>
          <w:rFonts w:ascii="Tahoma" w:eastAsia="Tahoma" w:hAnsi="Tahoma"/>
          <w:color w:val="404042"/>
          <w:spacing w:val="3"/>
          <w:sz w:val="18"/>
        </w:rPr>
        <w:t xml:space="preserve">Too many conversations about a young person’s future start with ‘what university do you want to go to?’ While selecting a place to study is a very important decision for a young person, their future career aspirations should be the starting point. To help young people make informed decisions about their futures, we need a systemic shift in the approach to career advice. The starting point should involve consideration of a young person’s strengths and interests, </w:t>
      </w:r>
      <w:r>
        <w:rPr>
          <w:rFonts w:ascii="Verdana" w:eastAsia="Verdana" w:hAnsi="Verdana"/>
          <w:color w:val="404042"/>
          <w:spacing w:val="3"/>
          <w:sz w:val="18"/>
        </w:rPr>
        <w:t xml:space="preserve">identification of different roles available across different industries that may suit them, and only then move on to </w:t>
      </w:r>
      <w:r>
        <w:rPr>
          <w:rFonts w:ascii="Tahoma" w:eastAsia="Tahoma" w:hAnsi="Tahoma"/>
          <w:color w:val="404042"/>
          <w:spacing w:val="3"/>
          <w:sz w:val="18"/>
        </w:rPr>
        <w:t>consideration of particular courses or institutions.</w:t>
      </w:r>
    </w:p>
    <w:p w14:paraId="1032AA6D" w14:textId="77777777" w:rsidR="009757A9" w:rsidRDefault="00083242">
      <w:pPr>
        <w:spacing w:before="173" w:line="240" w:lineRule="exact"/>
        <w:ind w:left="864" w:right="1152"/>
        <w:textAlignment w:val="baseline"/>
        <w:rPr>
          <w:rFonts w:ascii="Verdana" w:eastAsia="Verdana" w:hAnsi="Verdana"/>
          <w:color w:val="404042"/>
          <w:sz w:val="18"/>
        </w:rPr>
      </w:pPr>
      <w:r>
        <w:rPr>
          <w:rFonts w:ascii="Verdana" w:eastAsia="Verdana" w:hAnsi="Verdana"/>
          <w:color w:val="404042"/>
          <w:sz w:val="18"/>
        </w:rPr>
        <w:t xml:space="preserve">The most effective career advice is industry informed, identifying emerging skills in demand by sector, as well as </w:t>
      </w:r>
      <w:r>
        <w:rPr>
          <w:rFonts w:ascii="Tahoma" w:eastAsia="Tahoma" w:hAnsi="Tahoma"/>
          <w:color w:val="404042"/>
          <w:sz w:val="18"/>
        </w:rPr>
        <w:t>potential areas of job growth. It should also allow students to consider the full cost of courses, level of indebtedness, the availability of government support, as well as starting salaries and career prospects. In some instances, students will want to know about employment opportunities in their local area.</w:t>
      </w:r>
    </w:p>
    <w:p w14:paraId="02C0D0B2" w14:textId="77777777" w:rsidR="009757A9" w:rsidRDefault="00083242">
      <w:pPr>
        <w:spacing w:before="168"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Students should leave school knowing how to apply for a job, prepare a resume and perform at interview. Young people think they are helped by talking to recent school leavers, undertaking incursions or excursions, gaining work experience or internships, developing a personal plan, and having school visits by professionals, guest speakers and </w:t>
      </w:r>
      <w:r>
        <w:rPr>
          <w:rFonts w:ascii="Verdana" w:eastAsia="Verdana" w:hAnsi="Verdana"/>
          <w:color w:val="404042"/>
          <w:sz w:val="18"/>
        </w:rPr>
        <w:t>employees from different industries. They look for assistance beyond the school gate.</w:t>
      </w:r>
    </w:p>
    <w:p w14:paraId="3A12FFE0" w14:textId="77777777" w:rsidR="009757A9" w:rsidRDefault="00083242">
      <w:pPr>
        <w:spacing w:before="170"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Many of the stakeholders that we met with expect that the recently established National Careers Institute might </w:t>
      </w:r>
      <w:r>
        <w:rPr>
          <w:rFonts w:ascii="Verdana" w:eastAsia="Verdana" w:hAnsi="Verdana"/>
          <w:color w:val="404042"/>
          <w:sz w:val="18"/>
        </w:rPr>
        <w:t xml:space="preserve">provide a unified system for career development resources. They hope the institute will establish itself as a ‘single </w:t>
      </w:r>
      <w:r>
        <w:rPr>
          <w:rFonts w:ascii="Tahoma" w:eastAsia="Tahoma" w:hAnsi="Tahoma"/>
          <w:color w:val="404042"/>
          <w:sz w:val="18"/>
        </w:rPr>
        <w:t xml:space="preserve">source of truth’ that can reduce the time career practitioners currently dedicate to searching for information. If </w:t>
      </w:r>
      <w:r>
        <w:rPr>
          <w:rFonts w:ascii="Verdana" w:eastAsia="Verdana" w:hAnsi="Verdana"/>
          <w:color w:val="404042"/>
          <w:sz w:val="18"/>
        </w:rPr>
        <w:t xml:space="preserve">students (and their parents) are taught how to use the institute’s online resources, it could significantly complement </w:t>
      </w:r>
      <w:r>
        <w:rPr>
          <w:rFonts w:ascii="Tahoma" w:eastAsia="Tahoma" w:hAnsi="Tahoma"/>
          <w:color w:val="404042"/>
          <w:sz w:val="18"/>
        </w:rPr>
        <w:t xml:space="preserve">face-to-face career guidance. But putting up yet another government website, without providing people with the proper </w:t>
      </w:r>
      <w:r>
        <w:rPr>
          <w:rFonts w:ascii="Verdana" w:eastAsia="Verdana" w:hAnsi="Verdana"/>
          <w:color w:val="404042"/>
          <w:sz w:val="18"/>
        </w:rPr>
        <w:t xml:space="preserve">assistance to use it effectively, will not be sufficient. The institute will need to deliver a high level of support to teachers, </w:t>
      </w:r>
      <w:r>
        <w:rPr>
          <w:rFonts w:ascii="Tahoma" w:eastAsia="Tahoma" w:hAnsi="Tahoma"/>
          <w:color w:val="404042"/>
          <w:sz w:val="18"/>
        </w:rPr>
        <w:t>careers advisers and students about how to access its considerable resources.</w:t>
      </w:r>
    </w:p>
    <w:p w14:paraId="05EF0B99" w14:textId="77777777" w:rsidR="009757A9" w:rsidRDefault="00083242">
      <w:pPr>
        <w:spacing w:before="171" w:line="240" w:lineRule="exact"/>
        <w:ind w:left="864" w:right="1008"/>
        <w:textAlignment w:val="baseline"/>
        <w:rPr>
          <w:rFonts w:ascii="Tahoma" w:eastAsia="Tahoma" w:hAnsi="Tahoma"/>
          <w:color w:val="404042"/>
          <w:sz w:val="18"/>
        </w:rPr>
      </w:pPr>
      <w:r>
        <w:rPr>
          <w:rFonts w:ascii="Tahoma" w:eastAsia="Tahoma" w:hAnsi="Tahoma"/>
          <w:color w:val="404042"/>
          <w:sz w:val="18"/>
        </w:rPr>
        <w:t>A recommendation from the Expert Review of Australia’s Vocational Education and Training System proposed that the National Careers Institute should provide:</w:t>
      </w:r>
    </w:p>
    <w:p w14:paraId="3E9CA12F" w14:textId="77777777" w:rsidR="009757A9" w:rsidRDefault="00083242">
      <w:pPr>
        <w:numPr>
          <w:ilvl w:val="0"/>
          <w:numId w:val="6"/>
        </w:numPr>
        <w:tabs>
          <w:tab w:val="clear" w:pos="216"/>
          <w:tab w:val="left" w:pos="1080"/>
        </w:tabs>
        <w:spacing w:before="84" w:line="240" w:lineRule="exact"/>
        <w:ind w:left="1080" w:right="936" w:hanging="216"/>
        <w:textAlignment w:val="baseline"/>
        <w:rPr>
          <w:rFonts w:ascii="Tahoma" w:eastAsia="Tahoma" w:hAnsi="Tahoma"/>
          <w:color w:val="404042"/>
          <w:sz w:val="18"/>
        </w:rPr>
      </w:pPr>
      <w:r>
        <w:rPr>
          <w:rFonts w:ascii="Tahoma" w:eastAsia="Tahoma" w:hAnsi="Tahoma"/>
          <w:color w:val="404042"/>
          <w:sz w:val="18"/>
        </w:rPr>
        <w:t>a single authoritative government source of career information, with a particular focus on marketing and promoting vocational careers</w:t>
      </w:r>
    </w:p>
    <w:p w14:paraId="19E04F2F" w14:textId="77777777" w:rsidR="009757A9" w:rsidRDefault="00083242">
      <w:pPr>
        <w:numPr>
          <w:ilvl w:val="0"/>
          <w:numId w:val="6"/>
        </w:numPr>
        <w:tabs>
          <w:tab w:val="clear" w:pos="216"/>
          <w:tab w:val="left" w:pos="1080"/>
        </w:tabs>
        <w:spacing w:before="88" w:line="240" w:lineRule="exact"/>
        <w:ind w:left="1080" w:right="864" w:hanging="216"/>
        <w:textAlignment w:val="baseline"/>
        <w:rPr>
          <w:rFonts w:ascii="Tahoma" w:eastAsia="Tahoma" w:hAnsi="Tahoma"/>
          <w:color w:val="404042"/>
          <w:sz w:val="18"/>
        </w:rPr>
      </w:pPr>
      <w:r>
        <w:rPr>
          <w:rFonts w:ascii="Tahoma" w:eastAsia="Tahoma" w:hAnsi="Tahoma"/>
          <w:color w:val="404042"/>
          <w:sz w:val="18"/>
        </w:rPr>
        <w:t>online information on career pathways and skills, which will assist teachers and careers advisers to support students to plan, navigate and manage career learning, training and work pathways</w:t>
      </w:r>
    </w:p>
    <w:p w14:paraId="4D4A8003" w14:textId="77777777" w:rsidR="009757A9" w:rsidRDefault="00083242">
      <w:pPr>
        <w:numPr>
          <w:ilvl w:val="0"/>
          <w:numId w:val="6"/>
        </w:numPr>
        <w:tabs>
          <w:tab w:val="clear" w:pos="216"/>
          <w:tab w:val="left" w:pos="1080"/>
        </w:tabs>
        <w:spacing w:before="82" w:line="240" w:lineRule="exact"/>
        <w:ind w:left="1080" w:right="1008" w:hanging="216"/>
        <w:textAlignment w:val="baseline"/>
        <w:rPr>
          <w:rFonts w:ascii="Tahoma" w:eastAsia="Tahoma" w:hAnsi="Tahoma"/>
          <w:color w:val="404042"/>
          <w:sz w:val="18"/>
        </w:rPr>
      </w:pPr>
      <w:r>
        <w:rPr>
          <w:rFonts w:ascii="Tahoma" w:eastAsia="Tahoma" w:hAnsi="Tahoma"/>
          <w:color w:val="404042"/>
          <w:sz w:val="18"/>
        </w:rPr>
        <w:t>through the VET Information Strategy, communication and stakeholder engagement activities to elevate the status of VET as a career pathway</w:t>
      </w:r>
    </w:p>
    <w:p w14:paraId="3E1DC6EF" w14:textId="77777777" w:rsidR="009757A9" w:rsidRDefault="00083242">
      <w:pPr>
        <w:numPr>
          <w:ilvl w:val="0"/>
          <w:numId w:val="6"/>
        </w:numPr>
        <w:tabs>
          <w:tab w:val="clear" w:pos="216"/>
          <w:tab w:val="left" w:pos="1080"/>
        </w:tabs>
        <w:spacing w:before="108" w:line="237" w:lineRule="exact"/>
        <w:ind w:left="1080" w:right="1008" w:hanging="216"/>
        <w:textAlignment w:val="baseline"/>
        <w:rPr>
          <w:rFonts w:ascii="Tahoma" w:eastAsia="Tahoma" w:hAnsi="Tahoma"/>
          <w:color w:val="404042"/>
          <w:sz w:val="18"/>
        </w:rPr>
      </w:pPr>
      <w:r>
        <w:rPr>
          <w:rFonts w:ascii="Tahoma" w:eastAsia="Tahoma" w:hAnsi="Tahoma"/>
          <w:color w:val="404042"/>
          <w:sz w:val="18"/>
        </w:rPr>
        <w:t>funding support for projects that enhance career information and address service gaps by enhancing partnerships between industry, employers, schools and tertiary providers.</w:t>
      </w:r>
      <w:r>
        <w:rPr>
          <w:rFonts w:ascii="Tahoma" w:eastAsia="Tahoma" w:hAnsi="Tahoma"/>
          <w:color w:val="404042"/>
          <w:sz w:val="18"/>
          <w:vertAlign w:val="superscript"/>
        </w:rPr>
        <w:t>78</w:t>
      </w:r>
      <w:r>
        <w:rPr>
          <w:rFonts w:ascii="Tahoma" w:eastAsia="Tahoma" w:hAnsi="Tahoma"/>
          <w:color w:val="404042"/>
          <w:sz w:val="10"/>
        </w:rPr>
        <w:t xml:space="preserve"> </w:t>
      </w:r>
    </w:p>
    <w:p w14:paraId="1765A27B" w14:textId="2F6CFB2D" w:rsidR="009757A9" w:rsidRDefault="00083242">
      <w:pPr>
        <w:spacing w:before="177" w:after="326" w:line="215" w:lineRule="exact"/>
        <w:ind w:left="864"/>
        <w:textAlignment w:val="baseline"/>
        <w:rPr>
          <w:rFonts w:ascii="Tahoma" w:eastAsia="Tahoma" w:hAnsi="Tahoma"/>
          <w:color w:val="404042"/>
          <w:spacing w:val="5"/>
          <w:sz w:val="18"/>
        </w:rPr>
      </w:pPr>
      <w:r>
        <w:rPr>
          <w:rFonts w:ascii="Tahoma" w:eastAsia="Tahoma" w:hAnsi="Tahoma"/>
          <w:color w:val="404042"/>
          <w:spacing w:val="5"/>
          <w:sz w:val="18"/>
        </w:rPr>
        <w:t>The Panel strongly supports these objectives.</w:t>
      </w:r>
    </w:p>
    <w:p w14:paraId="3117127D" w14:textId="02ECBD4D" w:rsidR="009757A9" w:rsidRDefault="009F7F0B">
      <w:pPr>
        <w:spacing w:before="75" w:line="171" w:lineRule="exact"/>
        <w:ind w:left="864"/>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81984" behindDoc="0" locked="0" layoutInCell="1" allowOverlap="1" wp14:anchorId="5B6629D5" wp14:editId="24BF404C">
                <wp:simplePos x="0" y="0"/>
                <wp:positionH relativeFrom="page">
                  <wp:posOffset>539750</wp:posOffset>
                </wp:positionH>
                <wp:positionV relativeFrom="page">
                  <wp:posOffset>9004935</wp:posOffset>
                </wp:positionV>
                <wp:extent cx="917575" cy="0"/>
                <wp:effectExtent l="0" t="0" r="0" b="0"/>
                <wp:wrapNone/>
                <wp:docPr id="764"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8689F" id="Line 485" o:spid="_x0000_s1026" style="position:absolute;z-index:2518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09.05pt" to="114.75pt,7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lYzgEAAIYDAAAOAAAAZHJzL2Uyb0RvYy54bWysU8GO2jAQvVfqP1i+lwS0wDYi7AG6vdAW&#10;abcfMNhOYtXxWLYh8PcdO0C37a1qDpbHM/PmzZvJ6uncG3ZSPmi0NZ9OSs6UFSi1bWv+/fX5wyNn&#10;IYKVYNCqml9U4E/r9+9Wg6vUDDs0UnlGIDZUg6t5F6OriiKITvUQJuiUJWeDvodIpm8L6WEg9N4U&#10;s7JcFAN66TwKFQK9bkcnX2f8plEifmuaoCIzNSduMZ8+n4d0FusVVK0H12lxpQH/wKIHbanoHWoL&#10;EdjR67+gei08BmziRGBfYNNooXIP1M20/KOblw6cyr2QOMHdZQr/D1Z8Pe0907Lmy8UDZxZ6GtJO&#10;W8UeHudJncGFioI2du9Tf+JsX9wOxY/ALG46sK3KLF8vjhKnKaP4LSUZwVGNw/AFJcXAMWKW6tz4&#10;PkGSCOycJ3K5T0SdIxP0+HG6nC/nnImbq4Dqlud8iJ8V9ixdam6IdMaF0y7ExAOqW0gqY/FZG5Pn&#10;bSwbiOysXMxzRkCjZfKmuODbw8Z4doK0MvnLXZHnbViC3kLoxrjsGpfJ49HKXKZTID9d7xG0Ge9E&#10;y9irSkmYUeIDysve39SjYWf+18VM2/TWztm/fp/1TwAAAP//AwBQSwMEFAAGAAgAAAAhABAI3X/f&#10;AAAADAEAAA8AAABkcnMvZG93bnJldi54bWxMj8FOwzAQRO9I/IO1SFwQdRKlyIQ4FaoENxAUqvbo&#10;xksSEa+j2G3C37McEBx3djTzplzNrhcnHEPnSUO6SEAg1d521Gh4f3u4ViBCNGRN7wk1fGGAVXV+&#10;VprC+ole8bSJjeAQCoXR0MY4FFKGukVnwsIPSPz78KMzkc+xkXY0E4e7XmZJciOd6YgbWjPgusX6&#10;c3N0GqRMVD5vd9NTfhVUt183+8fnF60vL+b7OxAR5/hnhh98RoeKmQ7+SDaIXoNa8pTIep6qFAQ7&#10;sux2CeLwK8mqlP9HVN8AAAD//wMAUEsBAi0AFAAGAAgAAAAhALaDOJL+AAAA4QEAABMAAAAAAAAA&#10;AAAAAAAAAAAAAFtDb250ZW50X1R5cGVzXS54bWxQSwECLQAUAAYACAAAACEAOP0h/9YAAACUAQAA&#10;CwAAAAAAAAAAAAAAAAAvAQAAX3JlbHMvLnJlbHNQSwECLQAUAAYACAAAACEAfGNpWM4BAACGAwAA&#10;DgAAAAAAAAAAAAAAAAAuAgAAZHJzL2Uyb0RvYy54bWxQSwECLQAUAAYACAAAACEAEAjdf98AAAAM&#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 xml:space="preserve">76 </w:t>
      </w:r>
      <w:r w:rsidR="00083242">
        <w:rPr>
          <w:rFonts w:ascii="Verdana" w:eastAsia="Verdana" w:hAnsi="Verdana"/>
          <w:color w:val="404042"/>
          <w:sz w:val="13"/>
        </w:rPr>
        <w:t>Foundation for Young Australians (2020), co-design report (unpublished), p. 11.</w:t>
      </w:r>
    </w:p>
    <w:p w14:paraId="5D2D1C07" w14:textId="77777777" w:rsidR="009757A9" w:rsidRDefault="00083242">
      <w:pPr>
        <w:spacing w:line="199" w:lineRule="exact"/>
        <w:ind w:left="1080" w:right="1296" w:hanging="216"/>
        <w:textAlignment w:val="baseline"/>
        <w:rPr>
          <w:rFonts w:ascii="Tahoma" w:eastAsia="Tahoma" w:hAnsi="Tahoma"/>
          <w:color w:val="404042"/>
          <w:sz w:val="14"/>
        </w:rPr>
      </w:pPr>
      <w:r>
        <w:rPr>
          <w:rFonts w:ascii="Tahoma" w:eastAsia="Tahoma" w:hAnsi="Tahoma"/>
          <w:color w:val="404042"/>
          <w:sz w:val="14"/>
        </w:rPr>
        <w:t xml:space="preserve">77 Productivity Commission (2017), </w:t>
      </w:r>
      <w:r>
        <w:rPr>
          <w:rFonts w:ascii="Arial" w:eastAsia="Arial" w:hAnsi="Arial"/>
          <w:i/>
          <w:color w:val="404042"/>
          <w:sz w:val="14"/>
        </w:rPr>
        <w:t>Shifting the Dial: 5 year productivity review</w:t>
      </w:r>
      <w:r>
        <w:rPr>
          <w:rFonts w:ascii="Verdana" w:eastAsia="Verdana" w:hAnsi="Verdana"/>
          <w:color w:val="404042"/>
          <w:sz w:val="13"/>
        </w:rPr>
        <w:t xml:space="preserve">, inquiry report no. 84, 3 August 2017, p. 116, </w:t>
      </w:r>
      <w:hyperlink r:id="rId149">
        <w:r>
          <w:rPr>
            <w:rFonts w:ascii="Tahoma" w:eastAsia="Tahoma" w:hAnsi="Tahoma"/>
            <w:color w:val="0000FF"/>
            <w:sz w:val="14"/>
            <w:u w:val="single"/>
          </w:rPr>
          <w:t>https://www.pc.gov.au/ inquiries/completed/productivity-review/report/productivity-review.pdf</w:t>
        </w:r>
      </w:hyperlink>
      <w:r>
        <w:rPr>
          <w:rFonts w:ascii="Tahoma" w:eastAsia="Tahoma" w:hAnsi="Tahoma"/>
          <w:color w:val="404042"/>
          <w:sz w:val="14"/>
        </w:rPr>
        <w:t>.</w:t>
      </w:r>
    </w:p>
    <w:p w14:paraId="2699117C" w14:textId="77777777" w:rsidR="009757A9" w:rsidRDefault="00083242">
      <w:pPr>
        <w:spacing w:line="200" w:lineRule="exact"/>
        <w:ind w:left="1080" w:right="864" w:hanging="216"/>
        <w:textAlignment w:val="baseline"/>
        <w:rPr>
          <w:rFonts w:ascii="Tahoma" w:eastAsia="Tahoma" w:hAnsi="Tahoma"/>
          <w:color w:val="404042"/>
          <w:spacing w:val="4"/>
          <w:sz w:val="14"/>
        </w:rPr>
      </w:pPr>
      <w:r>
        <w:rPr>
          <w:rFonts w:ascii="Tahoma" w:eastAsia="Tahoma" w:hAnsi="Tahoma"/>
          <w:color w:val="404042"/>
          <w:spacing w:val="4"/>
          <w:sz w:val="14"/>
        </w:rPr>
        <w:t xml:space="preserve">78 Joyce, S. (2019), </w:t>
      </w:r>
      <w:r>
        <w:rPr>
          <w:rFonts w:ascii="Arial" w:eastAsia="Arial" w:hAnsi="Arial"/>
          <w:i/>
          <w:color w:val="404042"/>
          <w:spacing w:val="4"/>
          <w:sz w:val="14"/>
        </w:rPr>
        <w:t>Strengthening Skills: Expert Review of Australia’s Vocational Education and Training System</w:t>
      </w:r>
      <w:r>
        <w:rPr>
          <w:rFonts w:ascii="Tahoma" w:eastAsia="Tahoma" w:hAnsi="Tahoma"/>
          <w:color w:val="404042"/>
          <w:spacing w:val="4"/>
          <w:sz w:val="14"/>
        </w:rPr>
        <w:t xml:space="preserve">, Department of the Prime Minister and Cabinet, March 2019, pp. 86–90, </w:t>
      </w:r>
      <w:hyperlink r:id="rId150">
        <w:r>
          <w:rPr>
            <w:rFonts w:ascii="Verdana" w:eastAsia="Verdana" w:hAnsi="Verdana"/>
            <w:color w:val="0000FF"/>
            <w:spacing w:val="4"/>
            <w:sz w:val="13"/>
            <w:u w:val="single"/>
          </w:rPr>
          <w:t>https://www.pmc.gov.au/sites/default/files/publications/strengthening</w:t>
        </w:r>
      </w:hyperlink>
      <w:r>
        <w:rPr>
          <w:rFonts w:ascii="Tahoma" w:eastAsia="Tahoma" w:hAnsi="Tahoma"/>
          <w:color w:val="0000FF"/>
          <w:spacing w:val="4"/>
          <w:sz w:val="14"/>
          <w:u w:val="single"/>
        </w:rPr>
        <w:t>-skills-independent-review-australia-vets_1. pdf</w:t>
      </w:r>
      <w:r>
        <w:rPr>
          <w:rFonts w:ascii="Tahoma" w:eastAsia="Tahoma" w:hAnsi="Tahoma"/>
          <w:color w:val="404042"/>
          <w:spacing w:val="4"/>
          <w:sz w:val="14"/>
        </w:rPr>
        <w:t>.</w:t>
      </w:r>
    </w:p>
    <w:p w14:paraId="59408CD3" w14:textId="0831E276" w:rsidR="009757A9" w:rsidRDefault="004D7D34">
      <w:pPr>
        <w:tabs>
          <w:tab w:val="left" w:pos="10872"/>
        </w:tabs>
        <w:spacing w:before="369" w:after="639" w:line="201" w:lineRule="exact"/>
        <w:ind w:left="7992"/>
        <w:textAlignment w:val="baseline"/>
        <w:rPr>
          <w:rFonts w:ascii="Tahoma" w:eastAsia="Tahoma" w:hAnsi="Tahoma"/>
          <w:color w:val="404042"/>
          <w:sz w:val="14"/>
        </w:rPr>
      </w:pPr>
      <w:r>
        <w:rPr>
          <w:noProof/>
          <w:lang w:val="en-AU" w:eastAsia="en-AU"/>
        </w:rPr>
        <w:drawing>
          <wp:anchor distT="0" distB="0" distL="114300" distR="114300" simplePos="0" relativeHeight="252073472" behindDoc="1" locked="0" layoutInCell="1" allowOverlap="1" wp14:anchorId="7CC988DA" wp14:editId="1BF785B1">
            <wp:simplePos x="0" y="0"/>
            <wp:positionH relativeFrom="margin">
              <wp:align>right</wp:align>
            </wp:positionH>
            <wp:positionV relativeFrom="paragraph">
              <wp:posOffset>447675</wp:posOffset>
            </wp:positionV>
            <wp:extent cx="7562215" cy="462915"/>
            <wp:effectExtent l="0" t="0" r="635" b="0"/>
            <wp:wrapNone/>
            <wp:docPr id="1059" name="Picture"/>
            <wp:cNvGraphicFramePr/>
            <a:graphic xmlns:a="http://schemas.openxmlformats.org/drawingml/2006/main">
              <a:graphicData uri="http://schemas.openxmlformats.org/drawingml/2006/picture">
                <pic:pic xmlns:pic="http://schemas.openxmlformats.org/drawingml/2006/picture">
                  <pic:nvPicPr>
                    <pic:cNvPr id="108" name="Picture"/>
                    <pic:cNvPicPr preferRelativeResize="0"/>
                  </pic:nvPicPr>
                  <pic:blipFill>
                    <a:blip r:embed="rId14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2: Exercising informed choice</w:t>
      </w:r>
      <w:r w:rsidR="00083242">
        <w:rPr>
          <w:rFonts w:ascii="Arial" w:eastAsia="Arial" w:hAnsi="Arial"/>
          <w:b/>
          <w:color w:val="5556A1"/>
          <w:sz w:val="19"/>
        </w:rPr>
        <w:tab/>
        <w:t>67</w:t>
      </w:r>
    </w:p>
    <w:p w14:paraId="44B96515" w14:textId="17DE3A1A" w:rsidR="009757A9" w:rsidRDefault="009757A9">
      <w:pPr>
        <w:sectPr w:rsidR="009757A9">
          <w:pgSz w:w="11909" w:h="16838"/>
          <w:pgMar w:top="1080" w:right="0" w:bottom="0" w:left="0" w:header="720" w:footer="720" w:gutter="0"/>
          <w:cols w:space="720"/>
        </w:sectPr>
      </w:pPr>
    </w:p>
    <w:p w14:paraId="1767A648"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40640" behindDoc="1" locked="0" layoutInCell="1" allowOverlap="1" wp14:anchorId="2FAC7A88" wp14:editId="06E57293">
                <wp:simplePos x="0" y="0"/>
                <wp:positionH relativeFrom="page">
                  <wp:posOffset>0</wp:posOffset>
                </wp:positionH>
                <wp:positionV relativeFrom="page">
                  <wp:posOffset>0</wp:posOffset>
                </wp:positionV>
                <wp:extent cx="7562215" cy="10692130"/>
                <wp:effectExtent l="0" t="0" r="0" b="0"/>
                <wp:wrapSquare wrapText="bothSides"/>
                <wp:docPr id="763"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D146F" w14:textId="77777777" w:rsidR="00490F33" w:rsidRDefault="00490F33">
                            <w:pPr>
                              <w:textAlignment w:val="baseline"/>
                            </w:pPr>
                            <w:r>
                              <w:rPr>
                                <w:noProof/>
                                <w:lang w:val="en-AU" w:eastAsia="en-AU"/>
                              </w:rPr>
                              <w:drawing>
                                <wp:inline distT="0" distB="0" distL="0" distR="0" wp14:anchorId="1FFF5667" wp14:editId="5CA8C7DF">
                                  <wp:extent cx="7562215" cy="10692130"/>
                                  <wp:effectExtent l="0" t="0" r="0" b="0"/>
                                  <wp:docPr id="111" name="Picture" descr="photograph of a student"/>
                                  <wp:cNvGraphicFramePr/>
                                  <a:graphic xmlns:a="http://schemas.openxmlformats.org/drawingml/2006/main">
                                    <a:graphicData uri="http://schemas.openxmlformats.org/drawingml/2006/picture">
                                      <pic:pic xmlns:pic="http://schemas.openxmlformats.org/drawingml/2006/picture">
                                        <pic:nvPicPr>
                                          <pic:cNvPr id="111" name="Picture" descr="photograph of a student"/>
                                          <pic:cNvPicPr preferRelativeResize="0"/>
                                        </pic:nvPicPr>
                                        <pic:blipFill>
                                          <a:blip r:embed="rId151"/>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7A88" id="Text Box 484" o:spid="_x0000_s1133" type="#_x0000_t202" style="position:absolute;margin-left:0;margin-top:0;width:595.45pt;height:841.9pt;z-index:-251875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b49AEAAMUDAAAOAAAAZHJzL2Uyb0RvYy54bWysU9tu1DAQfUfiHyy/s7m03S3RZqvSqgip&#10;XKSWD3AcJ7FIPGbs3WT5esbOZinwhnixxnM5PnNmvL2Zhp4dFDoNpuTZKuVMGQm1Nm3Jvz4/vLnm&#10;zHlhatGDUSU/Ksdvdq9fbUdbqBw66GuFjECMK0Zb8s57WySJk50ahFuBVYaCDeAgPF2xTWoUI6EP&#10;fZKn6ToZAWuLIJVz5L2fg3wX8ZtGSf+5aZzyrC85cfPxxHhW4Ux2W1G0KGyn5YmG+AcWg9CGHj1D&#10;3Qsv2B71X1CDlggOGr+SMCTQNFqq2AN1k6V/dPPUCatiLySOs2eZ3P+DlZ8OX5DpuuSb9QVnRgw0&#10;pGc1efYOJnZ5fRkUGq0rKPHJUqqfKECTjt06+wjym2MG7jphWnWLCGOnRE0Ms1CZvCidcVwAqcaP&#10;UNNDYu8hAk0NDkE+EoQROk3qeJ5OICPJubla53l2xZmkWJau3+bZRRxgIoql3qLz7xUMLBglR5p/&#10;xBeHR+cDH1EsKeE5Aw+67+MO9OY3ByUGT+QfKM/k/VRNUaws3SzCVFAfqSWEebfoL5DRAf7gbKS9&#10;Krn7vheoOOs/GJIlLOFi4GJUiyGMpNKSe85m887Py7q3qNuOkGfhDdySdI2OPQWNZxYnwrQrsdXT&#10;XodlfHmPWb9+3+4nAAAA//8DAFBLAwQUAAYACAAAACEAeyLJIt0AAAAHAQAADwAAAGRycy9kb3du&#10;cmV2LnhtbEyPwU7DMBBE70j8g7VI3KhdkKIkxKmqip4qIdJw4OjE28RqvE5jtw1/j8sFLqtZzWrm&#10;bbGa7cAuOHnjSMJyIYAhtU4b6iR81tunFJgPirQaHKGEb/SwKu/vCpVrd6UKL/vQsRhCPlcS+hDG&#10;nHPf9miVX7gRKXoHN1kV4jp1XE/qGsPtwJ+FSLhVhmJDr0bc9Nge92crYf1F1Zs5vTcf1aEydZ0J&#10;2iVHKR8f5vUrsIBz+DuGG35EhzIyNe5M2rNBQnwk/M6bt8xEBqyJKklfUuBlwf/zlz8AAAD//wMA&#10;UEsBAi0AFAAGAAgAAAAhALaDOJL+AAAA4QEAABMAAAAAAAAAAAAAAAAAAAAAAFtDb250ZW50X1R5&#10;cGVzXS54bWxQSwECLQAUAAYACAAAACEAOP0h/9YAAACUAQAACwAAAAAAAAAAAAAAAAAvAQAAX3Jl&#10;bHMvLnJlbHNQSwECLQAUAAYACAAAACEAJh32+PQBAADFAwAADgAAAAAAAAAAAAAAAAAuAgAAZHJz&#10;L2Uyb0RvYy54bWxQSwECLQAUAAYACAAAACEAeyLJIt0AAAAHAQAADwAAAAAAAAAAAAAAAABOBAAA&#10;ZHJzL2Rvd25yZXYueG1sUEsFBgAAAAAEAAQA8wAAAFgFAAAAAA==&#10;" filled="f" stroked="f">
                <v:textbox inset="0,0,0,0">
                  <w:txbxContent>
                    <w:p w14:paraId="557D146F" w14:textId="77777777" w:rsidR="00490F33" w:rsidRDefault="00490F33">
                      <w:pPr>
                        <w:textAlignment w:val="baseline"/>
                      </w:pPr>
                      <w:r>
                        <w:rPr>
                          <w:noProof/>
                          <w:lang w:val="en-AU" w:eastAsia="en-AU"/>
                        </w:rPr>
                        <w:drawing>
                          <wp:inline distT="0" distB="0" distL="0" distR="0" wp14:anchorId="1FFF5667" wp14:editId="5CA8C7DF">
                            <wp:extent cx="7562215" cy="10692130"/>
                            <wp:effectExtent l="0" t="0" r="0" b="0"/>
                            <wp:docPr id="111" name="Picture" descr="photograph of a student"/>
                            <wp:cNvGraphicFramePr/>
                            <a:graphic xmlns:a="http://schemas.openxmlformats.org/drawingml/2006/main">
                              <a:graphicData uri="http://schemas.openxmlformats.org/drawingml/2006/picture">
                                <pic:pic xmlns:pic="http://schemas.openxmlformats.org/drawingml/2006/picture">
                                  <pic:nvPicPr>
                                    <pic:cNvPr id="111" name="Picture" descr="photograph of a student"/>
                                    <pic:cNvPicPr preferRelativeResize="0"/>
                                  </pic:nvPicPr>
                                  <pic:blipFill>
                                    <a:blip r:embed="rId151"/>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1664" behindDoc="1" locked="0" layoutInCell="1" allowOverlap="1" wp14:anchorId="2B69299A" wp14:editId="7C6DB542">
                <wp:simplePos x="0" y="0"/>
                <wp:positionH relativeFrom="page">
                  <wp:posOffset>847090</wp:posOffset>
                </wp:positionH>
                <wp:positionV relativeFrom="page">
                  <wp:posOffset>982980</wp:posOffset>
                </wp:positionV>
                <wp:extent cx="2682240" cy="1151255"/>
                <wp:effectExtent l="0" t="0" r="0" b="0"/>
                <wp:wrapSquare wrapText="bothSides"/>
                <wp:docPr id="762"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15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F5635"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F5AF22B" w14:textId="77777777" w:rsidR="00490F33" w:rsidRDefault="00490F33">
                            <w:pPr>
                              <w:spacing w:line="450" w:lineRule="exact"/>
                              <w:textAlignment w:val="baseline"/>
                              <w:rPr>
                                <w:rFonts w:ascii="Tahoma" w:eastAsia="Tahoma" w:hAnsi="Tahoma"/>
                                <w:color w:val="BF5B1F"/>
                                <w:spacing w:val="18"/>
                                <w:w w:val="95"/>
                                <w:sz w:val="38"/>
                              </w:rPr>
                            </w:pPr>
                            <w:r>
                              <w:rPr>
                                <w:rFonts w:ascii="Tahoma" w:eastAsia="Tahoma" w:hAnsi="Tahoma"/>
                                <w:color w:val="BF5B1F"/>
                                <w:spacing w:val="18"/>
                                <w:w w:val="95"/>
                                <w:sz w:val="38"/>
                              </w:rPr>
                              <w:t>COMPREHENSIVE AND</w:t>
                            </w:r>
                          </w:p>
                          <w:p w14:paraId="7F0916F6" w14:textId="77777777" w:rsidR="00490F33" w:rsidRDefault="00490F33">
                            <w:pPr>
                              <w:spacing w:line="46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UNIVERSAL CAREER</w:t>
                            </w:r>
                          </w:p>
                          <w:p w14:paraId="1AC2D62D" w14:textId="77777777" w:rsidR="00490F33" w:rsidRDefault="00490F33">
                            <w:pPr>
                              <w:spacing w:before="1" w:line="454" w:lineRule="exact"/>
                              <w:textAlignment w:val="baseline"/>
                              <w:rPr>
                                <w:rFonts w:ascii="Tahoma" w:eastAsia="Tahoma" w:hAnsi="Tahoma"/>
                                <w:color w:val="BF5B1F"/>
                                <w:spacing w:val="6"/>
                                <w:w w:val="95"/>
                                <w:sz w:val="38"/>
                              </w:rPr>
                            </w:pPr>
                            <w:r>
                              <w:rPr>
                                <w:rFonts w:ascii="Tahoma" w:eastAsia="Tahoma" w:hAnsi="Tahoma"/>
                                <w:color w:val="BF5B1F"/>
                                <w:spacing w:val="6"/>
                                <w:w w:val="95"/>
                                <w:sz w:val="38"/>
                              </w:rPr>
                              <w:t>SERVICES IN SCOTLAND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9299A" id="Text Box 483" o:spid="_x0000_s1134" type="#_x0000_t202" style="position:absolute;margin-left:66.7pt;margin-top:77.4pt;width:211.2pt;height:90.65pt;z-index:-251874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Bo8gEAAMQDAAAOAAAAZHJzL2Uyb0RvYy54bWysU9tu2zAMfR+wfxD0vviyJguMOEXXosOA&#10;bh3Q7gNkWbaF2aJGKbGzrx8lx1m3vQ17ESiSOjw8pHbX09Czo0KnwZQ8W6WcKSOh1qYt+dfn+zdb&#10;zpwXphY9GFXyk3L8ev/61W60hcqhg75WyAjEuGK0Je+8t0WSONmpQbgVWGUo2AAOwtMV26RGMRL6&#10;0Cd5mm6SEbC2CFI5R967Ocj3Eb9plPSPTeOUZ33JiZuPJ8azCmey34miRWE7Lc80xD+wGIQ2VPQC&#10;dSe8YAfUf0ENWiI4aPxKwpBA02ipYg/UTZb+0c1TJ6yKvZA4zl5kcv8PVn4+fkGm65K/2+ScGTHQ&#10;kJ7V5Nl7mNjV9m1QaLSuoMQnS6l+ogBNOnbr7APIb44ZuO2EadUNIoydEjUxzMLL5MXTGccFkGr8&#10;BDUVEgcPEWhqcAjykSCM0GlSp8t0AhlJznyzzfMrCkmKZdk6y9frWEMUy3OLzn9QMLBglBxp/BFe&#10;HB+cD3REsaSEagbudd/HFejNbw5KDJ5IPzCeufupmqJWWbpddKmgPlFHCPNq0VcgowP8wdlIa1Vy&#10;9/0gUHHWfzSkStjBxcDFqBZDGElPS+45m81bP+/qwaJuO0KedTdwQ8o1OvYUJJ5ZnAnTqsRWz2sd&#10;dvHlPWb9+nz7nwAAAP//AwBQSwMEFAAGAAgAAAAhAAk74t7fAAAACwEAAA8AAABkcnMvZG93bnJl&#10;di54bWxMj0FPg0AQhe8m/ofNmHizS6UQS1maxujJxEjx4HGBKWzKziK7bfHfO57q7b3Mlzfv5dvZ&#10;DuKMkzeOFCwXEQikxrWGOgWf1evDEwgfNLV6cIQKftDDtri9yXXWuguVeN6HTnAI+Uwr6EMYMyl9&#10;06PVfuFGJL4d3GR1YDt1sp30hcPtIB+jKJVWG+IPvR7xucfmuD9ZBbsvKl/M93v9UR5KU1XriN7S&#10;o1L3d/NuAyLgHK4w/NXn6lBwp9qdqPViYB/HK0ZZJCvewESSJCxqBXGcLkEWufy/ofgFAAD//wMA&#10;UEsBAi0AFAAGAAgAAAAhALaDOJL+AAAA4QEAABMAAAAAAAAAAAAAAAAAAAAAAFtDb250ZW50X1R5&#10;cGVzXS54bWxQSwECLQAUAAYACAAAACEAOP0h/9YAAACUAQAACwAAAAAAAAAAAAAAAAAvAQAAX3Jl&#10;bHMvLnJlbHNQSwECLQAUAAYACAAAACEAqL4AaPIBAADEAwAADgAAAAAAAAAAAAAAAAAuAgAAZHJz&#10;L2Uyb0RvYy54bWxQSwECLQAUAAYACAAAACEACTvi3t8AAAALAQAADwAAAAAAAAAAAAAAAABMBAAA&#10;ZHJzL2Rvd25yZXYueG1sUEsFBgAAAAAEAAQA8wAAAFgFAAAAAA==&#10;" filled="f" stroked="f">
                <v:textbox inset="0,0,0,0">
                  <w:txbxContent>
                    <w:p w14:paraId="38BF5635"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F5AF22B" w14:textId="77777777" w:rsidR="00490F33" w:rsidRDefault="00490F33">
                      <w:pPr>
                        <w:spacing w:line="450" w:lineRule="exact"/>
                        <w:textAlignment w:val="baseline"/>
                        <w:rPr>
                          <w:rFonts w:ascii="Tahoma" w:eastAsia="Tahoma" w:hAnsi="Tahoma"/>
                          <w:color w:val="BF5B1F"/>
                          <w:spacing w:val="18"/>
                          <w:w w:val="95"/>
                          <w:sz w:val="38"/>
                        </w:rPr>
                      </w:pPr>
                      <w:r>
                        <w:rPr>
                          <w:rFonts w:ascii="Tahoma" w:eastAsia="Tahoma" w:hAnsi="Tahoma"/>
                          <w:color w:val="BF5B1F"/>
                          <w:spacing w:val="18"/>
                          <w:w w:val="95"/>
                          <w:sz w:val="38"/>
                        </w:rPr>
                        <w:t>COMPREHENSIVE AND</w:t>
                      </w:r>
                    </w:p>
                    <w:p w14:paraId="7F0916F6" w14:textId="77777777" w:rsidR="00490F33" w:rsidRDefault="00490F33">
                      <w:pPr>
                        <w:spacing w:line="46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UNIVERSAL CAREER</w:t>
                      </w:r>
                    </w:p>
                    <w:p w14:paraId="1AC2D62D" w14:textId="77777777" w:rsidR="00490F33" w:rsidRDefault="00490F33">
                      <w:pPr>
                        <w:spacing w:before="1" w:line="454" w:lineRule="exact"/>
                        <w:textAlignment w:val="baseline"/>
                        <w:rPr>
                          <w:rFonts w:ascii="Tahoma" w:eastAsia="Tahoma" w:hAnsi="Tahoma"/>
                          <w:color w:val="BF5B1F"/>
                          <w:spacing w:val="6"/>
                          <w:w w:val="95"/>
                          <w:sz w:val="38"/>
                        </w:rPr>
                      </w:pPr>
                      <w:r>
                        <w:rPr>
                          <w:rFonts w:ascii="Tahoma" w:eastAsia="Tahoma" w:hAnsi="Tahoma"/>
                          <w:color w:val="BF5B1F"/>
                          <w:spacing w:val="6"/>
                          <w:w w:val="95"/>
                          <w:sz w:val="38"/>
                        </w:rPr>
                        <w:t>SERVICES IN SCOTLAND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2688" behindDoc="1" locked="0" layoutInCell="1" allowOverlap="1" wp14:anchorId="17CFADA6" wp14:editId="154578C6">
                <wp:simplePos x="0" y="0"/>
                <wp:positionH relativeFrom="page">
                  <wp:posOffset>905510</wp:posOffset>
                </wp:positionH>
                <wp:positionV relativeFrom="page">
                  <wp:posOffset>2294890</wp:posOffset>
                </wp:positionV>
                <wp:extent cx="2428875" cy="1219200"/>
                <wp:effectExtent l="0" t="0" r="0" b="0"/>
                <wp:wrapSquare wrapText="bothSides"/>
                <wp:docPr id="761"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0D440" w14:textId="77777777" w:rsidR="00490F33" w:rsidRDefault="00490F33">
                            <w:pPr>
                              <w:spacing w:line="239" w:lineRule="exact"/>
                              <w:textAlignment w:val="baseline"/>
                              <w:rPr>
                                <w:rFonts w:ascii="Tahoma" w:eastAsia="Tahoma" w:hAnsi="Tahoma"/>
                                <w:color w:val="414042"/>
                                <w:spacing w:val="5"/>
                                <w:sz w:val="18"/>
                              </w:rPr>
                            </w:pPr>
                            <w:r>
                              <w:rPr>
                                <w:rFonts w:ascii="Tahoma" w:eastAsia="Tahoma" w:hAnsi="Tahoma"/>
                                <w:color w:val="414042"/>
                                <w:spacing w:val="5"/>
                                <w:sz w:val="18"/>
                              </w:rPr>
                              <w:t>Skills Development Scotland (SDS), the national skills body, uses skills intelligence to support individuals to build their career management and work-based skills, and pathways from school into further education and employment. SDS works with employers and employer groups on a national, sectoral, regional, local and individual basis.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ADA6" id="Text Box 482" o:spid="_x0000_s1135" type="#_x0000_t202" style="position:absolute;margin-left:71.3pt;margin-top:180.7pt;width:191.25pt;height:96pt;z-index:-251873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4z8gEAAMQDAAAOAAAAZHJzL2Uyb0RvYy54bWysU9tu2zAMfR+wfxD0vjg2ujY14hRdiw4D&#10;ugvQ7gMYWY6F2aJGKbGzrx8lx1m3vQ17ESiSOjw8pNY3Y9+JgyZv0FYyXyyl0FZhbeyukl+fH96s&#10;pPABbA0dWl3Jo/byZvP61XpwpS6wxa7WJBjE+nJwlWxDcGWWedXqHvwCnbYcbJB6CHylXVYTDIze&#10;d1mxXF5mA1LtCJX2nr33U1BuEn7TaBU+N43XQXSVZG4hnZTObTyzzRrKHYFrjTrRgH9g0YOxXPQM&#10;dQ8BxJ7MX1C9UYQem7BQ2GfYNEbp1AN3ky//6OapBadTLyyOd2eZ/P+DVZ8OX0iYupJXl7kUFnoe&#10;0rMeg3iHo7hYFVGhwfmSE58cp4aRAzzp1K13j6i+eWHxrgW707dEOLQaamaYx5fZi6cTjo8g2+Ej&#10;1lwI9gET0NhQH+VjQQSj86SO5+lEMoqdxUWxWl29lUJxLC/ya55/qgHl/NyRD+819iIalSQef4KH&#10;w6MPkQ6Uc0qsZvHBdF1agc7+5uDE6En0I+OJexi3Y9IqX17PumyxPnJHhNNq8Vdgo0X6IcXAa1VJ&#10;/30PpKXoPlhWJe7gbNBsbGcDrOKnlQxSTOZdmHZ178jsWkaedLd4y8o1JvUUJZ5YnAjzqqRWT2sd&#10;d/HlPWX9+nybnwAAAP//AwBQSwMEFAAGAAgAAAAhACz6R+LgAAAACwEAAA8AAABkcnMvZG93bnJl&#10;di54bWxMj8FOg0AQhu8mvsNmTLzZBQrEIkvTGD2ZGCkeelzYLWzKziK7bfHtHU96mz/z5Z9vyu1i&#10;R3bRszcOBcSrCJjGzimDvYDP5vXhEZgPEpUcHWoB39rDtrq9KWWh3BVrfdmHnlEJ+kIKGEKYCs59&#10;N2gr/cpNGml3dLOVgeLcczXLK5XbkSdRlHMrDdKFQU76edDdaX+2AnYHrF/M13v7UR9r0zSbCN/y&#10;kxD3d8vuCVjQS/iD4Vef1KEip9adUXk2Uk6TnFAB6zxOgRGRJVkMrKUhW6fAq5L//6H6AQAA//8D&#10;AFBLAQItABQABgAIAAAAIQC2gziS/gAAAOEBAAATAAAAAAAAAAAAAAAAAAAAAABbQ29udGVudF9U&#10;eXBlc10ueG1sUEsBAi0AFAAGAAgAAAAhADj9If/WAAAAlAEAAAsAAAAAAAAAAAAAAAAALwEAAF9y&#10;ZWxzLy5yZWxzUEsBAi0AFAAGAAgAAAAhANqUHjPyAQAAxAMAAA4AAAAAAAAAAAAAAAAALgIAAGRy&#10;cy9lMm9Eb2MueG1sUEsBAi0AFAAGAAgAAAAhACz6R+LgAAAACwEAAA8AAAAAAAAAAAAAAAAATAQA&#10;AGRycy9kb3ducmV2LnhtbFBLBQYAAAAABAAEAPMAAABZBQAAAAA=&#10;" filled="f" stroked="f">
                <v:textbox inset="0,0,0,0">
                  <w:txbxContent>
                    <w:p w14:paraId="5D10D440" w14:textId="77777777" w:rsidR="00490F33" w:rsidRDefault="00490F33">
                      <w:pPr>
                        <w:spacing w:line="239" w:lineRule="exact"/>
                        <w:textAlignment w:val="baseline"/>
                        <w:rPr>
                          <w:rFonts w:ascii="Tahoma" w:eastAsia="Tahoma" w:hAnsi="Tahoma"/>
                          <w:color w:val="414042"/>
                          <w:spacing w:val="5"/>
                          <w:sz w:val="18"/>
                        </w:rPr>
                      </w:pPr>
                      <w:r>
                        <w:rPr>
                          <w:rFonts w:ascii="Tahoma" w:eastAsia="Tahoma" w:hAnsi="Tahoma"/>
                          <w:color w:val="414042"/>
                          <w:spacing w:val="5"/>
                          <w:sz w:val="18"/>
                        </w:rPr>
                        <w:t>Skills Development Scotland (SDS), the national skills body, uses skills intelligence to support individuals to build their career management and work-based skills, and pathways from school into further education and employment. SDS works with employers and employer groups on a national, sectoral, regional, local and individual basis.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3712" behindDoc="1" locked="0" layoutInCell="1" allowOverlap="1" wp14:anchorId="2536F1A3" wp14:editId="47E0CC69">
                <wp:simplePos x="0" y="0"/>
                <wp:positionH relativeFrom="page">
                  <wp:posOffset>4117975</wp:posOffset>
                </wp:positionH>
                <wp:positionV relativeFrom="page">
                  <wp:posOffset>955675</wp:posOffset>
                </wp:positionV>
                <wp:extent cx="2529840" cy="2461260"/>
                <wp:effectExtent l="0" t="0" r="0" b="0"/>
                <wp:wrapSquare wrapText="bothSides"/>
                <wp:docPr id="760"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246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10C87" w14:textId="77777777" w:rsidR="00490F33" w:rsidRDefault="00490F33">
                            <w:pPr>
                              <w:spacing w:before="2" w:line="300" w:lineRule="exact"/>
                              <w:textAlignment w:val="baseline"/>
                              <w:rPr>
                                <w:rFonts w:ascii="Tahoma" w:eastAsia="Tahoma" w:hAnsi="Tahoma"/>
                                <w:i/>
                                <w:color w:val="067890"/>
                                <w:sz w:val="21"/>
                              </w:rPr>
                            </w:pPr>
                            <w:r>
                              <w:rPr>
                                <w:rFonts w:ascii="Tahoma" w:eastAsia="Tahoma" w:hAnsi="Tahoma"/>
                                <w:i/>
                                <w:color w:val="067890"/>
                                <w:sz w:val="21"/>
                              </w:rPr>
                              <w:t xml:space="preserve">“Scott was really great at supporting me to take practical steps, starting with thinking about my strengths and what I liked to do... He encouraged me to contact a social worker to talk about what the job was like day to day, as well as supporting me with getting in touch with a college to look at course options for when I left school... Working with SDS has helped me </w:t>
                            </w:r>
                            <w:r>
                              <w:rPr>
                                <w:rFonts w:ascii="Verdana" w:eastAsia="Verdana" w:hAnsi="Verdana"/>
                                <w:i/>
                                <w:color w:val="067890"/>
                                <w:sz w:val="19"/>
                              </w:rPr>
                              <w:t xml:space="preserve">to become more confident and to make </w:t>
                            </w:r>
                            <w:r>
                              <w:rPr>
                                <w:rFonts w:ascii="Tahoma" w:eastAsia="Tahoma" w:hAnsi="Tahoma"/>
                                <w:i/>
                                <w:color w:val="067890"/>
                                <w:sz w:val="21"/>
                              </w:rPr>
                              <w:t>informed decisions about what to do next to further my career.”</w:t>
                            </w:r>
                          </w:p>
                          <w:p w14:paraId="361A7946" w14:textId="77777777" w:rsidR="00490F33" w:rsidRDefault="00490F33">
                            <w:pPr>
                              <w:spacing w:before="89" w:line="175" w:lineRule="exact"/>
                              <w:textAlignment w:val="baseline"/>
                              <w:rPr>
                                <w:rFonts w:ascii="Tahoma" w:eastAsia="Tahoma" w:hAnsi="Tahoma"/>
                                <w:i/>
                                <w:color w:val="067890"/>
                                <w:spacing w:val="1"/>
                                <w:sz w:val="17"/>
                              </w:rPr>
                            </w:pPr>
                            <w:r>
                              <w:rPr>
                                <w:rFonts w:ascii="Tahoma" w:eastAsia="Tahoma" w:hAnsi="Tahoma"/>
                                <w:i/>
                                <w:color w:val="067890"/>
                                <w:spacing w:val="1"/>
                                <w:sz w:val="17"/>
                              </w:rPr>
                              <w:t>Latasha Mein, Shetland Island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6F1A3" id="Text Box 481" o:spid="_x0000_s1136" type="#_x0000_t202" style="position:absolute;margin-left:324.25pt;margin-top:75.25pt;width:199.2pt;height:193.8pt;z-index:-251872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Rl7gEAAMQDAAAOAAAAZHJzL2Uyb0RvYy54bWysU1Fv0zAQfkfiP1h+p2miUkrUdBqbhpAG&#10;Q9r4AY5jNxaJz5zdJuXXc3aabsAb4sU6352/++678/Zq7Dt2VOgN2IrniyVnykpojN1X/NvT3ZsN&#10;Zz4I24gOrKr4SXl+tXv9aju4UhXQQtcoZARifTm4irchuDLLvGxVL/wCnLIU1IC9CHTFfdagGAi9&#10;77JiuVxnA2DjEKTynry3U5DvEr7WSoYHrb0KrKs4cQvpxHTW8cx2W1HuUbjWyDMN8Q8semEsFb1A&#10;3Yog2AHNX1C9kQgedFhI6DPQ2kiVeqBu8uUf3Ty2wqnUC4nj3UUm//9g5ZfjV2Smqfi7NeljRU9D&#10;elJjYB9gZKtNHhUanC8p8dFRahgpQJNO3Xp3D/K7ZxZuWmH36hoRhlaJhhiml9mLpxOOjyD18Bka&#10;KiQOARLQqLGP8pEgjNCJyekynUhGkrN4W7zfrCgkKVas1nlBjIldJsr5uUMfPiroWTQqjjT+BC+O&#10;9z5MqXNKrGbhznRdWoHO/uYgzOhJ9CPjiXsY6zFpleepcmyuhuZEHSFMq0VfgYwW8CdnA61Vxf2P&#10;g0DFWffJkipxB2cDZ6OeDWElPa144Gwyb8K0qweHZt8S8qS7hWtSTpvU0zOLM2FalaTKea3jLr68&#10;p6znz7f7BQAA//8DAFBLAwQUAAYACAAAACEAeVwAQOEAAAAMAQAADwAAAGRycy9kb3ducmV2Lnht&#10;bEyPwU7DMAyG70i8Q2QkbiwZrFVXmk4TghMSoisHjmmTtdEapzTZVt4e7zRutv5Pvz8Xm9kN7GSm&#10;YD1KWC4EMIOt1xY7CV/120MGLESFWg0ejYRfE2BT3t4UKtf+jJU57WLHqARDriT0MY4556HtjVNh&#10;4UeDlO395FSkdeq4ntSZyt3AH4VIuVMW6UKvRvPSm/awOzoJ22+sXu3PR/NZ7Stb12uB7+lByvu7&#10;efsMLJo5XmG46JM6lOTU+CPqwAYJ6SpLCKUgETRcCLFK18AaCclTtgReFvz/E+UfAAAA//8DAFBL&#10;AQItABQABgAIAAAAIQC2gziS/gAAAOEBAAATAAAAAAAAAAAAAAAAAAAAAABbQ29udGVudF9UeXBl&#10;c10ueG1sUEsBAi0AFAAGAAgAAAAhADj9If/WAAAAlAEAAAsAAAAAAAAAAAAAAAAALwEAAF9yZWxz&#10;Ly5yZWxzUEsBAi0AFAAGAAgAAAAhAIUJNGXuAQAAxAMAAA4AAAAAAAAAAAAAAAAALgIAAGRycy9l&#10;Mm9Eb2MueG1sUEsBAi0AFAAGAAgAAAAhAHlcAEDhAAAADAEAAA8AAAAAAAAAAAAAAAAASAQAAGRy&#10;cy9kb3ducmV2LnhtbFBLBQYAAAAABAAEAPMAAABWBQAAAAA=&#10;" filled="f" stroked="f">
                <v:textbox inset="0,0,0,0">
                  <w:txbxContent>
                    <w:p w14:paraId="71110C87" w14:textId="77777777" w:rsidR="00490F33" w:rsidRDefault="00490F33">
                      <w:pPr>
                        <w:spacing w:before="2" w:line="300" w:lineRule="exact"/>
                        <w:textAlignment w:val="baseline"/>
                        <w:rPr>
                          <w:rFonts w:ascii="Tahoma" w:eastAsia="Tahoma" w:hAnsi="Tahoma"/>
                          <w:i/>
                          <w:color w:val="067890"/>
                          <w:sz w:val="21"/>
                        </w:rPr>
                      </w:pPr>
                      <w:r>
                        <w:rPr>
                          <w:rFonts w:ascii="Tahoma" w:eastAsia="Tahoma" w:hAnsi="Tahoma"/>
                          <w:i/>
                          <w:color w:val="067890"/>
                          <w:sz w:val="21"/>
                        </w:rPr>
                        <w:t xml:space="preserve">“Scott was really great at supporting me to take practical steps, starting with thinking about my strengths and what I liked to do... He encouraged me to contact a social worker to talk about what the job was like day to day, as well as supporting me with getting in touch with a college to look at course options for when I left school... Working with SDS has helped me </w:t>
                      </w:r>
                      <w:r>
                        <w:rPr>
                          <w:rFonts w:ascii="Verdana" w:eastAsia="Verdana" w:hAnsi="Verdana"/>
                          <w:i/>
                          <w:color w:val="067890"/>
                          <w:sz w:val="19"/>
                        </w:rPr>
                        <w:t xml:space="preserve">to become more confident and to make </w:t>
                      </w:r>
                      <w:r>
                        <w:rPr>
                          <w:rFonts w:ascii="Tahoma" w:eastAsia="Tahoma" w:hAnsi="Tahoma"/>
                          <w:i/>
                          <w:color w:val="067890"/>
                          <w:sz w:val="21"/>
                        </w:rPr>
                        <w:t>informed decisions about what to do next to further my career.”</w:t>
                      </w:r>
                    </w:p>
                    <w:p w14:paraId="361A7946" w14:textId="77777777" w:rsidR="00490F33" w:rsidRDefault="00490F33">
                      <w:pPr>
                        <w:spacing w:before="89" w:line="175" w:lineRule="exact"/>
                        <w:textAlignment w:val="baseline"/>
                        <w:rPr>
                          <w:rFonts w:ascii="Tahoma" w:eastAsia="Tahoma" w:hAnsi="Tahoma"/>
                          <w:i/>
                          <w:color w:val="067890"/>
                          <w:spacing w:val="1"/>
                          <w:sz w:val="17"/>
                        </w:rPr>
                      </w:pPr>
                      <w:r>
                        <w:rPr>
                          <w:rFonts w:ascii="Tahoma" w:eastAsia="Tahoma" w:hAnsi="Tahoma"/>
                          <w:i/>
                          <w:color w:val="067890"/>
                          <w:spacing w:val="1"/>
                          <w:sz w:val="17"/>
                        </w:rPr>
                        <w:t>Latasha Mein, Shetland Island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4736" behindDoc="1" locked="0" layoutInCell="1" allowOverlap="1" wp14:anchorId="160EBBF4" wp14:editId="4E4D3105">
                <wp:simplePos x="0" y="0"/>
                <wp:positionH relativeFrom="page">
                  <wp:posOffset>905510</wp:posOffset>
                </wp:positionH>
                <wp:positionV relativeFrom="page">
                  <wp:posOffset>3620770</wp:posOffset>
                </wp:positionV>
                <wp:extent cx="2444115" cy="2438400"/>
                <wp:effectExtent l="0" t="0" r="0" b="0"/>
                <wp:wrapSquare wrapText="bothSides"/>
                <wp:docPr id="759"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D3BF2" w14:textId="77777777" w:rsidR="00490F33" w:rsidRDefault="00490F33">
                            <w:pPr>
                              <w:spacing w:line="239" w:lineRule="exact"/>
                              <w:textAlignment w:val="baseline"/>
                              <w:rPr>
                                <w:rFonts w:ascii="Tahoma" w:eastAsia="Tahoma" w:hAnsi="Tahoma"/>
                                <w:color w:val="414042"/>
                                <w:spacing w:val="6"/>
                                <w:sz w:val="18"/>
                              </w:rPr>
                            </w:pPr>
                            <w:r>
                              <w:rPr>
                                <w:rFonts w:ascii="Tahoma" w:eastAsia="Tahoma" w:hAnsi="Tahoma"/>
                                <w:color w:val="414042"/>
                                <w:spacing w:val="6"/>
                                <w:sz w:val="18"/>
                              </w:rPr>
                              <w:t>Scotland recognises career guidance as a distinct and specialist occupation that requires professional qualifications and mandated hours of continuing professional development. Careers advisers use a coaching approach to guidance, focused on helping people develop their career management skills. This person-centred approach recognises that some individuals require more support than others to successfully transition into work or further learning. SDS targets resources at individuals who require the most support, utilising a ‘needs matrix’ to suggest the level of support needed for each individual, and the corresponding service they then receive.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EBBF4" id="Text Box 480" o:spid="_x0000_s1137" type="#_x0000_t202" style="position:absolute;margin-left:71.3pt;margin-top:285.1pt;width:192.45pt;height:192pt;z-index:-25187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HB8wEAAMQDAAAOAAAAZHJzL2Uyb0RvYy54bWysU9tu2zAMfR+wfxD0vjjO3C0z4hRdiw4D&#10;ugvQ7gMYWY6F2aJGKbGzrx8lJ2m7vg17ESiKOjrnkFpdjn0n9pq8QVvJfDaXQluFtbHbSv54uH2z&#10;lMIHsDV0aHUlD9rLy/XrV6vBlXqBLXa1JsEg1peDq2QbgiuzzKtW9+Bn6LTlwwaph8Bb2mY1wcDo&#10;fZct5vN32YBUO0KlvefszXQo1wm/abQK35rG6yC6SjK3kFZK6yau2XoF5ZbAtUYdacA/sOjBWH70&#10;DHUDAcSOzAuo3ihCj02YKewzbBqjdNLAavL5X2ruW3A6aWFzvDvb5P8frPq6/07C1JV8f/FBCgs9&#10;N+lBj0F8xFEUy+TQ4HzJhfeOS8PIB9zppNa7O1Q/vbB43YLd6isiHFoNNTPMo7fZk6uxJ770EWQz&#10;fMGaH4JdwAQ0NtRH+9gQwejcqcO5O5GM4uSiKIo8v5BC8dmieLss5oldBuXpuiMfPmnsRQwqSdz+&#10;BA/7Ox8iHShPJfE1i7em69IIdPZZggtjJtGPjCfuYdyMyas8T+qing3WB1ZEOI0WfwUOWqTfUgw8&#10;VpX0v3ZAWorus2VX4gyeAjoFm1MAVvHVSgYppvA6TLO6c2S2LSNPvlu8YucakzQ9sjgS5lFJUo9j&#10;HWfx6T5VPX6+9R8AAAD//wMAUEsDBBQABgAIAAAAIQALTV+Z4AAAAAsBAAAPAAAAZHJzL2Rvd25y&#10;ZXYueG1sTI/BTsMwEETvSPyDtUjcqI3VpDSNU1UITkiINBx6dOJtEjVeh9htw99jTnAc7dPM23w7&#10;24FdcPK9IwWPCwEMqXGmp1bBZ/X68ATMB01GD45QwTd62Ba3N7nOjLtSiZd9aFksIZ9pBV0IY8a5&#10;bzq02i/ciBRvRzdZHWKcWm4mfY3lduBSiJRb3VNc6PSIzx02p/3ZKtgdqHzpv97rj/JY9lW1FvSW&#10;npS6v5t3G2AB5/AHw69+VIciOtXuTMazIealTCOqIFkJCSwSiVwlwGoF62QpgRc5//9D8QMAAP//&#10;AwBQSwECLQAUAAYACAAAACEAtoM4kv4AAADhAQAAEwAAAAAAAAAAAAAAAAAAAAAAW0NvbnRlbnRf&#10;VHlwZXNdLnhtbFBLAQItABQABgAIAAAAIQA4/SH/1gAAAJQBAAALAAAAAAAAAAAAAAAAAC8BAABf&#10;cmVscy8ucmVsc1BLAQItABQABgAIAAAAIQCKkxHB8wEAAMQDAAAOAAAAAAAAAAAAAAAAAC4CAABk&#10;cnMvZTJvRG9jLnhtbFBLAQItABQABgAIAAAAIQALTV+Z4AAAAAsBAAAPAAAAAAAAAAAAAAAAAE0E&#10;AABkcnMvZG93bnJldi54bWxQSwUGAAAAAAQABADzAAAAWgUAAAAA&#10;" filled="f" stroked="f">
                <v:textbox inset="0,0,0,0">
                  <w:txbxContent>
                    <w:p w14:paraId="375D3BF2" w14:textId="77777777" w:rsidR="00490F33" w:rsidRDefault="00490F33">
                      <w:pPr>
                        <w:spacing w:line="239" w:lineRule="exact"/>
                        <w:textAlignment w:val="baseline"/>
                        <w:rPr>
                          <w:rFonts w:ascii="Tahoma" w:eastAsia="Tahoma" w:hAnsi="Tahoma"/>
                          <w:color w:val="414042"/>
                          <w:spacing w:val="6"/>
                          <w:sz w:val="18"/>
                        </w:rPr>
                      </w:pPr>
                      <w:r>
                        <w:rPr>
                          <w:rFonts w:ascii="Tahoma" w:eastAsia="Tahoma" w:hAnsi="Tahoma"/>
                          <w:color w:val="414042"/>
                          <w:spacing w:val="6"/>
                          <w:sz w:val="18"/>
                        </w:rPr>
                        <w:t>Scotland recognises career guidance as a distinct and specialist occupation that requires professional qualifications and mandated hours of continuing professional development. Careers advisers use a coaching approach to guidance, focused on helping people develop their career management skills. This person-centred approach recognises that some individuals require more support than others to successfully transition into work or further learning. SDS targets resources at individuals who require the most support, utilising a ‘needs matrix’ to suggest the level of support needed for each individual, and the corresponding service they then receive.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5760" behindDoc="1" locked="0" layoutInCell="1" allowOverlap="1" wp14:anchorId="025E5B32" wp14:editId="78DD407D">
                <wp:simplePos x="0" y="0"/>
                <wp:positionH relativeFrom="page">
                  <wp:posOffset>3822065</wp:posOffset>
                </wp:positionH>
                <wp:positionV relativeFrom="page">
                  <wp:posOffset>3793490</wp:posOffset>
                </wp:positionV>
                <wp:extent cx="2788920" cy="1821180"/>
                <wp:effectExtent l="0" t="0" r="0" b="0"/>
                <wp:wrapSquare wrapText="bothSides"/>
                <wp:docPr id="758"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182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FEEBD" w14:textId="77777777" w:rsidR="00490F33" w:rsidRDefault="00490F33">
                            <w:pPr>
                              <w:spacing w:line="238" w:lineRule="exact"/>
                              <w:textAlignment w:val="baseline"/>
                              <w:rPr>
                                <w:rFonts w:ascii="Tahoma" w:eastAsia="Tahoma" w:hAnsi="Tahoma"/>
                                <w:color w:val="414042"/>
                                <w:spacing w:val="4"/>
                                <w:sz w:val="18"/>
                              </w:rPr>
                            </w:pPr>
                            <w:r>
                              <w:rPr>
                                <w:rFonts w:ascii="Tahoma" w:eastAsia="Tahoma" w:hAnsi="Tahoma"/>
                                <w:color w:val="414042"/>
                                <w:spacing w:val="4"/>
                                <w:sz w:val="18"/>
                              </w:rPr>
                              <w:t>The universal school offer begins early (at the end of primary school) as young people are ready to transition to secondary school through group work activities and into one-to-one guidance interviews with pupils and parents/carers as they make their first subject choices. The targeted school offer to those pupils identified through the ‘needs matrix’ validation begins in 3rd year and follows through senior school through ongoing one-to-one engagements. Drop-in clinics and group work continues for the universal group throughout these year stages.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5B32" id="Text Box 479" o:spid="_x0000_s1138" type="#_x0000_t202" style="position:absolute;margin-left:300.95pt;margin-top:298.7pt;width:219.6pt;height:143.4pt;z-index:-251870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6O8QEAAMQDAAAOAAAAZHJzL2Uyb0RvYy54bWysU9uO0zAQfUfiHyy/0zQR0G7UdLXsahHS&#10;cpF2+YCp4zQWiceM3Sbl6xk7TVngDfFijedyfObMeHM99p04avIGbSXzxVIKbRXWxu4r+fXp/tVa&#10;Ch/A1tCh1ZU8aS+vty9fbAZX6gJb7GpNgkGsLwdXyTYEV2aZV63uwS/QacvBBqmHwFfaZzXBwOh9&#10;lxXL5dtsQKododLes/duCsptwm8arcLnpvE6iK6SzC2kk9K5i2e23UC5J3CtUWca8A8sejCWH71A&#10;3UEAcSDzF1RvFKHHJiwU9hk2jVE69cDd5Ms/unlswenUC4vj3UUm//9g1afjFxKmruTqDY/KQs9D&#10;etJjEO9wFK9XV1GhwfmSEx8dp4aRAzzp1K13D6i+eWHxtgW71zdEOLQaamaYx8rsWemE4yPIbviI&#10;NT8Eh4AJaGyoj/KxIILReVKny3QiGcXOYrVeXxUcUhzL10Wer9P8Mijnckc+vNfYi2hUknj8CR6O&#10;Dz5EOlDOKfE1i/em69IKdPY3BydGT6IfGU/cw7gbk1Z5Xsy67LA+cUeE02rxV2CjRfohxcBrVUn/&#10;/QCkpeg+WFYl7uBs0GzsZgOs4tJKBikm8zZMu3pwZPYtI0+6W7xh5RqTeooSTyzOhHlVUqvntY67&#10;+Pyesn59vu1PAAAA//8DAFBLAwQUAAYACAAAACEAbF+EuOEAAAAMAQAADwAAAGRycy9kb3ducmV2&#10;LnhtbEyPQU+DQBCF7yb+h82YeLO7NIiADE1j9GRipHjwuLBbIGVnkd22+O/dnuxx8r68902xWczI&#10;Tnp2gyWEaCWAaWqtGqhD+KrfHlJgzktScrSkEX61g015e1PIXNkzVfq08x0LJeRyidB7P+Wcu7bX&#10;RrqVnTSFbG9nI304546rWZ5DuRn5WoiEGzlQWOjlpF963R52R4Ow/abqdfj5aD6rfTXUdSboPTkg&#10;3t8t22dgXi/+H4aLflCHMjg19kjKsREhEVEWUITH7CkGdiFEHEXAGoQ0jdfAy4JfP1H+AQAA//8D&#10;AFBLAQItABQABgAIAAAAIQC2gziS/gAAAOEBAAATAAAAAAAAAAAAAAAAAAAAAABbQ29udGVudF9U&#10;eXBlc10ueG1sUEsBAi0AFAAGAAgAAAAhADj9If/WAAAAlAEAAAsAAAAAAAAAAAAAAAAALwEAAF9y&#10;ZWxzLy5yZWxzUEsBAi0AFAAGAAgAAAAhAJyxPo7xAQAAxAMAAA4AAAAAAAAAAAAAAAAALgIAAGRy&#10;cy9lMm9Eb2MueG1sUEsBAi0AFAAGAAgAAAAhAGxfhLjhAAAADAEAAA8AAAAAAAAAAAAAAAAASwQA&#10;AGRycy9kb3ducmV2LnhtbFBLBQYAAAAABAAEAPMAAABZBQAAAAA=&#10;" filled="f" stroked="f">
                <v:textbox inset="0,0,0,0">
                  <w:txbxContent>
                    <w:p w14:paraId="163FEEBD" w14:textId="77777777" w:rsidR="00490F33" w:rsidRDefault="00490F33">
                      <w:pPr>
                        <w:spacing w:line="238" w:lineRule="exact"/>
                        <w:textAlignment w:val="baseline"/>
                        <w:rPr>
                          <w:rFonts w:ascii="Tahoma" w:eastAsia="Tahoma" w:hAnsi="Tahoma"/>
                          <w:color w:val="414042"/>
                          <w:spacing w:val="4"/>
                          <w:sz w:val="18"/>
                        </w:rPr>
                      </w:pPr>
                      <w:r>
                        <w:rPr>
                          <w:rFonts w:ascii="Tahoma" w:eastAsia="Tahoma" w:hAnsi="Tahoma"/>
                          <w:color w:val="414042"/>
                          <w:spacing w:val="4"/>
                          <w:sz w:val="18"/>
                        </w:rPr>
                        <w:t>The universal school offer begins early (at the end of primary school) as young people are ready to transition to secondary school through group work activities and into one-to-one guidance interviews with pupils and parents/carers as they make their first subject choices. The targeted school offer to those pupils identified through the ‘needs matrix’ validation begins in 3rd year and follows through senior school through ongoing one-to-one engagements. Drop-in clinics and group work continues for the universal group throughout these year stages.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6784" behindDoc="1" locked="0" layoutInCell="1" allowOverlap="1" wp14:anchorId="5AFFE582" wp14:editId="2614A4F0">
                <wp:simplePos x="0" y="0"/>
                <wp:positionH relativeFrom="page">
                  <wp:posOffset>908050</wp:posOffset>
                </wp:positionH>
                <wp:positionV relativeFrom="page">
                  <wp:posOffset>6169025</wp:posOffset>
                </wp:positionV>
                <wp:extent cx="2468880" cy="2284730"/>
                <wp:effectExtent l="0" t="0" r="0" b="0"/>
                <wp:wrapSquare wrapText="bothSides"/>
                <wp:docPr id="75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228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40285" w14:textId="77777777" w:rsidR="00490F33" w:rsidRDefault="00490F33">
                            <w:pPr>
                              <w:spacing w:line="239" w:lineRule="exact"/>
                              <w:textAlignment w:val="baseline"/>
                              <w:rPr>
                                <w:rFonts w:ascii="Tahoma" w:eastAsia="Tahoma" w:hAnsi="Tahoma"/>
                                <w:color w:val="414042"/>
                                <w:spacing w:val="7"/>
                                <w:sz w:val="18"/>
                              </w:rPr>
                            </w:pPr>
                            <w:r>
                              <w:rPr>
                                <w:rFonts w:ascii="Tahoma" w:eastAsia="Tahoma" w:hAnsi="Tahoma"/>
                                <w:color w:val="414042"/>
                                <w:spacing w:val="7"/>
                                <w:sz w:val="18"/>
                              </w:rPr>
                              <w:t>Support continues post-school through a network of local careers centres, where individuals can receive support to develop career management skills, access information and links to local employers, and undertake learning and training opportunities. SDS careers services are free for individuals of all ages, at any point of need. Multi-channel services, including support in schools, local face-to-face interventions in centres and local community partner venues, an award-winning website and a telephone helpline allow the system to reach a large number of individuals at various points of transition.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FE582" id="Text Box 478" o:spid="_x0000_s1139" type="#_x0000_t202" style="position:absolute;margin-left:71.5pt;margin-top:485.75pt;width:194.4pt;height:179.9pt;z-index:-251869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rr8gEAAMQDAAAOAAAAZHJzL2Uyb0RvYy54bWysU9tu2zAMfR+wfxD0vjhJs8Yw4hRdiw4D&#10;ugvQ7gMYWY6F2aJGKbGzrx8lx1m3vQ17EShejg4Pqc3N0LXiqMkbtKVczOZSaKuwMnZfyq/PD29y&#10;KXwAW0GLVpfypL282b5+teldoZfYYFtpEgxifdG7UjYhuCLLvGp0B36GTlsO1kgdBL7SPqsIekbv&#10;2mw5n19nPVLlCJX2nr33Y1BuE35daxU+17XXQbSlZG4hnZTOXTyz7QaKPYFrjDrTgH9g0YGx/OgF&#10;6h4CiAOZv6A6owg91mGmsMuwro3SqQfuZjH/o5unBpxOvbA43l1k8v8PVn06fiFhqlKu366lsNDx&#10;kJ71EMQ7HMRqnUeFeucLTnxynBoGDvCkU7fePaL65oXFuwbsXt8SYd9oqJjhIlZmL0pHHB9Bdv1H&#10;rPghOARMQENNXZSPBRGMzpM6XaYTySh2LlfXeZ5zSHFsucxX66s0vwyKqdyRD+81diIapSQef4KH&#10;46MPkQ4UU0p8zeKDadu0Aq39zcGJ0ZPoR8Yj9zDshqTVYnE16bLD6sQdEY6rxV+BjQbphxQ9r1Up&#10;/fcDkJai/WBZlbiDk0GTsZsMsIpLSxmkGM27MO7qwZHZN4w86m7xlpWrTeopSjyyOBPmVUmtntc6&#10;7uLLe8r69fm2PwEAAP//AwBQSwMEFAAGAAgAAAAhACAJl3fgAAAADAEAAA8AAABkcnMvZG93bnJl&#10;di54bWxMj8FOwzAQRO9I/IO1SNyoE0ILDXGqCsEJCZGGA0cn3iZW43WI3Tb8PcsJjqMZzbwpNrMb&#10;xAmnYD0pSBcJCKTWG0udgo/65eYBRIiajB48oYJvDLApLy8KnRt/pgpPu9gJLqGQawV9jGMuZWh7&#10;dDos/IjE3t5PTkeWUyfNpM9c7gZ5myQr6bQlXuj1iE89tofd0SnYflL1bL/emvdqX9m6Xif0ujoo&#10;dX01bx9BRJzjXxh+8RkdSmZq/JFMEAPru4y/RAXr+3QJghPLLOUzDVtZlmYgy0L+P1H+AAAA//8D&#10;AFBLAQItABQABgAIAAAAIQC2gziS/gAAAOEBAAATAAAAAAAAAAAAAAAAAAAAAABbQ29udGVudF9U&#10;eXBlc10ueG1sUEsBAi0AFAAGAAgAAAAhADj9If/WAAAAlAEAAAsAAAAAAAAAAAAAAAAALwEAAF9y&#10;ZWxzLy5yZWxzUEsBAi0AFAAGAAgAAAAhANUHyuvyAQAAxAMAAA4AAAAAAAAAAAAAAAAALgIAAGRy&#10;cy9lMm9Eb2MueG1sUEsBAi0AFAAGAAgAAAAhACAJl3fgAAAADAEAAA8AAAAAAAAAAAAAAAAATAQA&#10;AGRycy9kb3ducmV2LnhtbFBLBQYAAAAABAAEAPMAAABZBQAAAAA=&#10;" filled="f" stroked="f">
                <v:textbox inset="0,0,0,0">
                  <w:txbxContent>
                    <w:p w14:paraId="4F040285" w14:textId="77777777" w:rsidR="00490F33" w:rsidRDefault="00490F33">
                      <w:pPr>
                        <w:spacing w:line="239" w:lineRule="exact"/>
                        <w:textAlignment w:val="baseline"/>
                        <w:rPr>
                          <w:rFonts w:ascii="Tahoma" w:eastAsia="Tahoma" w:hAnsi="Tahoma"/>
                          <w:color w:val="414042"/>
                          <w:spacing w:val="7"/>
                          <w:sz w:val="18"/>
                        </w:rPr>
                      </w:pPr>
                      <w:r>
                        <w:rPr>
                          <w:rFonts w:ascii="Tahoma" w:eastAsia="Tahoma" w:hAnsi="Tahoma"/>
                          <w:color w:val="414042"/>
                          <w:spacing w:val="7"/>
                          <w:sz w:val="18"/>
                        </w:rPr>
                        <w:t>Support continues post-school through a network of local careers centres, where individuals can receive support to develop career management skills, access information and links to local employers, and undertake learning and training opportunities. SDS careers services are free for individuals of all ages, at any point of need. Multi-channel services, including support in schools, local face-to-face interventions in centres and local community partner venues, an award-winning website and a telephone helpline allow the system to reach a large number of individuals at various points of transition.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7808" behindDoc="1" locked="0" layoutInCell="1" allowOverlap="1" wp14:anchorId="01085692" wp14:editId="37EDC82D">
                <wp:simplePos x="0" y="0"/>
                <wp:positionH relativeFrom="page">
                  <wp:posOffset>3822065</wp:posOffset>
                </wp:positionH>
                <wp:positionV relativeFrom="page">
                  <wp:posOffset>5720080</wp:posOffset>
                </wp:positionV>
                <wp:extent cx="2740025" cy="1828800"/>
                <wp:effectExtent l="0" t="0" r="0" b="0"/>
                <wp:wrapSquare wrapText="bothSides"/>
                <wp:docPr id="756"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0A8D6"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In 2018–19, SDS delivered face-to-face career guidance to 88 per cent of all senior secondary school students, and 95 per cent of targeted senior-phase pupils in secondary school received coaching guidance. In 2018, 94.4 per cent of school leavers surveyed were in a positive destination approximately three months after leaving school. SDS works to ensure individuals are equipped with the right skills and information to seize opportunities through its school careers service, post-school support and online web service, My World of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85692" id="Text Box 477" o:spid="_x0000_s1140" type="#_x0000_t202" style="position:absolute;margin-left:300.95pt;margin-top:450.4pt;width:215.75pt;height:2in;z-index:-251868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1e8gEAAMQDAAAOAAAAZHJzL2Uyb0RvYy54bWysU9tu1DAQfUfiHyy/s7lo211Fm61KqyKk&#10;ApVaPsBxnMQi8Zixd5Pl6xk7m6XAG+LFGs/l+MyZ8e5mGnp2VOg0mJJnq5QzZSTU2rQl//ry8G7L&#10;mfPC1KIHo0p+Uo7f7N++2Y22UDl00NcKGYEYV4y25J33tkgSJzs1CLcCqwwFG8BBeLpim9QoRkIf&#10;+iRP0+tkBKwtglTOkfd+DvJ9xG8aJf2XpnHKs77kxM3HE+NZhTPZ70TRorCdlmca4h9YDEIbevQC&#10;dS+8YAfUf0ENWiI4aPxKwpBA02ipYg/UTZb+0c1zJ6yKvZA4zl5kcv8PVn4+PiHTdck3V9ecGTHQ&#10;kF7U5Nl7mNh6swkKjdYVlPhsKdVPFKBJx26dfQT5zTEDd50wrbpFhLFToiaGWahMXpXOOC6AVOMn&#10;qOkhcfAQgaYGhyAfCcIInSZ1ukwnkJHkzDfrNM2vOJMUy7b5dpvG+SWiWMotOv9BwcCCUXKk8Ud4&#10;cXx0PtARxZISXjPwoPs+rkBvfnNQYvBE+oHxzN1P1RS1yrL1oksF9Yk6QphXi74CGR3gD85GWquS&#10;u+8HgYqz/qMhVcIOLgYuRrUYwkgqLbnnbDbv/LyrB4u67Qh51t3ALSnX6NhTkHhmcSZMqxJbPa91&#10;2MXX95j16/PtfwIAAP//AwBQSwMEFAAGAAgAAAAhAGBK0EPhAAAADQEAAA8AAABkcnMvZG93bnJl&#10;di54bWxMj8FOwzAMhu9IvENkJG4sKUNVW5pOE4ITEqIrB45pk7XRGqc02VbeHu/Ebrb86ff3l5vF&#10;jexk5mA9SkhWApjBzmuLvYSv5u0hAxaiQq1Gj0bCrwmwqW5vSlVof8banHaxZxSCoVAShhingvPQ&#10;DcapsPKTQbrt/exUpHXuuZ7VmcLdyB+FSLlTFunDoCbzMpjusDs6CdtvrF/tz0f7We9r2zS5wPf0&#10;IOX93bJ9BhbNEv9huOiTOlTk1Poj6sBGCalIckIl5EJQhwsh1usnYC1NSZZlwKuSX7eo/gAAAP//&#10;AwBQSwECLQAUAAYACAAAACEAtoM4kv4AAADhAQAAEwAAAAAAAAAAAAAAAAAAAAAAW0NvbnRlbnRf&#10;VHlwZXNdLnhtbFBLAQItABQABgAIAAAAIQA4/SH/1gAAAJQBAAALAAAAAAAAAAAAAAAAAC8BAABf&#10;cmVscy8ucmVsc1BLAQItABQABgAIAAAAIQChc51e8gEAAMQDAAAOAAAAAAAAAAAAAAAAAC4CAABk&#10;cnMvZTJvRG9jLnhtbFBLAQItABQABgAIAAAAIQBgStBD4QAAAA0BAAAPAAAAAAAAAAAAAAAAAEwE&#10;AABkcnMvZG93bnJldi54bWxQSwUGAAAAAAQABADzAAAAWgUAAAAA&#10;" filled="f" stroked="f">
                <v:textbox inset="0,0,0,0">
                  <w:txbxContent>
                    <w:p w14:paraId="5430A8D6"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In 2018–19, SDS delivered face-to-face career guidance to 88 per cent of all senior secondary school students, and 95 per cent of targeted senior-phase pupils in secondary school received coaching guidance. In 2018, 94.4 per cent of school leavers surveyed were in a positive destination approximately three months after leaving school. SDS works to ensure individuals are equipped with the right skills and information to seize opportunities through its school careers service, post-school support and online web service, My World of Work.</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8832" behindDoc="1" locked="0" layoutInCell="1" allowOverlap="1" wp14:anchorId="38253579" wp14:editId="06814112">
                <wp:simplePos x="0" y="0"/>
                <wp:positionH relativeFrom="page">
                  <wp:posOffset>3825240</wp:posOffset>
                </wp:positionH>
                <wp:positionV relativeFrom="page">
                  <wp:posOffset>7731125</wp:posOffset>
                </wp:positionV>
                <wp:extent cx="783590" cy="342900"/>
                <wp:effectExtent l="0" t="0" r="0" b="0"/>
                <wp:wrapSquare wrapText="bothSides"/>
                <wp:docPr id="755"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4DAB3" w14:textId="77777777" w:rsidR="00490F33" w:rsidRDefault="00490F33">
                            <w:pPr>
                              <w:spacing w:line="180" w:lineRule="exact"/>
                              <w:textAlignment w:val="baseline"/>
                              <w:rPr>
                                <w:rFonts w:ascii="Tahoma" w:eastAsia="Tahoma" w:hAnsi="Tahoma"/>
                                <w:color w:val="050504"/>
                                <w:sz w:val="14"/>
                              </w:rPr>
                            </w:pPr>
                            <w:r>
                              <w:rPr>
                                <w:rFonts w:ascii="Tahoma" w:eastAsia="Tahoma" w:hAnsi="Tahoma"/>
                                <w:color w:val="050504"/>
                                <w:sz w:val="14"/>
                              </w:rPr>
                              <w:t>Source:</w:t>
                            </w:r>
                          </w:p>
                          <w:p w14:paraId="71E6B68D" w14:textId="77777777" w:rsidR="00490F33" w:rsidRDefault="00490F33">
                            <w:pPr>
                              <w:spacing w:before="3" w:line="180" w:lineRule="exact"/>
                              <w:textAlignment w:val="baseline"/>
                              <w:rPr>
                                <w:rFonts w:ascii="Tahoma" w:eastAsia="Tahoma" w:hAnsi="Tahoma"/>
                                <w:color w:val="050504"/>
                                <w:spacing w:val="-2"/>
                                <w:sz w:val="14"/>
                              </w:rPr>
                            </w:pPr>
                            <w:r>
                              <w:rPr>
                                <w:rFonts w:ascii="Tahoma" w:eastAsia="Tahoma" w:hAnsi="Tahoma"/>
                                <w:color w:val="050504"/>
                                <w:spacing w:val="-2"/>
                                <w:sz w:val="14"/>
                              </w:rPr>
                              <w:t>Skills Development</w:t>
                            </w:r>
                          </w:p>
                          <w:p w14:paraId="3AF641E6" w14:textId="77777777" w:rsidR="00490F33" w:rsidRDefault="00490F33">
                            <w:pPr>
                              <w:spacing w:line="162" w:lineRule="exact"/>
                              <w:textAlignment w:val="baseline"/>
                              <w:rPr>
                                <w:rFonts w:ascii="Tahoma" w:eastAsia="Tahoma" w:hAnsi="Tahoma"/>
                                <w:color w:val="050504"/>
                                <w:spacing w:val="2"/>
                                <w:sz w:val="14"/>
                              </w:rPr>
                            </w:pPr>
                            <w:r>
                              <w:rPr>
                                <w:rFonts w:ascii="Tahoma" w:eastAsia="Tahoma" w:hAnsi="Tahoma"/>
                                <w:color w:val="050504"/>
                                <w:spacing w:val="2"/>
                                <w:sz w:val="14"/>
                              </w:rPr>
                              <w:t>Scotland.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53579" id="Text Box 476" o:spid="_x0000_s1141" type="#_x0000_t202" style="position:absolute;margin-left:301.2pt;margin-top:608.75pt;width:61.7pt;height:27pt;z-index:-251867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tZ8QEAAMIDAAAOAAAAZHJzL2Uyb0RvYy54bWysU9tu2zAMfR+wfxD0vjhJm6Y14hRdiw4D&#10;um5A2w9gZDkWZosapcTOvn6UHGfd+jbsRaB4OTo8pFbXfduIvSZv0BZyNplKoa3C0thtIV+e7z9c&#10;SuED2BIatLqQB+3l9fr9u1Xncj3HGptSk2AQ6/POFbIOweVZ5lWtW/ATdNpysEJqIfCVtllJ0DF6&#10;22Tz6fQi65BKR6i09+y9G4JynfCrSqvwtaq8DqIpJHML6aR0buKZrVeQbwlcbdSRBvwDixaM5UdP&#10;UHcQQOzIvIFqjSL0WIWJwjbDqjJKpx64m9n0r26eanA69cLieHeSyf8/WPW4/0bClIVcLhZSWGh5&#10;SM+6D+Ij9uJ8eREV6pzPOfHJcWroOcCTTt1694DquxcWb2uwW31DhF2toWSGs1iZvSodcHwE2XRf&#10;sOSHYBcwAfUVtVE+FkQwOk/qcJpOJKPYubw8W1xxRHHo7Hx+NU3TyyAfix358EljK6JRSOLhJ3DY&#10;P/gQyUA+psS3LN6bpkkL0Ng/HJwYPYl85DswD/2mT0rNZotRlQ2WB+6HcFgs/ghs1Eg/peh4qQrp&#10;f+yAtBTNZ8uaxA0cDRqNzWiAVVxayCDFYN6GYVN3jsy2ZuRBdYs3rFtlUk9R4IHFkTAvSmr1uNRx&#10;E1/fU9bvr7f+BQAA//8DAFBLAwQUAAYACAAAACEAgo5y3uEAAAANAQAADwAAAGRycy9kb3ducmV2&#10;LnhtbEyPwU7DMBBE70j8g7VI3KiTiCQQ4lQVghNS1TQcODqxm1iN1yF22/D3bE9w3Jmn2ZlyvdiR&#10;nfXsjUMB8SoCprFzymAv4LN5f3gC5oNEJUeHWsCP9rCubm9KWSh3wVqf96FnFIK+kAKGEKaCc98N&#10;2kq/cpNG8g5utjLQOfdczfJC4XbkSRRl3EqD9GGQk34ddHfcn6yAzRfWb+Z72+7qQ22a5jnCj+wo&#10;xP3dsnkBFvQS/mC41qfqUFGn1p1QeTYKyKLkkVAykjhPgRGSJymtaa9SHqfAq5L/X1H9AgAA//8D&#10;AFBLAQItABQABgAIAAAAIQC2gziS/gAAAOEBAAATAAAAAAAAAAAAAAAAAAAAAABbQ29udGVudF9U&#10;eXBlc10ueG1sUEsBAi0AFAAGAAgAAAAhADj9If/WAAAAlAEAAAsAAAAAAAAAAAAAAAAALwEAAF9y&#10;ZWxzLy5yZWxzUEsBAi0AFAAGAAgAAAAhAJFa21nxAQAAwgMAAA4AAAAAAAAAAAAAAAAALgIAAGRy&#10;cy9lMm9Eb2MueG1sUEsBAi0AFAAGAAgAAAAhAIKOct7hAAAADQEAAA8AAAAAAAAAAAAAAAAASwQA&#10;AGRycy9kb3ducmV2LnhtbFBLBQYAAAAABAAEAPMAAABZBQAAAAA=&#10;" filled="f" stroked="f">
                <v:textbox inset="0,0,0,0">
                  <w:txbxContent>
                    <w:p w14:paraId="0524DAB3" w14:textId="77777777" w:rsidR="00490F33" w:rsidRDefault="00490F33">
                      <w:pPr>
                        <w:spacing w:line="180" w:lineRule="exact"/>
                        <w:textAlignment w:val="baseline"/>
                        <w:rPr>
                          <w:rFonts w:ascii="Tahoma" w:eastAsia="Tahoma" w:hAnsi="Tahoma"/>
                          <w:color w:val="050504"/>
                          <w:sz w:val="14"/>
                        </w:rPr>
                      </w:pPr>
                      <w:r>
                        <w:rPr>
                          <w:rFonts w:ascii="Tahoma" w:eastAsia="Tahoma" w:hAnsi="Tahoma"/>
                          <w:color w:val="050504"/>
                          <w:sz w:val="14"/>
                        </w:rPr>
                        <w:t>Source:</w:t>
                      </w:r>
                    </w:p>
                    <w:p w14:paraId="71E6B68D" w14:textId="77777777" w:rsidR="00490F33" w:rsidRDefault="00490F33">
                      <w:pPr>
                        <w:spacing w:before="3" w:line="180" w:lineRule="exact"/>
                        <w:textAlignment w:val="baseline"/>
                        <w:rPr>
                          <w:rFonts w:ascii="Tahoma" w:eastAsia="Tahoma" w:hAnsi="Tahoma"/>
                          <w:color w:val="050504"/>
                          <w:spacing w:val="-2"/>
                          <w:sz w:val="14"/>
                        </w:rPr>
                      </w:pPr>
                      <w:r>
                        <w:rPr>
                          <w:rFonts w:ascii="Tahoma" w:eastAsia="Tahoma" w:hAnsi="Tahoma"/>
                          <w:color w:val="050504"/>
                          <w:spacing w:val="-2"/>
                          <w:sz w:val="14"/>
                        </w:rPr>
                        <w:t>Skills Development</w:t>
                      </w:r>
                    </w:p>
                    <w:p w14:paraId="3AF641E6" w14:textId="77777777" w:rsidR="00490F33" w:rsidRDefault="00490F33">
                      <w:pPr>
                        <w:spacing w:line="162" w:lineRule="exact"/>
                        <w:textAlignment w:val="baseline"/>
                        <w:rPr>
                          <w:rFonts w:ascii="Tahoma" w:eastAsia="Tahoma" w:hAnsi="Tahoma"/>
                          <w:color w:val="050504"/>
                          <w:spacing w:val="2"/>
                          <w:sz w:val="14"/>
                        </w:rPr>
                      </w:pPr>
                      <w:r>
                        <w:rPr>
                          <w:rFonts w:ascii="Tahoma" w:eastAsia="Tahoma" w:hAnsi="Tahoma"/>
                          <w:color w:val="050504"/>
                          <w:spacing w:val="2"/>
                          <w:sz w:val="14"/>
                        </w:rPr>
                        <w:t>Scotland.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49856" behindDoc="1" locked="0" layoutInCell="1" allowOverlap="1" wp14:anchorId="27AA0869" wp14:editId="411178D0">
                <wp:simplePos x="0" y="0"/>
                <wp:positionH relativeFrom="page">
                  <wp:posOffset>542290</wp:posOffset>
                </wp:positionH>
                <wp:positionV relativeFrom="page">
                  <wp:posOffset>9692640</wp:posOffset>
                </wp:positionV>
                <wp:extent cx="1222375" cy="144780"/>
                <wp:effectExtent l="0" t="0" r="0" b="0"/>
                <wp:wrapSquare wrapText="bothSides"/>
                <wp:docPr id="754"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678DA" w14:textId="77777777" w:rsidR="00490F33" w:rsidRDefault="00490F33">
                            <w:pPr>
                              <w:tabs>
                                <w:tab w:val="right" w:pos="1944"/>
                              </w:tabs>
                              <w:spacing w:before="19" w:after="17" w:line="180" w:lineRule="exact"/>
                              <w:textAlignment w:val="baseline"/>
                              <w:rPr>
                                <w:rFonts w:ascii="Arial" w:eastAsia="Arial" w:hAnsi="Arial"/>
                                <w:b/>
                                <w:color w:val="5556A1"/>
                                <w:sz w:val="19"/>
                              </w:rPr>
                            </w:pPr>
                            <w:r>
                              <w:rPr>
                                <w:rFonts w:ascii="Arial" w:eastAsia="Arial" w:hAnsi="Arial"/>
                                <w:b/>
                                <w:color w:val="5556A1"/>
                                <w:sz w:val="19"/>
                              </w:rPr>
                              <w:t>68</w:t>
                            </w:r>
                            <w:r>
                              <w:rPr>
                                <w:rFonts w:ascii="Tahoma" w:eastAsia="Tahoma" w:hAnsi="Tahoma"/>
                                <w:color w:val="41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A0869" id="Text Box 475" o:spid="_x0000_s1142" type="#_x0000_t202" style="position:absolute;margin-left:42.7pt;margin-top:763.2pt;width:96.25pt;height:11.4pt;z-index:-251866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gR8QEAAMMDAAAOAAAAZHJzL2Uyb0RvYy54bWysU9tu2zAMfR+wfxD0vjjO0qYw4hRdiw4D&#10;ugvQ7gMYWY6F2aJGKbGzrx8lx1m3vhV7ESiRPDw8pNbXQ9eKgyZv0JYyn82l0FZhZeyulN+f7t9d&#10;SeED2ApatLqUR+3l9ebtm3XvCr3ABttKk2AQ64velbIJwRVZ5lWjO/AzdNqys0bqIPCVdllF0DN6&#10;12aL+fwy65EqR6i09/x6NzrlJuHXtVbha117HURbSuYW0knp3MYz26yh2BG4xqgTDXgFiw6M5aJn&#10;qDsIIPZkXkB1RhF6rMNMYZdhXRulUw/cTT7/p5vHBpxOvbA43p1l8v8PVn05fCNhqlKuLpZSWOh4&#10;SE96COIDDmK5uogK9c4XHPjoODQM7OBJp269e0D1wwuLtw3Ynb4hwr7RUDHDPGZmz1JHHB9Btv1n&#10;rLgQ7AMmoKGmLsrHgghG50kdz9OJZFQsuVgs3jMhodiXL5erqzS+DIop25EPHzV2IhqlJJ5+QofD&#10;gw+RDRRTSCxm8d60bdqA1v71wIHxJbGPhEfqYdgOSao8v5xk2WJ15IYIx83in8BGg/RLip63qpT+&#10;5x5IS9F+sixKXMHJoMnYTgZYxamlDFKM5m0YV3XvyOwaRh5lt3jDwtUm9RQVHlmcCPOmpFZPWx1X&#10;8fk9Rf35e5vfAAAA//8DAFBLAwQUAAYACAAAACEAkC25NOEAAAAMAQAADwAAAGRycy9kb3ducmV2&#10;LnhtbEyPQU+DQBCF7yb+h82YeLOLpKUFWZrG6MnESPHgcWGnQMrOIrtt8d87Pelt5r2XN9/k29kO&#10;4oyT7x0peFxEIJAaZ3pqFXxWrw8bED5oMnpwhAp+0MO2uL3JdWbchUo870MruIR8phV0IYyZlL7p&#10;0Gq/cCMSewc3WR14nVppJn3hcjvIOIoSaXVPfKHTIz532Bz3J6tg90XlS//9Xn+Uh7KvqjSit+So&#10;1P3dvHsCEXAOf2G44jM6FMxUuxMZLwYFm9WSk6yv4oQnTsTrdQqivkrLNAZZ5PL/E8UvAAAA//8D&#10;AFBLAQItABQABgAIAAAAIQC2gziS/gAAAOEBAAATAAAAAAAAAAAAAAAAAAAAAABbQ29udGVudF9U&#10;eXBlc10ueG1sUEsBAi0AFAAGAAgAAAAhADj9If/WAAAAlAEAAAsAAAAAAAAAAAAAAAAALwEAAF9y&#10;ZWxzLy5yZWxzUEsBAi0AFAAGAAgAAAAhAD22mBHxAQAAwwMAAA4AAAAAAAAAAAAAAAAALgIAAGRy&#10;cy9lMm9Eb2MueG1sUEsBAi0AFAAGAAgAAAAhAJAtuTThAAAADAEAAA8AAAAAAAAAAAAAAAAASwQA&#10;AGRycy9kb3ducmV2LnhtbFBLBQYAAAAABAAEAPMAAABZBQAAAAA=&#10;" filled="f" stroked="f">
                <v:textbox inset="0,0,0,0">
                  <w:txbxContent>
                    <w:p w14:paraId="186678DA" w14:textId="77777777" w:rsidR="00490F33" w:rsidRDefault="00490F33">
                      <w:pPr>
                        <w:tabs>
                          <w:tab w:val="right" w:pos="1944"/>
                        </w:tabs>
                        <w:spacing w:before="19" w:after="17" w:line="180" w:lineRule="exact"/>
                        <w:textAlignment w:val="baseline"/>
                        <w:rPr>
                          <w:rFonts w:ascii="Arial" w:eastAsia="Arial" w:hAnsi="Arial"/>
                          <w:b/>
                          <w:color w:val="5556A1"/>
                          <w:sz w:val="19"/>
                        </w:rPr>
                      </w:pPr>
                      <w:r>
                        <w:rPr>
                          <w:rFonts w:ascii="Arial" w:eastAsia="Arial" w:hAnsi="Arial"/>
                          <w:b/>
                          <w:color w:val="5556A1"/>
                          <w:sz w:val="19"/>
                        </w:rPr>
                        <w:t>68</w:t>
                      </w:r>
                      <w:r>
                        <w:rPr>
                          <w:rFonts w:ascii="Tahoma" w:eastAsia="Tahoma" w:hAnsi="Tahoma"/>
                          <w:color w:val="414042"/>
                          <w:sz w:val="14"/>
                        </w:rPr>
                        <w:tab/>
                        <w:t>Looking to the future</w:t>
                      </w:r>
                    </w:p>
                  </w:txbxContent>
                </v:textbox>
                <w10:wrap type="square" anchorx="page" anchory="page"/>
              </v:shape>
            </w:pict>
          </mc:Fallback>
        </mc:AlternateContent>
      </w:r>
    </w:p>
    <w:p w14:paraId="7E62CEDA" w14:textId="77777777" w:rsidR="009757A9" w:rsidRDefault="009757A9">
      <w:pPr>
        <w:sectPr w:rsidR="009757A9">
          <w:pgSz w:w="11909" w:h="16838"/>
          <w:pgMar w:top="0" w:right="1440" w:bottom="0" w:left="1440" w:header="720" w:footer="720" w:gutter="0"/>
          <w:cols w:space="720"/>
        </w:sectPr>
      </w:pPr>
    </w:p>
    <w:p w14:paraId="2FA671F7" w14:textId="77777777" w:rsidR="009757A9" w:rsidRDefault="00083242">
      <w:pPr>
        <w:spacing w:before="24" w:line="277" w:lineRule="exact"/>
        <w:ind w:left="864"/>
        <w:textAlignment w:val="baseline"/>
        <w:rPr>
          <w:rFonts w:ascii="Arial" w:eastAsia="Arial" w:hAnsi="Arial"/>
          <w:b/>
          <w:color w:val="00708E"/>
          <w:spacing w:val="-3"/>
          <w:sz w:val="25"/>
        </w:rPr>
      </w:pPr>
      <w:r>
        <w:rPr>
          <w:rFonts w:ascii="Arial" w:eastAsia="Arial" w:hAnsi="Arial"/>
          <w:b/>
          <w:color w:val="00708E"/>
          <w:spacing w:val="-3"/>
          <w:sz w:val="25"/>
        </w:rPr>
        <w:lastRenderedPageBreak/>
        <w:t>Career advice in schools</w:t>
      </w:r>
    </w:p>
    <w:p w14:paraId="1F6ED272" w14:textId="77777777" w:rsidR="009757A9" w:rsidRDefault="00083242">
      <w:pPr>
        <w:spacing w:before="166" w:line="240" w:lineRule="exact"/>
        <w:ind w:left="864" w:right="1008"/>
        <w:textAlignment w:val="baseline"/>
        <w:rPr>
          <w:rFonts w:ascii="Tahoma" w:eastAsia="Tahoma" w:hAnsi="Tahoma"/>
          <w:color w:val="404042"/>
          <w:sz w:val="18"/>
        </w:rPr>
      </w:pPr>
      <w:r>
        <w:rPr>
          <w:rFonts w:ascii="Tahoma" w:eastAsia="Tahoma" w:hAnsi="Tahoma"/>
          <w:color w:val="404042"/>
          <w:sz w:val="18"/>
        </w:rPr>
        <w:t>To be effective, school-based career guidance must do many things. It must be student-centred and tailored to individual needs, interests and circumstances of school students.</w:t>
      </w:r>
      <w:r>
        <w:rPr>
          <w:rFonts w:ascii="Tahoma" w:eastAsia="Tahoma" w:hAnsi="Tahoma"/>
          <w:color w:val="404042"/>
          <w:sz w:val="18"/>
          <w:vertAlign w:val="superscript"/>
        </w:rPr>
        <w:t>79</w:t>
      </w:r>
      <w:r>
        <w:rPr>
          <w:rFonts w:ascii="Tahoma" w:eastAsia="Tahoma" w:hAnsi="Tahoma"/>
          <w:color w:val="404042"/>
          <w:sz w:val="18"/>
        </w:rPr>
        <w:t xml:space="preserve"> It should be responsive both to the current labour market and the skill needs of the future. It depends on supportive school leadership, teacher awareness, and the expertise of the career educator.</w:t>
      </w:r>
      <w:r>
        <w:rPr>
          <w:rFonts w:ascii="Tahoma" w:eastAsia="Tahoma" w:hAnsi="Tahoma"/>
          <w:color w:val="404042"/>
          <w:sz w:val="18"/>
          <w:vertAlign w:val="superscript"/>
        </w:rPr>
        <w:t>80</w:t>
      </w:r>
      <w:r>
        <w:rPr>
          <w:rFonts w:ascii="Tahoma" w:eastAsia="Tahoma" w:hAnsi="Tahoma"/>
          <w:color w:val="404042"/>
          <w:sz w:val="10"/>
        </w:rPr>
        <w:t xml:space="preserve"> </w:t>
      </w:r>
    </w:p>
    <w:p w14:paraId="798C1E5A" w14:textId="77777777" w:rsidR="009757A9" w:rsidRDefault="00083242">
      <w:pPr>
        <w:spacing w:before="152" w:after="600"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 Panel heard extensive criticism of the type and quality of career advice provided in schools. Unfortunately, we found a lack of data available to compare models of career education and provision of advice nationally. The Panel did identify pockets of effective action taking place across Australia. It’s relatively rare. Too much good practice seems to depend on the enthusiasm of a particular school principal or teacher. Most students found that teachers were helpful in assisting them to select a university, but less confident or knowledgeable on how to become a plumber or train as an aged care worker. Access to workplace-oriented career advice for senior secondary students needs to become the rule, not the exception.</w:t>
      </w:r>
    </w:p>
    <w:p w14:paraId="0F7552B7" w14:textId="77777777" w:rsidR="009757A9" w:rsidRDefault="000D2E34">
      <w:pPr>
        <w:spacing w:before="102" w:line="300" w:lineRule="exact"/>
        <w:ind w:left="1296" w:right="1584"/>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83008" behindDoc="0" locked="0" layoutInCell="1" allowOverlap="1" wp14:anchorId="5654A724" wp14:editId="089CF948">
                <wp:simplePos x="0" y="0"/>
                <wp:positionH relativeFrom="page">
                  <wp:posOffset>826135</wp:posOffset>
                </wp:positionH>
                <wp:positionV relativeFrom="page">
                  <wp:posOffset>3145790</wp:posOffset>
                </wp:positionV>
                <wp:extent cx="5907405" cy="0"/>
                <wp:effectExtent l="0" t="0" r="0" b="0"/>
                <wp:wrapNone/>
                <wp:docPr id="753"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974FB" id="Line 474" o:spid="_x0000_s1026" style="position:absolute;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47.7pt" to="530.2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f90AEAAIYDAAAOAAAAZHJzL2Uyb0RvYy54bWysU8Fu2zAMvQ/YPwi6L3bapFmMOD0k6y7Z&#10;FqDtBzCSbAuTREFSYufvJ8lJtq63YReBEsnHx0dq9ThoRU7CeYmmptNJSYkwDLk0bU1fX54+fabE&#10;BzAcFBpR07Pw9HH98cOqt5W4ww4VF45EEOOr3ta0C8FWReFZJzT4CVphorNBpyHEq2sL7qCP6FoV&#10;d2X5UPTouHXIhPfxdTs66TrjN41g4UfTeBGIqmnkFvLp8nlIZ7FeQdU6sJ1kFxrwDyw0SBOL3qC2&#10;EIAcnXwHpSVz6LEJE4a6wKaRTOQeYjfT8q9unjuwIvcSxfH2JpP/f7Ds+2nviOQ1XczvKTGg45B2&#10;0ggyW8ySOr31VQzamL1L/bHBPNsdsp+eGNx0YFqRWb6cbUycpoziTUq6eBtrHPpvyGMMHANmqYbG&#10;6QQZRSBDnsj5NhExBMLi43xZLmblnBJ29RVQXROt8+GrQE2SUVMVWWdgOO18SESguoakOgafpFJ5&#10;4MqQvqYP9/MyJ3hUkidnCvOuPWyUIydIK1MulsusQwR7E5aQt+C7MS67xmVyeDQ8V+kE8C8XO4BU&#10;ox2BlLmolIQZJT4gP+/dVb047Ez/sphpm/685+zf32f9CwAA//8DAFBLAwQUAAYACAAAACEAOEew&#10;R9wAAAAMAQAADwAAAGRycy9kb3ducmV2LnhtbEyPQU/DMAyF70j8h8hI3Fgy2CYoTSc0tNMusCFx&#10;9RrTFhqnarKu+/d4EtK4+dlPz9/Ll6Nv1UB9bAJbmE4MKOIyuIYrCx+79d0jqJiQHbaBycKJIiyL&#10;66scMxeO/E7DNlVKQjhmaKFOqcu0jmVNHuMkdMRy+wq9xySyr7Tr8SjhvtX3xiy0x4blQ40drWoq&#10;f7YHb2GNZvfmNpvwHT/npxUm7V5psPb2Znx5BpVoTBcznPEFHQph2ocDu6ha0Q9mKlYLs6f5DNTZ&#10;YRZGpv3fShe5/l+i+AUAAP//AwBQSwECLQAUAAYACAAAACEAtoM4kv4AAADhAQAAEwAAAAAAAAAA&#10;AAAAAAAAAAAAW0NvbnRlbnRfVHlwZXNdLnhtbFBLAQItABQABgAIAAAAIQA4/SH/1gAAAJQBAAAL&#10;AAAAAAAAAAAAAAAAAC8BAABfcmVscy8ucmVsc1BLAQItABQABgAIAAAAIQAuawf90AEAAIYDAAAO&#10;AAAAAAAAAAAAAAAAAC4CAABkcnMvZTJvRG9jLnhtbFBLAQItABQABgAIAAAAIQA4R7BH3AAAAAwB&#10;AAAPAAAAAAAAAAAAAAAAACoEAABkcnMvZG93bnJldi54bWxQSwUGAAAAAAQABADzAAAAMwUAAAAA&#10;" strokecolor="#007994" strokeweight=".5pt">
                <w10:wrap anchorx="page" anchory="page"/>
              </v:line>
            </w:pict>
          </mc:Fallback>
        </mc:AlternateContent>
      </w:r>
      <w:r w:rsidR="00083242">
        <w:rPr>
          <w:rFonts w:ascii="Tahoma" w:eastAsia="Tahoma" w:hAnsi="Tahoma"/>
          <w:i/>
          <w:color w:val="007994"/>
          <w:sz w:val="21"/>
        </w:rPr>
        <w:t>“There is clearly great need to improve the availability and currency of career advice and information available to school students across the board and in regional schools in particular.”</w:t>
      </w:r>
    </w:p>
    <w:p w14:paraId="22F2FF3D" w14:textId="77777777" w:rsidR="009757A9" w:rsidRDefault="000D2E34">
      <w:pPr>
        <w:spacing w:before="55" w:after="1267" w:line="242" w:lineRule="exact"/>
        <w:ind w:left="6624"/>
        <w:textAlignment w:val="baseline"/>
        <w:rPr>
          <w:rFonts w:ascii="Tahoma" w:eastAsia="Tahoma" w:hAnsi="Tahoma"/>
          <w:i/>
          <w:color w:val="007994"/>
          <w:spacing w:val="2"/>
          <w:sz w:val="21"/>
        </w:rPr>
      </w:pPr>
      <w:r>
        <w:rPr>
          <w:noProof/>
          <w:lang w:val="en-AU" w:eastAsia="en-AU"/>
        </w:rPr>
        <mc:AlternateContent>
          <mc:Choice Requires="wps">
            <w:drawing>
              <wp:anchor distT="0" distB="0" distL="114300" distR="114300" simplePos="0" relativeHeight="251884032" behindDoc="0" locked="0" layoutInCell="1" allowOverlap="1" wp14:anchorId="0913F389" wp14:editId="5D7280F8">
                <wp:simplePos x="0" y="0"/>
                <wp:positionH relativeFrom="page">
                  <wp:posOffset>826135</wp:posOffset>
                </wp:positionH>
                <wp:positionV relativeFrom="page">
                  <wp:posOffset>3928745</wp:posOffset>
                </wp:positionV>
                <wp:extent cx="5907405" cy="0"/>
                <wp:effectExtent l="0" t="0" r="0" b="0"/>
                <wp:wrapNone/>
                <wp:docPr id="752"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D8FCB" id="Line 473" o:spid="_x0000_s1026" style="position:absolute;z-index:25188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09.35pt" to="530.2pt,3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aE0QEAAIYDAAAOAAAAZHJzL2Uyb0RvYy54bWysU8GO2yAQvVfqPyDujZ1ssmmsOHtIur2k&#10;baTdfsAEsI0KDAISO39fwEm6bW9VL2hgZt68eTOsnwatyFk4L9HUdDopKRGGIZemren31+cPHynx&#10;AQwHhUbU9CI8fdq8f7fubSVm2KHiwpEIYnzV25p2IdiqKDzrhAY/QStMdDboNIR4dW3BHfQRXati&#10;VpaPRY+OW4dMeB9fd6OTbjJ+0wgWvjWNF4GomkZuIZ8un8d0Fps1VK0D20l2pQH/wEKDNLHoHWoH&#10;AcjJyb+gtGQOPTZhwlAX2DSSidxD7GZa/tHNSwdW5F6iON7eZfL/D5Z9PR8ckbymy8WMEgM6Dmkv&#10;jSDz5UNSp7e+ikFbc3CpPzaYF7tH9sMTg9sOTCsyy9eLjYnTlFH8lpIu3sYax/4L8hgDp4BZqqFx&#10;OkFGEciQJ3K5T0QMgbD4uFiVy3m5oITdfAVUt0TrfPgsUJNk1FRF1hkYznsfEhGobiGpjsFnqVQe&#10;uDKkr+njw6LMCR6V5MmZwrxrj1vlyBnSypTL1Wqeu4qet2EJeQe+G+Oya1wmhyfDc5VOAP90tQNI&#10;NdqRlTJXlZIwo8RH5JeDu6kXh53pXxczbdPbe87+9X02PwEAAP//AwBQSwMEFAAGAAgAAAAhAJbV&#10;19PdAAAADAEAAA8AAABkcnMvZG93bnJldi54bWxMj01vwjAMhu+T9h8iI+02ku6joK4pmpg4cdkA&#10;iatpTNvROFUTSvn3C9Kk7fjaj14/zhejbcVAvW8ca0imCgRx6UzDlYbddvU4B+EDssHWMWm4kodF&#10;cX+XY2bchb9o2IRKxBL2GWqoQ+gyKX1Zk0U/dR1x3B1dbzHE2FfS9HiJ5baVT0ql0mLD8UKNHS1r&#10;Kk+bs9WwQrX9NOu1+/b71+sSgzQfNGj9MBnf30AEGsMfDDf9qA5FdDq4Mxsv2pifVRJRDWkyn4G4&#10;ESpVLyAOvyNZ5PL/E8UPAAAA//8DAFBLAQItABQABgAIAAAAIQC2gziS/gAAAOEBAAATAAAAAAAA&#10;AAAAAAAAAAAAAABbQ29udGVudF9UeXBlc10ueG1sUEsBAi0AFAAGAAgAAAAhADj9If/WAAAAlAEA&#10;AAsAAAAAAAAAAAAAAAAALwEAAF9yZWxzLy5yZWxzUEsBAi0AFAAGAAgAAAAhAE0rloTRAQAAhgMA&#10;AA4AAAAAAAAAAAAAAAAALgIAAGRycy9lMm9Eb2MueG1sUEsBAi0AFAAGAAgAAAAhAJbV19PdAAAA&#10;DAEAAA8AAAAAAAAAAAAAAAAAKwQAAGRycy9kb3ducmV2LnhtbFBLBQYAAAAABAAEAPMAAAA1BQAA&#10;AAA=&#10;" strokecolor="#007994" strokeweight=".5pt">
                <w10:wrap anchorx="page" anchory="page"/>
              </v:line>
            </w:pict>
          </mc:Fallback>
        </mc:AlternateContent>
      </w:r>
      <w:r w:rsidR="00083242">
        <w:rPr>
          <w:rFonts w:ascii="Tahoma" w:eastAsia="Tahoma" w:hAnsi="Tahoma"/>
          <w:i/>
          <w:color w:val="007994"/>
          <w:spacing w:val="2"/>
          <w:sz w:val="21"/>
        </w:rPr>
        <w:t>Regional Universities Network submission</w:t>
      </w:r>
    </w:p>
    <w:p w14:paraId="5F3688F2" w14:textId="77777777" w:rsidR="009757A9" w:rsidRDefault="009757A9">
      <w:pPr>
        <w:spacing w:before="55" w:after="1267" w:line="242" w:lineRule="exact"/>
        <w:sectPr w:rsidR="009757A9">
          <w:pgSz w:w="11909" w:h="16838"/>
          <w:pgMar w:top="1080" w:right="0" w:bottom="0" w:left="0" w:header="720" w:footer="720" w:gutter="0"/>
          <w:cols w:space="720"/>
        </w:sectPr>
      </w:pPr>
    </w:p>
    <w:p w14:paraId="52CED6B9" w14:textId="77777777" w:rsidR="009F7F0B" w:rsidRDefault="009F7F0B">
      <w:pPr>
        <w:spacing w:before="44" w:line="202" w:lineRule="exact"/>
        <w:ind w:left="1080" w:right="1152" w:hanging="216"/>
        <w:textAlignment w:val="baseline"/>
        <w:rPr>
          <w:rFonts w:ascii="Tahoma" w:eastAsia="Tahoma" w:hAnsi="Tahoma"/>
          <w:color w:val="404042"/>
          <w:sz w:val="14"/>
        </w:rPr>
      </w:pPr>
    </w:p>
    <w:p w14:paraId="632CD212" w14:textId="77777777" w:rsidR="009F7F0B" w:rsidRDefault="009F7F0B">
      <w:pPr>
        <w:spacing w:before="44" w:line="202" w:lineRule="exact"/>
        <w:ind w:left="1080" w:right="1152" w:hanging="216"/>
        <w:textAlignment w:val="baseline"/>
        <w:rPr>
          <w:rFonts w:ascii="Tahoma" w:eastAsia="Tahoma" w:hAnsi="Tahoma"/>
          <w:color w:val="404042"/>
          <w:sz w:val="14"/>
        </w:rPr>
      </w:pPr>
    </w:p>
    <w:p w14:paraId="633CA7F7" w14:textId="77777777" w:rsidR="009F7F0B" w:rsidRDefault="009F7F0B">
      <w:pPr>
        <w:spacing w:before="44" w:line="202" w:lineRule="exact"/>
        <w:ind w:left="1080" w:right="1152" w:hanging="216"/>
        <w:textAlignment w:val="baseline"/>
        <w:rPr>
          <w:rFonts w:ascii="Tahoma" w:eastAsia="Tahoma" w:hAnsi="Tahoma"/>
          <w:color w:val="404042"/>
          <w:sz w:val="14"/>
        </w:rPr>
      </w:pPr>
    </w:p>
    <w:p w14:paraId="333C3E0F" w14:textId="77777777" w:rsidR="009F7F0B" w:rsidRDefault="009F7F0B">
      <w:pPr>
        <w:spacing w:before="44" w:line="202" w:lineRule="exact"/>
        <w:ind w:left="1080" w:right="1152" w:hanging="216"/>
        <w:textAlignment w:val="baseline"/>
        <w:rPr>
          <w:rFonts w:ascii="Tahoma" w:eastAsia="Tahoma" w:hAnsi="Tahoma"/>
          <w:color w:val="404042"/>
          <w:sz w:val="14"/>
        </w:rPr>
      </w:pPr>
    </w:p>
    <w:p w14:paraId="211AE58D" w14:textId="77777777" w:rsidR="009F7F0B" w:rsidRDefault="009F7F0B">
      <w:pPr>
        <w:spacing w:before="44" w:line="202" w:lineRule="exact"/>
        <w:ind w:left="1080" w:right="1152" w:hanging="216"/>
        <w:textAlignment w:val="baseline"/>
        <w:rPr>
          <w:rFonts w:ascii="Tahoma" w:eastAsia="Tahoma" w:hAnsi="Tahoma"/>
          <w:color w:val="404042"/>
          <w:sz w:val="14"/>
        </w:rPr>
      </w:pPr>
    </w:p>
    <w:p w14:paraId="336E2F4A" w14:textId="77777777" w:rsidR="009F7F0B" w:rsidRDefault="009F7F0B">
      <w:pPr>
        <w:spacing w:before="44" w:line="202" w:lineRule="exact"/>
        <w:ind w:left="1080" w:right="1152" w:hanging="216"/>
        <w:textAlignment w:val="baseline"/>
        <w:rPr>
          <w:rFonts w:ascii="Tahoma" w:eastAsia="Tahoma" w:hAnsi="Tahoma"/>
          <w:color w:val="404042"/>
          <w:sz w:val="14"/>
        </w:rPr>
      </w:pPr>
    </w:p>
    <w:p w14:paraId="4C2C3C51" w14:textId="77777777" w:rsidR="009F7F0B" w:rsidRDefault="009F7F0B">
      <w:pPr>
        <w:spacing w:before="44" w:line="202" w:lineRule="exact"/>
        <w:ind w:left="1080" w:right="1152" w:hanging="216"/>
        <w:textAlignment w:val="baseline"/>
        <w:rPr>
          <w:rFonts w:ascii="Tahoma" w:eastAsia="Tahoma" w:hAnsi="Tahoma"/>
          <w:color w:val="404042"/>
          <w:sz w:val="14"/>
        </w:rPr>
      </w:pPr>
    </w:p>
    <w:p w14:paraId="65DF4EEE" w14:textId="77777777" w:rsidR="009F7F0B" w:rsidRDefault="009F7F0B">
      <w:pPr>
        <w:spacing w:before="44" w:line="202" w:lineRule="exact"/>
        <w:ind w:left="1080" w:right="1152" w:hanging="216"/>
        <w:textAlignment w:val="baseline"/>
        <w:rPr>
          <w:rFonts w:ascii="Tahoma" w:eastAsia="Tahoma" w:hAnsi="Tahoma"/>
          <w:color w:val="404042"/>
          <w:sz w:val="14"/>
        </w:rPr>
      </w:pPr>
    </w:p>
    <w:p w14:paraId="3E2B8040" w14:textId="77777777" w:rsidR="009F7F0B" w:rsidRDefault="009F7F0B">
      <w:pPr>
        <w:spacing w:before="44" w:line="202" w:lineRule="exact"/>
        <w:ind w:left="1080" w:right="1152" w:hanging="216"/>
        <w:textAlignment w:val="baseline"/>
        <w:rPr>
          <w:rFonts w:ascii="Tahoma" w:eastAsia="Tahoma" w:hAnsi="Tahoma"/>
          <w:color w:val="404042"/>
          <w:sz w:val="14"/>
        </w:rPr>
      </w:pPr>
    </w:p>
    <w:p w14:paraId="36459E47" w14:textId="77777777" w:rsidR="009F7F0B" w:rsidRDefault="009F7F0B">
      <w:pPr>
        <w:spacing w:before="44" w:line="202" w:lineRule="exact"/>
        <w:ind w:left="1080" w:right="1152" w:hanging="216"/>
        <w:textAlignment w:val="baseline"/>
        <w:rPr>
          <w:rFonts w:ascii="Tahoma" w:eastAsia="Tahoma" w:hAnsi="Tahoma"/>
          <w:color w:val="404042"/>
          <w:sz w:val="14"/>
        </w:rPr>
      </w:pPr>
    </w:p>
    <w:p w14:paraId="50295673" w14:textId="77777777" w:rsidR="009F7F0B" w:rsidRDefault="009F7F0B">
      <w:pPr>
        <w:spacing w:before="44" w:line="202" w:lineRule="exact"/>
        <w:ind w:left="1080" w:right="1152" w:hanging="216"/>
        <w:textAlignment w:val="baseline"/>
        <w:rPr>
          <w:rFonts w:ascii="Tahoma" w:eastAsia="Tahoma" w:hAnsi="Tahoma"/>
          <w:color w:val="404042"/>
          <w:sz w:val="14"/>
        </w:rPr>
      </w:pPr>
    </w:p>
    <w:p w14:paraId="0CFCF0BC" w14:textId="77777777" w:rsidR="009F7F0B" w:rsidRDefault="009F7F0B">
      <w:pPr>
        <w:spacing w:before="44" w:line="202" w:lineRule="exact"/>
        <w:ind w:left="1080" w:right="1152" w:hanging="216"/>
        <w:textAlignment w:val="baseline"/>
        <w:rPr>
          <w:rFonts w:ascii="Tahoma" w:eastAsia="Tahoma" w:hAnsi="Tahoma"/>
          <w:color w:val="404042"/>
          <w:sz w:val="14"/>
        </w:rPr>
      </w:pPr>
    </w:p>
    <w:p w14:paraId="0B69FF25" w14:textId="77777777" w:rsidR="009F7F0B" w:rsidRDefault="009F7F0B">
      <w:pPr>
        <w:spacing w:before="44" w:line="202" w:lineRule="exact"/>
        <w:ind w:left="1080" w:right="1152" w:hanging="216"/>
        <w:textAlignment w:val="baseline"/>
        <w:rPr>
          <w:rFonts w:ascii="Tahoma" w:eastAsia="Tahoma" w:hAnsi="Tahoma"/>
          <w:color w:val="404042"/>
          <w:sz w:val="14"/>
        </w:rPr>
      </w:pPr>
    </w:p>
    <w:p w14:paraId="214C85D8" w14:textId="77777777" w:rsidR="009F7F0B" w:rsidRDefault="009F7F0B">
      <w:pPr>
        <w:spacing w:before="44" w:line="202" w:lineRule="exact"/>
        <w:ind w:left="1080" w:right="1152" w:hanging="216"/>
        <w:textAlignment w:val="baseline"/>
        <w:rPr>
          <w:rFonts w:ascii="Tahoma" w:eastAsia="Tahoma" w:hAnsi="Tahoma"/>
          <w:color w:val="404042"/>
          <w:sz w:val="14"/>
        </w:rPr>
      </w:pPr>
    </w:p>
    <w:p w14:paraId="0AC01F8E" w14:textId="77777777" w:rsidR="009F7F0B" w:rsidRDefault="009F7F0B">
      <w:pPr>
        <w:spacing w:before="44" w:line="202" w:lineRule="exact"/>
        <w:ind w:left="1080" w:right="1152" w:hanging="216"/>
        <w:textAlignment w:val="baseline"/>
        <w:rPr>
          <w:rFonts w:ascii="Tahoma" w:eastAsia="Tahoma" w:hAnsi="Tahoma"/>
          <w:color w:val="404042"/>
          <w:sz w:val="14"/>
        </w:rPr>
      </w:pPr>
    </w:p>
    <w:p w14:paraId="687C1378" w14:textId="77777777" w:rsidR="009F7F0B" w:rsidRDefault="009F7F0B">
      <w:pPr>
        <w:spacing w:before="44" w:line="202" w:lineRule="exact"/>
        <w:ind w:left="1080" w:right="1152" w:hanging="216"/>
        <w:textAlignment w:val="baseline"/>
        <w:rPr>
          <w:rFonts w:ascii="Tahoma" w:eastAsia="Tahoma" w:hAnsi="Tahoma"/>
          <w:color w:val="404042"/>
          <w:sz w:val="14"/>
        </w:rPr>
      </w:pPr>
    </w:p>
    <w:p w14:paraId="5AD0AF71" w14:textId="77777777" w:rsidR="009F7F0B" w:rsidRDefault="009F7F0B">
      <w:pPr>
        <w:spacing w:before="44" w:line="202" w:lineRule="exact"/>
        <w:ind w:left="1080" w:right="1152" w:hanging="216"/>
        <w:textAlignment w:val="baseline"/>
        <w:rPr>
          <w:rFonts w:ascii="Tahoma" w:eastAsia="Tahoma" w:hAnsi="Tahoma"/>
          <w:color w:val="404042"/>
          <w:sz w:val="14"/>
        </w:rPr>
      </w:pPr>
    </w:p>
    <w:p w14:paraId="52217B76" w14:textId="77777777" w:rsidR="009F7F0B" w:rsidRDefault="009F7F0B">
      <w:pPr>
        <w:spacing w:before="44" w:line="202" w:lineRule="exact"/>
        <w:ind w:left="1080" w:right="1152" w:hanging="216"/>
        <w:textAlignment w:val="baseline"/>
        <w:rPr>
          <w:rFonts w:ascii="Tahoma" w:eastAsia="Tahoma" w:hAnsi="Tahoma"/>
          <w:color w:val="404042"/>
          <w:sz w:val="14"/>
        </w:rPr>
      </w:pPr>
    </w:p>
    <w:p w14:paraId="7A5F0031" w14:textId="77777777" w:rsidR="009F7F0B" w:rsidRDefault="009F7F0B">
      <w:pPr>
        <w:spacing w:before="44" w:line="202" w:lineRule="exact"/>
        <w:ind w:left="1080" w:right="1152" w:hanging="216"/>
        <w:textAlignment w:val="baseline"/>
        <w:rPr>
          <w:rFonts w:ascii="Tahoma" w:eastAsia="Tahoma" w:hAnsi="Tahoma"/>
          <w:color w:val="404042"/>
          <w:sz w:val="14"/>
        </w:rPr>
      </w:pPr>
    </w:p>
    <w:p w14:paraId="2F87DF8F" w14:textId="77777777" w:rsidR="009F7F0B" w:rsidRDefault="009F7F0B">
      <w:pPr>
        <w:spacing w:before="44" w:line="202" w:lineRule="exact"/>
        <w:ind w:left="1080" w:right="1152" w:hanging="216"/>
        <w:textAlignment w:val="baseline"/>
        <w:rPr>
          <w:rFonts w:ascii="Tahoma" w:eastAsia="Tahoma" w:hAnsi="Tahoma"/>
          <w:color w:val="404042"/>
          <w:sz w:val="14"/>
        </w:rPr>
      </w:pPr>
    </w:p>
    <w:p w14:paraId="0C243F78" w14:textId="77777777" w:rsidR="009F7F0B" w:rsidRDefault="009F7F0B">
      <w:pPr>
        <w:spacing w:before="44" w:line="202" w:lineRule="exact"/>
        <w:ind w:left="1080" w:right="1152" w:hanging="216"/>
        <w:textAlignment w:val="baseline"/>
        <w:rPr>
          <w:rFonts w:ascii="Tahoma" w:eastAsia="Tahoma" w:hAnsi="Tahoma"/>
          <w:color w:val="404042"/>
          <w:sz w:val="14"/>
        </w:rPr>
      </w:pPr>
    </w:p>
    <w:p w14:paraId="4E897553" w14:textId="77777777" w:rsidR="009F7F0B" w:rsidRDefault="009F7F0B">
      <w:pPr>
        <w:spacing w:before="44" w:line="202" w:lineRule="exact"/>
        <w:ind w:left="1080" w:right="1152" w:hanging="216"/>
        <w:textAlignment w:val="baseline"/>
        <w:rPr>
          <w:rFonts w:ascii="Tahoma" w:eastAsia="Tahoma" w:hAnsi="Tahoma"/>
          <w:color w:val="404042"/>
          <w:sz w:val="14"/>
        </w:rPr>
      </w:pPr>
    </w:p>
    <w:p w14:paraId="23EDEACD" w14:textId="77777777" w:rsidR="009F7F0B" w:rsidRDefault="009F7F0B">
      <w:pPr>
        <w:spacing w:before="44" w:line="202" w:lineRule="exact"/>
        <w:ind w:left="1080" w:right="1152" w:hanging="216"/>
        <w:textAlignment w:val="baseline"/>
        <w:rPr>
          <w:rFonts w:ascii="Tahoma" w:eastAsia="Tahoma" w:hAnsi="Tahoma"/>
          <w:color w:val="404042"/>
          <w:sz w:val="14"/>
        </w:rPr>
      </w:pPr>
    </w:p>
    <w:p w14:paraId="615307D0" w14:textId="77777777" w:rsidR="009F7F0B" w:rsidRDefault="009F7F0B">
      <w:pPr>
        <w:spacing w:before="44" w:line="202" w:lineRule="exact"/>
        <w:ind w:left="1080" w:right="1152" w:hanging="216"/>
        <w:textAlignment w:val="baseline"/>
        <w:rPr>
          <w:rFonts w:ascii="Tahoma" w:eastAsia="Tahoma" w:hAnsi="Tahoma"/>
          <w:color w:val="404042"/>
          <w:sz w:val="14"/>
        </w:rPr>
      </w:pPr>
    </w:p>
    <w:p w14:paraId="75136FFB" w14:textId="77777777" w:rsidR="009F7F0B" w:rsidRDefault="009F7F0B">
      <w:pPr>
        <w:spacing w:before="44" w:line="202" w:lineRule="exact"/>
        <w:ind w:left="1080" w:right="1152" w:hanging="216"/>
        <w:textAlignment w:val="baseline"/>
        <w:rPr>
          <w:rFonts w:ascii="Tahoma" w:eastAsia="Tahoma" w:hAnsi="Tahoma"/>
          <w:color w:val="404042"/>
          <w:sz w:val="14"/>
        </w:rPr>
      </w:pPr>
    </w:p>
    <w:p w14:paraId="1310B999" w14:textId="77777777" w:rsidR="009F7F0B" w:rsidRDefault="009F7F0B">
      <w:pPr>
        <w:spacing w:before="44" w:line="202" w:lineRule="exact"/>
        <w:ind w:left="1080" w:right="1152" w:hanging="216"/>
        <w:textAlignment w:val="baseline"/>
        <w:rPr>
          <w:rFonts w:ascii="Tahoma" w:eastAsia="Tahoma" w:hAnsi="Tahoma"/>
          <w:color w:val="404042"/>
          <w:sz w:val="14"/>
        </w:rPr>
      </w:pPr>
    </w:p>
    <w:p w14:paraId="1A6B9A4D" w14:textId="77777777" w:rsidR="009F7F0B" w:rsidRDefault="009F7F0B">
      <w:pPr>
        <w:spacing w:before="44" w:line="202" w:lineRule="exact"/>
        <w:ind w:left="1080" w:right="1152" w:hanging="216"/>
        <w:textAlignment w:val="baseline"/>
        <w:rPr>
          <w:rFonts w:ascii="Tahoma" w:eastAsia="Tahoma" w:hAnsi="Tahoma"/>
          <w:color w:val="404042"/>
          <w:sz w:val="14"/>
        </w:rPr>
      </w:pPr>
    </w:p>
    <w:p w14:paraId="4A30982F" w14:textId="03ACE220" w:rsidR="009757A9" w:rsidRDefault="000D2E34">
      <w:pPr>
        <w:spacing w:before="44" w:line="202" w:lineRule="exact"/>
        <w:ind w:left="1080" w:right="1152" w:hanging="216"/>
        <w:textAlignment w:val="baseline"/>
        <w:rPr>
          <w:rFonts w:ascii="Tahoma" w:eastAsia="Tahoma" w:hAnsi="Tahoma"/>
          <w:color w:val="404042"/>
          <w:sz w:val="14"/>
        </w:rPr>
      </w:pPr>
      <w:r>
        <w:rPr>
          <w:noProof/>
          <w:lang w:val="en-AU" w:eastAsia="en-AU"/>
        </w:rPr>
        <mc:AlternateContent>
          <mc:Choice Requires="wps">
            <w:drawing>
              <wp:anchor distT="0" distB="0" distL="0" distR="0" simplePos="0" relativeHeight="251450880" behindDoc="1" locked="0" layoutInCell="1" allowOverlap="1" wp14:anchorId="0CCA9EC3" wp14:editId="54394B32">
                <wp:simplePos x="0" y="0"/>
                <wp:positionH relativeFrom="page">
                  <wp:posOffset>3221990</wp:posOffset>
                </wp:positionH>
                <wp:positionV relativeFrom="page">
                  <wp:posOffset>4605655</wp:posOffset>
                </wp:positionV>
                <wp:extent cx="4340225" cy="4168775"/>
                <wp:effectExtent l="0" t="0" r="0" b="0"/>
                <wp:wrapSquare wrapText="bothSides"/>
                <wp:docPr id="75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225" cy="416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EB4DE" w14:textId="77777777" w:rsidR="00490F33" w:rsidRDefault="00490F33">
                            <w:pPr>
                              <w:spacing w:after="751"/>
                              <w:textAlignment w:val="baseline"/>
                            </w:pPr>
                            <w:r>
                              <w:rPr>
                                <w:noProof/>
                                <w:lang w:val="en-AU" w:eastAsia="en-AU"/>
                              </w:rPr>
                              <w:drawing>
                                <wp:inline distT="0" distB="0" distL="0" distR="0" wp14:anchorId="70714012" wp14:editId="1A8A15D0">
                                  <wp:extent cx="4340225" cy="3691890"/>
                                  <wp:effectExtent l="0" t="0" r="0" b="0"/>
                                  <wp:docPr id="11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2" name="Picture">
                                            <a:extLst>
                                              <a:ext uri="{C183D7F6-B498-43B3-948B-1728B52AA6E4}">
                                                <adec:decorative xmlns:adec="http://schemas.microsoft.com/office/drawing/2017/decorative" val="1"/>
                                              </a:ext>
                                            </a:extLst>
                                          </pic:cNvPr>
                                          <pic:cNvPicPr preferRelativeResize="0"/>
                                        </pic:nvPicPr>
                                        <pic:blipFill>
                                          <a:blip r:embed="rId152"/>
                                          <a:stretch>
                                            <a:fillRect/>
                                          </a:stretch>
                                        </pic:blipFill>
                                        <pic:spPr>
                                          <a:xfrm>
                                            <a:off x="0" y="0"/>
                                            <a:ext cx="4340225" cy="36918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A9EC3" id="Text Box 472" o:spid="_x0000_s1143" type="#_x0000_t202" style="position:absolute;left:0;text-align:left;margin-left:253.7pt;margin-top:362.65pt;width:341.75pt;height:328.25pt;z-index:-251865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iu8wEAAMQDAAAOAAAAZHJzL2Uyb0RvYy54bWysU9tu2zAMfR+wfxD0vjjOkqYw4hRdiw4D&#10;ugvQ7gMYWY6F2aJGKbGzrx8lx1m3vQ17ESiSOjw8pDY3Q9eKoyZv0JYyn82l0FZhZey+lF+fH95c&#10;S+ED2ApatLqUJ+3lzfb1q03vCr3ABttKk2AQ64velbIJwRVZ5lWjO/AzdNpysEbqIPCV9llF0DN6&#10;12aL+fwq65EqR6i09+y9H4Nym/DrWqvwua69DqItJXML6aR07uKZbTdQ7AlcY9SZBvwDiw6M5aIX&#10;qHsIIA5k/oLqjCL0WIeZwi7DujZKpx64m3z+RzdPDTidemFxvLvI5P8frPp0/ELCVKVcr3IpLHQ8&#10;pGc9BPEOB7FcL6JCvfMFJz45Tg0DB3jSqVvvHlF988LiXQN2r2+JsG80VMwwjy+zF09HHB9Bdv1H&#10;rLgQHAImoKGmLsrHgghG50mdLtOJZBQ7l2+X88ViJYXi2DK/ul6vV6kGFNNzRz6819iJaJSSePwJ&#10;Ho6PPkQ6UEwpsZrFB9O2aQVa+5uDE6Mn0Y+MR+5h2A1JqzxfT7rssDpxR4TjavFXYKNB+iFFz2tV&#10;Sv/9AKSlaD9YViXu4GTQZOwmA6zip6UMUozmXRh39eDI7BtGHnW3eMvK1Sb1FCUeWZwJ86qkVs9r&#10;HXfx5T1l/fp8258AAAD//wMAUEsDBBQABgAIAAAAIQBw+7364wAAAA0BAAAPAAAAZHJzL2Rvd25y&#10;ZXYueG1sTI/BTsMwDIbvSLxDZCRuLOnGtrY0nSYEJ6SJrhw4pq3XRmuc0mRbeftlJ7jZ8qff359t&#10;JtOzM45OW5IQzQQwpNo2mloJX+X7UwzMeUWN6i2hhF90sMnv7zKVNvZCBZ73vmUhhFyqJHTeDynn&#10;ru7QKDezA1K4HexolA/r2PJmVJcQbno+F2LFjdIUPnRqwNcO6+P+ZCRsv6l40z+76rM4FLosE0Ef&#10;q6OUjw/T9gWYx8n/wXDTD+qQB6fKnqhxrJewFOvngEpYz5cLYDciSkQCrArTIo5i4HnG/7fIrwAA&#10;AP//AwBQSwECLQAUAAYACAAAACEAtoM4kv4AAADhAQAAEwAAAAAAAAAAAAAAAAAAAAAAW0NvbnRl&#10;bnRfVHlwZXNdLnhtbFBLAQItABQABgAIAAAAIQA4/SH/1gAAAJQBAAALAAAAAAAAAAAAAAAAAC8B&#10;AABfcmVscy8ucmVsc1BLAQItABQABgAIAAAAIQBRwqiu8wEAAMQDAAAOAAAAAAAAAAAAAAAAAC4C&#10;AABkcnMvZTJvRG9jLnhtbFBLAQItABQABgAIAAAAIQBw+7364wAAAA0BAAAPAAAAAAAAAAAAAAAA&#10;AE0EAABkcnMvZG93bnJldi54bWxQSwUGAAAAAAQABADzAAAAXQUAAAAA&#10;" filled="f" stroked="f">
                <v:textbox inset="0,0,0,0">
                  <w:txbxContent>
                    <w:p w14:paraId="0DBEB4DE" w14:textId="77777777" w:rsidR="00490F33" w:rsidRDefault="00490F33">
                      <w:pPr>
                        <w:spacing w:after="751"/>
                        <w:textAlignment w:val="baseline"/>
                      </w:pPr>
                      <w:r>
                        <w:rPr>
                          <w:noProof/>
                          <w:lang w:val="en-AU" w:eastAsia="en-AU"/>
                        </w:rPr>
                        <w:drawing>
                          <wp:inline distT="0" distB="0" distL="0" distR="0" wp14:anchorId="70714012" wp14:editId="1A8A15D0">
                            <wp:extent cx="4340225" cy="3691890"/>
                            <wp:effectExtent l="0" t="0" r="0" b="0"/>
                            <wp:docPr id="11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2" name="Picture">
                                      <a:extLst>
                                        <a:ext uri="{C183D7F6-B498-43B3-948B-1728B52AA6E4}">
                                          <adec:decorative xmlns:adec="http://schemas.microsoft.com/office/drawing/2017/decorative" val="1"/>
                                        </a:ext>
                                      </a:extLst>
                                    </pic:cNvPr>
                                    <pic:cNvPicPr preferRelativeResize="0"/>
                                  </pic:nvPicPr>
                                  <pic:blipFill>
                                    <a:blip r:embed="rId152"/>
                                    <a:stretch>
                                      <a:fillRect/>
                                    </a:stretch>
                                  </pic:blipFill>
                                  <pic:spPr>
                                    <a:xfrm>
                                      <a:off x="0" y="0"/>
                                      <a:ext cx="4340225" cy="369189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885056" behindDoc="0" locked="0" layoutInCell="1" allowOverlap="1" wp14:anchorId="3506AB62" wp14:editId="5BE9AFDB">
                <wp:simplePos x="0" y="0"/>
                <wp:positionH relativeFrom="page">
                  <wp:posOffset>539750</wp:posOffset>
                </wp:positionH>
                <wp:positionV relativeFrom="page">
                  <wp:posOffset>8781415</wp:posOffset>
                </wp:positionV>
                <wp:extent cx="917575" cy="0"/>
                <wp:effectExtent l="0" t="0" r="0" b="0"/>
                <wp:wrapNone/>
                <wp:docPr id="750"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3E62F" id="Line 471" o:spid="_x0000_s1026" style="position:absolute;z-index:2518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91.45pt" to="114.75pt,6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vKzQEAAIYDAAAOAAAAZHJzL2Uyb0RvYy54bWysU8GO0zAQvSPxD5bvNGlFtxA13UPLcilQ&#10;aZcPmNpOYuF4LNtt0r9n7LSFhRsiB8vjefNm5s1k/Tj2hp2VDxptzeezkjNlBUpt25p/f3l694Gz&#10;EMFKMGhVzS8q8MfN2zfrwVVqgR0aqTwjEhuqwdW8i9FVRRFEp3oIM3TKkrNB30Mk07eF9DAQe2+K&#10;RVk+FAN66TwKFQK97iYn32T+plEifmuaoCIzNafaYj59Po/pLDZrqFoPrtPiWgb8QxU9aEtJ71Q7&#10;iMBOXv9F1WvhMWATZwL7AptGC5V7oG7m5R/dPHfgVO6FxAnuLlP4f7Ti6/ngmZY1Xy1JHws9DWmv&#10;rWLvV/OkzuBCRaCtPfjUnxjts9uj+BGYxW0HtlW5ypeLo8AcUbwKSUZwlOM4fEFJGDhFzFKNje8T&#10;JYnAxjyRy30iaoxM0OPH+Wq5WnImbq4Cqluc8yF+VtizdKm5oaIzL5z3IVLlBL1BUhqLT9qYPG9j&#10;2UDFLsqHZY4IaLRM3oQLvj1ujWdnSCuTv6QDsb2CJeodhG7CZde0TB5PVuY0nQL56XqPoM10JyJj&#10;ie8mzCTxEeXl4FOe9E7Dzhmvi5m26Xc7o379PpufAAAA//8DAFBLAwQUAAYACAAAACEAUFHy7d8A&#10;AAAMAQAADwAAAGRycy9kb3ducmV2LnhtbEyPwU7DMBBE70j8g7WVuCDqEFrkhjgVqgQ3UGlB9OjG&#10;2yQiXkex24S/ZzkgetzZ0cybfDm6VpywD40nDbfTBARS6W1DlYb37dONAhGiIWtaT6jhGwMsi8uL&#10;3GTWD/SGp02sBIdQyIyGOsYukzKUNToTpr5D4t/B985EPvtK2t4MHO5amSbJvXSmIW6oTYerGsuv&#10;zdFpkDJRs/Hjc3iZXQfV7FbV7vl1rfXVZHx8ABFxjP9m+MVndCiYae+PZINoNag5T4ms36l0AYId&#10;abqYg9j/SbLI5fmI4gcAAP//AwBQSwECLQAUAAYACAAAACEAtoM4kv4AAADhAQAAEwAAAAAAAAAA&#10;AAAAAAAAAAAAW0NvbnRlbnRfVHlwZXNdLnhtbFBLAQItABQABgAIAAAAIQA4/SH/1gAAAJQBAAAL&#10;AAAAAAAAAAAAAAAAAC8BAABfcmVscy8ucmVsc1BLAQItABQABgAIAAAAIQAgaKvKzQEAAIYDAAAO&#10;AAAAAAAAAAAAAAAAAC4CAABkcnMvZTJvRG9jLnhtbFBLAQItABQABgAIAAAAIQBQUfLt3wAAAAwB&#10;AAAPAAAAAAAAAAAAAAAAACcEAABkcnMvZG93bnJldi54bWxQSwUGAAAAAAQABADzAAAAMwUAAAAA&#10;" strokeweight=".95pt">
                <w10:wrap anchorx="page" anchory="page"/>
              </v:line>
            </w:pict>
          </mc:Fallback>
        </mc:AlternateContent>
      </w:r>
      <w:r w:rsidR="00083242">
        <w:rPr>
          <w:rFonts w:ascii="Tahoma" w:eastAsia="Tahoma" w:hAnsi="Tahoma"/>
          <w:color w:val="404042"/>
          <w:sz w:val="14"/>
        </w:rPr>
        <w:t xml:space="preserve">79 Commonwealth Department of Education and Training (2019), </w:t>
      </w:r>
      <w:r w:rsidR="00083242">
        <w:rPr>
          <w:rFonts w:ascii="Arial" w:eastAsia="Arial" w:hAnsi="Arial"/>
          <w:i/>
          <w:color w:val="404042"/>
          <w:sz w:val="14"/>
        </w:rPr>
        <w:t>Future Ready Career Education: A student focused national career education strategy</w:t>
      </w:r>
      <w:r w:rsidR="00083242">
        <w:rPr>
          <w:rFonts w:ascii="Tahoma" w:eastAsia="Tahoma" w:hAnsi="Tahoma"/>
          <w:color w:val="404042"/>
          <w:sz w:val="14"/>
        </w:rPr>
        <w:t xml:space="preserve">, p. 12, </w:t>
      </w:r>
      <w:hyperlink r:id="rId153">
        <w:r w:rsidR="00083242">
          <w:rPr>
            <w:rFonts w:ascii="Tahoma" w:eastAsia="Tahoma" w:hAnsi="Tahoma"/>
            <w:color w:val="0000FF"/>
            <w:sz w:val="14"/>
            <w:u w:val="single"/>
          </w:rPr>
          <w:t>https://docs.education.gov.au/system/files/doc/other/future_ready_a_student_focused_national_career_education_strategy.pdf</w:t>
        </w:r>
      </w:hyperlink>
      <w:r w:rsidR="00083242">
        <w:rPr>
          <w:rFonts w:ascii="Tahoma" w:eastAsia="Tahoma" w:hAnsi="Tahoma"/>
          <w:color w:val="404042"/>
          <w:sz w:val="14"/>
        </w:rPr>
        <w:t>.</w:t>
      </w:r>
    </w:p>
    <w:p w14:paraId="572C04FE" w14:textId="77777777" w:rsidR="009F7F0B" w:rsidRDefault="00083242" w:rsidP="009F7F0B">
      <w:pPr>
        <w:spacing w:line="199" w:lineRule="exact"/>
        <w:ind w:left="1080" w:right="936" w:hanging="216"/>
        <w:textAlignment w:val="baseline"/>
        <w:rPr>
          <w:rFonts w:ascii="Tahoma" w:eastAsia="Tahoma" w:hAnsi="Tahoma"/>
          <w:color w:val="404042"/>
          <w:sz w:val="14"/>
        </w:rPr>
      </w:pPr>
      <w:r>
        <w:rPr>
          <w:rFonts w:ascii="Tahoma" w:eastAsia="Tahoma" w:hAnsi="Tahoma"/>
          <w:color w:val="404042"/>
          <w:sz w:val="14"/>
        </w:rPr>
        <w:t xml:space="preserve">80 Ithaca Group (2019), </w:t>
      </w:r>
      <w:r>
        <w:rPr>
          <w:rFonts w:ascii="Arial" w:eastAsia="Arial" w:hAnsi="Arial"/>
          <w:i/>
          <w:color w:val="404042"/>
          <w:sz w:val="14"/>
        </w:rPr>
        <w:t>Future Ready: Research on incorporating career education in Australian schools</w:t>
      </w:r>
      <w:r>
        <w:rPr>
          <w:rFonts w:ascii="Tahoma" w:eastAsia="Tahoma" w:hAnsi="Tahoma"/>
          <w:color w:val="404042"/>
          <w:sz w:val="14"/>
        </w:rPr>
        <w:t xml:space="preserve">, January 2019, p. 9, </w:t>
      </w:r>
      <w:hyperlink r:id="rId154">
        <w:r>
          <w:rPr>
            <w:rFonts w:ascii="Tahoma" w:eastAsia="Tahoma" w:hAnsi="Tahoma"/>
            <w:color w:val="0000FF"/>
            <w:sz w:val="14"/>
            <w:u w:val="single"/>
          </w:rPr>
          <w:t xml:space="preserve">https://docs.education.gov.au/ </w:t>
        </w:r>
      </w:hyperlink>
      <w:r>
        <w:rPr>
          <w:rFonts w:ascii="Tahoma" w:eastAsia="Tahoma" w:hAnsi="Tahoma"/>
          <w:color w:val="0000FF"/>
          <w:sz w:val="14"/>
          <w:u w:val="single"/>
        </w:rPr>
        <w:t>system/files/doc/other/future_ready_-_research_on_incorporating_career_education_in_the_australian_curriculum.pdf</w:t>
      </w:r>
      <w:r>
        <w:rPr>
          <w:rFonts w:ascii="Tahoma" w:eastAsia="Tahoma" w:hAnsi="Tahoma"/>
          <w:color w:val="404042"/>
          <w:sz w:val="14"/>
        </w:rPr>
        <w:t>.</w:t>
      </w:r>
    </w:p>
    <w:p w14:paraId="76B2BD02" w14:textId="77777777" w:rsidR="009F7F0B" w:rsidRDefault="009F7F0B" w:rsidP="009F7F0B">
      <w:pPr>
        <w:spacing w:line="199" w:lineRule="exact"/>
        <w:ind w:left="1080" w:right="936" w:hanging="216"/>
        <w:textAlignment w:val="baseline"/>
        <w:rPr>
          <w:rFonts w:ascii="Tahoma" w:eastAsia="Tahoma" w:hAnsi="Tahoma"/>
          <w:color w:val="404042"/>
          <w:sz w:val="14"/>
        </w:rPr>
      </w:pPr>
    </w:p>
    <w:p w14:paraId="1101B63F" w14:textId="77777777" w:rsidR="009F7F0B" w:rsidRDefault="009F7F0B" w:rsidP="009F7F0B">
      <w:pPr>
        <w:spacing w:line="199" w:lineRule="exact"/>
        <w:ind w:left="1080" w:right="936" w:hanging="216"/>
        <w:textAlignment w:val="baseline"/>
        <w:rPr>
          <w:rFonts w:ascii="Tahoma" w:eastAsia="Tahoma" w:hAnsi="Tahoma"/>
          <w:color w:val="404042"/>
          <w:sz w:val="14"/>
        </w:rPr>
      </w:pPr>
    </w:p>
    <w:p w14:paraId="23AF55E6" w14:textId="77777777" w:rsidR="009F7F0B" w:rsidRDefault="009F7F0B" w:rsidP="009F7F0B">
      <w:pPr>
        <w:spacing w:line="199" w:lineRule="exact"/>
        <w:ind w:left="1080" w:right="936" w:hanging="216"/>
        <w:textAlignment w:val="baseline"/>
        <w:rPr>
          <w:rFonts w:ascii="Tahoma" w:eastAsia="Tahoma" w:hAnsi="Tahoma"/>
          <w:color w:val="404042"/>
          <w:sz w:val="14"/>
        </w:rPr>
      </w:pPr>
    </w:p>
    <w:p w14:paraId="7055CF82" w14:textId="3045266B" w:rsidR="009757A9" w:rsidRDefault="00083242" w:rsidP="009F7F0B">
      <w:pPr>
        <w:spacing w:line="199" w:lineRule="exact"/>
        <w:ind w:left="7560" w:right="710" w:firstLine="360"/>
        <w:textAlignment w:val="baseline"/>
        <w:rPr>
          <w:rFonts w:ascii="Tahoma" w:eastAsia="Tahoma" w:hAnsi="Tahoma"/>
          <w:color w:val="404042"/>
          <w:sz w:val="14"/>
        </w:rPr>
      </w:pPr>
      <w:r>
        <w:rPr>
          <w:rFonts w:ascii="Tahoma" w:eastAsia="Tahoma" w:hAnsi="Tahoma"/>
          <w:color w:val="404042"/>
          <w:sz w:val="14"/>
        </w:rPr>
        <w:t>Chapter 2: Exercising informed choice</w:t>
      </w:r>
      <w:r w:rsidR="009F7F0B">
        <w:rPr>
          <w:rFonts w:ascii="Arial" w:eastAsia="Arial" w:hAnsi="Arial"/>
          <w:b/>
          <w:color w:val="5556A1"/>
          <w:sz w:val="19"/>
        </w:rPr>
        <w:tab/>
      </w:r>
      <w:r>
        <w:rPr>
          <w:rFonts w:ascii="Arial" w:eastAsia="Arial" w:hAnsi="Arial"/>
          <w:b/>
          <w:color w:val="5556A1"/>
          <w:sz w:val="19"/>
        </w:rPr>
        <w:t>69</w:t>
      </w:r>
    </w:p>
    <w:p w14:paraId="2706B241" w14:textId="77291F8D" w:rsidR="009757A9" w:rsidRDefault="009757A9">
      <w:pPr>
        <w:textAlignment w:val="baseline"/>
      </w:pPr>
    </w:p>
    <w:p w14:paraId="46F11D30" w14:textId="38F31C34" w:rsidR="009757A9" w:rsidRDefault="009F7F0B">
      <w:pPr>
        <w:sectPr w:rsidR="009757A9">
          <w:type w:val="continuous"/>
          <w:pgSz w:w="11909" w:h="16838"/>
          <w:pgMar w:top="1080" w:right="0" w:bottom="0" w:left="0" w:header="720" w:footer="720" w:gutter="0"/>
          <w:cols w:space="720"/>
        </w:sectPr>
      </w:pPr>
      <w:r>
        <w:rPr>
          <w:noProof/>
          <w:lang w:val="en-AU" w:eastAsia="en-AU"/>
        </w:rPr>
        <w:drawing>
          <wp:anchor distT="0" distB="0" distL="114300" distR="114300" simplePos="0" relativeHeight="252061184" behindDoc="1" locked="0" layoutInCell="1" allowOverlap="1" wp14:anchorId="618DDB38" wp14:editId="7CBC6F1B">
            <wp:simplePos x="0" y="0"/>
            <wp:positionH relativeFrom="margin">
              <wp:align>right</wp:align>
            </wp:positionH>
            <wp:positionV relativeFrom="paragraph">
              <wp:posOffset>591820</wp:posOffset>
            </wp:positionV>
            <wp:extent cx="7562215" cy="462915"/>
            <wp:effectExtent l="0" t="0" r="635" b="0"/>
            <wp:wrapTight wrapText="bothSides">
              <wp:wrapPolygon edited="0">
                <wp:start x="0" y="0"/>
                <wp:lineTo x="0" y="20444"/>
                <wp:lineTo x="21547" y="20444"/>
                <wp:lineTo x="21547" y="0"/>
                <wp:lineTo x="0" y="0"/>
              </wp:wrapPolygon>
            </wp:wrapTight>
            <wp:docPr id="113" name="Picture"/>
            <wp:cNvGraphicFramePr/>
            <a:graphic xmlns:a="http://schemas.openxmlformats.org/drawingml/2006/main">
              <a:graphicData uri="http://schemas.openxmlformats.org/drawingml/2006/picture">
                <pic:pic xmlns:pic="http://schemas.openxmlformats.org/drawingml/2006/picture">
                  <pic:nvPicPr>
                    <pic:cNvPr id="113" name="Picture"/>
                    <pic:cNvPicPr preferRelativeResize="0"/>
                  </pic:nvPicPr>
                  <pic:blipFill>
                    <a:blip r:embed="rId15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2AF98F68"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51904" behindDoc="1" locked="0" layoutInCell="1" allowOverlap="1" wp14:anchorId="14FBD1E2" wp14:editId="1BAF937C">
                <wp:simplePos x="0" y="0"/>
                <wp:positionH relativeFrom="page">
                  <wp:posOffset>0</wp:posOffset>
                </wp:positionH>
                <wp:positionV relativeFrom="page">
                  <wp:posOffset>0</wp:posOffset>
                </wp:positionV>
                <wp:extent cx="7562215" cy="10692130"/>
                <wp:effectExtent l="0" t="0" r="0" b="0"/>
                <wp:wrapSquare wrapText="bothSides"/>
                <wp:docPr id="749"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58EFD" w14:textId="77777777" w:rsidR="00490F33" w:rsidRDefault="00490F33">
                            <w:pPr>
                              <w:textAlignment w:val="baseline"/>
                            </w:pPr>
                            <w:r>
                              <w:rPr>
                                <w:noProof/>
                                <w:lang w:val="en-AU" w:eastAsia="en-AU"/>
                              </w:rPr>
                              <w:drawing>
                                <wp:inline distT="0" distB="0" distL="0" distR="0" wp14:anchorId="69FB4EC4" wp14:editId="69099AA7">
                                  <wp:extent cx="7562215" cy="10692130"/>
                                  <wp:effectExtent l="0" t="0" r="0" b="0"/>
                                  <wp:docPr id="114" name="Picture"/>
                                  <wp:cNvGraphicFramePr/>
                                  <a:graphic xmlns:a="http://schemas.openxmlformats.org/drawingml/2006/main">
                                    <a:graphicData uri="http://schemas.openxmlformats.org/drawingml/2006/picture">
                                      <pic:pic xmlns:pic="http://schemas.openxmlformats.org/drawingml/2006/picture">
                                        <pic:nvPicPr>
                                          <pic:cNvPr id="114" name="Picture"/>
                                          <pic:cNvPicPr preferRelativeResize="0"/>
                                        </pic:nvPicPr>
                                        <pic:blipFill>
                                          <a:blip r:embed="rId156"/>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BD1E2" id="Text Box 470" o:spid="_x0000_s1144" type="#_x0000_t202" style="position:absolute;margin-left:0;margin-top:0;width:595.45pt;height:841.9pt;z-index:-251864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de9QEAAMUDAAAOAAAAZHJzL2Uyb0RvYy54bWysU8Fu2zAMvQ/YPwi6L46zNmmNOEXXosOA&#10;rhvQ9gMYWY6F2aJGKbGzrx8lJ2m33YpdBIqint57pJZXQ9eKnSZv0JYyn0yl0FZhZeymlM9Pdx8u&#10;pPABbAUtWl3KvfbyavX+3bJ3hZ5hg22lSTCI9UXvStmE4Ios86rRHfgJOm35sEbqIPCWNllF0DN6&#10;12az6XSe9UiVI1Tae87ejodylfDrWqvwra69DqItJXMLaaW0ruOarZZQbAhcY9SBBryBRQfG8qMn&#10;qFsIILZk/oHqjCL0WIeJwi7DujZKJw2sJp/+peaxAaeTFjbHu5NN/v/BqofddxKmKuXi7FIKCx03&#10;6UkPQXzCQZwtkkO98wUXPjouDQMfcKeTWu/uUf3wwuJNA3ajr4mwbzRUzDCP3mavrsae+MJHkHX/&#10;FSt+CLYBE9BQUxftY0MEo3On9qfuRDKKk4vz+WyWn0uh+Cyfzi9n+cdEL4PieN+RD581diIGpSTu&#10;f8KH3b0PkQ8Ux5L4nMU707ZpBlr7R4ILYybxj5RH8mFYD8msPL+I8qKgNVZ7lkQ4zhb/BQ4apF9S&#10;9DxXpfQ/t0BaivaLZVviEB4DOgbrYwBW8dVSBinG8CaMw7p1ZDYNI4/GW7xm62qTNL2wOBDmWUlS&#10;D3Mdh/H1PlW9/L7VbwAAAP//AwBQSwMEFAAGAAgAAAAhAHsiySLdAAAABwEAAA8AAABkcnMvZG93&#10;bnJldi54bWxMj8FOwzAQRO9I/IO1SNyoXZCiJMSpqoqeKiHScODoxNvEarxOY7cNf4/LBS6rWc1q&#10;5m2xmu3ALjh540jCciGAIbVOG+okfNbbpxSYD4q0GhyhhG/0sCrv7wqVa3elCi/70LEYQj5XEvoQ&#10;xpxz3/ZolV+4ESl6BzdZFeI6dVxP6hrD7cCfhUi4VYZiQ69G3PTYHvdnK2H9RdWbOb03H9WhMnWd&#10;CdolRykfH+b1K7CAc/g7hht+RIcyMjXuTNqzQUJ8JPzOm7fMRAasiSpJX1LgZcH/85c/AAAA//8D&#10;AFBLAQItABQABgAIAAAAIQC2gziS/gAAAOEBAAATAAAAAAAAAAAAAAAAAAAAAABbQ29udGVudF9U&#10;eXBlc10ueG1sUEsBAi0AFAAGAAgAAAAhADj9If/WAAAAlAEAAAsAAAAAAAAAAAAAAAAALwEAAF9y&#10;ZWxzLy5yZWxzUEsBAi0AFAAGAAgAAAAhAIee5171AQAAxQMAAA4AAAAAAAAAAAAAAAAALgIAAGRy&#10;cy9lMm9Eb2MueG1sUEsBAi0AFAAGAAgAAAAhAHsiySLdAAAABwEAAA8AAAAAAAAAAAAAAAAATwQA&#10;AGRycy9kb3ducmV2LnhtbFBLBQYAAAAABAAEAPMAAABZBQAAAAA=&#10;" filled="f" stroked="f">
                <v:textbox inset="0,0,0,0">
                  <w:txbxContent>
                    <w:p w14:paraId="2EB58EFD" w14:textId="77777777" w:rsidR="00490F33" w:rsidRDefault="00490F33">
                      <w:pPr>
                        <w:textAlignment w:val="baseline"/>
                      </w:pPr>
                      <w:r>
                        <w:rPr>
                          <w:noProof/>
                          <w:lang w:val="en-AU" w:eastAsia="en-AU"/>
                        </w:rPr>
                        <w:drawing>
                          <wp:inline distT="0" distB="0" distL="0" distR="0" wp14:anchorId="69FB4EC4" wp14:editId="69099AA7">
                            <wp:extent cx="7562215" cy="10692130"/>
                            <wp:effectExtent l="0" t="0" r="0" b="0"/>
                            <wp:docPr id="114" name="Picture"/>
                            <wp:cNvGraphicFramePr/>
                            <a:graphic xmlns:a="http://schemas.openxmlformats.org/drawingml/2006/main">
                              <a:graphicData uri="http://schemas.openxmlformats.org/drawingml/2006/picture">
                                <pic:pic xmlns:pic="http://schemas.openxmlformats.org/drawingml/2006/picture">
                                  <pic:nvPicPr>
                                    <pic:cNvPr id="114" name="Picture"/>
                                    <pic:cNvPicPr preferRelativeResize="0"/>
                                  </pic:nvPicPr>
                                  <pic:blipFill>
                                    <a:blip r:embed="rId156"/>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2928" behindDoc="1" locked="0" layoutInCell="1" allowOverlap="1" wp14:anchorId="39B9C15B" wp14:editId="263B9A93">
                <wp:simplePos x="0" y="0"/>
                <wp:positionH relativeFrom="page">
                  <wp:posOffset>4184650</wp:posOffset>
                </wp:positionH>
                <wp:positionV relativeFrom="page">
                  <wp:posOffset>953770</wp:posOffset>
                </wp:positionV>
                <wp:extent cx="2304415" cy="624205"/>
                <wp:effectExtent l="0" t="0" r="0" b="0"/>
                <wp:wrapSquare wrapText="bothSides"/>
                <wp:docPr id="748"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62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B3F4E" w14:textId="77777777" w:rsidR="00490F33" w:rsidRDefault="00490F33">
                            <w:pPr>
                              <w:spacing w:after="14" w:line="240" w:lineRule="exact"/>
                              <w:textAlignment w:val="baseline"/>
                              <w:rPr>
                                <w:rFonts w:ascii="Tahoma" w:eastAsia="Tahoma" w:hAnsi="Tahoma"/>
                                <w:color w:val="404042"/>
                                <w:sz w:val="18"/>
                              </w:rPr>
                            </w:pPr>
                            <w:r>
                              <w:rPr>
                                <w:rFonts w:ascii="Tahoma" w:eastAsia="Tahoma" w:hAnsi="Tahoma"/>
                                <w:color w:val="404042"/>
                                <w:sz w:val="18"/>
                              </w:rPr>
                              <w:t>97 per cent of</w:t>
                            </w:r>
                            <w:r>
                              <w:rPr>
                                <w:rFonts w:ascii="Tahoma" w:eastAsia="Tahoma" w:hAnsi="Tahoma"/>
                                <w:color w:val="464140"/>
                                <w:sz w:val="18"/>
                              </w:rPr>
                              <w:t xml:space="preserve"> mainstream government </w:t>
                            </w:r>
                            <w:r>
                              <w:rPr>
                                <w:rFonts w:ascii="Tahoma" w:eastAsia="Tahoma" w:hAnsi="Tahoma"/>
                                <w:color w:val="404042"/>
                                <w:sz w:val="18"/>
                              </w:rPr>
                              <w:t>schools participated</w:t>
                            </w:r>
                            <w:r>
                              <w:rPr>
                                <w:rFonts w:ascii="Tahoma" w:eastAsia="Tahoma" w:hAnsi="Tahoma"/>
                                <w:color w:val="464140"/>
                                <w:sz w:val="18"/>
                              </w:rPr>
                              <w:t xml:space="preserve"> in this service, with </w:t>
                            </w:r>
                            <w:r>
                              <w:rPr>
                                <w:rFonts w:ascii="Tahoma" w:eastAsia="Tahoma" w:hAnsi="Tahoma"/>
                                <w:color w:val="404042"/>
                                <w:sz w:val="18"/>
                              </w:rPr>
                              <w:t>an overwhelmingly</w:t>
                            </w:r>
                            <w:r>
                              <w:rPr>
                                <w:rFonts w:ascii="Tahoma" w:eastAsia="Tahoma" w:hAnsi="Tahoma"/>
                                <w:color w:val="464140"/>
                                <w:sz w:val="18"/>
                              </w:rPr>
                              <w:t xml:space="preserve"> positive response from </w:t>
                            </w:r>
                            <w:r>
                              <w:rPr>
                                <w:rFonts w:ascii="Tahoma" w:eastAsia="Tahoma" w:hAnsi="Tahoma"/>
                                <w:color w:val="404042"/>
                                <w:sz w:val="18"/>
                              </w:rPr>
                              <w:t>students,</w:t>
                            </w:r>
                            <w:r>
                              <w:rPr>
                                <w:rFonts w:ascii="Tahoma" w:eastAsia="Tahoma" w:hAnsi="Tahoma"/>
                                <w:color w:val="464140"/>
                                <w:sz w:val="18"/>
                              </w:rPr>
                              <w:t xml:space="preserve"> schools and parents.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9C15B" id="Text Box 469" o:spid="_x0000_s1145" type="#_x0000_t202" style="position:absolute;margin-left:329.5pt;margin-top:75.1pt;width:181.45pt;height:49.15pt;z-index:-251863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dG68QEAAMMDAAAOAAAAZHJzL2Uyb0RvYy54bWysU8Fu2zAMvQ/YPwi6L7azNFuNOEXXosOA&#10;rhvQ7gMYWY6F2aJGKbGzrx8lJ1m73YZdBIqkHh8fqdXV2Hdir8kbtJUsZrkU2iqsjd1W8tvT3Zv3&#10;UvgAtoYOra7kQXt5tX79ajW4Us+xxa7WJBjE+nJwlWxDcGWWedXqHvwMnbYcbJB6CHylbVYTDIze&#10;d9k8z5fZgFQ7QqW9Z+/tFJTrhN80WoUvTeN1EF0lmVtIJ6VzE89svYJyS+Bao4404B9Y9GAsFz1D&#10;3UIAsSPzF1RvFKHHJswU9hk2jVE69cDdFPkf3Ty24HTqhcXx7iyT/3+w6mH/lYSpK/luwaOy0POQ&#10;nvQYxAccxWJ5GRUanC858dFxahg5wJNO3Xp3j+q7FxZvWrBbfU2EQ6uhZoZFfJk9ezrh+AiyGT5j&#10;zYVgFzABjQ31UT4WRDA6T+pwnk4ko9g5f5svFsWFFIpjy/linl+kElCeXjvy4aPGXkSjksTTT+iw&#10;v/chsoHylBKLWbwzXZc2oLMvHJwYPYl9JDxRD+NmTFIVxVmWDdYHbohw2iz+CWy0SD+lGHirKul/&#10;7IC0FN0ny6LEFTwZdDI2JwOs4qeVDFJM5k2YVnXnyGxbRp5kt3jNwjUm9RQVnlgcCfOmpFaPWx1X&#10;8fk9Zf3+e+tfAAAA//8DAFBLAwQUAAYACAAAACEAXbQvbeAAAAAMAQAADwAAAGRycy9kb3ducmV2&#10;LnhtbEyPMU/DMBSEdyT+g/WQ2KjdiERNiFNVCCYkRBoGRid+TazGzyF22/DvcScYT3e6+67cLnZk&#10;Z5y9cSRhvRLAkDqnDfUSPpvXhw0wHxRpNTpCCT/oYVvd3pSq0O5CNZ73oWexhHyhJAwhTAXnvhvQ&#10;Kr9yE1L0Dm62KkQ591zP6hLL7cgTITJulaG4MKgJnwfsjvuTlbD7ovrFfL+3H/WhNk2TC3rLjlLe&#10;3y27J2ABl/AXhit+RIcqMrXuRNqzUUKW5vFLiEYqEmDXhEjWObBWQvK4SYFXJf9/ovoFAAD//wMA&#10;UEsBAi0AFAAGAAgAAAAhALaDOJL+AAAA4QEAABMAAAAAAAAAAAAAAAAAAAAAAFtDb250ZW50X1R5&#10;cGVzXS54bWxQSwECLQAUAAYACAAAACEAOP0h/9YAAACUAQAACwAAAAAAAAAAAAAAAAAvAQAAX3Jl&#10;bHMvLnJlbHNQSwECLQAUAAYACAAAACEAZ/XRuvEBAADDAwAADgAAAAAAAAAAAAAAAAAuAgAAZHJz&#10;L2Uyb0RvYy54bWxQSwECLQAUAAYACAAAACEAXbQvbeAAAAAMAQAADwAAAAAAAAAAAAAAAABLBAAA&#10;ZHJzL2Rvd25yZXYueG1sUEsFBgAAAAAEAAQA8wAAAFgFAAAAAA==&#10;" filled="f" stroked="f">
                <v:textbox inset="0,0,0,0">
                  <w:txbxContent>
                    <w:p w14:paraId="2C4B3F4E" w14:textId="77777777" w:rsidR="00490F33" w:rsidRDefault="00490F33">
                      <w:pPr>
                        <w:spacing w:after="14" w:line="240" w:lineRule="exact"/>
                        <w:textAlignment w:val="baseline"/>
                        <w:rPr>
                          <w:rFonts w:ascii="Tahoma" w:eastAsia="Tahoma" w:hAnsi="Tahoma"/>
                          <w:color w:val="404042"/>
                          <w:sz w:val="18"/>
                        </w:rPr>
                      </w:pPr>
                      <w:r>
                        <w:rPr>
                          <w:rFonts w:ascii="Tahoma" w:eastAsia="Tahoma" w:hAnsi="Tahoma"/>
                          <w:color w:val="404042"/>
                          <w:sz w:val="18"/>
                        </w:rPr>
                        <w:t>97 per cent of</w:t>
                      </w:r>
                      <w:r>
                        <w:rPr>
                          <w:rFonts w:ascii="Tahoma" w:eastAsia="Tahoma" w:hAnsi="Tahoma"/>
                          <w:color w:val="464140"/>
                          <w:sz w:val="18"/>
                        </w:rPr>
                        <w:t xml:space="preserve"> mainstream government </w:t>
                      </w:r>
                      <w:r>
                        <w:rPr>
                          <w:rFonts w:ascii="Tahoma" w:eastAsia="Tahoma" w:hAnsi="Tahoma"/>
                          <w:color w:val="404042"/>
                          <w:sz w:val="18"/>
                        </w:rPr>
                        <w:t>schools participated</w:t>
                      </w:r>
                      <w:r>
                        <w:rPr>
                          <w:rFonts w:ascii="Tahoma" w:eastAsia="Tahoma" w:hAnsi="Tahoma"/>
                          <w:color w:val="464140"/>
                          <w:sz w:val="18"/>
                        </w:rPr>
                        <w:t xml:space="preserve"> in this service, with </w:t>
                      </w:r>
                      <w:r>
                        <w:rPr>
                          <w:rFonts w:ascii="Tahoma" w:eastAsia="Tahoma" w:hAnsi="Tahoma"/>
                          <w:color w:val="404042"/>
                          <w:sz w:val="18"/>
                        </w:rPr>
                        <w:t>an overwhelmingly</w:t>
                      </w:r>
                      <w:r>
                        <w:rPr>
                          <w:rFonts w:ascii="Tahoma" w:eastAsia="Tahoma" w:hAnsi="Tahoma"/>
                          <w:color w:val="464140"/>
                          <w:sz w:val="18"/>
                        </w:rPr>
                        <w:t xml:space="preserve"> positive response from </w:t>
                      </w:r>
                      <w:r>
                        <w:rPr>
                          <w:rFonts w:ascii="Tahoma" w:eastAsia="Tahoma" w:hAnsi="Tahoma"/>
                          <w:color w:val="404042"/>
                          <w:sz w:val="18"/>
                        </w:rPr>
                        <w:t>students,</w:t>
                      </w:r>
                      <w:r>
                        <w:rPr>
                          <w:rFonts w:ascii="Tahoma" w:eastAsia="Tahoma" w:hAnsi="Tahoma"/>
                          <w:color w:val="464140"/>
                          <w:sz w:val="18"/>
                        </w:rPr>
                        <w:t xml:space="preserve"> schools and parents.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3952" behindDoc="1" locked="0" layoutInCell="1" allowOverlap="1" wp14:anchorId="57A5BD10" wp14:editId="0C52E97B">
                <wp:simplePos x="0" y="0"/>
                <wp:positionH relativeFrom="page">
                  <wp:posOffset>835025</wp:posOffset>
                </wp:positionH>
                <wp:positionV relativeFrom="page">
                  <wp:posOffset>982980</wp:posOffset>
                </wp:positionV>
                <wp:extent cx="2834640" cy="858520"/>
                <wp:effectExtent l="0" t="0" r="0" b="0"/>
                <wp:wrapSquare wrapText="bothSides"/>
                <wp:docPr id="74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E3EBE"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682A0093" w14:textId="77777777" w:rsidR="00490F33" w:rsidRDefault="00490F33">
                            <w:pPr>
                              <w:spacing w:line="45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TRANSFORMING CAREER</w:t>
                            </w:r>
                          </w:p>
                          <w:p w14:paraId="2E64E37E" w14:textId="77777777" w:rsidR="00490F33" w:rsidRDefault="00490F33">
                            <w:pPr>
                              <w:spacing w:before="4" w:line="450" w:lineRule="exact"/>
                              <w:textAlignment w:val="baseline"/>
                              <w:rPr>
                                <w:rFonts w:ascii="Tahoma" w:eastAsia="Tahoma" w:hAnsi="Tahoma"/>
                                <w:color w:val="BF5B1F"/>
                                <w:spacing w:val="7"/>
                                <w:w w:val="95"/>
                                <w:sz w:val="38"/>
                              </w:rPr>
                            </w:pPr>
                            <w:r>
                              <w:rPr>
                                <w:rFonts w:ascii="Tahoma" w:eastAsia="Tahoma" w:hAnsi="Tahoma"/>
                                <w:color w:val="BF5B1F"/>
                                <w:spacing w:val="7"/>
                                <w:w w:val="95"/>
                                <w:sz w:val="38"/>
                              </w:rPr>
                              <w:t>EDUCATION IN VICTORIA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BD10" id="Text Box 468" o:spid="_x0000_s1146" type="#_x0000_t202" style="position:absolute;margin-left:65.75pt;margin-top:77.4pt;width:223.2pt;height:67.6pt;z-index:-251862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c58AEAAMMDAAAOAAAAZHJzL2Uyb0RvYy54bWysU8Fu2zAMvQ/YPwi6L06yNA2MOEXXosOA&#10;bh3Q7gMYWY6F2aJGKbGzrx8lx2m33opdBEqknt57pNZXfduIgyZv0BZyNplKoa3C0thdIX883X1Y&#10;SeED2BIatLqQR+3l1eb9u3Xncj3HGptSk2AQ6/POFbIOweVZ5lWtW/ATdNpyskJqIfCWdllJ0DF6&#10;22Tz6XSZdUilI1Taez69HZJyk/CrSqvwUFVeB9EUkrmFtFJat3HNNmvIdwSuNupEA97AogVj+dEz&#10;1C0EEHsyr6Baowg9VmGisM2wqozSSQOrmU3/UfNYg9NJC5vj3dkm//9g1bfDdxKmLOTl4lIKCy03&#10;6Un3QXzCXiyWq+hQ53zOhY+OS0PPCe50UuvdPaqfXli8qcHu9DURdrWGkhnO4s3sxdUBx0eQbfcV&#10;S34I9gETUF9RG+1jQwSjc6eO5+5EMooP56uPi+WCU4pzq4vVxTy1L4N8vO3Ih88aWxGDQhJ3P6HD&#10;4d6HyAbysSQ+ZvHONE2agMb+dcCF8SSxj4QH6qHf9smq2fBy1LbF8siCCIfJ4p/AQY30W4qOp6qQ&#10;/tceSEvRfLFsShzBMaAx2I4BWMVXCxmkGMKbMIzq3pHZ1Yw82G7xmo2rTNL0zOJEmCclST1NdRzF&#10;l/tU9fz3Nn8AAAD//wMAUEsDBBQABgAIAAAAIQBTTn1J4AAAAAsBAAAPAAAAZHJzL2Rvd25yZXYu&#10;eG1sTI89T8MwEIZ3JP6DdUhs1G4hbZPGqSoEExIiDQOjE7uJ1fgcYrcN/55jKtu9ukfvR76dXM/O&#10;ZgzWo4T5TAAz2HhtsZXwWb0+rIGFqFCr3qOR8GMCbIvbm1xl2l+wNOd9bBmZYMiUhC7GIeM8NJ1x&#10;Ksz8YJB+Bz86FUmOLdejupC56/lCiCV3yiIldGowz51pjvuTk7D7wvLFfr/XH+WhtFWVCnxbHqW8&#10;v5t2G2DRTPEKw199qg4Fdar9CXVgPenHeUIoHckTbSAiWa1SYLWERSoE8CLn/zcUvwAAAP//AwBQ&#10;SwECLQAUAAYACAAAACEAtoM4kv4AAADhAQAAEwAAAAAAAAAAAAAAAAAAAAAAW0NvbnRlbnRfVHlw&#10;ZXNdLnhtbFBLAQItABQABgAIAAAAIQA4/SH/1gAAAJQBAAALAAAAAAAAAAAAAAAAAC8BAABfcmVs&#10;cy8ucmVsc1BLAQItABQABgAIAAAAIQAoJBc58AEAAMMDAAAOAAAAAAAAAAAAAAAAAC4CAABkcnMv&#10;ZTJvRG9jLnhtbFBLAQItABQABgAIAAAAIQBTTn1J4AAAAAsBAAAPAAAAAAAAAAAAAAAAAEoEAABk&#10;cnMvZG93bnJldi54bWxQSwUGAAAAAAQABADzAAAAVwUAAAAA&#10;" filled="f" stroked="f">
                <v:textbox inset="0,0,0,0">
                  <w:txbxContent>
                    <w:p w14:paraId="6B2E3EBE"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682A0093" w14:textId="77777777" w:rsidR="00490F33" w:rsidRDefault="00490F33">
                      <w:pPr>
                        <w:spacing w:line="45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TRANSFORMING CAREER</w:t>
                      </w:r>
                    </w:p>
                    <w:p w14:paraId="2E64E37E" w14:textId="77777777" w:rsidR="00490F33" w:rsidRDefault="00490F33">
                      <w:pPr>
                        <w:spacing w:before="4" w:line="450" w:lineRule="exact"/>
                        <w:textAlignment w:val="baseline"/>
                        <w:rPr>
                          <w:rFonts w:ascii="Tahoma" w:eastAsia="Tahoma" w:hAnsi="Tahoma"/>
                          <w:color w:val="BF5B1F"/>
                          <w:spacing w:val="7"/>
                          <w:w w:val="95"/>
                          <w:sz w:val="38"/>
                        </w:rPr>
                      </w:pPr>
                      <w:r>
                        <w:rPr>
                          <w:rFonts w:ascii="Tahoma" w:eastAsia="Tahoma" w:hAnsi="Tahoma"/>
                          <w:color w:val="BF5B1F"/>
                          <w:spacing w:val="7"/>
                          <w:w w:val="95"/>
                          <w:sz w:val="38"/>
                        </w:rPr>
                        <w:t>EDUCATION IN VICTORIA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4976" behindDoc="1" locked="0" layoutInCell="1" allowOverlap="1" wp14:anchorId="63D3BEEA" wp14:editId="4D500FCB">
                <wp:simplePos x="0" y="0"/>
                <wp:positionH relativeFrom="page">
                  <wp:posOffset>4187825</wp:posOffset>
                </wp:positionH>
                <wp:positionV relativeFrom="page">
                  <wp:posOffset>1676400</wp:posOffset>
                </wp:positionV>
                <wp:extent cx="2066925" cy="302260"/>
                <wp:effectExtent l="0" t="0" r="0" b="0"/>
                <wp:wrapSquare wrapText="bothSides"/>
                <wp:docPr id="746"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69545" w14:textId="77777777" w:rsidR="00490F33" w:rsidRDefault="00490F33">
                            <w:pPr>
                              <w:spacing w:line="235" w:lineRule="exact"/>
                              <w:jc w:val="both"/>
                              <w:textAlignment w:val="baseline"/>
                              <w:rPr>
                                <w:rFonts w:ascii="Arial" w:eastAsia="Arial" w:hAnsi="Arial"/>
                                <w:b/>
                                <w:color w:val="404042"/>
                                <w:sz w:val="19"/>
                              </w:rPr>
                            </w:pPr>
                            <w:r>
                              <w:rPr>
                                <w:rFonts w:ascii="Arial" w:eastAsia="Arial" w:hAnsi="Arial"/>
                                <w:b/>
                                <w:color w:val="404042"/>
                                <w:sz w:val="19"/>
                              </w:rPr>
                              <w:t>Better</w:t>
                            </w:r>
                            <w:r>
                              <w:rPr>
                                <w:rFonts w:ascii="Arial" w:eastAsia="Arial" w:hAnsi="Arial"/>
                                <w:b/>
                                <w:color w:val="464140"/>
                                <w:sz w:val="19"/>
                              </w:rPr>
                              <w:t xml:space="preserve"> links with industry and work </w:t>
                            </w:r>
                            <w:r>
                              <w:rPr>
                                <w:rFonts w:ascii="Arial" w:eastAsia="Arial" w:hAnsi="Arial"/>
                                <w:b/>
                                <w:color w:val="404042"/>
                                <w:sz w:val="19"/>
                              </w:rPr>
                              <w:t>readiness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3BEEA" id="Text Box 467" o:spid="_x0000_s1147" type="#_x0000_t202" style="position:absolute;margin-left:329.75pt;margin-top:132pt;width:162.75pt;height:23.8pt;z-index:-251861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c08QEAAMMDAAAOAAAAZHJzL2Uyb0RvYy54bWysU9tu2zAMfR+wfxD0vtjxOncz4hRdiw4D&#10;ugvQ7gMYWY6F2aJGKbGzrx8lJ2m3vQ17ESiKOjrnkFpdTUMv9pq8QVvL5SKXQluFjbHbWn57vHv1&#10;VgofwDbQo9W1PGgvr9YvX6xGV+kCO+wbTYJBrK9GV8suBFdlmVedHsAv0GnLhy3SAIG3tM0agpHR&#10;hz4r8rzMRqTGESrtPWdv50O5Tvhtq1X40rZeB9HXkrmFtFJaN3HN1iuotgSuM+pIA/6BxQDG8qNn&#10;qFsIIHZk/oIajCL02IaFwiHDtjVKJw2sZpn/oeahA6eTFjbHu7NN/v/Bqs/7ryRMU8vLi1IKCwM3&#10;6VFPQbzHSVyUl9Gh0fmKCx8cl4aJD7jTSa1396i+e2HxpgO71ddEOHYaGma4jDezZ1dnHB9BNuMn&#10;bPgh2AVMQFNLQ7SPDRGMzp06nLsTyShOFnlZviveSKH47HVeFGVqXwbV6bYjHz5oHEQMaknc/YQO&#10;+3sfIhuoTiXxMYt3pu/TBPT2twQXxkxiHwnP1MO0mZJVyyKJi9o22BxYEOE8WfwTOOiQfkox8lTV&#10;0v/YAWkp+o+WTYkjeAroFGxOAVjFV2sZpJjDmzCP6s6R2XaMPNtu8ZqNa03S9MTiSJgnJUk9TnUc&#10;xef7VPX099a/AAAA//8DAFBLAwQUAAYACAAAACEAbBuYx+AAAAALAQAADwAAAGRycy9kb3ducmV2&#10;LnhtbEyPwU7DMAyG70i8Q2QkbiztoNFamk4TghMSoisHjmmTtdEapzTZVt4ec4KbLX/6/f3ldnEj&#10;O5s5WI8S0lUCzGDntcVewkfzcrcBFqJCrUaPRsK3CbCtrq9KVWh/wdqc97FnFIKhUBKGGKeC89AN&#10;xqmw8pNBuh387FSkde65ntWFwt3I10kiuFMW6cOgJvM0mO64PzkJu0+sn+3XW/teH2rbNHmCr+Io&#10;5e3NsnsEFs0S/2D41Sd1qMip9SfUgY0SRJZnhEpYiwcqRUS+yWhoJdynqQBelfx/h+oHAAD//wMA&#10;UEsBAi0AFAAGAAgAAAAhALaDOJL+AAAA4QEAABMAAAAAAAAAAAAAAAAAAAAAAFtDb250ZW50X1R5&#10;cGVzXS54bWxQSwECLQAUAAYACAAAACEAOP0h/9YAAACUAQAACwAAAAAAAAAAAAAAAAAvAQAAX3Jl&#10;bHMvLnJlbHNQSwECLQAUAAYACAAAACEArRiXNPEBAADDAwAADgAAAAAAAAAAAAAAAAAuAgAAZHJz&#10;L2Uyb0RvYy54bWxQSwECLQAUAAYACAAAACEAbBuYx+AAAAALAQAADwAAAAAAAAAAAAAAAABLBAAA&#10;ZHJzL2Rvd25yZXYueG1sUEsFBgAAAAAEAAQA8wAAAFgFAAAAAA==&#10;" filled="f" stroked="f">
                <v:textbox inset="0,0,0,0">
                  <w:txbxContent>
                    <w:p w14:paraId="6CD69545" w14:textId="77777777" w:rsidR="00490F33" w:rsidRDefault="00490F33">
                      <w:pPr>
                        <w:spacing w:line="235" w:lineRule="exact"/>
                        <w:jc w:val="both"/>
                        <w:textAlignment w:val="baseline"/>
                        <w:rPr>
                          <w:rFonts w:ascii="Arial" w:eastAsia="Arial" w:hAnsi="Arial"/>
                          <w:b/>
                          <w:color w:val="404042"/>
                          <w:sz w:val="19"/>
                        </w:rPr>
                      </w:pPr>
                      <w:r>
                        <w:rPr>
                          <w:rFonts w:ascii="Arial" w:eastAsia="Arial" w:hAnsi="Arial"/>
                          <w:b/>
                          <w:color w:val="404042"/>
                          <w:sz w:val="19"/>
                        </w:rPr>
                        <w:t>Better</w:t>
                      </w:r>
                      <w:r>
                        <w:rPr>
                          <w:rFonts w:ascii="Arial" w:eastAsia="Arial" w:hAnsi="Arial"/>
                          <w:b/>
                          <w:color w:val="464140"/>
                          <w:sz w:val="19"/>
                        </w:rPr>
                        <w:t xml:space="preserve"> links with industry and work </w:t>
                      </w:r>
                      <w:r>
                        <w:rPr>
                          <w:rFonts w:ascii="Arial" w:eastAsia="Arial" w:hAnsi="Arial"/>
                          <w:b/>
                          <w:color w:val="404042"/>
                          <w:sz w:val="19"/>
                        </w:rPr>
                        <w:t>readiness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6000" behindDoc="1" locked="0" layoutInCell="1" allowOverlap="1" wp14:anchorId="137AB118" wp14:editId="64E8B118">
                <wp:simplePos x="0" y="0"/>
                <wp:positionH relativeFrom="page">
                  <wp:posOffset>905510</wp:posOffset>
                </wp:positionH>
                <wp:positionV relativeFrom="page">
                  <wp:posOffset>2002155</wp:posOffset>
                </wp:positionV>
                <wp:extent cx="2423160" cy="1247140"/>
                <wp:effectExtent l="0" t="0" r="0" b="0"/>
                <wp:wrapSquare wrapText="bothSides"/>
                <wp:docPr id="745"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24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C4154" w14:textId="77777777" w:rsidR="00490F33" w:rsidRDefault="00490F33">
                            <w:pPr>
                              <w:spacing w:before="1" w:after="38" w:line="240" w:lineRule="exact"/>
                              <w:textAlignment w:val="baseline"/>
                              <w:rPr>
                                <w:rFonts w:ascii="Tahoma" w:eastAsia="Tahoma" w:hAnsi="Tahoma"/>
                                <w:color w:val="404042"/>
                                <w:spacing w:val="3"/>
                                <w:sz w:val="18"/>
                              </w:rPr>
                            </w:pPr>
                            <w:r>
                              <w:rPr>
                                <w:rFonts w:ascii="Tahoma" w:eastAsia="Tahoma" w:hAnsi="Tahoma"/>
                                <w:color w:val="404042"/>
                                <w:spacing w:val="3"/>
                                <w:sz w:val="18"/>
                              </w:rPr>
                              <w:t>Following a review of career education</w:t>
                            </w:r>
                            <w:r>
                              <w:rPr>
                                <w:rFonts w:ascii="Tahoma" w:eastAsia="Tahoma" w:hAnsi="Tahoma"/>
                                <w:color w:val="464140"/>
                                <w:spacing w:val="3"/>
                                <w:sz w:val="18"/>
                              </w:rPr>
                              <w:t xml:space="preserve"> in </w:t>
                            </w:r>
                            <w:r>
                              <w:rPr>
                                <w:rFonts w:ascii="Tahoma" w:eastAsia="Tahoma" w:hAnsi="Tahoma"/>
                                <w:color w:val="404042"/>
                                <w:spacing w:val="3"/>
                                <w:sz w:val="18"/>
                              </w:rPr>
                              <w:t>Victorian government schools, the</w:t>
                            </w:r>
                            <w:r>
                              <w:rPr>
                                <w:rFonts w:ascii="Tahoma" w:eastAsia="Tahoma" w:hAnsi="Tahoma"/>
                                <w:color w:val="464140"/>
                                <w:spacing w:val="3"/>
                                <w:sz w:val="18"/>
                              </w:rPr>
                              <w:t xml:space="preserve"> Victorian </w:t>
                            </w:r>
                            <w:r>
                              <w:rPr>
                                <w:rFonts w:ascii="Tahoma" w:eastAsia="Tahoma" w:hAnsi="Tahoma"/>
                                <w:color w:val="404042"/>
                                <w:spacing w:val="3"/>
                                <w:sz w:val="18"/>
                              </w:rPr>
                              <w:t>Government has refocused career</w:t>
                            </w:r>
                            <w:r>
                              <w:rPr>
                                <w:rFonts w:ascii="Tahoma" w:eastAsia="Tahoma" w:hAnsi="Tahoma"/>
                                <w:color w:val="464140"/>
                                <w:spacing w:val="3"/>
                                <w:sz w:val="18"/>
                              </w:rPr>
                              <w:t xml:space="preserve"> education </w:t>
                            </w:r>
                            <w:r>
                              <w:rPr>
                                <w:rFonts w:ascii="Tahoma" w:eastAsia="Tahoma" w:hAnsi="Tahoma"/>
                                <w:color w:val="404042"/>
                                <w:spacing w:val="3"/>
                                <w:sz w:val="18"/>
                              </w:rPr>
                              <w:t>on commencing earlier (from Year</w:t>
                            </w:r>
                            <w:r>
                              <w:rPr>
                                <w:rFonts w:ascii="Tahoma" w:eastAsia="Tahoma" w:hAnsi="Tahoma"/>
                                <w:color w:val="464140"/>
                                <w:spacing w:val="3"/>
                                <w:sz w:val="18"/>
                              </w:rPr>
                              <w:t xml:space="preserve"> 7 instead </w:t>
                            </w:r>
                            <w:r>
                              <w:rPr>
                                <w:rFonts w:ascii="Tahoma" w:eastAsia="Tahoma" w:hAnsi="Tahoma"/>
                                <w:color w:val="404042"/>
                                <w:spacing w:val="3"/>
                                <w:sz w:val="18"/>
                              </w:rPr>
                              <w:t>of Year 10), connecting students</w:t>
                            </w:r>
                            <w:r>
                              <w:rPr>
                                <w:rFonts w:ascii="Tahoma" w:eastAsia="Tahoma" w:hAnsi="Tahoma"/>
                                <w:color w:val="464140"/>
                                <w:spacing w:val="3"/>
                                <w:sz w:val="18"/>
                              </w:rPr>
                              <w:t xml:space="preserve"> to the world </w:t>
                            </w:r>
                            <w:r>
                              <w:rPr>
                                <w:rFonts w:ascii="Tahoma" w:eastAsia="Tahoma" w:hAnsi="Tahoma"/>
                                <w:color w:val="404042"/>
                                <w:spacing w:val="3"/>
                                <w:sz w:val="18"/>
                              </w:rPr>
                              <w:t>of work in a more meaningful</w:t>
                            </w:r>
                            <w:r>
                              <w:rPr>
                                <w:rFonts w:ascii="Tahoma" w:eastAsia="Tahoma" w:hAnsi="Tahoma"/>
                                <w:color w:val="464140"/>
                                <w:spacing w:val="3"/>
                                <w:sz w:val="18"/>
                              </w:rPr>
                              <w:t xml:space="preserve"> and practical </w:t>
                            </w:r>
                            <w:r>
                              <w:rPr>
                                <w:rFonts w:ascii="Tahoma" w:eastAsia="Tahoma" w:hAnsi="Tahoma"/>
                                <w:color w:val="404042"/>
                                <w:spacing w:val="3"/>
                                <w:sz w:val="18"/>
                              </w:rPr>
                              <w:t>way, and building the capacity</w:t>
                            </w:r>
                            <w:r>
                              <w:rPr>
                                <w:rFonts w:ascii="Tahoma" w:eastAsia="Tahoma" w:hAnsi="Tahoma"/>
                                <w:color w:val="464140"/>
                                <w:spacing w:val="3"/>
                                <w:sz w:val="18"/>
                              </w:rPr>
                              <w:t xml:space="preserve"> of the system </w:t>
                            </w:r>
                            <w:r>
                              <w:rPr>
                                <w:rFonts w:ascii="Tahoma" w:eastAsia="Tahoma" w:hAnsi="Tahoma"/>
                                <w:color w:val="404042"/>
                                <w:spacing w:val="3"/>
                                <w:sz w:val="18"/>
                              </w:rPr>
                              <w:t>to make career education a</w:t>
                            </w:r>
                            <w:r>
                              <w:rPr>
                                <w:rFonts w:ascii="Tahoma" w:eastAsia="Tahoma" w:hAnsi="Tahoma"/>
                                <w:color w:val="464140"/>
                                <w:spacing w:val="3"/>
                                <w:sz w:val="18"/>
                              </w:rPr>
                              <w:t xml:space="preserve"> priority.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AB118" id="Text Box 466" o:spid="_x0000_s1148" type="#_x0000_t202" style="position:absolute;margin-left:71.3pt;margin-top:157.65pt;width:190.8pt;height:98.2pt;z-index:-251860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s08QEAAMQDAAAOAAAAZHJzL2Uyb0RvYy54bWysU9uO0zAQfUfiHyy/0zShdFHUdLXsahHS&#10;cpF2+YCp4zQWiceM3Sbl6xk7TVngDfFijedyfObMeHM99p04avIGbSXzxVIKbRXWxu4r+fXp/tVb&#10;KXwAW0OHVlfypL283r58sRlcqQtssas1CQaxvhxcJdsQXJllXrW6B79Apy0HG6QeAl9pn9UEA6P3&#10;XVYsl+tsQKododLes/duCsptwm8arcLnpvE6iK6SzC2kk9K5i2e23UC5J3CtUWca8A8sejCWH71A&#10;3UEAcSDzF1RvFKHHJiwU9hk2jVE69cDd5Ms/unlswenUC4vj3UUm//9g1afjFxKmruTV6o0UFnoe&#10;0pMeg3iHo1it11GhwfmSEx8dp4aRAzzp1K13D6i+eWHxtgW71zdEOLQaamaYx8rsWemE4yPIbviI&#10;NT8Eh4AJaGyoj/KxIILReVKny3QiGcXOYlW8ztccUhzLi9VVvkrzy6Ccyx358F5jL6JRSeLxJ3g4&#10;PvgQ6UA5p8TXLN6brksr0NnfHJwYPYl+ZDxxD+NuTFrlRTHrssP6xB0RTqvFX4GNFumHFAOvVSX9&#10;9wOQlqL7YFmVuIOzQbOxmw2wiksrGaSYzNsw7erBkdm3jDzpbvGGlWtM6ilKPLE4E+ZVSa2e1zru&#10;4vN7yvr1+bY/AQAA//8DAFBLAwQUAAYACAAAACEAO3CzpeAAAAALAQAADwAAAGRycy9kb3ducmV2&#10;LnhtbEyPwU6DQBCG7ya+w2ZMvNkF2qIiS9MYPZmYUjx4XNgpkLKzyG5bfHvHk97mz3z555t8M9tB&#10;nHHyvSMF8SICgdQ401Or4KN6vXsA4YMmowdHqOAbPWyK66tcZ8ZdqMTzPrSCS8hnWkEXwphJ6ZsO&#10;rfYLNyLx7uAmqwPHqZVm0hcut4NMoiiVVvfEFzo94nOHzXF/sgq2n1S+9F/v9a48lH1VPUb0lh6V&#10;ur2Zt08gAs7hD4ZffVaHgp1qdyLjxcB5laSMKljG6yUIJtbJKgFR8xDH9yCLXP7/ofgBAAD//wMA&#10;UEsBAi0AFAAGAAgAAAAhALaDOJL+AAAA4QEAABMAAAAAAAAAAAAAAAAAAAAAAFtDb250ZW50X1R5&#10;cGVzXS54bWxQSwECLQAUAAYACAAAACEAOP0h/9YAAACUAQAACwAAAAAAAAAAAAAAAAAvAQAAX3Jl&#10;bHMvLnJlbHNQSwECLQAUAAYACAAAACEAeKP7NPEBAADEAwAADgAAAAAAAAAAAAAAAAAuAgAAZHJz&#10;L2Uyb0RvYy54bWxQSwECLQAUAAYACAAAACEAO3CzpeAAAAALAQAADwAAAAAAAAAAAAAAAABLBAAA&#10;ZHJzL2Rvd25yZXYueG1sUEsFBgAAAAAEAAQA8wAAAFgFAAAAAA==&#10;" filled="f" stroked="f">
                <v:textbox inset="0,0,0,0">
                  <w:txbxContent>
                    <w:p w14:paraId="74EC4154" w14:textId="77777777" w:rsidR="00490F33" w:rsidRDefault="00490F33">
                      <w:pPr>
                        <w:spacing w:before="1" w:after="38" w:line="240" w:lineRule="exact"/>
                        <w:textAlignment w:val="baseline"/>
                        <w:rPr>
                          <w:rFonts w:ascii="Tahoma" w:eastAsia="Tahoma" w:hAnsi="Tahoma"/>
                          <w:color w:val="404042"/>
                          <w:spacing w:val="3"/>
                          <w:sz w:val="18"/>
                        </w:rPr>
                      </w:pPr>
                      <w:r>
                        <w:rPr>
                          <w:rFonts w:ascii="Tahoma" w:eastAsia="Tahoma" w:hAnsi="Tahoma"/>
                          <w:color w:val="404042"/>
                          <w:spacing w:val="3"/>
                          <w:sz w:val="18"/>
                        </w:rPr>
                        <w:t>Following a review of career education</w:t>
                      </w:r>
                      <w:r>
                        <w:rPr>
                          <w:rFonts w:ascii="Tahoma" w:eastAsia="Tahoma" w:hAnsi="Tahoma"/>
                          <w:color w:val="464140"/>
                          <w:spacing w:val="3"/>
                          <w:sz w:val="18"/>
                        </w:rPr>
                        <w:t xml:space="preserve"> in </w:t>
                      </w:r>
                      <w:r>
                        <w:rPr>
                          <w:rFonts w:ascii="Tahoma" w:eastAsia="Tahoma" w:hAnsi="Tahoma"/>
                          <w:color w:val="404042"/>
                          <w:spacing w:val="3"/>
                          <w:sz w:val="18"/>
                        </w:rPr>
                        <w:t>Victorian government schools, the</w:t>
                      </w:r>
                      <w:r>
                        <w:rPr>
                          <w:rFonts w:ascii="Tahoma" w:eastAsia="Tahoma" w:hAnsi="Tahoma"/>
                          <w:color w:val="464140"/>
                          <w:spacing w:val="3"/>
                          <w:sz w:val="18"/>
                        </w:rPr>
                        <w:t xml:space="preserve"> Victorian </w:t>
                      </w:r>
                      <w:r>
                        <w:rPr>
                          <w:rFonts w:ascii="Tahoma" w:eastAsia="Tahoma" w:hAnsi="Tahoma"/>
                          <w:color w:val="404042"/>
                          <w:spacing w:val="3"/>
                          <w:sz w:val="18"/>
                        </w:rPr>
                        <w:t>Government has refocused career</w:t>
                      </w:r>
                      <w:r>
                        <w:rPr>
                          <w:rFonts w:ascii="Tahoma" w:eastAsia="Tahoma" w:hAnsi="Tahoma"/>
                          <w:color w:val="464140"/>
                          <w:spacing w:val="3"/>
                          <w:sz w:val="18"/>
                        </w:rPr>
                        <w:t xml:space="preserve"> education </w:t>
                      </w:r>
                      <w:r>
                        <w:rPr>
                          <w:rFonts w:ascii="Tahoma" w:eastAsia="Tahoma" w:hAnsi="Tahoma"/>
                          <w:color w:val="404042"/>
                          <w:spacing w:val="3"/>
                          <w:sz w:val="18"/>
                        </w:rPr>
                        <w:t>on commencing earlier (from Year</w:t>
                      </w:r>
                      <w:r>
                        <w:rPr>
                          <w:rFonts w:ascii="Tahoma" w:eastAsia="Tahoma" w:hAnsi="Tahoma"/>
                          <w:color w:val="464140"/>
                          <w:spacing w:val="3"/>
                          <w:sz w:val="18"/>
                        </w:rPr>
                        <w:t xml:space="preserve"> 7 instead </w:t>
                      </w:r>
                      <w:r>
                        <w:rPr>
                          <w:rFonts w:ascii="Tahoma" w:eastAsia="Tahoma" w:hAnsi="Tahoma"/>
                          <w:color w:val="404042"/>
                          <w:spacing w:val="3"/>
                          <w:sz w:val="18"/>
                        </w:rPr>
                        <w:t>of Year 10), connecting students</w:t>
                      </w:r>
                      <w:r>
                        <w:rPr>
                          <w:rFonts w:ascii="Tahoma" w:eastAsia="Tahoma" w:hAnsi="Tahoma"/>
                          <w:color w:val="464140"/>
                          <w:spacing w:val="3"/>
                          <w:sz w:val="18"/>
                        </w:rPr>
                        <w:t xml:space="preserve"> to the world </w:t>
                      </w:r>
                      <w:r>
                        <w:rPr>
                          <w:rFonts w:ascii="Tahoma" w:eastAsia="Tahoma" w:hAnsi="Tahoma"/>
                          <w:color w:val="404042"/>
                          <w:spacing w:val="3"/>
                          <w:sz w:val="18"/>
                        </w:rPr>
                        <w:t>of work in a more meaningful</w:t>
                      </w:r>
                      <w:r>
                        <w:rPr>
                          <w:rFonts w:ascii="Tahoma" w:eastAsia="Tahoma" w:hAnsi="Tahoma"/>
                          <w:color w:val="464140"/>
                          <w:spacing w:val="3"/>
                          <w:sz w:val="18"/>
                        </w:rPr>
                        <w:t xml:space="preserve"> and practical </w:t>
                      </w:r>
                      <w:r>
                        <w:rPr>
                          <w:rFonts w:ascii="Tahoma" w:eastAsia="Tahoma" w:hAnsi="Tahoma"/>
                          <w:color w:val="404042"/>
                          <w:spacing w:val="3"/>
                          <w:sz w:val="18"/>
                        </w:rPr>
                        <w:t>way, and building the capacity</w:t>
                      </w:r>
                      <w:r>
                        <w:rPr>
                          <w:rFonts w:ascii="Tahoma" w:eastAsia="Tahoma" w:hAnsi="Tahoma"/>
                          <w:color w:val="464140"/>
                          <w:spacing w:val="3"/>
                          <w:sz w:val="18"/>
                        </w:rPr>
                        <w:t xml:space="preserve"> of the system </w:t>
                      </w:r>
                      <w:r>
                        <w:rPr>
                          <w:rFonts w:ascii="Tahoma" w:eastAsia="Tahoma" w:hAnsi="Tahoma"/>
                          <w:color w:val="404042"/>
                          <w:spacing w:val="3"/>
                          <w:sz w:val="18"/>
                        </w:rPr>
                        <w:t>to make career education a</w:t>
                      </w:r>
                      <w:r>
                        <w:rPr>
                          <w:rFonts w:ascii="Tahoma" w:eastAsia="Tahoma" w:hAnsi="Tahoma"/>
                          <w:color w:val="464140"/>
                          <w:spacing w:val="3"/>
                          <w:sz w:val="18"/>
                        </w:rPr>
                        <w:t xml:space="preserve"> priority.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7024" behindDoc="1" locked="0" layoutInCell="1" allowOverlap="1" wp14:anchorId="4DDEDB95" wp14:editId="799AB240">
                <wp:simplePos x="0" y="0"/>
                <wp:positionH relativeFrom="page">
                  <wp:posOffset>4182110</wp:posOffset>
                </wp:positionH>
                <wp:positionV relativeFrom="page">
                  <wp:posOffset>2080895</wp:posOffset>
                </wp:positionV>
                <wp:extent cx="2462530" cy="2439035"/>
                <wp:effectExtent l="0" t="0" r="0" b="0"/>
                <wp:wrapSquare wrapText="bothSides"/>
                <wp:docPr id="744"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43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985F8" w14:textId="77777777" w:rsidR="00490F33" w:rsidRDefault="00490F33">
                            <w:pPr>
                              <w:spacing w:before="1" w:line="239" w:lineRule="exact"/>
                              <w:textAlignment w:val="baseline"/>
                              <w:rPr>
                                <w:rFonts w:ascii="Tahoma" w:eastAsia="Tahoma" w:hAnsi="Tahoma"/>
                                <w:color w:val="464140"/>
                                <w:spacing w:val="6"/>
                                <w:sz w:val="18"/>
                              </w:rPr>
                            </w:pPr>
                            <w:r>
                              <w:rPr>
                                <w:rFonts w:ascii="Tahoma" w:eastAsia="Tahoma" w:hAnsi="Tahoma"/>
                                <w:color w:val="464140"/>
                                <w:spacing w:val="6"/>
                                <w:sz w:val="18"/>
                              </w:rPr>
                              <w:t>A key</w:t>
                            </w:r>
                            <w:r>
                              <w:rPr>
                                <w:rFonts w:ascii="Tahoma" w:eastAsia="Tahoma" w:hAnsi="Tahoma"/>
                                <w:color w:val="404042"/>
                                <w:spacing w:val="6"/>
                                <w:sz w:val="18"/>
                              </w:rPr>
                              <w:t xml:space="preserve"> focus</w:t>
                            </w:r>
                            <w:r>
                              <w:rPr>
                                <w:rFonts w:ascii="Tahoma" w:eastAsia="Tahoma" w:hAnsi="Tahoma"/>
                                <w:color w:val="464140"/>
                                <w:spacing w:val="6"/>
                                <w:sz w:val="18"/>
                              </w:rPr>
                              <w:t xml:space="preserve"> of the career education initiatives has</w:t>
                            </w:r>
                            <w:r>
                              <w:rPr>
                                <w:rFonts w:ascii="Tahoma" w:eastAsia="Tahoma" w:hAnsi="Tahoma"/>
                                <w:color w:val="404042"/>
                                <w:spacing w:val="6"/>
                                <w:sz w:val="18"/>
                              </w:rPr>
                              <w:t xml:space="preserve"> been to</w:t>
                            </w:r>
                            <w:r>
                              <w:rPr>
                                <w:rFonts w:ascii="Tahoma" w:eastAsia="Tahoma" w:hAnsi="Tahoma"/>
                                <w:color w:val="464140"/>
                                <w:spacing w:val="6"/>
                                <w:sz w:val="18"/>
                              </w:rPr>
                              <w:t xml:space="preserve"> provide additional services for </w:t>
                            </w:r>
                            <w:r>
                              <w:rPr>
                                <w:rFonts w:ascii="Tahoma" w:eastAsia="Tahoma" w:hAnsi="Tahoma"/>
                                <w:color w:val="404042"/>
                                <w:spacing w:val="6"/>
                                <w:sz w:val="18"/>
                              </w:rPr>
                              <w:t>socioeconomically</w:t>
                            </w:r>
                            <w:r>
                              <w:rPr>
                                <w:rFonts w:ascii="Tahoma" w:eastAsia="Tahoma" w:hAnsi="Tahoma"/>
                                <w:color w:val="464140"/>
                                <w:spacing w:val="6"/>
                                <w:sz w:val="18"/>
                              </w:rPr>
                              <w:t xml:space="preserve"> disadvantaged students</w:t>
                            </w:r>
                            <w:r>
                              <w:rPr>
                                <w:rFonts w:ascii="Tahoma" w:eastAsia="Tahoma" w:hAnsi="Tahoma"/>
                                <w:color w:val="404042"/>
                                <w:spacing w:val="6"/>
                                <w:sz w:val="18"/>
                              </w:rPr>
                              <w:t xml:space="preserve"> in </w:t>
                            </w:r>
                            <w:r>
                              <w:rPr>
                                <w:rFonts w:ascii="Tahoma" w:eastAsia="Tahoma" w:hAnsi="Tahoma"/>
                                <w:color w:val="464140"/>
                                <w:spacing w:val="6"/>
                                <w:sz w:val="18"/>
                              </w:rPr>
                              <w:t>Years 7 to</w:t>
                            </w:r>
                            <w:r>
                              <w:rPr>
                                <w:rFonts w:ascii="Tahoma" w:eastAsia="Tahoma" w:hAnsi="Tahoma"/>
                                <w:color w:val="404042"/>
                                <w:spacing w:val="6"/>
                                <w:sz w:val="18"/>
                              </w:rPr>
                              <w:t xml:space="preserve"> 10, to</w:t>
                            </w:r>
                            <w:r>
                              <w:rPr>
                                <w:rFonts w:ascii="Tahoma" w:eastAsia="Tahoma" w:hAnsi="Tahoma"/>
                                <w:color w:val="464140"/>
                                <w:spacing w:val="6"/>
                                <w:sz w:val="18"/>
                              </w:rPr>
                              <w:t xml:space="preserve"> ensure they have additional opportunities</w:t>
                            </w:r>
                            <w:r>
                              <w:rPr>
                                <w:rFonts w:ascii="Tahoma" w:eastAsia="Tahoma" w:hAnsi="Tahoma"/>
                                <w:color w:val="404042"/>
                                <w:spacing w:val="6"/>
                                <w:sz w:val="18"/>
                              </w:rPr>
                              <w:t xml:space="preserve"> to ga</w:t>
                            </w:r>
                            <w:r>
                              <w:rPr>
                                <w:rFonts w:ascii="Tahoma" w:eastAsia="Tahoma" w:hAnsi="Tahoma"/>
                                <w:color w:val="404042"/>
                                <w:spacing w:val="6"/>
                                <w:sz w:val="18"/>
                                <w:u w:val="single"/>
                              </w:rPr>
                              <w:t>i</w:t>
                            </w:r>
                            <w:r>
                              <w:rPr>
                                <w:rFonts w:ascii="Tahoma" w:eastAsia="Tahoma" w:hAnsi="Tahoma"/>
                                <w:color w:val="404042"/>
                                <w:spacing w:val="6"/>
                                <w:sz w:val="18"/>
                              </w:rPr>
                              <w:t>n</w:t>
                            </w:r>
                            <w:r>
                              <w:rPr>
                                <w:rFonts w:ascii="Tahoma" w:eastAsia="Tahoma" w:hAnsi="Tahoma"/>
                                <w:color w:val="464140"/>
                                <w:spacing w:val="6"/>
                                <w:sz w:val="18"/>
                              </w:rPr>
                              <w:t xml:space="preserve"> ex</w:t>
                            </w:r>
                            <w:r>
                              <w:rPr>
                                <w:rFonts w:ascii="Tahoma" w:eastAsia="Tahoma" w:hAnsi="Tahoma"/>
                                <w:color w:val="464140"/>
                                <w:spacing w:val="6"/>
                                <w:sz w:val="18"/>
                                <w:u w:val="single"/>
                              </w:rPr>
                              <w:t>p</w:t>
                            </w:r>
                            <w:r>
                              <w:rPr>
                                <w:rFonts w:ascii="Tahoma" w:eastAsia="Tahoma" w:hAnsi="Tahoma"/>
                                <w:color w:val="464140"/>
                                <w:spacing w:val="6"/>
                                <w:sz w:val="18"/>
                              </w:rPr>
                              <w:t>osure to a w</w:t>
                            </w:r>
                            <w:r>
                              <w:rPr>
                                <w:rFonts w:ascii="Tahoma" w:eastAsia="Tahoma" w:hAnsi="Tahoma"/>
                                <w:color w:val="464140"/>
                                <w:spacing w:val="6"/>
                                <w:sz w:val="18"/>
                                <w:u w:val="single"/>
                              </w:rPr>
                              <w:t>id</w:t>
                            </w:r>
                            <w:r>
                              <w:rPr>
                                <w:rFonts w:ascii="Tahoma" w:eastAsia="Tahoma" w:hAnsi="Tahoma"/>
                                <w:color w:val="464140"/>
                                <w:spacing w:val="6"/>
                                <w:sz w:val="18"/>
                              </w:rPr>
                              <w:t>e variety of</w:t>
                            </w:r>
                            <w:r>
                              <w:rPr>
                                <w:rFonts w:ascii="Tahoma" w:eastAsia="Tahoma" w:hAnsi="Tahoma"/>
                                <w:color w:val="404042"/>
                                <w:spacing w:val="6"/>
                                <w:sz w:val="18"/>
                              </w:rPr>
                              <w:t xml:space="preserve"> industries and career pathways. </w:t>
                            </w:r>
                            <w:r>
                              <w:rPr>
                                <w:rFonts w:ascii="Tahoma" w:eastAsia="Tahoma" w:hAnsi="Tahoma"/>
                                <w:color w:val="464140"/>
                                <w:spacing w:val="6"/>
                                <w:sz w:val="18"/>
                              </w:rPr>
                              <w:t>This includes</w:t>
                            </w:r>
                            <w:r>
                              <w:rPr>
                                <w:rFonts w:ascii="Tahoma" w:eastAsia="Tahoma" w:hAnsi="Tahoma"/>
                                <w:color w:val="404042"/>
                                <w:spacing w:val="6"/>
                                <w:sz w:val="18"/>
                              </w:rPr>
                              <w:t xml:space="preserve"> activities such as mentoring by </w:t>
                            </w:r>
                            <w:r>
                              <w:rPr>
                                <w:rFonts w:ascii="Tahoma" w:eastAsia="Tahoma" w:hAnsi="Tahoma"/>
                                <w:color w:val="464140"/>
                                <w:spacing w:val="6"/>
                                <w:sz w:val="18"/>
                              </w:rPr>
                              <w:t>employers,</w:t>
                            </w:r>
                            <w:r>
                              <w:rPr>
                                <w:rFonts w:ascii="Tahoma" w:eastAsia="Tahoma" w:hAnsi="Tahoma"/>
                                <w:color w:val="404042"/>
                                <w:spacing w:val="6"/>
                                <w:sz w:val="18"/>
                              </w:rPr>
                              <w:t xml:space="preserve"> work</w:t>
                            </w:r>
                            <w:r>
                              <w:rPr>
                                <w:rFonts w:ascii="Tahoma" w:eastAsia="Tahoma" w:hAnsi="Tahoma"/>
                                <w:color w:val="404042"/>
                                <w:spacing w:val="6"/>
                                <w:sz w:val="18"/>
                                <w:u w:val="single"/>
                              </w:rPr>
                              <w:t>place visits, and suppo</w:t>
                            </w:r>
                            <w:r>
                              <w:rPr>
                                <w:rFonts w:ascii="Tahoma" w:eastAsia="Tahoma" w:hAnsi="Tahoma"/>
                                <w:color w:val="404042"/>
                                <w:spacing w:val="6"/>
                                <w:sz w:val="18"/>
                              </w:rPr>
                              <w:t>rting</w:t>
                            </w:r>
                            <w:r>
                              <w:rPr>
                                <w:rFonts w:ascii="Tahoma" w:eastAsia="Tahoma" w:hAnsi="Tahoma"/>
                                <w:color w:val="404042"/>
                                <w:spacing w:val="6"/>
                                <w:sz w:val="18"/>
                                <w:u w:val="single"/>
                              </w:rPr>
                              <w:t xml:space="preserve"> </w:t>
                            </w:r>
                            <w:r>
                              <w:rPr>
                                <w:rFonts w:ascii="Tahoma" w:eastAsia="Tahoma" w:hAnsi="Tahoma"/>
                                <w:color w:val="464140"/>
                                <w:spacing w:val="6"/>
                                <w:sz w:val="18"/>
                              </w:rPr>
                              <w:t>employers</w:t>
                            </w:r>
                            <w:r>
                              <w:rPr>
                                <w:rFonts w:ascii="Tahoma" w:eastAsia="Tahoma" w:hAnsi="Tahoma"/>
                                <w:color w:val="404042"/>
                                <w:spacing w:val="6"/>
                                <w:sz w:val="18"/>
                              </w:rPr>
                              <w:t xml:space="preserve"> to</w:t>
                            </w:r>
                            <w:r>
                              <w:rPr>
                                <w:rFonts w:ascii="Tahoma" w:eastAsia="Tahoma" w:hAnsi="Tahoma"/>
                                <w:color w:val="464140"/>
                                <w:spacing w:val="6"/>
                                <w:sz w:val="18"/>
                              </w:rPr>
                              <w:t xml:space="preserve"> ensure they provide safe, </w:t>
                            </w:r>
                            <w:r>
                              <w:rPr>
                                <w:rFonts w:ascii="Tahoma" w:eastAsia="Tahoma" w:hAnsi="Tahoma"/>
                                <w:color w:val="404042"/>
                                <w:spacing w:val="6"/>
                                <w:sz w:val="18"/>
                              </w:rPr>
                              <w:t>inclusive and</w:t>
                            </w:r>
                            <w:r>
                              <w:rPr>
                                <w:rFonts w:ascii="Tahoma" w:eastAsia="Tahoma" w:hAnsi="Tahoma"/>
                                <w:color w:val="464140"/>
                                <w:spacing w:val="6"/>
                                <w:sz w:val="18"/>
                              </w:rPr>
                              <w:t xml:space="preserve"> meaningful work placement </w:t>
                            </w:r>
                            <w:r>
                              <w:rPr>
                                <w:rFonts w:ascii="Tahoma" w:eastAsia="Tahoma" w:hAnsi="Tahoma"/>
                                <w:color w:val="404042"/>
                                <w:spacing w:val="6"/>
                                <w:sz w:val="18"/>
                              </w:rPr>
                              <w:t>experiences</w:t>
                            </w:r>
                            <w:r>
                              <w:rPr>
                                <w:rFonts w:ascii="Tahoma" w:eastAsia="Tahoma" w:hAnsi="Tahoma"/>
                                <w:color w:val="464140"/>
                                <w:spacing w:val="6"/>
                                <w:sz w:val="18"/>
                              </w:rPr>
                              <w:t xml:space="preserve"> for students. Additional </w:t>
                            </w:r>
                            <w:r>
                              <w:rPr>
                                <w:rFonts w:ascii="Tahoma" w:eastAsia="Tahoma" w:hAnsi="Tahoma"/>
                                <w:color w:val="404042"/>
                                <w:spacing w:val="6"/>
                                <w:sz w:val="18"/>
                              </w:rPr>
                              <w:t>enhanced</w:t>
                            </w:r>
                            <w:r>
                              <w:rPr>
                                <w:rFonts w:ascii="Tahoma" w:eastAsia="Tahoma" w:hAnsi="Tahoma"/>
                                <w:color w:val="464140"/>
                                <w:spacing w:val="6"/>
                                <w:sz w:val="18"/>
                              </w:rPr>
                              <w:t xml:space="preserve"> work-readiness resources have </w:t>
                            </w:r>
                            <w:r>
                              <w:rPr>
                                <w:rFonts w:ascii="Tahoma" w:eastAsia="Tahoma" w:hAnsi="Tahoma"/>
                                <w:color w:val="404042"/>
                                <w:spacing w:val="6"/>
                                <w:sz w:val="18"/>
                              </w:rPr>
                              <w:t>been</w:t>
                            </w:r>
                            <w:r>
                              <w:rPr>
                                <w:rFonts w:ascii="Tahoma" w:eastAsia="Tahoma" w:hAnsi="Tahoma"/>
                                <w:color w:val="464140"/>
                                <w:spacing w:val="6"/>
                                <w:sz w:val="18"/>
                              </w:rPr>
                              <w:t xml:space="preserve"> developed for students with disability, </w:t>
                            </w:r>
                            <w:r>
                              <w:rPr>
                                <w:rFonts w:ascii="Tahoma" w:eastAsia="Tahoma" w:hAnsi="Tahoma"/>
                                <w:color w:val="404042"/>
                                <w:spacing w:val="6"/>
                                <w:sz w:val="18"/>
                              </w:rPr>
                              <w:t>through</w:t>
                            </w:r>
                            <w:r>
                              <w:rPr>
                                <w:rFonts w:ascii="Tahoma" w:eastAsia="Tahoma" w:hAnsi="Tahoma"/>
                                <w:color w:val="464140"/>
                                <w:spacing w:val="6"/>
                                <w:sz w:val="18"/>
                              </w:rPr>
                              <w:t xml:space="preserve"> strengthened education and </w:t>
                            </w:r>
                            <w:r>
                              <w:rPr>
                                <w:rFonts w:ascii="Tahoma" w:eastAsia="Tahoma" w:hAnsi="Tahoma"/>
                                <w:color w:val="404042"/>
                                <w:spacing w:val="6"/>
                                <w:sz w:val="18"/>
                              </w:rPr>
                              <w:t>planning</w:t>
                            </w:r>
                            <w:r>
                              <w:rPr>
                                <w:rFonts w:ascii="Tahoma" w:eastAsia="Tahoma" w:hAnsi="Tahoma"/>
                                <w:color w:val="464140"/>
                                <w:spacing w:val="6"/>
                                <w:sz w:val="18"/>
                              </w:rPr>
                              <w:t xml:space="preserve"> resources and workplace health and </w:t>
                            </w:r>
                            <w:r>
                              <w:rPr>
                                <w:rFonts w:ascii="Tahoma" w:eastAsia="Tahoma" w:hAnsi="Tahoma"/>
                                <w:color w:val="404042"/>
                                <w:spacing w:val="6"/>
                                <w:sz w:val="18"/>
                              </w:rPr>
                              <w:t>safety</w:t>
                            </w:r>
                            <w:r>
                              <w:rPr>
                                <w:rFonts w:ascii="Tahoma" w:eastAsia="Tahoma" w:hAnsi="Tahoma"/>
                                <w:color w:val="464140"/>
                                <w:spacing w:val="6"/>
                                <w:sz w:val="18"/>
                              </w:rPr>
                              <w:t xml:space="preserve">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EDB95" id="Text Box 465" o:spid="_x0000_s1149" type="#_x0000_t202" style="position:absolute;margin-left:329.3pt;margin-top:163.85pt;width:193.9pt;height:192.05pt;z-index:-251859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Hx8gEAAMQDAAAOAAAAZHJzL2Uyb0RvYy54bWysU9uO0zAQfUfiHyy/07Rpt0DUdLXsahHS&#10;cpF2+YCp4zQWiceM3Sbl6xk7TVngDfFijedyfObMeHM9dK04avIGbSkXs7kU2iqsjN2X8uvT/as3&#10;UvgAtoIWrS7lSXt5vX35YtO7QufYYFtpEgxifdG7UjYhuCLLvGp0B36GTlsO1kgdBL7SPqsIekbv&#10;2iyfz9dZj1Q5QqW9Z+/dGJTbhF/XWoXPde11EG0pmVtIJ6VzF89su4FiT+Aao8404B9YdGAsP3qB&#10;uoMA4kDmL6jOKEKPdZgp7DKsa6N06oG7Wcz/6OaxAadTLyyOdxeZ/P+DVZ+OX0iYqpSvVyspLHQ8&#10;pCc9BPEOB7FaX0WFeucLTnx0nBoGDvCkU7fePaD65oXF2wbsXt8QYd9oqJjhIlZmz0pHHB9Bdv1H&#10;rPghOARMQENNXZSPBRGMzpM6XaYTySh25qt1frXkkOJYvlq+nS8TuwyKqdyRD+81diIapSQef4KH&#10;44MPkQ4UU0p8zeK9adu0Aq39zcGJ0ZPoR8Yj9zDshqTVIl9OuuywOnFHhONq8Vdgo0H6IUXPa1VK&#10;//0ApKVoP1hWJe7gZNBk7CYDrOLSUgYpRvM2jLt6cGT2DSOPulu8YeVqk3qKEo8szoR5VVKr57WO&#10;u/j8nrJ+fb7tTwAAAP//AwBQSwMEFAAGAAgAAAAhAF8quJHiAAAADAEAAA8AAABkcnMvZG93bnJl&#10;di54bWxMj8FOwzAQRO9I/IO1SNyonbY4IcSpqgpOSIg0HDg6sZtYjdchdtvw97gnOK7maeZtsZnt&#10;QM568sahgGTBgGhsnTLYCfisXx8yID5IVHJwqAX8aA+b8vamkLlyF6z0eR86EkvQ51JAH8KYU+rb&#10;XlvpF27UGLODm6wM8Zw6qiZ5ieV2oEvGOLXSYFzo5ah3vW6P+5MVsP3C6sV8vzcf1aEydf3E8I0f&#10;hbi/m7fPQIKewx8MV/2oDmV0atwJlSeDAP6Y8YgKWC3TFMiVYGu+BtIISJMkA1oW9P8T5S8AAAD/&#10;/wMAUEsBAi0AFAAGAAgAAAAhALaDOJL+AAAA4QEAABMAAAAAAAAAAAAAAAAAAAAAAFtDb250ZW50&#10;X1R5cGVzXS54bWxQSwECLQAUAAYACAAAACEAOP0h/9YAAACUAQAACwAAAAAAAAAAAAAAAAAvAQAA&#10;X3JlbHMvLnJlbHNQSwECLQAUAAYACAAAACEAZZRB8fIBAADEAwAADgAAAAAAAAAAAAAAAAAuAgAA&#10;ZHJzL2Uyb0RvYy54bWxQSwECLQAUAAYACAAAACEAXyq4keIAAAAMAQAADwAAAAAAAAAAAAAAAABM&#10;BAAAZHJzL2Rvd25yZXYueG1sUEsFBgAAAAAEAAQA8wAAAFsFAAAAAA==&#10;" filled="f" stroked="f">
                <v:textbox inset="0,0,0,0">
                  <w:txbxContent>
                    <w:p w14:paraId="75E985F8" w14:textId="77777777" w:rsidR="00490F33" w:rsidRDefault="00490F33">
                      <w:pPr>
                        <w:spacing w:before="1" w:line="239" w:lineRule="exact"/>
                        <w:textAlignment w:val="baseline"/>
                        <w:rPr>
                          <w:rFonts w:ascii="Tahoma" w:eastAsia="Tahoma" w:hAnsi="Tahoma"/>
                          <w:color w:val="464140"/>
                          <w:spacing w:val="6"/>
                          <w:sz w:val="18"/>
                        </w:rPr>
                      </w:pPr>
                      <w:r>
                        <w:rPr>
                          <w:rFonts w:ascii="Tahoma" w:eastAsia="Tahoma" w:hAnsi="Tahoma"/>
                          <w:color w:val="464140"/>
                          <w:spacing w:val="6"/>
                          <w:sz w:val="18"/>
                        </w:rPr>
                        <w:t>A key</w:t>
                      </w:r>
                      <w:r>
                        <w:rPr>
                          <w:rFonts w:ascii="Tahoma" w:eastAsia="Tahoma" w:hAnsi="Tahoma"/>
                          <w:color w:val="404042"/>
                          <w:spacing w:val="6"/>
                          <w:sz w:val="18"/>
                        </w:rPr>
                        <w:t xml:space="preserve"> focus</w:t>
                      </w:r>
                      <w:r>
                        <w:rPr>
                          <w:rFonts w:ascii="Tahoma" w:eastAsia="Tahoma" w:hAnsi="Tahoma"/>
                          <w:color w:val="464140"/>
                          <w:spacing w:val="6"/>
                          <w:sz w:val="18"/>
                        </w:rPr>
                        <w:t xml:space="preserve"> of the career education initiatives has</w:t>
                      </w:r>
                      <w:r>
                        <w:rPr>
                          <w:rFonts w:ascii="Tahoma" w:eastAsia="Tahoma" w:hAnsi="Tahoma"/>
                          <w:color w:val="404042"/>
                          <w:spacing w:val="6"/>
                          <w:sz w:val="18"/>
                        </w:rPr>
                        <w:t xml:space="preserve"> been to</w:t>
                      </w:r>
                      <w:r>
                        <w:rPr>
                          <w:rFonts w:ascii="Tahoma" w:eastAsia="Tahoma" w:hAnsi="Tahoma"/>
                          <w:color w:val="464140"/>
                          <w:spacing w:val="6"/>
                          <w:sz w:val="18"/>
                        </w:rPr>
                        <w:t xml:space="preserve"> provide additional services for </w:t>
                      </w:r>
                      <w:r>
                        <w:rPr>
                          <w:rFonts w:ascii="Tahoma" w:eastAsia="Tahoma" w:hAnsi="Tahoma"/>
                          <w:color w:val="404042"/>
                          <w:spacing w:val="6"/>
                          <w:sz w:val="18"/>
                        </w:rPr>
                        <w:t>socioeconomically</w:t>
                      </w:r>
                      <w:r>
                        <w:rPr>
                          <w:rFonts w:ascii="Tahoma" w:eastAsia="Tahoma" w:hAnsi="Tahoma"/>
                          <w:color w:val="464140"/>
                          <w:spacing w:val="6"/>
                          <w:sz w:val="18"/>
                        </w:rPr>
                        <w:t xml:space="preserve"> disadvantaged students</w:t>
                      </w:r>
                      <w:r>
                        <w:rPr>
                          <w:rFonts w:ascii="Tahoma" w:eastAsia="Tahoma" w:hAnsi="Tahoma"/>
                          <w:color w:val="404042"/>
                          <w:spacing w:val="6"/>
                          <w:sz w:val="18"/>
                        </w:rPr>
                        <w:t xml:space="preserve"> in </w:t>
                      </w:r>
                      <w:r>
                        <w:rPr>
                          <w:rFonts w:ascii="Tahoma" w:eastAsia="Tahoma" w:hAnsi="Tahoma"/>
                          <w:color w:val="464140"/>
                          <w:spacing w:val="6"/>
                          <w:sz w:val="18"/>
                        </w:rPr>
                        <w:t>Years 7 to</w:t>
                      </w:r>
                      <w:r>
                        <w:rPr>
                          <w:rFonts w:ascii="Tahoma" w:eastAsia="Tahoma" w:hAnsi="Tahoma"/>
                          <w:color w:val="404042"/>
                          <w:spacing w:val="6"/>
                          <w:sz w:val="18"/>
                        </w:rPr>
                        <w:t xml:space="preserve"> 10, to</w:t>
                      </w:r>
                      <w:r>
                        <w:rPr>
                          <w:rFonts w:ascii="Tahoma" w:eastAsia="Tahoma" w:hAnsi="Tahoma"/>
                          <w:color w:val="464140"/>
                          <w:spacing w:val="6"/>
                          <w:sz w:val="18"/>
                        </w:rPr>
                        <w:t xml:space="preserve"> ensure they have additional opportunities</w:t>
                      </w:r>
                      <w:r>
                        <w:rPr>
                          <w:rFonts w:ascii="Tahoma" w:eastAsia="Tahoma" w:hAnsi="Tahoma"/>
                          <w:color w:val="404042"/>
                          <w:spacing w:val="6"/>
                          <w:sz w:val="18"/>
                        </w:rPr>
                        <w:t xml:space="preserve"> to ga</w:t>
                      </w:r>
                      <w:r>
                        <w:rPr>
                          <w:rFonts w:ascii="Tahoma" w:eastAsia="Tahoma" w:hAnsi="Tahoma"/>
                          <w:color w:val="404042"/>
                          <w:spacing w:val="6"/>
                          <w:sz w:val="18"/>
                          <w:u w:val="single"/>
                        </w:rPr>
                        <w:t>i</w:t>
                      </w:r>
                      <w:r>
                        <w:rPr>
                          <w:rFonts w:ascii="Tahoma" w:eastAsia="Tahoma" w:hAnsi="Tahoma"/>
                          <w:color w:val="404042"/>
                          <w:spacing w:val="6"/>
                          <w:sz w:val="18"/>
                        </w:rPr>
                        <w:t>n</w:t>
                      </w:r>
                      <w:r>
                        <w:rPr>
                          <w:rFonts w:ascii="Tahoma" w:eastAsia="Tahoma" w:hAnsi="Tahoma"/>
                          <w:color w:val="464140"/>
                          <w:spacing w:val="6"/>
                          <w:sz w:val="18"/>
                        </w:rPr>
                        <w:t xml:space="preserve"> ex</w:t>
                      </w:r>
                      <w:r>
                        <w:rPr>
                          <w:rFonts w:ascii="Tahoma" w:eastAsia="Tahoma" w:hAnsi="Tahoma"/>
                          <w:color w:val="464140"/>
                          <w:spacing w:val="6"/>
                          <w:sz w:val="18"/>
                          <w:u w:val="single"/>
                        </w:rPr>
                        <w:t>p</w:t>
                      </w:r>
                      <w:r>
                        <w:rPr>
                          <w:rFonts w:ascii="Tahoma" w:eastAsia="Tahoma" w:hAnsi="Tahoma"/>
                          <w:color w:val="464140"/>
                          <w:spacing w:val="6"/>
                          <w:sz w:val="18"/>
                        </w:rPr>
                        <w:t>osure to a w</w:t>
                      </w:r>
                      <w:r>
                        <w:rPr>
                          <w:rFonts w:ascii="Tahoma" w:eastAsia="Tahoma" w:hAnsi="Tahoma"/>
                          <w:color w:val="464140"/>
                          <w:spacing w:val="6"/>
                          <w:sz w:val="18"/>
                          <w:u w:val="single"/>
                        </w:rPr>
                        <w:t>id</w:t>
                      </w:r>
                      <w:r>
                        <w:rPr>
                          <w:rFonts w:ascii="Tahoma" w:eastAsia="Tahoma" w:hAnsi="Tahoma"/>
                          <w:color w:val="464140"/>
                          <w:spacing w:val="6"/>
                          <w:sz w:val="18"/>
                        </w:rPr>
                        <w:t>e variety of</w:t>
                      </w:r>
                      <w:r>
                        <w:rPr>
                          <w:rFonts w:ascii="Tahoma" w:eastAsia="Tahoma" w:hAnsi="Tahoma"/>
                          <w:color w:val="404042"/>
                          <w:spacing w:val="6"/>
                          <w:sz w:val="18"/>
                        </w:rPr>
                        <w:t xml:space="preserve"> industries and career pathways. </w:t>
                      </w:r>
                      <w:r>
                        <w:rPr>
                          <w:rFonts w:ascii="Tahoma" w:eastAsia="Tahoma" w:hAnsi="Tahoma"/>
                          <w:color w:val="464140"/>
                          <w:spacing w:val="6"/>
                          <w:sz w:val="18"/>
                        </w:rPr>
                        <w:t>This includes</w:t>
                      </w:r>
                      <w:r>
                        <w:rPr>
                          <w:rFonts w:ascii="Tahoma" w:eastAsia="Tahoma" w:hAnsi="Tahoma"/>
                          <w:color w:val="404042"/>
                          <w:spacing w:val="6"/>
                          <w:sz w:val="18"/>
                        </w:rPr>
                        <w:t xml:space="preserve"> activities such as mentoring by </w:t>
                      </w:r>
                      <w:r>
                        <w:rPr>
                          <w:rFonts w:ascii="Tahoma" w:eastAsia="Tahoma" w:hAnsi="Tahoma"/>
                          <w:color w:val="464140"/>
                          <w:spacing w:val="6"/>
                          <w:sz w:val="18"/>
                        </w:rPr>
                        <w:t>employers,</w:t>
                      </w:r>
                      <w:r>
                        <w:rPr>
                          <w:rFonts w:ascii="Tahoma" w:eastAsia="Tahoma" w:hAnsi="Tahoma"/>
                          <w:color w:val="404042"/>
                          <w:spacing w:val="6"/>
                          <w:sz w:val="18"/>
                        </w:rPr>
                        <w:t xml:space="preserve"> work</w:t>
                      </w:r>
                      <w:r>
                        <w:rPr>
                          <w:rFonts w:ascii="Tahoma" w:eastAsia="Tahoma" w:hAnsi="Tahoma"/>
                          <w:color w:val="404042"/>
                          <w:spacing w:val="6"/>
                          <w:sz w:val="18"/>
                          <w:u w:val="single"/>
                        </w:rPr>
                        <w:t>place visits, and suppo</w:t>
                      </w:r>
                      <w:r>
                        <w:rPr>
                          <w:rFonts w:ascii="Tahoma" w:eastAsia="Tahoma" w:hAnsi="Tahoma"/>
                          <w:color w:val="404042"/>
                          <w:spacing w:val="6"/>
                          <w:sz w:val="18"/>
                        </w:rPr>
                        <w:t>rting</w:t>
                      </w:r>
                      <w:r>
                        <w:rPr>
                          <w:rFonts w:ascii="Tahoma" w:eastAsia="Tahoma" w:hAnsi="Tahoma"/>
                          <w:color w:val="404042"/>
                          <w:spacing w:val="6"/>
                          <w:sz w:val="18"/>
                          <w:u w:val="single"/>
                        </w:rPr>
                        <w:t xml:space="preserve"> </w:t>
                      </w:r>
                      <w:r>
                        <w:rPr>
                          <w:rFonts w:ascii="Tahoma" w:eastAsia="Tahoma" w:hAnsi="Tahoma"/>
                          <w:color w:val="464140"/>
                          <w:spacing w:val="6"/>
                          <w:sz w:val="18"/>
                        </w:rPr>
                        <w:t>employers</w:t>
                      </w:r>
                      <w:r>
                        <w:rPr>
                          <w:rFonts w:ascii="Tahoma" w:eastAsia="Tahoma" w:hAnsi="Tahoma"/>
                          <w:color w:val="404042"/>
                          <w:spacing w:val="6"/>
                          <w:sz w:val="18"/>
                        </w:rPr>
                        <w:t xml:space="preserve"> to</w:t>
                      </w:r>
                      <w:r>
                        <w:rPr>
                          <w:rFonts w:ascii="Tahoma" w:eastAsia="Tahoma" w:hAnsi="Tahoma"/>
                          <w:color w:val="464140"/>
                          <w:spacing w:val="6"/>
                          <w:sz w:val="18"/>
                        </w:rPr>
                        <w:t xml:space="preserve"> ensure they provide safe, </w:t>
                      </w:r>
                      <w:r>
                        <w:rPr>
                          <w:rFonts w:ascii="Tahoma" w:eastAsia="Tahoma" w:hAnsi="Tahoma"/>
                          <w:color w:val="404042"/>
                          <w:spacing w:val="6"/>
                          <w:sz w:val="18"/>
                        </w:rPr>
                        <w:t>inclusive and</w:t>
                      </w:r>
                      <w:r>
                        <w:rPr>
                          <w:rFonts w:ascii="Tahoma" w:eastAsia="Tahoma" w:hAnsi="Tahoma"/>
                          <w:color w:val="464140"/>
                          <w:spacing w:val="6"/>
                          <w:sz w:val="18"/>
                        </w:rPr>
                        <w:t xml:space="preserve"> meaningful work placement </w:t>
                      </w:r>
                      <w:r>
                        <w:rPr>
                          <w:rFonts w:ascii="Tahoma" w:eastAsia="Tahoma" w:hAnsi="Tahoma"/>
                          <w:color w:val="404042"/>
                          <w:spacing w:val="6"/>
                          <w:sz w:val="18"/>
                        </w:rPr>
                        <w:t>experiences</w:t>
                      </w:r>
                      <w:r>
                        <w:rPr>
                          <w:rFonts w:ascii="Tahoma" w:eastAsia="Tahoma" w:hAnsi="Tahoma"/>
                          <w:color w:val="464140"/>
                          <w:spacing w:val="6"/>
                          <w:sz w:val="18"/>
                        </w:rPr>
                        <w:t xml:space="preserve"> for students. Additional </w:t>
                      </w:r>
                      <w:r>
                        <w:rPr>
                          <w:rFonts w:ascii="Tahoma" w:eastAsia="Tahoma" w:hAnsi="Tahoma"/>
                          <w:color w:val="404042"/>
                          <w:spacing w:val="6"/>
                          <w:sz w:val="18"/>
                        </w:rPr>
                        <w:t>enhanced</w:t>
                      </w:r>
                      <w:r>
                        <w:rPr>
                          <w:rFonts w:ascii="Tahoma" w:eastAsia="Tahoma" w:hAnsi="Tahoma"/>
                          <w:color w:val="464140"/>
                          <w:spacing w:val="6"/>
                          <w:sz w:val="18"/>
                        </w:rPr>
                        <w:t xml:space="preserve"> work-readiness resources have </w:t>
                      </w:r>
                      <w:r>
                        <w:rPr>
                          <w:rFonts w:ascii="Tahoma" w:eastAsia="Tahoma" w:hAnsi="Tahoma"/>
                          <w:color w:val="404042"/>
                          <w:spacing w:val="6"/>
                          <w:sz w:val="18"/>
                        </w:rPr>
                        <w:t>been</w:t>
                      </w:r>
                      <w:r>
                        <w:rPr>
                          <w:rFonts w:ascii="Tahoma" w:eastAsia="Tahoma" w:hAnsi="Tahoma"/>
                          <w:color w:val="464140"/>
                          <w:spacing w:val="6"/>
                          <w:sz w:val="18"/>
                        </w:rPr>
                        <w:t xml:space="preserve"> developed for students with disability, </w:t>
                      </w:r>
                      <w:r>
                        <w:rPr>
                          <w:rFonts w:ascii="Tahoma" w:eastAsia="Tahoma" w:hAnsi="Tahoma"/>
                          <w:color w:val="404042"/>
                          <w:spacing w:val="6"/>
                          <w:sz w:val="18"/>
                        </w:rPr>
                        <w:t>through</w:t>
                      </w:r>
                      <w:r>
                        <w:rPr>
                          <w:rFonts w:ascii="Tahoma" w:eastAsia="Tahoma" w:hAnsi="Tahoma"/>
                          <w:color w:val="464140"/>
                          <w:spacing w:val="6"/>
                          <w:sz w:val="18"/>
                        </w:rPr>
                        <w:t xml:space="preserve"> strengthened education and </w:t>
                      </w:r>
                      <w:r>
                        <w:rPr>
                          <w:rFonts w:ascii="Tahoma" w:eastAsia="Tahoma" w:hAnsi="Tahoma"/>
                          <w:color w:val="404042"/>
                          <w:spacing w:val="6"/>
                          <w:sz w:val="18"/>
                        </w:rPr>
                        <w:t>planning</w:t>
                      </w:r>
                      <w:r>
                        <w:rPr>
                          <w:rFonts w:ascii="Tahoma" w:eastAsia="Tahoma" w:hAnsi="Tahoma"/>
                          <w:color w:val="464140"/>
                          <w:spacing w:val="6"/>
                          <w:sz w:val="18"/>
                        </w:rPr>
                        <w:t xml:space="preserve"> resources and workplace health and </w:t>
                      </w:r>
                      <w:r>
                        <w:rPr>
                          <w:rFonts w:ascii="Tahoma" w:eastAsia="Tahoma" w:hAnsi="Tahoma"/>
                          <w:color w:val="404042"/>
                          <w:spacing w:val="6"/>
                          <w:sz w:val="18"/>
                        </w:rPr>
                        <w:t>safety</w:t>
                      </w:r>
                      <w:r>
                        <w:rPr>
                          <w:rFonts w:ascii="Tahoma" w:eastAsia="Tahoma" w:hAnsi="Tahoma"/>
                          <w:color w:val="464140"/>
                          <w:spacing w:val="6"/>
                          <w:sz w:val="18"/>
                        </w:rPr>
                        <w:t xml:space="preserve"> resources.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8048" behindDoc="1" locked="0" layoutInCell="1" allowOverlap="1" wp14:anchorId="3EB53A42" wp14:editId="4988DD4D">
                <wp:simplePos x="0" y="0"/>
                <wp:positionH relativeFrom="page">
                  <wp:posOffset>905510</wp:posOffset>
                </wp:positionH>
                <wp:positionV relativeFrom="page">
                  <wp:posOffset>3328670</wp:posOffset>
                </wp:positionV>
                <wp:extent cx="2462530" cy="1218565"/>
                <wp:effectExtent l="0" t="0" r="0" b="0"/>
                <wp:wrapSquare wrapText="bothSides"/>
                <wp:docPr id="743"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218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37EDF" w14:textId="77777777" w:rsidR="00490F33" w:rsidRDefault="00490F33">
                            <w:pPr>
                              <w:spacing w:line="239" w:lineRule="exact"/>
                              <w:textAlignment w:val="baseline"/>
                              <w:rPr>
                                <w:rFonts w:ascii="Tahoma" w:eastAsia="Tahoma" w:hAnsi="Tahoma"/>
                                <w:color w:val="404042"/>
                                <w:spacing w:val="2"/>
                                <w:sz w:val="18"/>
                              </w:rPr>
                            </w:pPr>
                            <w:r>
                              <w:rPr>
                                <w:rFonts w:ascii="Tahoma" w:eastAsia="Tahoma" w:hAnsi="Tahoma"/>
                                <w:color w:val="404042"/>
                                <w:spacing w:val="2"/>
                                <w:sz w:val="18"/>
                              </w:rPr>
                              <w:t>According to James Merlino, Victorian</w:t>
                            </w:r>
                            <w:r>
                              <w:rPr>
                                <w:rFonts w:ascii="Tahoma" w:eastAsia="Tahoma" w:hAnsi="Tahoma"/>
                                <w:color w:val="464140"/>
                                <w:spacing w:val="2"/>
                                <w:sz w:val="18"/>
                              </w:rPr>
                              <w:t xml:space="preserve"> Deputy </w:t>
                            </w:r>
                            <w:r>
                              <w:rPr>
                                <w:rFonts w:ascii="Tahoma" w:eastAsia="Tahoma" w:hAnsi="Tahoma"/>
                                <w:color w:val="404042"/>
                                <w:spacing w:val="2"/>
                                <w:sz w:val="18"/>
                              </w:rPr>
                              <w:t>Premier and Minister for Education,</w:t>
                            </w:r>
                            <w:r>
                              <w:rPr>
                                <w:rFonts w:ascii="Tahoma" w:eastAsia="Tahoma" w:hAnsi="Tahoma"/>
                                <w:color w:val="464140"/>
                                <w:spacing w:val="2"/>
                                <w:sz w:val="18"/>
                              </w:rPr>
                              <w:t xml:space="preserve"> “Career </w:t>
                            </w:r>
                            <w:r>
                              <w:rPr>
                                <w:rFonts w:ascii="Tahoma" w:eastAsia="Tahoma" w:hAnsi="Tahoma"/>
                                <w:color w:val="404042"/>
                                <w:spacing w:val="2"/>
                                <w:sz w:val="18"/>
                              </w:rPr>
                              <w:t>education must connect today’s learning</w:t>
                            </w:r>
                            <w:r>
                              <w:rPr>
                                <w:rFonts w:ascii="Tahoma" w:eastAsia="Tahoma" w:hAnsi="Tahoma"/>
                                <w:color w:val="464140"/>
                                <w:spacing w:val="2"/>
                                <w:sz w:val="18"/>
                              </w:rPr>
                              <w:t xml:space="preserve"> with </w:t>
                            </w:r>
                            <w:r>
                              <w:rPr>
                                <w:rFonts w:ascii="Tahoma" w:eastAsia="Tahoma" w:hAnsi="Tahoma"/>
                                <w:color w:val="404042"/>
                                <w:spacing w:val="2"/>
                                <w:sz w:val="18"/>
                              </w:rPr>
                              <w:t>tomorrow’s jobs. It must empower</w:t>
                            </w:r>
                            <w:r>
                              <w:rPr>
                                <w:rFonts w:ascii="Tahoma" w:eastAsia="Tahoma" w:hAnsi="Tahoma"/>
                                <w:color w:val="464140"/>
                                <w:spacing w:val="2"/>
                                <w:sz w:val="18"/>
                              </w:rPr>
                              <w:t xml:space="preserve"> young </w:t>
                            </w:r>
                            <w:r>
                              <w:rPr>
                                <w:rFonts w:ascii="Tahoma" w:eastAsia="Tahoma" w:hAnsi="Tahoma"/>
                                <w:color w:val="404042"/>
                                <w:spacing w:val="2"/>
                                <w:sz w:val="18"/>
                              </w:rPr>
                              <w:t>people to seize the opportunities of a rapidly changing, globalised world, and be ready to work in Victoria’s growing and high-demand industries.”</w:t>
                            </w:r>
                            <w:r>
                              <w:rPr>
                                <w:rFonts w:ascii="Tahoma" w:eastAsia="Tahoma" w:hAnsi="Tahoma"/>
                                <w:color w:val="404042"/>
                                <w:spacing w:val="2"/>
                                <w:sz w:val="18"/>
                                <w:vertAlign w:val="superscript"/>
                              </w:rPr>
                              <w:t>1</w:t>
                            </w:r>
                            <w:r>
                              <w:rPr>
                                <w:rFonts w:ascii="Tahoma" w:eastAsia="Tahoma" w:hAnsi="Tahoma"/>
                                <w:color w:val="404042"/>
                                <w:spacing w:val="2"/>
                                <w:sz w:val="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53A42" id="Text Box 464" o:spid="_x0000_s1150" type="#_x0000_t202" style="position:absolute;margin-left:71.3pt;margin-top:262.1pt;width:193.9pt;height:95.95pt;z-index:-251858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36m8QEAAMQDAAAOAAAAZHJzL2Uyb0RvYy54bWysU9tu2zAMfR+wfxD0vjh2k6ww4hRdiw4D&#10;ugvQ7gMYWY6F2aJGKbGzrx8lJ1m3vQ17ESiSOjw8pNY3Y9+JgyZv0FYyn82l0FZhbeyukl+fH95c&#10;S+ED2Bo6tLqSR+3lzeb1q/XgSl1gi12tSTCI9eXgKtmG4Mos86rVPfgZOm052CD1EPhKu6wmGBi9&#10;77JiPl9lA1LtCJX2nr33U1BuEn7TaBU+N43XQXSVZG4hnZTObTyzzRrKHYFrjTrRgH9g0YOxXPQC&#10;dQ8BxJ7MX1C9UYQemzBT2GfYNEbp1AN3k8//6OapBadTLyyOdxeZ/P+DVZ8OX0iYupJvF1dSWOh5&#10;SM96DOIdjmKxWkSFBudLTnxynBpGDvCkU7fePaL65oXFuxbsTt8S4dBqqJlhHl9mL55OOD6CbIeP&#10;WHMh2AdMQGNDfZSPBRGMzpM6XqYTySh2FotVsbzikOJYXuTXy9Uy1YDy/NyRD+819iIalSQef4KH&#10;w6MPkQ6U55RYzeKD6bq0Ap39zcGJ0ZPoR8YT9zBux6RVXlx02WJ95I4Ip9Xir8BGi/RDioHXqpL+&#10;+x5IS9F9sKxK3MGzQWdjezbAKn5aySDFZN6FaVf3jsyuZeRJd4u3rFxjUk9R4onFiTCvSmr1tNZx&#10;F1/eU9avz7f5CQAA//8DAFBLAwQUAAYACAAAACEAugxTEuAAAAALAQAADwAAAGRycy9kb3ducmV2&#10;LnhtbEyPwU7DMBBE70j8g7VI3KidkAYIcaoKwQkJkYYDRyd2E6vxOsRuG/6e5QTH0T7NvC03ixvZ&#10;yczBepSQrAQwg53XFnsJH83LzT2wEBVqNXo0Er5NgE11eVGqQvsz1ua0iz2jEgyFkjDEOBWch24w&#10;ToWVnwzSbe9npyLFued6VmcqdyNPhci5UxZpYVCTeRpMd9gdnYTtJ9bP9uutfa/3tW2aB4Gv+UHK&#10;66tl+wgsmiX+wfCrT+pQkVPrj6gDGylnaU6ohHWapcCIWN+KDFgr4S7JE+BVyf//UP0AAAD//wMA&#10;UEsBAi0AFAAGAAgAAAAhALaDOJL+AAAA4QEAABMAAAAAAAAAAAAAAAAAAAAAAFtDb250ZW50X1R5&#10;cGVzXS54bWxQSwECLQAUAAYACAAAACEAOP0h/9YAAACUAQAACwAAAAAAAAAAAAAAAAAvAQAAX3Jl&#10;bHMvLnJlbHNQSwECLQAUAAYACAAAACEATB9+pvEBAADEAwAADgAAAAAAAAAAAAAAAAAuAgAAZHJz&#10;L2Uyb0RvYy54bWxQSwECLQAUAAYACAAAACEAugxTEuAAAAALAQAADwAAAAAAAAAAAAAAAABLBAAA&#10;ZHJzL2Rvd25yZXYueG1sUEsFBgAAAAAEAAQA8wAAAFgFAAAAAA==&#10;" filled="f" stroked="f">
                <v:textbox inset="0,0,0,0">
                  <w:txbxContent>
                    <w:p w14:paraId="25937EDF" w14:textId="77777777" w:rsidR="00490F33" w:rsidRDefault="00490F33">
                      <w:pPr>
                        <w:spacing w:line="239" w:lineRule="exact"/>
                        <w:textAlignment w:val="baseline"/>
                        <w:rPr>
                          <w:rFonts w:ascii="Tahoma" w:eastAsia="Tahoma" w:hAnsi="Tahoma"/>
                          <w:color w:val="404042"/>
                          <w:spacing w:val="2"/>
                          <w:sz w:val="18"/>
                        </w:rPr>
                      </w:pPr>
                      <w:r>
                        <w:rPr>
                          <w:rFonts w:ascii="Tahoma" w:eastAsia="Tahoma" w:hAnsi="Tahoma"/>
                          <w:color w:val="404042"/>
                          <w:spacing w:val="2"/>
                          <w:sz w:val="18"/>
                        </w:rPr>
                        <w:t>According to James Merlino, Victorian</w:t>
                      </w:r>
                      <w:r>
                        <w:rPr>
                          <w:rFonts w:ascii="Tahoma" w:eastAsia="Tahoma" w:hAnsi="Tahoma"/>
                          <w:color w:val="464140"/>
                          <w:spacing w:val="2"/>
                          <w:sz w:val="18"/>
                        </w:rPr>
                        <w:t xml:space="preserve"> Deputy </w:t>
                      </w:r>
                      <w:r>
                        <w:rPr>
                          <w:rFonts w:ascii="Tahoma" w:eastAsia="Tahoma" w:hAnsi="Tahoma"/>
                          <w:color w:val="404042"/>
                          <w:spacing w:val="2"/>
                          <w:sz w:val="18"/>
                        </w:rPr>
                        <w:t>Premier and Minister for Education,</w:t>
                      </w:r>
                      <w:r>
                        <w:rPr>
                          <w:rFonts w:ascii="Tahoma" w:eastAsia="Tahoma" w:hAnsi="Tahoma"/>
                          <w:color w:val="464140"/>
                          <w:spacing w:val="2"/>
                          <w:sz w:val="18"/>
                        </w:rPr>
                        <w:t xml:space="preserve"> “Career </w:t>
                      </w:r>
                      <w:r>
                        <w:rPr>
                          <w:rFonts w:ascii="Tahoma" w:eastAsia="Tahoma" w:hAnsi="Tahoma"/>
                          <w:color w:val="404042"/>
                          <w:spacing w:val="2"/>
                          <w:sz w:val="18"/>
                        </w:rPr>
                        <w:t>education must connect today’s learning</w:t>
                      </w:r>
                      <w:r>
                        <w:rPr>
                          <w:rFonts w:ascii="Tahoma" w:eastAsia="Tahoma" w:hAnsi="Tahoma"/>
                          <w:color w:val="464140"/>
                          <w:spacing w:val="2"/>
                          <w:sz w:val="18"/>
                        </w:rPr>
                        <w:t xml:space="preserve"> with </w:t>
                      </w:r>
                      <w:r>
                        <w:rPr>
                          <w:rFonts w:ascii="Tahoma" w:eastAsia="Tahoma" w:hAnsi="Tahoma"/>
                          <w:color w:val="404042"/>
                          <w:spacing w:val="2"/>
                          <w:sz w:val="18"/>
                        </w:rPr>
                        <w:t>tomorrow’s jobs. It must empower</w:t>
                      </w:r>
                      <w:r>
                        <w:rPr>
                          <w:rFonts w:ascii="Tahoma" w:eastAsia="Tahoma" w:hAnsi="Tahoma"/>
                          <w:color w:val="464140"/>
                          <w:spacing w:val="2"/>
                          <w:sz w:val="18"/>
                        </w:rPr>
                        <w:t xml:space="preserve"> young </w:t>
                      </w:r>
                      <w:r>
                        <w:rPr>
                          <w:rFonts w:ascii="Tahoma" w:eastAsia="Tahoma" w:hAnsi="Tahoma"/>
                          <w:color w:val="404042"/>
                          <w:spacing w:val="2"/>
                          <w:sz w:val="18"/>
                        </w:rPr>
                        <w:t>people to seize the opportunities of a rapidly changing, globalised world, and be ready to work in Victoria’s growing and high-demand industries.”</w:t>
                      </w:r>
                      <w:r>
                        <w:rPr>
                          <w:rFonts w:ascii="Tahoma" w:eastAsia="Tahoma" w:hAnsi="Tahoma"/>
                          <w:color w:val="404042"/>
                          <w:spacing w:val="2"/>
                          <w:sz w:val="18"/>
                          <w:vertAlign w:val="superscript"/>
                        </w:rPr>
                        <w:t>1</w:t>
                      </w:r>
                      <w:r>
                        <w:rPr>
                          <w:rFonts w:ascii="Tahoma" w:eastAsia="Tahoma" w:hAnsi="Tahoma"/>
                          <w:color w:val="404042"/>
                          <w:spacing w:val="2"/>
                          <w:sz w:val="9"/>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59072" behindDoc="1" locked="0" layoutInCell="1" allowOverlap="1" wp14:anchorId="229EBF52" wp14:editId="3F1E794B">
                <wp:simplePos x="0" y="0"/>
                <wp:positionH relativeFrom="page">
                  <wp:posOffset>905510</wp:posOffset>
                </wp:positionH>
                <wp:positionV relativeFrom="page">
                  <wp:posOffset>4657090</wp:posOffset>
                </wp:positionV>
                <wp:extent cx="2261235" cy="456565"/>
                <wp:effectExtent l="0" t="0" r="0" b="0"/>
                <wp:wrapSquare wrapText="bothSides"/>
                <wp:docPr id="742"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23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E5096" w14:textId="77777777" w:rsidR="00490F33" w:rsidRDefault="00490F33">
                            <w:pPr>
                              <w:spacing w:line="238" w:lineRule="exact"/>
                              <w:textAlignment w:val="baseline"/>
                              <w:rPr>
                                <w:rFonts w:ascii="Tahoma" w:eastAsia="Tahoma" w:hAnsi="Tahoma"/>
                                <w:color w:val="404042"/>
                                <w:sz w:val="18"/>
                              </w:rPr>
                            </w:pPr>
                            <w:r>
                              <w:rPr>
                                <w:rFonts w:ascii="Tahoma" w:eastAsia="Tahoma" w:hAnsi="Tahoma"/>
                                <w:color w:val="404042"/>
                                <w:sz w:val="18"/>
                              </w:rPr>
                              <w:t>A broad suite of initiatives spanning Years 7 to 12 have been introduced as part of this reform.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EBF52" id="Text Box 463" o:spid="_x0000_s1151" type="#_x0000_t202" style="position:absolute;margin-left:71.3pt;margin-top:366.7pt;width:178.05pt;height:35.95pt;z-index:-251857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lx8AEAAMMDAAAOAAAAZHJzL2Uyb0RvYy54bWysU9tu2zAMfR+wfxD0vjhx02ww4hRdiw4D&#10;ugvQ7gMYWY6F2aJGKbGzrx8lx2m3vhWDAYGWqMNzDqn11dC14qDJG7SlXMzmUmirsDJ2V8ofj3fv&#10;PkjhA9gKWrS6lEft5dXm7Zt17wqdY4NtpUkwiPVF70rZhOCKLPOq0R34GTpt+bBG6iDwL+2yiqBn&#10;9K7N8vl8lfVIlSNU2nvevR0P5Sbh17VW4Vtdex1EW0rmFtJKad3GNdusodgRuMaoEw14BYsOjOWi&#10;Z6hbCCD2ZF5AdUYReqzDTGGXYV0bpZMGVrOY/6PmoQGnkxY2x7uzTf7/waqvh+8kTFXK98tcCgsd&#10;N+lRD0F8xEEsVxfRod75ghMfHKeGgQ+400mtd/eofnph8aYBu9PXRNg3GipmuIg3s2dXRxwfQbb9&#10;F6y4EOwDJqChpi7ax4YIRudOHc/diWQUb+b5apFfXEqh+Gx5ueIvlYBiuu3Ih08aOxGDUhJ3P6HD&#10;4d6HyAaKKSUWs3hn2jZNQGv/2uDEuJPYR8Ij9TBsh2TVIk+Vo7YtVkcWRDhOFr8EDhqk31L0PFWl&#10;9L/2QFqK9rNlU+IITgFNwXYKwCq+WsogxRjehHFU947MrmHk0XaL12xcbZKmJxYnwjwpSeppquMo&#10;Pv9PWU9vb/MHAAD//wMAUEsDBBQABgAIAAAAIQCQhLcB4QAAAAsBAAAPAAAAZHJzL2Rvd25yZXYu&#10;eG1sTI/BTsMwEETvSPyDtUjcqE0T0jSNU1UITkiINBx6dGI3iRqvQ+y24e9ZTnAc7dPM23w724Fd&#10;zOR7hxIeFwKYwcbpHlsJn9XrQwrMB4VaDQ6NhG/jYVvc3uQq0+6KpbnsQ8uoBH2mJHQhjBnnvumM&#10;VX7hRoN0O7rJqkBxarme1JXK7cCXQiTcqh5poVOjee5Mc9qfrYTdAcuX/uu9/iiPZV9Va4FvyUnK&#10;+7t5twEWzBz+YPjVJ3UoyKl2Z9SeDZTjZUKohFUUxcCIiNfpClgtIRVPEfAi5/9/KH4AAAD//wMA&#10;UEsBAi0AFAAGAAgAAAAhALaDOJL+AAAA4QEAABMAAAAAAAAAAAAAAAAAAAAAAFtDb250ZW50X1R5&#10;cGVzXS54bWxQSwECLQAUAAYACAAAACEAOP0h/9YAAACUAQAACwAAAAAAAAAAAAAAAAAvAQAAX3Jl&#10;bHMvLnJlbHNQSwECLQAUAAYACAAAACEArKypcfABAADDAwAADgAAAAAAAAAAAAAAAAAuAgAAZHJz&#10;L2Uyb0RvYy54bWxQSwECLQAUAAYACAAAACEAkIS3AeEAAAALAQAADwAAAAAAAAAAAAAAAABKBAAA&#10;ZHJzL2Rvd25yZXYueG1sUEsFBgAAAAAEAAQA8wAAAFgFAAAAAA==&#10;" filled="f" stroked="f">
                <v:textbox inset="0,0,0,0">
                  <w:txbxContent>
                    <w:p w14:paraId="3E5E5096" w14:textId="77777777" w:rsidR="00490F33" w:rsidRDefault="00490F33">
                      <w:pPr>
                        <w:spacing w:line="238" w:lineRule="exact"/>
                        <w:textAlignment w:val="baseline"/>
                        <w:rPr>
                          <w:rFonts w:ascii="Tahoma" w:eastAsia="Tahoma" w:hAnsi="Tahoma"/>
                          <w:color w:val="404042"/>
                          <w:sz w:val="18"/>
                        </w:rPr>
                      </w:pPr>
                      <w:r>
                        <w:rPr>
                          <w:rFonts w:ascii="Tahoma" w:eastAsia="Tahoma" w:hAnsi="Tahoma"/>
                          <w:color w:val="404042"/>
                          <w:sz w:val="18"/>
                        </w:rPr>
                        <w:t>A broad suite of initiatives spanning Years 7 to 12 have been introduced as part of this reform.</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0096" behindDoc="1" locked="0" layoutInCell="1" allowOverlap="1" wp14:anchorId="0F1FF72F" wp14:editId="585A7DBF">
                <wp:simplePos x="0" y="0"/>
                <wp:positionH relativeFrom="page">
                  <wp:posOffset>4191000</wp:posOffset>
                </wp:positionH>
                <wp:positionV relativeFrom="page">
                  <wp:posOffset>4642485</wp:posOffset>
                </wp:positionV>
                <wp:extent cx="1734185" cy="143510"/>
                <wp:effectExtent l="0" t="0" r="0" b="0"/>
                <wp:wrapSquare wrapText="bothSides"/>
                <wp:docPr id="741"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1D613" w14:textId="77777777" w:rsidR="00490F33" w:rsidRDefault="00490F33">
                            <w:pPr>
                              <w:spacing w:before="9" w:line="211" w:lineRule="exact"/>
                              <w:textAlignment w:val="baseline"/>
                              <w:rPr>
                                <w:rFonts w:ascii="Arial" w:eastAsia="Arial" w:hAnsi="Arial"/>
                                <w:b/>
                                <w:color w:val="404042"/>
                                <w:spacing w:val="-3"/>
                                <w:sz w:val="19"/>
                              </w:rPr>
                            </w:pPr>
                            <w:r>
                              <w:rPr>
                                <w:rFonts w:ascii="Arial" w:eastAsia="Arial" w:hAnsi="Arial"/>
                                <w:b/>
                                <w:color w:val="404042"/>
                                <w:spacing w:val="-3"/>
                                <w:sz w:val="19"/>
                              </w:rPr>
                              <w:t>Improving</w:t>
                            </w:r>
                            <w:r>
                              <w:rPr>
                                <w:rFonts w:ascii="Arial" w:eastAsia="Arial" w:hAnsi="Arial"/>
                                <w:b/>
                                <w:color w:val="464140"/>
                                <w:spacing w:val="-3"/>
                                <w:sz w:val="19"/>
                              </w:rPr>
                              <w:t xml:space="preserve"> workforce capacity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FF72F" id="Text Box 462" o:spid="_x0000_s1152" type="#_x0000_t202" style="position:absolute;margin-left:330pt;margin-top:365.55pt;width:136.55pt;height:11.3pt;z-index:-251856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PH8QEAAMMDAAAOAAAAZHJzL2Uyb0RvYy54bWysU8Fu2zAMvQ/YPwi6L47TNC2MOEXXosOA&#10;bh3Q7gMYWY6F2aJGKbGzrx8lx1m33YZdBEokHx8fqfXN0LXioMkbtKXMZ3MptFVYGbsr5deXh3fX&#10;UvgAtoIWrS7lUXt5s3n7Zt27Qi+wwbbSJBjE+qJ3pWxCcEWWedXoDvwMnbbsrJE6CHylXVYR9Ize&#10;tdliPl9lPVLlCJX2nl/vR6fcJPy61io81bXXQbSlZG4hnZTObTyzzRqKHYFrjDrRgH9g0YGxXPQM&#10;dQ8BxJ7MX1CdUYQe6zBT2GVY10bp1AN3k8//6Oa5AadTLyyOd2eZ/P+DVZ8PX0iYqpRXy1wKCx0P&#10;6UUPQbzHQSxXi6hQ73zBgc+OQ8PADp506ta7R1TfvLB414Dd6Vsi7BsNFTPMY2b2KnXE8RFk23/C&#10;igvBPmACGmrqonwsiGB0ntTxPJ1IRsWSVxfL/PpSCsW+fHlxmafxZVBM2Y58+KCxE9EoJfH0Ezoc&#10;Hn2IbKCYQmIxiw+mbdMGtPa3Bw6ML4l9JDxSD8N2SFLli9UkyxarIzdEOG4W/wQ2GqQfUvS8VaX0&#10;3/dAWor2o2VR4gpOBk3GdjLAKk4tZZBiNO/CuKp7R2bXMPIou8VbFq42qaeo8MjiRJg3JbV62uq4&#10;iq/vKerX39v8BAAA//8DAFBLAwQUAAYACAAAACEAyRMhd+EAAAALAQAADwAAAGRycy9kb3ducmV2&#10;LnhtbEyPwU7DMBBE70j8g7WVuFE7RKQ0jVNVCE5IiDQcODqxm1iN1yF22/D3LKdy290Zzb4ptrMb&#10;2NlMwXqUkCwFMIOt1xY7CZ/16/0TsBAVajV4NBJ+TIBteXtTqFz7C1bmvI8doxAMuZLQxzjmnIe2&#10;N06FpR8Nknbwk1OR1qnjelIXCncDfxAi405ZpA+9Gs1zb9rj/uQk7L6werHf781HdahsXa8FvmVH&#10;Ke8W824DLJo5Xs3wh0/oUBJT40+oAxskZJmgLlHCKk0SYORYpykNDV0e0xXwsuD/O5S/AAAA//8D&#10;AFBLAQItABQABgAIAAAAIQC2gziS/gAAAOEBAAATAAAAAAAAAAAAAAAAAAAAAABbQ29udGVudF9U&#10;eXBlc10ueG1sUEsBAi0AFAAGAAgAAAAhADj9If/WAAAAlAEAAAsAAAAAAAAAAAAAAAAALwEAAF9y&#10;ZWxzLy5yZWxzUEsBAi0AFAAGAAgAAAAhAJPCM8fxAQAAwwMAAA4AAAAAAAAAAAAAAAAALgIAAGRy&#10;cy9lMm9Eb2MueG1sUEsBAi0AFAAGAAgAAAAhAMkTIXfhAAAACwEAAA8AAAAAAAAAAAAAAAAASwQA&#10;AGRycy9kb3ducmV2LnhtbFBLBQYAAAAABAAEAPMAAABZBQAAAAA=&#10;" filled="f" stroked="f">
                <v:textbox inset="0,0,0,0">
                  <w:txbxContent>
                    <w:p w14:paraId="7CD1D613" w14:textId="77777777" w:rsidR="00490F33" w:rsidRDefault="00490F33">
                      <w:pPr>
                        <w:spacing w:before="9" w:line="211" w:lineRule="exact"/>
                        <w:textAlignment w:val="baseline"/>
                        <w:rPr>
                          <w:rFonts w:ascii="Arial" w:eastAsia="Arial" w:hAnsi="Arial"/>
                          <w:b/>
                          <w:color w:val="404042"/>
                          <w:spacing w:val="-3"/>
                          <w:sz w:val="19"/>
                        </w:rPr>
                      </w:pPr>
                      <w:r>
                        <w:rPr>
                          <w:rFonts w:ascii="Arial" w:eastAsia="Arial" w:hAnsi="Arial"/>
                          <w:b/>
                          <w:color w:val="404042"/>
                          <w:spacing w:val="-3"/>
                          <w:sz w:val="19"/>
                        </w:rPr>
                        <w:t>Improving</w:t>
                      </w:r>
                      <w:r>
                        <w:rPr>
                          <w:rFonts w:ascii="Arial" w:eastAsia="Arial" w:hAnsi="Arial"/>
                          <w:b/>
                          <w:color w:val="464140"/>
                          <w:spacing w:val="-3"/>
                          <w:sz w:val="19"/>
                        </w:rPr>
                        <w:t xml:space="preserve"> workforce capacity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1120" behindDoc="1" locked="0" layoutInCell="1" allowOverlap="1" wp14:anchorId="2296E0A8" wp14:editId="11353F76">
                <wp:simplePos x="0" y="0"/>
                <wp:positionH relativeFrom="page">
                  <wp:posOffset>905510</wp:posOffset>
                </wp:positionH>
                <wp:positionV relativeFrom="page">
                  <wp:posOffset>5233670</wp:posOffset>
                </wp:positionV>
                <wp:extent cx="1868170" cy="143510"/>
                <wp:effectExtent l="0" t="0" r="0" b="0"/>
                <wp:wrapSquare wrapText="bothSides"/>
                <wp:docPr id="740"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B4ACA" w14:textId="77777777" w:rsidR="00490F33" w:rsidRDefault="00490F33">
                            <w:pPr>
                              <w:spacing w:before="9" w:line="216" w:lineRule="exact"/>
                              <w:textAlignment w:val="baseline"/>
                              <w:rPr>
                                <w:rFonts w:ascii="Arial" w:eastAsia="Arial" w:hAnsi="Arial"/>
                                <w:b/>
                                <w:color w:val="404042"/>
                                <w:spacing w:val="-4"/>
                                <w:sz w:val="19"/>
                              </w:rPr>
                            </w:pPr>
                            <w:r>
                              <w:rPr>
                                <w:rFonts w:ascii="Arial" w:eastAsia="Arial" w:hAnsi="Arial"/>
                                <w:b/>
                                <w:color w:val="404042"/>
                                <w:spacing w:val="-4"/>
                                <w:sz w:val="19"/>
                              </w:rPr>
                              <w:t>Teaching and learning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6E0A8" id="Text Box 461" o:spid="_x0000_s1153" type="#_x0000_t202" style="position:absolute;margin-left:71.3pt;margin-top:412.1pt;width:147.1pt;height:11.3pt;z-index:-251855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oND7wEAAMMDAAAOAAAAZHJzL2Uyb0RvYy54bWysU1Fv0zAQfkfiP1h+p2lKaauo6TQ2DSEN&#10;hrTxAxzHaSxinzm7Tcqv5+w0ZcDbtBfr7Dt//r7vzturwXTsqNBrsCXPZ3POlJVQa7sv+fenu3cb&#10;znwQthYdWFXyk/L8avf2zbZ3hVpAC12tkBGI9UXvSt6G4Ios87JVRvgZOGUp2QAaEWiL+6xG0RO6&#10;6bLFfL7KesDaIUjlPZ3ejkm+S/hNo2R4aBqvAutKTtxCWjGtVVyz3VYUexSu1fJMQ7yAhRHa0qMX&#10;qFsRBDug/g/KaIngoQkzCSaDptFSJQ2kJp//o+axFU4lLWSOdxeb/OvByq/Hb8h0XfL1kvyxwlCT&#10;ntQQ2EcY2HKVR4d65wsqfHRUGgZKUKeTWu/uQf7wzMJNK+xeXSNC3ypRE8N0M3t2dcTxEaTqv0BN&#10;D4lDgAQ0NGiifWQII3Ricrp0J5KR8cnNapOvKSUply/ff8hT+zJRTLcd+vBJgWExKDlS9xO6ON77&#10;QDqodCqJj1m4012XJqCzfx1QYTxJ7CPhkXoYqiFZlS/Wky0V1CcShDBOFv0EClrAX5z1NFUl9z8P&#10;AhVn3WdLpsQRnAKcgmoKhJV0teSBszG8CeOoHhzqfUvIo+0Wrsm4RidN0eGRxZkwTUqSep7qOIrP&#10;96nqz9/b/QYAAP//AwBQSwMEFAAGAAgAAAAhALF64QzfAAAACwEAAA8AAABkcnMvZG93bnJldi54&#10;bWxMj0FPwzAMhe9I/IfISNxYSqmqUZpOE4ITEqIrB45p47XRGqc02Vb+PebEbn720/P3ys3iRnHC&#10;OVhPCu5XCQikzhtLvYLP5vVuDSJETUaPnlDBDwbYVNdXpS6MP1ONp13sBYdQKLSCIcapkDJ0Azod&#10;Vn5C4tvez05HlnMvzazPHO5GmSZJLp22xB8GPeHzgN1hd3QKtl9Uv9jv9/aj3te2aR4TessPSt3e&#10;LNsnEBGX+G+GP3xGh4qZWn8kE8TIOktztipYp1kKgh3ZQ85lWt5kPMiqlJcdql8AAAD//wMAUEsB&#10;Ai0AFAAGAAgAAAAhALaDOJL+AAAA4QEAABMAAAAAAAAAAAAAAAAAAAAAAFtDb250ZW50X1R5cGVz&#10;XS54bWxQSwECLQAUAAYACAAAACEAOP0h/9YAAACUAQAACwAAAAAAAAAAAAAAAAAvAQAAX3JlbHMv&#10;LnJlbHNQSwECLQAUAAYACAAAACEAOfaDQ+8BAADDAwAADgAAAAAAAAAAAAAAAAAuAgAAZHJzL2Uy&#10;b0RvYy54bWxQSwECLQAUAAYACAAAACEAsXrhDN8AAAALAQAADwAAAAAAAAAAAAAAAABJBAAAZHJz&#10;L2Rvd25yZXYueG1sUEsFBgAAAAAEAAQA8wAAAFUFAAAAAA==&#10;" filled="f" stroked="f">
                <v:textbox inset="0,0,0,0">
                  <w:txbxContent>
                    <w:p w14:paraId="60FB4ACA" w14:textId="77777777" w:rsidR="00490F33" w:rsidRDefault="00490F33">
                      <w:pPr>
                        <w:spacing w:before="9" w:line="216" w:lineRule="exact"/>
                        <w:textAlignment w:val="baseline"/>
                        <w:rPr>
                          <w:rFonts w:ascii="Arial" w:eastAsia="Arial" w:hAnsi="Arial"/>
                          <w:b/>
                          <w:color w:val="404042"/>
                          <w:spacing w:val="-4"/>
                          <w:sz w:val="19"/>
                        </w:rPr>
                      </w:pPr>
                      <w:r>
                        <w:rPr>
                          <w:rFonts w:ascii="Arial" w:eastAsia="Arial" w:hAnsi="Arial"/>
                          <w:b/>
                          <w:color w:val="404042"/>
                          <w:spacing w:val="-4"/>
                          <w:sz w:val="19"/>
                        </w:rPr>
                        <w:t>Teaching and learning resources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2144" behindDoc="1" locked="0" layoutInCell="1" allowOverlap="1" wp14:anchorId="42D04EB6" wp14:editId="4C686279">
                <wp:simplePos x="0" y="0"/>
                <wp:positionH relativeFrom="page">
                  <wp:posOffset>4182110</wp:posOffset>
                </wp:positionH>
                <wp:positionV relativeFrom="page">
                  <wp:posOffset>4888865</wp:posOffset>
                </wp:positionV>
                <wp:extent cx="2440940" cy="1371600"/>
                <wp:effectExtent l="0" t="0" r="0" b="0"/>
                <wp:wrapSquare wrapText="bothSides"/>
                <wp:docPr id="739"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A09B" w14:textId="77777777" w:rsidR="00490F33" w:rsidRDefault="00490F33">
                            <w:pPr>
                              <w:spacing w:line="238" w:lineRule="exact"/>
                              <w:textAlignment w:val="baseline"/>
                              <w:rPr>
                                <w:rFonts w:ascii="Tahoma" w:eastAsia="Tahoma" w:hAnsi="Tahoma"/>
                                <w:color w:val="404042"/>
                                <w:spacing w:val="6"/>
                                <w:sz w:val="18"/>
                              </w:rPr>
                            </w:pPr>
                            <w:r>
                              <w:rPr>
                                <w:rFonts w:ascii="Tahoma" w:eastAsia="Tahoma" w:hAnsi="Tahoma"/>
                                <w:color w:val="404042"/>
                                <w:spacing w:val="6"/>
                                <w:sz w:val="18"/>
                              </w:rPr>
                              <w:t>The government</w:t>
                            </w:r>
                            <w:r>
                              <w:rPr>
                                <w:rFonts w:ascii="Tahoma" w:eastAsia="Tahoma" w:hAnsi="Tahoma"/>
                                <w:color w:val="464140"/>
                                <w:spacing w:val="6"/>
                                <w:sz w:val="18"/>
                              </w:rPr>
                              <w:t xml:space="preserve"> has committed to building </w:t>
                            </w:r>
                            <w:r>
                              <w:rPr>
                                <w:rFonts w:ascii="Tahoma" w:eastAsia="Tahoma" w:hAnsi="Tahoma"/>
                                <w:color w:val="404042"/>
                                <w:spacing w:val="6"/>
                                <w:sz w:val="18"/>
                              </w:rPr>
                              <w:t>the capacity of</w:t>
                            </w:r>
                            <w:r>
                              <w:rPr>
                                <w:rFonts w:ascii="Tahoma" w:eastAsia="Tahoma" w:hAnsi="Tahoma"/>
                                <w:color w:val="464140"/>
                                <w:spacing w:val="6"/>
                                <w:sz w:val="18"/>
                              </w:rPr>
                              <w:t xml:space="preserve"> the career education </w:t>
                            </w:r>
                            <w:r>
                              <w:rPr>
                                <w:rFonts w:ascii="Tahoma" w:eastAsia="Tahoma" w:hAnsi="Tahoma"/>
                                <w:color w:val="404042"/>
                                <w:spacing w:val="6"/>
                                <w:sz w:val="18"/>
                              </w:rPr>
                              <w:t>system by</w:t>
                            </w:r>
                            <w:r>
                              <w:rPr>
                                <w:rFonts w:ascii="Tahoma" w:eastAsia="Tahoma" w:hAnsi="Tahoma"/>
                                <w:color w:val="464140"/>
                                <w:spacing w:val="6"/>
                                <w:sz w:val="18"/>
                              </w:rPr>
                              <w:t xml:space="preserve"> trainin</w:t>
                            </w:r>
                            <w:r>
                              <w:rPr>
                                <w:rFonts w:ascii="Tahoma" w:eastAsia="Tahoma" w:hAnsi="Tahoma"/>
                                <w:color w:val="464140"/>
                                <w:spacing w:val="6"/>
                                <w:sz w:val="18"/>
                                <w:u w:val="single"/>
                              </w:rPr>
                              <w:t xml:space="preserve">g and upskilling career </w:t>
                            </w:r>
                            <w:r>
                              <w:rPr>
                                <w:rFonts w:ascii="Tahoma" w:eastAsia="Tahoma" w:hAnsi="Tahoma"/>
                                <w:color w:val="404042"/>
                                <w:spacing w:val="6"/>
                                <w:sz w:val="18"/>
                              </w:rPr>
                              <w:t xml:space="preserve">practitioners in government secondary </w:t>
                            </w:r>
                            <w:r>
                              <w:rPr>
                                <w:rFonts w:ascii="Verdana" w:eastAsia="Verdana" w:hAnsi="Verdana"/>
                                <w:color w:val="404042"/>
                                <w:spacing w:val="6"/>
                                <w:sz w:val="17"/>
                              </w:rPr>
                              <w:t xml:space="preserve">schools to undertake the graduate certificate </w:t>
                            </w:r>
                            <w:r>
                              <w:rPr>
                                <w:rFonts w:ascii="Tahoma" w:eastAsia="Tahoma" w:hAnsi="Tahoma"/>
                                <w:color w:val="404042"/>
                                <w:spacing w:val="6"/>
                                <w:sz w:val="18"/>
                              </w:rPr>
                              <w:t>in career education. An additional 400 career practitioners will be trained over four years, with 111 career practitioners having graduated to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04EB6" id="Text Box 460" o:spid="_x0000_s1154" type="#_x0000_t202" style="position:absolute;margin-left:329.3pt;margin-top:384.95pt;width:192.2pt;height:108pt;z-index:-251854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Om8wEAAMQDAAAOAAAAZHJzL2Uyb0RvYy54bWysU9tu2zAMfR+wfxD0vthOg7Q14hRdiw4D&#10;ugvQ7gMYWY6F2aJGKbGzrx8lJ2m3vQ17ESiROjrnkFrdjH0n9pq8QVvJYpZLoa3C2thtJb89P7y7&#10;ksIHsDV0aHUlD9rLm/XbN6vBlXqOLXa1JsEg1peDq2QbgiuzzKtW9+Bn6LTlZIPUQ+AtbbOaYGD0&#10;vsvmeb7MBqTaESrtPZ/eT0m5TvhNo1X40jReB9FVkrmFtFJaN3HN1isotwSuNepIA/6BRQ/G8qNn&#10;qHsIIHZk/oLqjSL02ISZwj7DpjFKJw2spsj/UPPUgtNJC5vj3dkm//9g1ef9VxKmruTlxbUUFnpu&#10;0rMeg3iPo1gsk0OD8yUXPjkuDSMnuNNJrXePqL57YfGuBbvVt0Q4tBpqZlhEb7NXV2NPfOkjyGb4&#10;hDU/BLuACWhsqI/2sSGC0blTh3N3IhnFh/PFIr9ecEpxrri4LJZ5YpdBebruyIcPGnsRg0oStz/B&#10;w/7Rh0gHylNJfM3ig+m6NAKd/e2AC+NJoh8ZT9zDuBmTV8X8KqqLejZYH1gR4TRa/BU4aJF+SjHw&#10;WFXS/9gBaSm6j5ZdiTN4CugUbE4BWMVXKxmkmMK7MM3qzpHZtow8+W7xlp1rTNL0wuJImEclST2O&#10;dZzF1/tU9fL51r8AAAD//wMAUEsDBBQABgAIAAAAIQAKZ4PE4QAAAAwBAAAPAAAAZHJzL2Rvd25y&#10;ZXYueG1sTI/LTsMwEEX3SPyDNUjsqM2jJg5xqgrBqhIiDQuWTuwmVuNxiN02/H3dFSxHc3TvucVq&#10;dgM5milYjxLuFwyIwdZri52Er/r9LgMSokKtBo9Gwq8JsCqvrwqVa3/Cyhy3sSMpBEOuJPQxjjml&#10;oe2NU2HhR4Ppt/OTUzGdU0f1pE4p3A30gTFOnbKYGno1mtfetPvtwUlYf2P1Zn8+ms9qV9m6Fgw3&#10;fC/l7c28fgESzRz/YLjoJ3Uok1PjD6gDGSTwZcYTKuGZCwHkQrCnxzSvkSCypQBaFvT/iPIMAAD/&#10;/wMAUEsBAi0AFAAGAAgAAAAhALaDOJL+AAAA4QEAABMAAAAAAAAAAAAAAAAAAAAAAFtDb250ZW50&#10;X1R5cGVzXS54bWxQSwECLQAUAAYACAAAACEAOP0h/9YAAACUAQAACwAAAAAAAAAAAAAAAAAvAQAA&#10;X3JlbHMvLnJlbHNQSwECLQAUAAYACAAAACEAx3eTpvMBAADEAwAADgAAAAAAAAAAAAAAAAAuAgAA&#10;ZHJzL2Uyb0RvYy54bWxQSwECLQAUAAYACAAAACEACmeDxOEAAAAMAQAADwAAAAAAAAAAAAAAAABN&#10;BAAAZHJzL2Rvd25yZXYueG1sUEsFBgAAAAAEAAQA8wAAAFsFAAAAAA==&#10;" filled="f" stroked="f">
                <v:textbox inset="0,0,0,0">
                  <w:txbxContent>
                    <w:p w14:paraId="4636A09B" w14:textId="77777777" w:rsidR="00490F33" w:rsidRDefault="00490F33">
                      <w:pPr>
                        <w:spacing w:line="238" w:lineRule="exact"/>
                        <w:textAlignment w:val="baseline"/>
                        <w:rPr>
                          <w:rFonts w:ascii="Tahoma" w:eastAsia="Tahoma" w:hAnsi="Tahoma"/>
                          <w:color w:val="404042"/>
                          <w:spacing w:val="6"/>
                          <w:sz w:val="18"/>
                        </w:rPr>
                      </w:pPr>
                      <w:r>
                        <w:rPr>
                          <w:rFonts w:ascii="Tahoma" w:eastAsia="Tahoma" w:hAnsi="Tahoma"/>
                          <w:color w:val="404042"/>
                          <w:spacing w:val="6"/>
                          <w:sz w:val="18"/>
                        </w:rPr>
                        <w:t>The government</w:t>
                      </w:r>
                      <w:r>
                        <w:rPr>
                          <w:rFonts w:ascii="Tahoma" w:eastAsia="Tahoma" w:hAnsi="Tahoma"/>
                          <w:color w:val="464140"/>
                          <w:spacing w:val="6"/>
                          <w:sz w:val="18"/>
                        </w:rPr>
                        <w:t xml:space="preserve"> has committed to building </w:t>
                      </w:r>
                      <w:r>
                        <w:rPr>
                          <w:rFonts w:ascii="Tahoma" w:eastAsia="Tahoma" w:hAnsi="Tahoma"/>
                          <w:color w:val="404042"/>
                          <w:spacing w:val="6"/>
                          <w:sz w:val="18"/>
                        </w:rPr>
                        <w:t>the capacity of</w:t>
                      </w:r>
                      <w:r>
                        <w:rPr>
                          <w:rFonts w:ascii="Tahoma" w:eastAsia="Tahoma" w:hAnsi="Tahoma"/>
                          <w:color w:val="464140"/>
                          <w:spacing w:val="6"/>
                          <w:sz w:val="18"/>
                        </w:rPr>
                        <w:t xml:space="preserve"> the career education </w:t>
                      </w:r>
                      <w:r>
                        <w:rPr>
                          <w:rFonts w:ascii="Tahoma" w:eastAsia="Tahoma" w:hAnsi="Tahoma"/>
                          <w:color w:val="404042"/>
                          <w:spacing w:val="6"/>
                          <w:sz w:val="18"/>
                        </w:rPr>
                        <w:t>system by</w:t>
                      </w:r>
                      <w:r>
                        <w:rPr>
                          <w:rFonts w:ascii="Tahoma" w:eastAsia="Tahoma" w:hAnsi="Tahoma"/>
                          <w:color w:val="464140"/>
                          <w:spacing w:val="6"/>
                          <w:sz w:val="18"/>
                        </w:rPr>
                        <w:t xml:space="preserve"> trainin</w:t>
                      </w:r>
                      <w:r>
                        <w:rPr>
                          <w:rFonts w:ascii="Tahoma" w:eastAsia="Tahoma" w:hAnsi="Tahoma"/>
                          <w:color w:val="464140"/>
                          <w:spacing w:val="6"/>
                          <w:sz w:val="18"/>
                          <w:u w:val="single"/>
                        </w:rPr>
                        <w:t xml:space="preserve">g and upskilling career </w:t>
                      </w:r>
                      <w:r>
                        <w:rPr>
                          <w:rFonts w:ascii="Tahoma" w:eastAsia="Tahoma" w:hAnsi="Tahoma"/>
                          <w:color w:val="404042"/>
                          <w:spacing w:val="6"/>
                          <w:sz w:val="18"/>
                        </w:rPr>
                        <w:t xml:space="preserve">practitioners in government secondary </w:t>
                      </w:r>
                      <w:r>
                        <w:rPr>
                          <w:rFonts w:ascii="Verdana" w:eastAsia="Verdana" w:hAnsi="Verdana"/>
                          <w:color w:val="404042"/>
                          <w:spacing w:val="6"/>
                          <w:sz w:val="17"/>
                        </w:rPr>
                        <w:t xml:space="preserve">schools to undertake the graduate certificate </w:t>
                      </w:r>
                      <w:r>
                        <w:rPr>
                          <w:rFonts w:ascii="Tahoma" w:eastAsia="Tahoma" w:hAnsi="Tahoma"/>
                          <w:color w:val="404042"/>
                          <w:spacing w:val="6"/>
                          <w:sz w:val="18"/>
                        </w:rPr>
                        <w:t>in career education. An additional 400 career practitioners will be trained over four years, with 111 career practitioners having graduated to date.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3168" behindDoc="1" locked="0" layoutInCell="1" allowOverlap="1" wp14:anchorId="5B96AB4D" wp14:editId="3E367FAA">
                <wp:simplePos x="0" y="0"/>
                <wp:positionH relativeFrom="page">
                  <wp:posOffset>905510</wp:posOffset>
                </wp:positionH>
                <wp:positionV relativeFrom="page">
                  <wp:posOffset>5483225</wp:posOffset>
                </wp:positionV>
                <wp:extent cx="2484120" cy="1524000"/>
                <wp:effectExtent l="0" t="0" r="0" b="0"/>
                <wp:wrapSquare wrapText="bothSides"/>
                <wp:docPr id="738"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F52BB" w14:textId="77777777" w:rsidR="00490F33" w:rsidRDefault="00490F33">
                            <w:pPr>
                              <w:spacing w:line="239" w:lineRule="exact"/>
                              <w:textAlignment w:val="baseline"/>
                              <w:rPr>
                                <w:rFonts w:ascii="Tahoma" w:eastAsia="Tahoma" w:hAnsi="Tahoma"/>
                                <w:color w:val="404042"/>
                                <w:spacing w:val="6"/>
                                <w:sz w:val="18"/>
                              </w:rPr>
                            </w:pPr>
                            <w:r>
                              <w:rPr>
                                <w:rFonts w:ascii="Tahoma" w:eastAsia="Tahoma" w:hAnsi="Tahoma"/>
                                <w:color w:val="404042"/>
                                <w:spacing w:val="6"/>
                                <w:sz w:val="18"/>
                              </w:rPr>
                              <w:t>Teaching and learning resources help Years 7 and 8 students understand their interests, skills, values and aspirations, and explore the world of work through classroom activities and encounters with employers and industry. Additional advice and resources to map career education across the Victorian Curriculum F–10 and Years 11 and 12 help schools embed career education across every year 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6AB4D" id="Text Box 459" o:spid="_x0000_s1155" type="#_x0000_t202" style="position:absolute;margin-left:71.3pt;margin-top:431.75pt;width:195.6pt;height:120pt;z-index:-251853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7u8AEAAMQDAAAOAAAAZHJzL2Uyb0RvYy54bWysU9tuEzEQfUfiHyy/k72QQlllU5VWRUil&#10;ILV8wMTrzVrseszYyW74esbeJBR4Q7xY47kcnzkzXl1NQy/2mrxBW8tikUuhrcLG2G0tvz7dvbqU&#10;wgewDfRodS0P2sur9csXq9FVusQO+0aTYBDrq9HVsgvBVVnmVacH8At02nKwRRog8JW2WUMwMvrQ&#10;Z2Wev8lGpMYRKu09e2/noFwn/LbVKnxuW6+D6GvJ3EI6KZ2beGbrFVRbAtcZdaQB/8BiAGP50TPU&#10;LQQQOzJ/QQ1GEXpsw0LhkGHbGqVTD9xNkf/RzWMHTqdeWBzvzjL5/werHvZfSJimlm9f86gsDDyk&#10;Jz0F8R4nsbx4FxUana848dFxapg4wJNO3Xp3j+qbFxZvOrBbfU2EY6ehYYZFrMyelc44PoJsxk/Y&#10;8EOwC5iAppaGKB8LIhidJ3U4TyeSUewsl5fLouSQ4lhxUS7zPM0vg+pU7siHDxoHEY1aEo8/wcP+&#10;3odIB6pTSnzN4p3p+7QCvf3NwYnRk+hHxjP3MG2mpFVRnnXZYHPgjgjn1eKvwEaH9EOKkdeqlv77&#10;DkhL0X+0rErcwZNBJ2NzMsAqLq1lkGI2b8K8qztHZtsx8qy7xWtWrjWppyjxzOJImFcltXpc67iL&#10;z+8p69fnW/8EAAD//wMAUEsDBBQABgAIAAAAIQC7PZ1G4AAAAAwBAAAPAAAAZHJzL2Rvd25yZXYu&#10;eG1sTI/BTsMwEETvSPyDtUjcqNOGRiXEqSoEJyREGg4cnXibWI3XIXbb8PcsJzjOzmj2TbGd3SDO&#10;OAXrScFykYBAar2x1Cn4qF/uNiBC1GT04AkVfGOAbXl9Vejc+AtVeN7HTnAJhVwr6GMccylD26PT&#10;YeFHJPYOfnI6spw6aSZ94XI3yFWSZNJpS/yh1yM+9dge9yenYPdJ1bP9emveq0Nl6/ohodfsqNTt&#10;zbx7BBFxjn9h+MVndCiZqfEnMkEMrO9XGUcVbLJ0DYIT6zTlMQ1by4RPsizk/xHlDwAAAP//AwBQ&#10;SwECLQAUAAYACAAAACEAtoM4kv4AAADhAQAAEwAAAAAAAAAAAAAAAAAAAAAAW0NvbnRlbnRfVHlw&#10;ZXNdLnhtbFBLAQItABQABgAIAAAAIQA4/SH/1gAAAJQBAAALAAAAAAAAAAAAAAAAAC8BAABfcmVs&#10;cy8ucmVsc1BLAQItABQABgAIAAAAIQBKth7u8AEAAMQDAAAOAAAAAAAAAAAAAAAAAC4CAABkcnMv&#10;ZTJvRG9jLnhtbFBLAQItABQABgAIAAAAIQC7PZ1G4AAAAAwBAAAPAAAAAAAAAAAAAAAAAEoEAABk&#10;cnMvZG93bnJldi54bWxQSwUGAAAAAAQABADzAAAAVwUAAAAA&#10;" filled="f" stroked="f">
                <v:textbox inset="0,0,0,0">
                  <w:txbxContent>
                    <w:p w14:paraId="262F52BB" w14:textId="77777777" w:rsidR="00490F33" w:rsidRDefault="00490F33">
                      <w:pPr>
                        <w:spacing w:line="239" w:lineRule="exact"/>
                        <w:textAlignment w:val="baseline"/>
                        <w:rPr>
                          <w:rFonts w:ascii="Tahoma" w:eastAsia="Tahoma" w:hAnsi="Tahoma"/>
                          <w:color w:val="404042"/>
                          <w:spacing w:val="6"/>
                          <w:sz w:val="18"/>
                        </w:rPr>
                      </w:pPr>
                      <w:r>
                        <w:rPr>
                          <w:rFonts w:ascii="Tahoma" w:eastAsia="Tahoma" w:hAnsi="Tahoma"/>
                          <w:color w:val="404042"/>
                          <w:spacing w:val="6"/>
                          <w:sz w:val="18"/>
                        </w:rPr>
                        <w:t>Teaching and learning resources help Years 7 and 8 students understand their interests, skills, values and aspirations, and explore the world of work through classroom activities and encounters with employers and industry. Additional advice and resources to map career education across the Victorian Curriculum F–10 and Years 11 and 12 help schools embed career education across every year level.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4192" behindDoc="1" locked="0" layoutInCell="1" allowOverlap="1" wp14:anchorId="4BCC7CAA" wp14:editId="7ED772C6">
                <wp:simplePos x="0" y="0"/>
                <wp:positionH relativeFrom="page">
                  <wp:posOffset>4187825</wp:posOffset>
                </wp:positionH>
                <wp:positionV relativeFrom="page">
                  <wp:posOffset>6383020</wp:posOffset>
                </wp:positionV>
                <wp:extent cx="1475105" cy="143510"/>
                <wp:effectExtent l="0" t="0" r="0" b="0"/>
                <wp:wrapSquare wrapText="bothSides"/>
                <wp:docPr id="737"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AAEB4" w14:textId="77777777" w:rsidR="00490F33" w:rsidRDefault="00490F33">
                            <w:pPr>
                              <w:spacing w:before="9" w:line="206" w:lineRule="exact"/>
                              <w:textAlignment w:val="baseline"/>
                              <w:rPr>
                                <w:rFonts w:ascii="Arial" w:eastAsia="Arial" w:hAnsi="Arial"/>
                                <w:b/>
                                <w:color w:val="404042"/>
                                <w:spacing w:val="-4"/>
                                <w:sz w:val="19"/>
                              </w:rPr>
                            </w:pPr>
                            <w:r>
                              <w:rPr>
                                <w:rFonts w:ascii="Arial" w:eastAsia="Arial" w:hAnsi="Arial"/>
                                <w:b/>
                                <w:color w:val="404042"/>
                                <w:spacing w:val="-4"/>
                                <w:sz w:val="19"/>
                              </w:rPr>
                              <w:t>Career education funding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C7CAA" id="Text Box 458" o:spid="_x0000_s1156" type="#_x0000_t202" style="position:absolute;margin-left:329.75pt;margin-top:502.6pt;width:116.15pt;height:11.3pt;z-index:-251852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4Cb7wEAAMMDAAAOAAAAZHJzL2Uyb0RvYy54bWysU8Fu2zAMvQ/YPwi6L46bZCmMOEXXosOA&#10;bh3Q7gMYWY6F2aJGKbGzrx8lJ2m33opdBEqiHt97pFZXQ9eKvSZv0JYyn0yl0FZhZey2lD+e7j5c&#10;SuED2ApatLqUB+3l1fr9u1XvCn2BDbaVJsEg1he9K2UTgiuyzKtGd+An6LTlyxqpg8Bb2mYVQc/o&#10;XZtdTKcfsx6pcoRKe8+nt+OlXCf8utYqPNS110G0pWRuIa2U1k1cs/UKii2Ba4w60oA3sOjAWC56&#10;hrqFAGJH5hVUZxShxzpMFHYZ1rVROmlgNfn0HzWPDTidtLA53p1t8v8PVn3bfydhqlIuZ0spLHTc&#10;pCc9BPEJBzFfXEaHeucLTnx0nBoGvuBOJ7Xe3aP66YXFmwbsVl8TYd9oqJhhHl9mL56OOD6CbPqv&#10;WHEh2AVMQENNXbSPDRGMzp06nLsTyahYcr5c5NOFFIrv8vmMN6kEFKfXjnz4rLETMSglcfcTOuzv&#10;fYhsoDilxGIW70zbpglo7V8HnBhPEvtIeKQehs2QrMpnqXLUtsHqwIIIx8nin8BBg/Rbip6nqpT+&#10;1w5IS9F+sWxKHMFTQKdgcwrAKn5ayiDFGN6EcVR3jsy2YeTRdovXbFxtkqZnFkfCPClJ6nGq4yi+&#10;3Kes57+3/gMAAP//AwBQSwMEFAAGAAgAAAAhAK3F5QDhAAAADQEAAA8AAABkcnMvZG93bnJldi54&#10;bWxMj8FugzAQRO+V8g/WRuqtsYMEBYqJoqo9VapK6KFHgx1AwWuKnYT+fTen9rgzT7MzxW6xI7uY&#10;2Q8OJWw3ApjB1ukBOwmf9etDCswHhVqNDo2EH+NhV67uCpVrd8XKXA6hYxSCPlcS+hCmnHPf9sYq&#10;v3GTQfKObrYq0Dl3XM/qSuF25JEQCbdqQPrQq8k896Y9Hc5Wwv4Lq5fh+735qI7VUNeZwLfkJOX9&#10;etk/AQtmCX8w3OpTdSipU+POqD0bJSRxFhNKhhBxBIyQNNvSmuYmRY8p8LLg/1eUvwAAAP//AwBQ&#10;SwECLQAUAAYACAAAACEAtoM4kv4AAADhAQAAEwAAAAAAAAAAAAAAAAAAAAAAW0NvbnRlbnRfVHlw&#10;ZXNdLnhtbFBLAQItABQABgAIAAAAIQA4/SH/1gAAAJQBAAALAAAAAAAAAAAAAAAAAC8BAABfcmVs&#10;cy8ucmVsc1BLAQItABQABgAIAAAAIQDYK4Cb7wEAAMMDAAAOAAAAAAAAAAAAAAAAAC4CAABkcnMv&#10;ZTJvRG9jLnhtbFBLAQItABQABgAIAAAAIQCtxeUA4QAAAA0BAAAPAAAAAAAAAAAAAAAAAEkEAABk&#10;cnMvZG93bnJldi54bWxQSwUGAAAAAAQABADzAAAAVwUAAAAA&#10;" filled="f" stroked="f">
                <v:textbox inset="0,0,0,0">
                  <w:txbxContent>
                    <w:p w14:paraId="1EFAAEB4" w14:textId="77777777" w:rsidR="00490F33" w:rsidRDefault="00490F33">
                      <w:pPr>
                        <w:spacing w:before="9" w:line="206" w:lineRule="exact"/>
                        <w:textAlignment w:val="baseline"/>
                        <w:rPr>
                          <w:rFonts w:ascii="Arial" w:eastAsia="Arial" w:hAnsi="Arial"/>
                          <w:b/>
                          <w:color w:val="404042"/>
                          <w:spacing w:val="-4"/>
                          <w:sz w:val="19"/>
                        </w:rPr>
                      </w:pPr>
                      <w:r>
                        <w:rPr>
                          <w:rFonts w:ascii="Arial" w:eastAsia="Arial" w:hAnsi="Arial"/>
                          <w:b/>
                          <w:color w:val="404042"/>
                          <w:spacing w:val="-4"/>
                          <w:sz w:val="19"/>
                        </w:rPr>
                        <w:t>Career education funding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5216" behindDoc="1" locked="0" layoutInCell="1" allowOverlap="1" wp14:anchorId="2A5B2126" wp14:editId="0513752B">
                <wp:simplePos x="0" y="0"/>
                <wp:positionH relativeFrom="page">
                  <wp:posOffset>911225</wp:posOffset>
                </wp:positionH>
                <wp:positionV relativeFrom="page">
                  <wp:posOffset>7126605</wp:posOffset>
                </wp:positionV>
                <wp:extent cx="1640205" cy="143510"/>
                <wp:effectExtent l="0" t="0" r="0" b="0"/>
                <wp:wrapSquare wrapText="bothSides"/>
                <wp:docPr id="736"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72D4" w14:textId="77777777" w:rsidR="00490F33" w:rsidRDefault="00490F33">
                            <w:pPr>
                              <w:spacing w:before="9" w:line="216" w:lineRule="exact"/>
                              <w:textAlignment w:val="baseline"/>
                              <w:rPr>
                                <w:rFonts w:ascii="Arial" w:eastAsia="Arial" w:hAnsi="Arial"/>
                                <w:b/>
                                <w:color w:val="404042"/>
                                <w:spacing w:val="-3"/>
                                <w:sz w:val="19"/>
                              </w:rPr>
                            </w:pPr>
                            <w:r>
                              <w:rPr>
                                <w:rFonts w:ascii="Arial" w:eastAsia="Arial" w:hAnsi="Arial"/>
                                <w:b/>
                                <w:color w:val="404042"/>
                                <w:spacing w:val="-3"/>
                                <w:sz w:val="19"/>
                              </w:rPr>
                              <w:t>Online career planning tools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B2126" id="Text Box 457" o:spid="_x0000_s1157" type="#_x0000_t202" style="position:absolute;margin-left:71.75pt;margin-top:561.15pt;width:129.15pt;height:11.3pt;z-index:-251851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Kf8AEAAMMDAAAOAAAAZHJzL2Uyb0RvYy54bWysU9tu1DAQfUfiHyy/s0n2VhRttiqtipAK&#10;RWr5AMdxEovEY8beTZavZ+xstgXeEC/W2B6fOefMeHc99h07KnQaTMGzRcqZMhIqbZqCf3u+f/ee&#10;M+eFqUQHRhX8pBy/3r99sxtsrpbQQlcpZARiXD7Ygrfe2zxJnGxVL9wCrDJ0WQP2wtMWm6RCMRB6&#10;3yXLNN0mA2BlEaRyjk7vpku+j/h1raR/rGunPOsKTtx8XDGuZViT/U7kDQrbanmmIf6BRS+0oaIX&#10;qDvhBTug/guq1xLBQe0XEvoE6lpLFTWQmiz9Q81TK6yKWsgcZy82uf8HK78cvyLTVcGvVlvOjOip&#10;Sc9q9OwDjGy9uQoODdbllPhkKdWPdEGdjmqdfQD53TEDt60wjbpBhKFVoiKGWXiZvHo64bgAUg6f&#10;oaJC4uAhAo019sE+MoQROnXqdOlOICNDye06XaYbziTdZevVJovtS0Q+v7bo/EcFPQtBwZG6H9HF&#10;8cH5wEbkc0ooZuBed12cgM78dkCJ4SSyD4Qn6n4sx2hVtorigrYSqhMJQpgmi34CBS3gT84GmqqC&#10;ux8HgYqz7pMhU8IIzgHOQTkHwkh6WnDP2RTe+mlUDxZ10xLyZLuBGzKu1lHTC4szYZqUKPU81WEU&#10;X+9j1svf2/8CAAD//wMAUEsDBBQABgAIAAAAIQA+bmhb4QAAAA0BAAAPAAAAZHJzL2Rvd25yZXYu&#10;eG1sTI/BTsMwEETvSPyDtUjcqJ00VDTEqSoEJyREGg4cndhNrMbrELtt+Hu2p3Lb2R3Nvik2sxvY&#10;yUzBepSQLAQwg63XFjsJX/XbwxOwEBVqNXg0En5NgE15e1OoXPszVua0ix2jEAy5ktDHOOach7Y3&#10;ToWFHw3Sbe8npyLJqeN6UmcKdwNPhVhxpyzSh16N5qU37WF3dBK231i92p+P5rPaV7au1wLfVwcp&#10;7+/m7TOwaOZ4NcMFn9ChJKbGH1EHNpDOlo9kpSFJ0yUwsmQioTbNZZVla+Blwf+3KP8AAAD//wMA&#10;UEsBAi0AFAAGAAgAAAAhALaDOJL+AAAA4QEAABMAAAAAAAAAAAAAAAAAAAAAAFtDb250ZW50X1R5&#10;cGVzXS54bWxQSwECLQAUAAYACAAAACEAOP0h/9YAAACUAQAACwAAAAAAAAAAAAAAAAAvAQAAX3Jl&#10;bHMvLnJlbHNQSwECLQAUAAYACAAAACEAgrTin/ABAADDAwAADgAAAAAAAAAAAAAAAAAuAgAAZHJz&#10;L2Uyb0RvYy54bWxQSwECLQAUAAYACAAAACEAPm5oW+EAAAANAQAADwAAAAAAAAAAAAAAAABKBAAA&#10;ZHJzL2Rvd25yZXYueG1sUEsFBgAAAAAEAAQA8wAAAFgFAAAAAA==&#10;" filled="f" stroked="f">
                <v:textbox inset="0,0,0,0">
                  <w:txbxContent>
                    <w:p w14:paraId="16F772D4" w14:textId="77777777" w:rsidR="00490F33" w:rsidRDefault="00490F33">
                      <w:pPr>
                        <w:spacing w:before="9" w:line="216" w:lineRule="exact"/>
                        <w:textAlignment w:val="baseline"/>
                        <w:rPr>
                          <w:rFonts w:ascii="Arial" w:eastAsia="Arial" w:hAnsi="Arial"/>
                          <w:b/>
                          <w:color w:val="404042"/>
                          <w:spacing w:val="-3"/>
                          <w:sz w:val="19"/>
                        </w:rPr>
                      </w:pPr>
                      <w:r>
                        <w:rPr>
                          <w:rFonts w:ascii="Arial" w:eastAsia="Arial" w:hAnsi="Arial"/>
                          <w:b/>
                          <w:color w:val="404042"/>
                          <w:spacing w:val="-3"/>
                          <w:sz w:val="19"/>
                        </w:rPr>
                        <w:t>Online career planning tools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6240" behindDoc="1" locked="0" layoutInCell="1" allowOverlap="1" wp14:anchorId="5682953D" wp14:editId="6AA41BDA">
                <wp:simplePos x="0" y="0"/>
                <wp:positionH relativeFrom="page">
                  <wp:posOffset>4182110</wp:posOffset>
                </wp:positionH>
                <wp:positionV relativeFrom="page">
                  <wp:posOffset>6629400</wp:posOffset>
                </wp:positionV>
                <wp:extent cx="2474595" cy="1371600"/>
                <wp:effectExtent l="0" t="0" r="0" b="0"/>
                <wp:wrapSquare wrapText="bothSides"/>
                <wp:docPr id="735"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CE86E" w14:textId="77777777" w:rsidR="00490F33" w:rsidRDefault="00490F33">
                            <w:pPr>
                              <w:spacing w:line="240" w:lineRule="exact"/>
                              <w:textAlignment w:val="baseline"/>
                              <w:rPr>
                                <w:rFonts w:ascii="Tahoma" w:eastAsia="Tahoma" w:hAnsi="Tahoma"/>
                                <w:color w:val="404042"/>
                                <w:spacing w:val="5"/>
                                <w:sz w:val="18"/>
                              </w:rPr>
                            </w:pPr>
                            <w:r>
                              <w:rPr>
                                <w:rFonts w:ascii="Tahoma" w:eastAsia="Tahoma" w:hAnsi="Tahoma"/>
                                <w:color w:val="404042"/>
                                <w:spacing w:val="5"/>
                                <w:sz w:val="18"/>
                              </w:rPr>
                              <w:t>Career education funding has been refocused for all government secondary schools to implement a broader range of career education activities to students from Years 7 to 12. The funding also allows schools to continue to provide additional support to students at risk of disengaging or of not making a successful transition to further education, training or secure 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953D" id="Text Box 456" o:spid="_x0000_s1158" type="#_x0000_t202" style="position:absolute;margin-left:329.3pt;margin-top:522pt;width:194.85pt;height:108pt;z-index:-251850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um8gEAAMQDAAAOAAAAZHJzL2Uyb0RvYy54bWysU9tu1DAQfUfiHyy/s0n2SqPNVqVVEVIp&#10;SC0f4DjOxiLxmLF3k+XrGTubpYU3xIs1nsvxmTPj7fXQteyo0GkwBc9mKWfKSKi02Rf82/P9u/ec&#10;OS9MJVowquAn5fj17u2bbW9zNYcG2kohIxDj8t4WvPHe5kniZKM64WZglaFgDdgJT1fcJxWKntC7&#10;Npmn6TrpASuLIJVz5L0bg3wX8etaSf+lrp3yrC04cfPxxHiW4Ux2W5HvUdhGyzMN8Q8sOqENPXqB&#10;uhNesAPqv6A6LREc1H4moUugrrVUsQfqJkv/6OapEVbFXkgcZy8yuf8HKx+PX5HpquCbxYozIzoa&#10;0rMaPPsAA1uu1kGh3rqcEp8spfqBAjTp2K2zDyC/O2bgthFmr24QoW+UqIhhFiqTF6UjjgsgZf8Z&#10;KnpIHDxEoKHGLshHgjBCp0mdLtMJZCQ558vNcnVFJCXFssUmW6dxfonIp3KLzn9U0LFgFBxp/BFe&#10;HB+cD3REPqWE1wzc67aNK9CaVw5KDJ5IPzAeufuhHKJW2WI+6VJCdaKOEMbVoq9ARgP4k7Oe1qrg&#10;7sdBoOKs/WRIlbCDk4GTUU6GMJJKC+45G81bP+7qwaLeN4Q86m7ghpSrdewpSDyyOBOmVYmtntc6&#10;7OLLe8z6/fl2vwAAAP//AwBQSwMEFAAGAAgAAAAhABR+7VnhAAAADgEAAA8AAABkcnMvZG93bnJl&#10;di54bWxMj8FOwzAQRO9I/IO1SNyo3RKikMapKgQnJEQaDhyd2E2sxusQu234e7anctvRPM3OFJvZ&#10;DexkpmA9SlguBDCDrdcWOwlf9dtDBixEhVoNHo2EXxNgU97eFCrX/oyVOe1ixygEQ64k9DGOOeeh&#10;7Y1TYeFHg+Tt/eRUJDl1XE/qTOFu4CshUu6URfrQq9G89KY97I5OwvYbq1f789F8VvvK1vWzwPf0&#10;IOX93bxdA4tmjlcYLvWpOpTUqfFH1IENEtKnLCWUDJEktOqCiCR7BNbQtUqFAF4W/P+M8g8AAP//&#10;AwBQSwECLQAUAAYACAAAACEAtoM4kv4AAADhAQAAEwAAAAAAAAAAAAAAAAAAAAAAW0NvbnRlbnRf&#10;VHlwZXNdLnhtbFBLAQItABQABgAIAAAAIQA4/SH/1gAAAJQBAAALAAAAAAAAAAAAAAAAAC8BAABf&#10;cmVscy8ucmVsc1BLAQItABQABgAIAAAAIQDMqnum8gEAAMQDAAAOAAAAAAAAAAAAAAAAAC4CAABk&#10;cnMvZTJvRG9jLnhtbFBLAQItABQABgAIAAAAIQAUfu1Z4QAAAA4BAAAPAAAAAAAAAAAAAAAAAEwE&#10;AABkcnMvZG93bnJldi54bWxQSwUGAAAAAAQABADzAAAAWgUAAAAA&#10;" filled="f" stroked="f">
                <v:textbox inset="0,0,0,0">
                  <w:txbxContent>
                    <w:p w14:paraId="5B5CE86E" w14:textId="77777777" w:rsidR="00490F33" w:rsidRDefault="00490F33">
                      <w:pPr>
                        <w:spacing w:line="240" w:lineRule="exact"/>
                        <w:textAlignment w:val="baseline"/>
                        <w:rPr>
                          <w:rFonts w:ascii="Tahoma" w:eastAsia="Tahoma" w:hAnsi="Tahoma"/>
                          <w:color w:val="404042"/>
                          <w:spacing w:val="5"/>
                          <w:sz w:val="18"/>
                        </w:rPr>
                      </w:pPr>
                      <w:r>
                        <w:rPr>
                          <w:rFonts w:ascii="Tahoma" w:eastAsia="Tahoma" w:hAnsi="Tahoma"/>
                          <w:color w:val="404042"/>
                          <w:spacing w:val="5"/>
                          <w:sz w:val="18"/>
                        </w:rPr>
                        <w:t>Career education funding has been refocused for all government secondary schools to implement a broader range of career education activities to students from Years 7 to 12. The funding also allows schools to continue to provide additional support to students at risk of disengaging or of not making a successful transition to further education, training or secure employment.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7264" behindDoc="1" locked="0" layoutInCell="1" allowOverlap="1" wp14:anchorId="34CD5A1B" wp14:editId="45068477">
                <wp:simplePos x="0" y="0"/>
                <wp:positionH relativeFrom="page">
                  <wp:posOffset>905510</wp:posOffset>
                </wp:positionH>
                <wp:positionV relativeFrom="page">
                  <wp:posOffset>7376160</wp:posOffset>
                </wp:positionV>
                <wp:extent cx="2444115" cy="1676400"/>
                <wp:effectExtent l="0" t="0" r="0" b="0"/>
                <wp:wrapSquare wrapText="bothSides"/>
                <wp:docPr id="734"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B00F9" w14:textId="77777777" w:rsidR="00490F33" w:rsidRDefault="00490F33">
                            <w:pPr>
                              <w:spacing w:line="240" w:lineRule="exact"/>
                              <w:textAlignment w:val="baseline"/>
                              <w:rPr>
                                <w:rFonts w:ascii="Tahoma" w:eastAsia="Tahoma" w:hAnsi="Tahoma"/>
                                <w:color w:val="404042"/>
                                <w:spacing w:val="4"/>
                                <w:sz w:val="18"/>
                              </w:rPr>
                            </w:pPr>
                            <w:r>
                              <w:rPr>
                                <w:rFonts w:ascii="Tahoma" w:eastAsia="Tahoma" w:hAnsi="Tahoma"/>
                                <w:color w:val="404042"/>
                                <w:spacing w:val="4"/>
                                <w:sz w:val="18"/>
                              </w:rPr>
                              <w:t xml:space="preserve">A careers advisory service is available for all government school students in Year 9. </w:t>
                            </w:r>
                            <w:r>
                              <w:rPr>
                                <w:rFonts w:ascii="Verdana" w:eastAsia="Verdana" w:hAnsi="Verdana"/>
                                <w:color w:val="404042"/>
                                <w:spacing w:val="4"/>
                                <w:sz w:val="17"/>
                              </w:rPr>
                              <w:t xml:space="preserve">The first part of this comprises the Morrisby </w:t>
                            </w:r>
                            <w:r>
                              <w:rPr>
                                <w:rFonts w:ascii="Tahoma" w:eastAsia="Tahoma" w:hAnsi="Tahoma"/>
                                <w:color w:val="404042"/>
                                <w:spacing w:val="4"/>
                                <w:sz w:val="18"/>
                              </w:rPr>
                              <w:t xml:space="preserve">online career assessment tool that generates a report outlining the student’s learning style, strengths and interests and suggests subject and career pathways that align with these. This is followed up with one-on-one career counselling by external accredited </w:t>
                            </w:r>
                            <w:r>
                              <w:rPr>
                                <w:rFonts w:ascii="Verdana" w:eastAsia="Verdana" w:hAnsi="Verdana"/>
                                <w:color w:val="404042"/>
                                <w:spacing w:val="4"/>
                                <w:sz w:val="17"/>
                              </w:rPr>
                              <w:t xml:space="preserve">career practitioners. In its first year of </w:t>
                            </w:r>
                            <w:r>
                              <w:rPr>
                                <w:rFonts w:ascii="Tahoma" w:eastAsia="Tahoma" w:hAnsi="Tahoma"/>
                                <w:color w:val="404042"/>
                                <w:spacing w:val="4"/>
                                <w:sz w:val="18"/>
                              </w:rPr>
                              <w:t>implementation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D5A1B" id="Text Box 455" o:spid="_x0000_s1159" type="#_x0000_t202" style="position:absolute;margin-left:71.3pt;margin-top:580.8pt;width:192.45pt;height:132pt;z-index:-251849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18wEAAMQDAAAOAAAAZHJzL2Uyb0RvYy54bWysU9tu2zAMfR+wfxD0vthOnHQw4hRdiw4D&#10;ugvQ7gNkWY6F2aJGKbGzrx8lx1m3vRV9EShejg4Pqe312HfsqNBpMCXPFilnykiotdmX/PvT/bv3&#10;nDkvTC06MKrkJ+X49e7tm+1gC7WEFrpaISMQ44rBlrz13hZJ4mSreuEWYJWhYAPYC09X3Cc1ioHQ&#10;+y5ZpukmGQBriyCVc+S9m4J8F/GbRkn/tWmc8qwrOXHz8cR4VuFMdltR7FHYVsszDfECFr3Qhh69&#10;QN0JL9gB9X9QvZYIDhq/kNAn0DRaqtgDdZOl/3Tz2AqrYi8kjrMXmdzrwcovx2/IdF3yq1XOmRE9&#10;DelJjZ59gJHl63VQaLCuoMRHS6l+pABNOnbr7APIH44ZuG2F2asbRBhaJWpimIXK5FnphOMCSDV8&#10;hpoeEgcPEWhssA/ykSCM0GlSp8t0AhlJzmWe51m25kxSLNtcbfI0zi8RxVxu0fmPCnoWjJIjjT/C&#10;i+OD84GOKOaU8JqBe911cQU685eDEoMn0g+MJ+5+rMaoVbZazbpUUJ+oI4RptegrkNEC/uJsoLUq&#10;uft5EKg46z4ZUiXs4GzgbFSzIYyk0pJ7zibz1k+7erCo9y0hT7obuCHlGh17ChJPLM6EaVViq+e1&#10;Drv4/B6z/ny+3W8AAAD//wMAUEsDBBQABgAIAAAAIQAllG4j3wAAAA0BAAAPAAAAZHJzL2Rvd25y&#10;ZXYueG1sTI/BTsMwEETvSPyDtUjcqJOIGAhxqgrBCQmRhgNHJ3YTq/E6xG4b/p6FS7nNaEazb8v1&#10;4kZ2NHOwHiWkqwSYwc5ri72Ej+bl5h5YiAq1Gj0aCd8mwLq6vChVof0Ja3Pcxp7RCIZCSRhinArO&#10;QzcYp8LKTwYp2/nZqUh27rme1YnG3cizJBHcKYt0YVCTeRpMt98enITNJ9bP9uutfa93tW2ahwRf&#10;xV7K66tl8wgsmiWey/CLT+hQEVPrD6gDG8nfZoKqJFKRkqJKnt3lwNq/LBfAq5L//6L6AQAA//8D&#10;AFBLAQItABQABgAIAAAAIQC2gziS/gAAAOEBAAATAAAAAAAAAAAAAAAAAAAAAABbQ29udGVudF9U&#10;eXBlc10ueG1sUEsBAi0AFAAGAAgAAAAhADj9If/WAAAAlAEAAAsAAAAAAAAAAAAAAAAALwEAAF9y&#10;ZWxzLy5yZWxzUEsBAi0AFAAGAAgAAAAhAH7UjvXzAQAAxAMAAA4AAAAAAAAAAAAAAAAALgIAAGRy&#10;cy9lMm9Eb2MueG1sUEsBAi0AFAAGAAgAAAAhACWUbiPfAAAADQEAAA8AAAAAAAAAAAAAAAAATQQA&#10;AGRycy9kb3ducmV2LnhtbFBLBQYAAAAABAAEAPMAAABZBQAAAAA=&#10;" filled="f" stroked="f">
                <v:textbox inset="0,0,0,0">
                  <w:txbxContent>
                    <w:p w14:paraId="3ADB00F9" w14:textId="77777777" w:rsidR="00490F33" w:rsidRDefault="00490F33">
                      <w:pPr>
                        <w:spacing w:line="240" w:lineRule="exact"/>
                        <w:textAlignment w:val="baseline"/>
                        <w:rPr>
                          <w:rFonts w:ascii="Tahoma" w:eastAsia="Tahoma" w:hAnsi="Tahoma"/>
                          <w:color w:val="404042"/>
                          <w:spacing w:val="4"/>
                          <w:sz w:val="18"/>
                        </w:rPr>
                      </w:pPr>
                      <w:r>
                        <w:rPr>
                          <w:rFonts w:ascii="Tahoma" w:eastAsia="Tahoma" w:hAnsi="Tahoma"/>
                          <w:color w:val="404042"/>
                          <w:spacing w:val="4"/>
                          <w:sz w:val="18"/>
                        </w:rPr>
                        <w:t xml:space="preserve">A careers advisory service is available for all government school students in Year 9. </w:t>
                      </w:r>
                      <w:r>
                        <w:rPr>
                          <w:rFonts w:ascii="Verdana" w:eastAsia="Verdana" w:hAnsi="Verdana"/>
                          <w:color w:val="404042"/>
                          <w:spacing w:val="4"/>
                          <w:sz w:val="17"/>
                        </w:rPr>
                        <w:t xml:space="preserve">The first part of this comprises the Morrisby </w:t>
                      </w:r>
                      <w:r>
                        <w:rPr>
                          <w:rFonts w:ascii="Tahoma" w:eastAsia="Tahoma" w:hAnsi="Tahoma"/>
                          <w:color w:val="404042"/>
                          <w:spacing w:val="4"/>
                          <w:sz w:val="18"/>
                        </w:rPr>
                        <w:t xml:space="preserve">online career assessment tool that generates a report outlining the student’s learning style, strengths and interests and suggests subject and career pathways that align with these. This is followed up with one-on-one career counselling by external accredited </w:t>
                      </w:r>
                      <w:r>
                        <w:rPr>
                          <w:rFonts w:ascii="Verdana" w:eastAsia="Verdana" w:hAnsi="Verdana"/>
                          <w:color w:val="404042"/>
                          <w:spacing w:val="4"/>
                          <w:sz w:val="17"/>
                        </w:rPr>
                        <w:t xml:space="preserve">career practitioners. In its first year of </w:t>
                      </w:r>
                      <w:r>
                        <w:rPr>
                          <w:rFonts w:ascii="Tahoma" w:eastAsia="Tahoma" w:hAnsi="Tahoma"/>
                          <w:color w:val="404042"/>
                          <w:spacing w:val="4"/>
                          <w:sz w:val="18"/>
                        </w:rPr>
                        <w:t>implementation (2019),</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8288" behindDoc="1" locked="0" layoutInCell="1" allowOverlap="1" wp14:anchorId="2614AE16" wp14:editId="02674834">
                <wp:simplePos x="0" y="0"/>
                <wp:positionH relativeFrom="page">
                  <wp:posOffset>4184650</wp:posOffset>
                </wp:positionH>
                <wp:positionV relativeFrom="page">
                  <wp:posOffset>8162290</wp:posOffset>
                </wp:positionV>
                <wp:extent cx="1752600" cy="111760"/>
                <wp:effectExtent l="0" t="0" r="0" b="0"/>
                <wp:wrapSquare wrapText="bothSides"/>
                <wp:docPr id="733"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6F01" w14:textId="77777777" w:rsidR="00490F33" w:rsidRDefault="00490F33">
                            <w:pPr>
                              <w:spacing w:before="7" w:line="156" w:lineRule="exact"/>
                              <w:textAlignment w:val="baseline"/>
                              <w:rPr>
                                <w:rFonts w:ascii="Tahoma" w:eastAsia="Tahoma" w:hAnsi="Tahoma"/>
                                <w:color w:val="000000"/>
                                <w:sz w:val="14"/>
                              </w:rPr>
                            </w:pPr>
                            <w:r>
                              <w:rPr>
                                <w:rFonts w:ascii="Tahoma" w:eastAsia="Tahoma" w:hAnsi="Tahoma"/>
                                <w:color w:val="000000"/>
                                <w:sz w:val="14"/>
                              </w:rPr>
                              <w:t>Source: Victorian Government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4AE16" id="Text Box 454" o:spid="_x0000_s1160" type="#_x0000_t202" style="position:absolute;margin-left:329.5pt;margin-top:642.7pt;width:138pt;height:8.8pt;z-index:-251848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Bd8AEAAMMDAAAOAAAAZHJzL2Uyb0RvYy54bWysU9tu2zAMfR+wfxD0vjhO2mQw4hRdiw4D&#10;ugvQ7gMYWY6F2aJGKbGzrx8lx1m3vQ17ESiRPDw8pDY3Q9eKoyZv0JYyn82l0FZhZey+lF+fH968&#10;lcIHsBW0aHUpT9rLm+3rV5veFXqBDbaVJsEg1he9K2UTgiuyzKtGd+Bn6LRlZ43UQeAr7bOKoGf0&#10;rs0W8/kq65EqR6i09/x6PzrlNuHXtVbhc117HURbSuYW0knp3MUz226g2BO4xqgzDfgHFh0Yy0Uv&#10;UPcQQBzI/AXVGUXosQ4zhV2GdW2UTj1wN/n8j26eGnA69cLieHeRyf8/WPXp+IWEqUq5Xi6lsNDx&#10;kJ71EMQ7HMTV9VVUqHe+4MAnx6FhYAdPOnXr3SOqb15YvGvA7vUtEfaNhooZ5jEze5E64vgIsus/&#10;YsWF4BAwAQ01dVE+FkQwOk/qdJlOJKNiyfX1YjVnl2JfnufrVRpfBsWU7ciH9xo7EY1SEk8/ocPx&#10;0YfIBoopJBaz+GDaNm1Aa3974MD4kthHwiP1MOyGJFW+vMiyw+rEDRGOm8U/gY0G6YcUPW9VKf33&#10;A5CWov1gWZS4gpNBk7GbDLCKU0sZpBjNuzCu6sGR2TeMPMpu8ZaFq03qKSo8sjgT5k1JrZ63Oq7i&#10;y3uK+vX3tj8BAAD//wMAUEsDBBQABgAIAAAAIQDQvet/4QAAAA0BAAAPAAAAZHJzL2Rvd25yZXYu&#10;eG1sTI/BTsMwEETvSPyDtUjcqE1DoibEqSoEJyREGg4cndhNrMbrELtt+HuWExx3ZjT7ptwubmRn&#10;MwfrUcL9SgAz2HltsZfw0bzcbYCFqFCr0aOR8G0CbKvrq1IV2l+wNud97BmVYCiUhCHGqeA8dINx&#10;Kqz8ZJC8g5+dinTOPdezulC5G/laiIw7ZZE+DGoyT4PpjvuTk7D7xPrZfr217/Whtk2TC3zNjlLe&#10;3iy7R2DRLPEvDL/4hA4VMbX+hDqwUUKW5rQlkrHepA/AKJInKUktSYlIBPCq5P9XVD8AAAD//wMA&#10;UEsBAi0AFAAGAAgAAAAhALaDOJL+AAAA4QEAABMAAAAAAAAAAAAAAAAAAAAAAFtDb250ZW50X1R5&#10;cGVzXS54bWxQSwECLQAUAAYACAAAACEAOP0h/9YAAACUAQAACwAAAAAAAAAAAAAAAAAvAQAAX3Jl&#10;bHMvLnJlbHNQSwECLQAUAAYACAAAACEAlNnwXfABAADDAwAADgAAAAAAAAAAAAAAAAAuAgAAZHJz&#10;L2Uyb0RvYy54bWxQSwECLQAUAAYACAAAACEA0L3rf+EAAAANAQAADwAAAAAAAAAAAAAAAABKBAAA&#10;ZHJzL2Rvd25yZXYueG1sUEsFBgAAAAAEAAQA8wAAAFgFAAAAAA==&#10;" filled="f" stroked="f">
                <v:textbox inset="0,0,0,0">
                  <w:txbxContent>
                    <w:p w14:paraId="54386F01" w14:textId="77777777" w:rsidR="00490F33" w:rsidRDefault="00490F33">
                      <w:pPr>
                        <w:spacing w:before="7" w:line="156" w:lineRule="exact"/>
                        <w:textAlignment w:val="baseline"/>
                        <w:rPr>
                          <w:rFonts w:ascii="Tahoma" w:eastAsia="Tahoma" w:hAnsi="Tahoma"/>
                          <w:color w:val="000000"/>
                          <w:sz w:val="14"/>
                        </w:rPr>
                      </w:pPr>
                      <w:r>
                        <w:rPr>
                          <w:rFonts w:ascii="Tahoma" w:eastAsia="Tahoma" w:hAnsi="Tahoma"/>
                          <w:color w:val="000000"/>
                          <w:sz w:val="14"/>
                        </w:rPr>
                        <w:t>Source: Victorian Government submission.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69312" behindDoc="1" locked="0" layoutInCell="1" allowOverlap="1" wp14:anchorId="4F49ADEF" wp14:editId="58A288C2">
                <wp:simplePos x="0" y="0"/>
                <wp:positionH relativeFrom="page">
                  <wp:posOffset>4184650</wp:posOffset>
                </wp:positionH>
                <wp:positionV relativeFrom="page">
                  <wp:posOffset>8434070</wp:posOffset>
                </wp:positionV>
                <wp:extent cx="2514600" cy="499745"/>
                <wp:effectExtent l="0" t="0" r="0" b="0"/>
                <wp:wrapSquare wrapText="bothSides"/>
                <wp:docPr id="732"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C3BCD" w14:textId="77777777" w:rsidR="00490F33" w:rsidRDefault="00490F33">
                            <w:pPr>
                              <w:spacing w:line="196" w:lineRule="exact"/>
                              <w:ind w:left="216" w:hanging="216"/>
                              <w:textAlignment w:val="baseline"/>
                              <w:rPr>
                                <w:rFonts w:ascii="Tahoma" w:eastAsia="Tahoma" w:hAnsi="Tahoma"/>
                                <w:color w:val="404042"/>
                                <w:sz w:val="10"/>
                                <w:vertAlign w:val="superscript"/>
                              </w:rPr>
                            </w:pPr>
                            <w:r>
                              <w:rPr>
                                <w:rFonts w:ascii="Tahoma" w:eastAsia="Tahoma" w:hAnsi="Tahoma"/>
                                <w:color w:val="404042"/>
                                <w:sz w:val="10"/>
                                <w:vertAlign w:val="superscript"/>
                              </w:rPr>
                              <w:t>1.</w:t>
                            </w:r>
                            <w:r>
                              <w:rPr>
                                <w:rFonts w:ascii="Tahoma" w:eastAsia="Tahoma" w:hAnsi="Tahoma"/>
                                <w:color w:val="404042"/>
                                <w:sz w:val="14"/>
                              </w:rPr>
                              <w:t xml:space="preserve"> Victorian Department of Education and Training (2018), </w:t>
                            </w:r>
                            <w:r>
                              <w:rPr>
                                <w:rFonts w:ascii="Arial" w:eastAsia="Arial" w:hAnsi="Arial"/>
                                <w:i/>
                                <w:color w:val="404042"/>
                                <w:sz w:val="14"/>
                              </w:rPr>
                              <w:t>Transforming Career Education in Victorian Government Schools: Connecting today’s learning with tomorrow’s jobs</w:t>
                            </w:r>
                            <w:r>
                              <w:rPr>
                                <w:rFonts w:ascii="Tahoma" w:eastAsia="Tahoma" w:hAnsi="Tahoma"/>
                                <w:color w:val="404042"/>
                                <w:sz w:val="14"/>
                              </w:rPr>
                              <w:t>, minister’s message, p.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9ADEF" id="Text Box 453" o:spid="_x0000_s1161" type="#_x0000_t202" style="position:absolute;margin-left:329.5pt;margin-top:664.1pt;width:198pt;height:39.35pt;z-index:-251847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8Zg8QEAAMMDAAAOAAAAZHJzL2Uyb0RvYy54bWysU9tu2zAMfR+wfxD0vjjXdjXiFF2LDgO6&#10;bkC7D2BkORZmixqlxM6+fpQcp932NuxFoEXq8JxDen3dt404aPIGbSFnk6kU2iosjd0V8tvz/bv3&#10;UvgAtoQGrS7kUXt5vXn7Zt25XM+xxqbUJBjE+rxzhaxDcHmWeVXrFvwEnbacrJBaCPxJu6wk6Bi9&#10;bbL5dHqRdUilI1Tae769G5Jyk/CrSqvwpaq8DqIpJHML6aR0buOZbdaQ7whcbdSJBvwDixaM5aZn&#10;qDsIIPZk/oJqjSL0WIWJwjbDqjJKJw2sZjb9Q81TDU4nLWyOd2eb/P+DVY+HryRMWcjLxVwKCy0P&#10;6Vn3QXzAXixXi+hQ53zOhU+OS0PPCZ50UuvdA6rvXli8rcHu9A0RdrWGkhnO4svs1dMBx0eQbfcZ&#10;S24E+4AJqK+ojfaxIYLReVLH83QiGcWX89VseTHllOLc8urqcrlKLSAfXzvy4aPGVsSgkMTTT+hw&#10;ePAhsoF8LInNLN6bpkkb0NjfLrgw3iT2kfBAPfTbPlk1W6TOUdsWyyMLIhw2i/8EDmqkn1J0vFWF&#10;9D/2QFqK5pNlU+IKjgGNwXYMwCp+WsggxRDehmFV947MrmbkwXaLN2xcZZKmFxYnwrwpSeppq+Mq&#10;vv5OVS//3uYXAAAA//8DAFBLAwQUAAYACAAAACEA0xMB2uIAAAAOAQAADwAAAGRycy9kb3ducmV2&#10;LnhtbEyPwU7DMBBE70j8g7VI3KhNIFET4lQVghMSIg0Hjk7sJlbjdYjdNvw92xPcdndGs2/KzeJG&#10;djJzsB4l3K8EMIOd1xZ7CZ/N690aWIgKtRo9Ggk/JsCmur4qVaH9GWtz2sWeUQiGQkkYYpwKzkM3&#10;GKfCyk8GSdv72alI69xzPaszhbuRJ0Jk3CmL9GFQk3keTHfYHZ2E7RfWL/b7vf2o97VtmlzgW3aQ&#10;8vZm2T4Bi2aJf2a44BM6VMTU+iPqwEYJWZpTl0jCQ7JOgF0sIk3p1tL0KLIceFXy/zWqXwAAAP//&#10;AwBQSwECLQAUAAYACAAAACEAtoM4kv4AAADhAQAAEwAAAAAAAAAAAAAAAAAAAAAAW0NvbnRlbnRf&#10;VHlwZXNdLnhtbFBLAQItABQABgAIAAAAIQA4/SH/1gAAAJQBAAALAAAAAAAAAAAAAAAAAC8BAABf&#10;cmVscy8ucmVsc1BLAQItABQABgAIAAAAIQCyz8Zg8QEAAMMDAAAOAAAAAAAAAAAAAAAAAC4CAABk&#10;cnMvZTJvRG9jLnhtbFBLAQItABQABgAIAAAAIQDTEwHa4gAAAA4BAAAPAAAAAAAAAAAAAAAAAEsE&#10;AABkcnMvZG93bnJldi54bWxQSwUGAAAAAAQABADzAAAAWgUAAAAA&#10;" filled="f" stroked="f">
                <v:textbox inset="0,0,0,0">
                  <w:txbxContent>
                    <w:p w14:paraId="78BC3BCD" w14:textId="77777777" w:rsidR="00490F33" w:rsidRDefault="00490F33">
                      <w:pPr>
                        <w:spacing w:line="196" w:lineRule="exact"/>
                        <w:ind w:left="216" w:hanging="216"/>
                        <w:textAlignment w:val="baseline"/>
                        <w:rPr>
                          <w:rFonts w:ascii="Tahoma" w:eastAsia="Tahoma" w:hAnsi="Tahoma"/>
                          <w:color w:val="404042"/>
                          <w:sz w:val="10"/>
                          <w:vertAlign w:val="superscript"/>
                        </w:rPr>
                      </w:pPr>
                      <w:r>
                        <w:rPr>
                          <w:rFonts w:ascii="Tahoma" w:eastAsia="Tahoma" w:hAnsi="Tahoma"/>
                          <w:color w:val="404042"/>
                          <w:sz w:val="10"/>
                          <w:vertAlign w:val="superscript"/>
                        </w:rPr>
                        <w:t>1.</w:t>
                      </w:r>
                      <w:r>
                        <w:rPr>
                          <w:rFonts w:ascii="Tahoma" w:eastAsia="Tahoma" w:hAnsi="Tahoma"/>
                          <w:color w:val="404042"/>
                          <w:sz w:val="14"/>
                        </w:rPr>
                        <w:t xml:space="preserve"> Victorian Department of Education and Training (2018), </w:t>
                      </w:r>
                      <w:r>
                        <w:rPr>
                          <w:rFonts w:ascii="Arial" w:eastAsia="Arial" w:hAnsi="Arial"/>
                          <w:i/>
                          <w:color w:val="404042"/>
                          <w:sz w:val="14"/>
                        </w:rPr>
                        <w:t>Transforming Career Education in Victorian Government Schools: Connecting today’s learning with tomorrow’s jobs</w:t>
                      </w:r>
                      <w:r>
                        <w:rPr>
                          <w:rFonts w:ascii="Tahoma" w:eastAsia="Tahoma" w:hAnsi="Tahoma"/>
                          <w:color w:val="404042"/>
                          <w:sz w:val="14"/>
                        </w:rPr>
                        <w:t>, minister’s message, p. 1.</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70336" behindDoc="1" locked="0" layoutInCell="1" allowOverlap="1" wp14:anchorId="6E6570A3" wp14:editId="449F0836">
                <wp:simplePos x="0" y="0"/>
                <wp:positionH relativeFrom="page">
                  <wp:posOffset>542290</wp:posOffset>
                </wp:positionH>
                <wp:positionV relativeFrom="page">
                  <wp:posOffset>9692640</wp:posOffset>
                </wp:positionV>
                <wp:extent cx="1222375" cy="149860"/>
                <wp:effectExtent l="0" t="0" r="0" b="0"/>
                <wp:wrapSquare wrapText="bothSides"/>
                <wp:docPr id="731"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47DB" w14:textId="77777777" w:rsidR="00490F33" w:rsidRDefault="00490F33">
                            <w:pPr>
                              <w:tabs>
                                <w:tab w:val="right" w:pos="1944"/>
                              </w:tabs>
                              <w:spacing w:after="23" w:line="207" w:lineRule="exact"/>
                              <w:textAlignment w:val="baseline"/>
                              <w:rPr>
                                <w:rFonts w:ascii="Arial" w:eastAsia="Arial" w:hAnsi="Arial"/>
                                <w:b/>
                                <w:color w:val="5556A1"/>
                                <w:sz w:val="19"/>
                              </w:rPr>
                            </w:pPr>
                            <w:r>
                              <w:rPr>
                                <w:rFonts w:ascii="Arial" w:eastAsia="Arial" w:hAnsi="Arial"/>
                                <w:b/>
                                <w:color w:val="5556A1"/>
                                <w:sz w:val="19"/>
                              </w:rPr>
                              <w:t>70</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570A3" id="Text Box 452" o:spid="_x0000_s1162" type="#_x0000_t202" style="position:absolute;margin-left:42.7pt;margin-top:763.2pt;width:96.25pt;height:11.8pt;z-index:-251846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tz8gEAAMMDAAAOAAAAZHJzL2Uyb0RvYy54bWysU9tu2zAMfR+wfxD0vjh22rQz4hRdiw4D&#10;ugvQ7gNkWYqF2aJGKbGzrx8lx1m3vQ17ESiRPDw8pDY3Y9+xg0JvwFY8Xyw5U1ZCY+yu4l+fH95c&#10;c+aDsI3owKqKH5XnN9vXrzaDK1UBLXSNQkYg1peDq3gbgiuzzMtW9cIvwClLTg3Yi0BX3GUNioHQ&#10;+y4rlst1NgA2DkEq7+n1fnLybcLXWsnwWWuvAusqTtxCOjGddTyz7UaUOxSuNfJEQ/wDi14YS0XP&#10;UPciCLZH8xdUbySCBx0WEvoMtDZSpR6om3z5RzdPrXAq9ULieHeWyf8/WPnp8AWZaSp+tco5s6Kn&#10;IT2rMbB3MLKLyyIqNDhfUuCTo9AwkoMmnbr17hHkN88s3LXC7tQtIgytEg0xzGNm9iJ1wvERpB4+&#10;QkOFxD5AAho19lE+EoQROk3qeJ5OJCNjyaIoVleXnEny5Rdvr9dpfJko52yHPrxX0LNoVBxp+gld&#10;HB59iGxEOYfEYhYeTNelDejsbw8UGF8S+0h4oh7GekxS5av1LEsNzZEaQpg2i34CGS3gD84G2qqK&#10;++97gYqz7oMlUeIKzgbORj0bwkpKrXjgbDLvwrSqe4dm1xLyJLuFWxJOm9RTVHhicSJMm5JaPW11&#10;XMWX9xT16+9tfwIAAP//AwBQSwMEFAAGAAgAAAAhAAtFayfgAAAADAEAAA8AAABkcnMvZG93bnJl&#10;di54bWxMj8FOwzAQRO9I/IO1SNyoTUTSNsSpKgQnJEQaDhyd2E2sxusQu234e7anctudGc2+LTaz&#10;G9jJTMF6lPC4EMAMtl5b7CR81W8PK2AhKtRq8Ggk/JoAm/L2plC59meszGkXO0YlGHIloY9xzDkP&#10;bW+cCgs/GiRv7yenIq1Tx/WkzlTuBp4IkXGnLNKFXo3mpTftYXd0ErbfWL3an4/ms9pXtq7XAt+z&#10;g5T3d/P2GVg0c7yG4YJP6FASU+OPqAMbJKzSJ0qSniYZTZRIlss1sOYipUIALwv+/4nyDwAA//8D&#10;AFBLAQItABQABgAIAAAAIQC2gziS/gAAAOEBAAATAAAAAAAAAAAAAAAAAAAAAABbQ29udGVudF9U&#10;eXBlc10ueG1sUEsBAi0AFAAGAAgAAAAhADj9If/WAAAAlAEAAAsAAAAAAAAAAAAAAAAALwEAAF9y&#10;ZWxzLy5yZWxzUEsBAi0AFAAGAAgAAAAhAFzmy3PyAQAAwwMAAA4AAAAAAAAAAAAAAAAALgIAAGRy&#10;cy9lMm9Eb2MueG1sUEsBAi0AFAAGAAgAAAAhAAtFayfgAAAADAEAAA8AAAAAAAAAAAAAAAAATAQA&#10;AGRycy9kb3ducmV2LnhtbFBLBQYAAAAABAAEAPMAAABZBQAAAAA=&#10;" filled="f" stroked="f">
                <v:textbox inset="0,0,0,0">
                  <w:txbxContent>
                    <w:p w14:paraId="3D1147DB" w14:textId="77777777" w:rsidR="00490F33" w:rsidRDefault="00490F33">
                      <w:pPr>
                        <w:tabs>
                          <w:tab w:val="right" w:pos="1944"/>
                        </w:tabs>
                        <w:spacing w:after="23" w:line="207" w:lineRule="exact"/>
                        <w:textAlignment w:val="baseline"/>
                        <w:rPr>
                          <w:rFonts w:ascii="Arial" w:eastAsia="Arial" w:hAnsi="Arial"/>
                          <w:b/>
                          <w:color w:val="5556A1"/>
                          <w:sz w:val="19"/>
                        </w:rPr>
                      </w:pPr>
                      <w:r>
                        <w:rPr>
                          <w:rFonts w:ascii="Arial" w:eastAsia="Arial" w:hAnsi="Arial"/>
                          <w:b/>
                          <w:color w:val="5556A1"/>
                          <w:sz w:val="19"/>
                        </w:rPr>
                        <w:t>70</w:t>
                      </w:r>
                      <w:r>
                        <w:rPr>
                          <w:rFonts w:ascii="Tahoma" w:eastAsia="Tahoma" w:hAnsi="Tahoma"/>
                          <w:color w:val="404042"/>
                          <w:sz w:val="14"/>
                        </w:rPr>
                        <w:tab/>
                        <w:t>Looking to the future</w:t>
                      </w:r>
                    </w:p>
                  </w:txbxContent>
                </v:textbox>
                <w10:wrap type="square" anchorx="page" anchory="page"/>
              </v:shape>
            </w:pict>
          </mc:Fallback>
        </mc:AlternateContent>
      </w:r>
    </w:p>
    <w:p w14:paraId="42FF61DF" w14:textId="77777777" w:rsidR="009757A9" w:rsidRDefault="009757A9">
      <w:pPr>
        <w:sectPr w:rsidR="009757A9">
          <w:pgSz w:w="11909" w:h="16838"/>
          <w:pgMar w:top="0" w:right="1440" w:bottom="0" w:left="1440" w:header="720" w:footer="720" w:gutter="0"/>
          <w:cols w:space="720"/>
        </w:sectPr>
      </w:pPr>
    </w:p>
    <w:p w14:paraId="5A5A80BA" w14:textId="77777777" w:rsidR="009757A9" w:rsidRDefault="00083242">
      <w:pPr>
        <w:spacing w:before="5" w:line="274" w:lineRule="exact"/>
        <w:ind w:left="864"/>
        <w:textAlignment w:val="baseline"/>
        <w:rPr>
          <w:rFonts w:ascii="Arial" w:eastAsia="Arial" w:hAnsi="Arial"/>
          <w:b/>
          <w:color w:val="00708E"/>
          <w:spacing w:val="1"/>
          <w:sz w:val="24"/>
        </w:rPr>
      </w:pPr>
      <w:r>
        <w:rPr>
          <w:rFonts w:ascii="Arial" w:eastAsia="Arial" w:hAnsi="Arial"/>
          <w:b/>
          <w:color w:val="00708E"/>
          <w:spacing w:val="1"/>
          <w:sz w:val="24"/>
        </w:rPr>
        <w:lastRenderedPageBreak/>
        <w:t>Career hubs</w:t>
      </w:r>
    </w:p>
    <w:p w14:paraId="5D093BCE" w14:textId="77777777" w:rsidR="009757A9" w:rsidRDefault="00083242">
      <w:pPr>
        <w:spacing w:before="157"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How can career advice in schools be improved? Throughout stakeholder consultations, experts spoke about the value of having dedicated careers advisers in all schools. Research shows that while full-time career practitioners have the greatest ability to implement effective career development strategies, less than half of Australia’s school-based career practitioners are full time, and only 42 per cent of part-time career practitioners are able to devote all their time to career development. In fact, school career practitioners are twice as likely to have had their school-time allowance decreased rather than increased in the last three years.</w:t>
      </w:r>
      <w:r>
        <w:rPr>
          <w:rFonts w:ascii="Tahoma" w:eastAsia="Tahoma" w:hAnsi="Tahoma"/>
          <w:color w:val="404042"/>
          <w:spacing w:val="4"/>
          <w:sz w:val="18"/>
          <w:vertAlign w:val="superscript"/>
        </w:rPr>
        <w:t>81</w:t>
      </w:r>
      <w:r>
        <w:rPr>
          <w:rFonts w:ascii="Tahoma" w:eastAsia="Tahoma" w:hAnsi="Tahoma"/>
          <w:color w:val="404042"/>
          <w:spacing w:val="4"/>
          <w:sz w:val="10"/>
        </w:rPr>
        <w:t xml:space="preserve"> </w:t>
      </w:r>
    </w:p>
    <w:p w14:paraId="46483EAE"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In 2019, the Regional Education Expert Advisory Group, led by Dr Denis Napthine, recommended improving career advice and strengthening regional, rural and remote schools to better prepare students for success. The advisory group suggested implementing a regionally based model for independent professional career advice, improving online career-related information and advice, and increasing the support available to teachers, principals and schools.</w:t>
      </w:r>
      <w:r>
        <w:rPr>
          <w:rFonts w:ascii="Tahoma" w:eastAsia="Tahoma" w:hAnsi="Tahoma"/>
          <w:color w:val="404042"/>
          <w:sz w:val="18"/>
          <w:vertAlign w:val="superscript"/>
        </w:rPr>
        <w:t>82</w:t>
      </w:r>
      <w:r>
        <w:rPr>
          <w:rFonts w:ascii="Tahoma" w:eastAsia="Tahoma" w:hAnsi="Tahoma"/>
          <w:color w:val="404042"/>
          <w:sz w:val="10"/>
        </w:rPr>
        <w:t xml:space="preserve"> </w:t>
      </w:r>
    </w:p>
    <w:p w14:paraId="5C9961D1" w14:textId="77777777" w:rsidR="009757A9" w:rsidRDefault="00083242">
      <w:pPr>
        <w:spacing w:before="173"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Building on this recommendation, the Panel believes there would be considerable merit in establishing a network of career hubs to support individuals (both school students and those who have already left school). It would provide a mechanism for schools and students to connect with employers, and a single point for industry to connect with local schools. This would provide connections to employers, labour market information, education and training information, and independent career advice.</w:t>
      </w:r>
    </w:p>
    <w:p w14:paraId="034A6925" w14:textId="77777777" w:rsidR="009757A9" w:rsidRDefault="00083242">
      <w:pPr>
        <w:spacing w:before="168"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A network of independent careers advisers could provide one-on-one support to students through career hubs that schools and students would be able to access in both urban and regional areas. Schools could decide if they wished to avail themselves of the service. Career advice would be provided in the context of employment opportunities across industries rather than through a focus on specific jobs or particular pathways. The careers advisers would need to be qualified and meet minimum professional standards as set out by the Career Industry Council of Australia.</w:t>
      </w:r>
    </w:p>
    <w:p w14:paraId="58B0583A" w14:textId="77777777" w:rsidR="009757A9" w:rsidRDefault="00083242">
      <w:pPr>
        <w:spacing w:before="173" w:line="240" w:lineRule="exact"/>
        <w:ind w:left="864" w:right="1008"/>
        <w:textAlignment w:val="baseline"/>
        <w:rPr>
          <w:rFonts w:ascii="Tahoma" w:eastAsia="Tahoma" w:hAnsi="Tahoma"/>
          <w:color w:val="404042"/>
          <w:sz w:val="18"/>
        </w:rPr>
      </w:pPr>
      <w:r>
        <w:rPr>
          <w:rFonts w:ascii="Tahoma" w:eastAsia="Tahoma" w:hAnsi="Tahoma"/>
          <w:color w:val="404042"/>
          <w:sz w:val="18"/>
        </w:rPr>
        <w:t>Establishing a network of career hubs would support a rapid improvement in the quality and quantity of career advice available to young Australians without the challenges of placing a dedicated, qualified careers adviser in every school.</w:t>
      </w:r>
    </w:p>
    <w:p w14:paraId="00359439" w14:textId="77777777" w:rsidR="009757A9" w:rsidRDefault="00083242">
      <w:pPr>
        <w:spacing w:before="168"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Career hubs could be delivered in a range of flexible ways. Jurisdictions could leverage existing regional facilities such as TAFE colleges or the newly established Regional Study Hubs. They would not seek to replace the role of school-based careers advisers, but rather to supplement and complement their efforts. The Panel recommends an initial focus on regional, rural and remote areas in line with the recommendations of the Regional Education Expert Advisory Group, given the challenges in delivering high-quality career advice in individual schools in these areas.</w:t>
      </w:r>
    </w:p>
    <w:p w14:paraId="22840F72" w14:textId="77777777" w:rsidR="009757A9" w:rsidRDefault="00083242">
      <w:pPr>
        <w:spacing w:before="172" w:line="240" w:lineRule="exact"/>
        <w:ind w:left="864" w:right="1008"/>
        <w:textAlignment w:val="baseline"/>
        <w:rPr>
          <w:rFonts w:ascii="Tahoma" w:eastAsia="Tahoma" w:hAnsi="Tahoma"/>
          <w:color w:val="404042"/>
          <w:sz w:val="18"/>
        </w:rPr>
      </w:pPr>
      <w:r>
        <w:rPr>
          <w:rFonts w:ascii="Tahoma" w:eastAsia="Tahoma" w:hAnsi="Tahoma"/>
          <w:color w:val="404042"/>
          <w:sz w:val="18"/>
        </w:rPr>
        <w:t>Together with the online resources of the National Careers Institute, the career hubs would work with school-based careers advisers and industry to create a more comprehensive career ‘ecosystem’, with clear roles and responsibilities (Figure 8 on page 73).</w:t>
      </w:r>
    </w:p>
    <w:p w14:paraId="3F515FDB" w14:textId="77777777" w:rsidR="009757A9" w:rsidRDefault="00083242">
      <w:pPr>
        <w:spacing w:before="168" w:after="3806" w:line="240" w:lineRule="exact"/>
        <w:ind w:left="864" w:right="1008"/>
        <w:textAlignment w:val="baseline"/>
        <w:rPr>
          <w:rFonts w:ascii="Tahoma" w:eastAsia="Tahoma" w:hAnsi="Tahoma"/>
          <w:color w:val="404042"/>
          <w:sz w:val="18"/>
        </w:rPr>
      </w:pPr>
      <w:r>
        <w:rPr>
          <w:rFonts w:ascii="Tahoma" w:eastAsia="Tahoma" w:hAnsi="Tahoma"/>
          <w:color w:val="404042"/>
          <w:sz w:val="18"/>
        </w:rPr>
        <w:t>Students deserve to have access to professional help as they take school decisions that will guide their future working lives. The career guidance they need must be authoritative.</w:t>
      </w:r>
    </w:p>
    <w:p w14:paraId="2FD73BD0" w14:textId="77777777" w:rsidR="009757A9" w:rsidRDefault="009757A9">
      <w:pPr>
        <w:spacing w:before="168" w:after="3806" w:line="240" w:lineRule="exact"/>
        <w:sectPr w:rsidR="009757A9">
          <w:pgSz w:w="11909" w:h="16838"/>
          <w:pgMar w:top="1100" w:right="0" w:bottom="0" w:left="0" w:header="720" w:footer="720" w:gutter="0"/>
          <w:cols w:space="720"/>
        </w:sectPr>
      </w:pPr>
    </w:p>
    <w:p w14:paraId="6F1E5993" w14:textId="77777777" w:rsidR="009757A9" w:rsidRDefault="000D2E34">
      <w:pPr>
        <w:spacing w:before="80" w:line="171" w:lineRule="exact"/>
        <w:textAlignment w:val="baseline"/>
        <w:rPr>
          <w:rFonts w:ascii="Tahoma" w:eastAsia="Tahoma" w:hAnsi="Tahoma"/>
          <w:color w:val="404042"/>
          <w:spacing w:val="5"/>
          <w:sz w:val="14"/>
        </w:rPr>
      </w:pPr>
      <w:r>
        <w:rPr>
          <w:noProof/>
          <w:lang w:val="en-AU" w:eastAsia="en-AU"/>
        </w:rPr>
        <mc:AlternateContent>
          <mc:Choice Requires="wps">
            <w:drawing>
              <wp:anchor distT="0" distB="0" distL="114300" distR="114300" simplePos="0" relativeHeight="251886080" behindDoc="0" locked="0" layoutInCell="1" allowOverlap="1" wp14:anchorId="240AE825" wp14:editId="517895D4">
                <wp:simplePos x="0" y="0"/>
                <wp:positionH relativeFrom="page">
                  <wp:posOffset>539750</wp:posOffset>
                </wp:positionH>
                <wp:positionV relativeFrom="page">
                  <wp:posOffset>9037320</wp:posOffset>
                </wp:positionV>
                <wp:extent cx="917575" cy="0"/>
                <wp:effectExtent l="0" t="0" r="0" b="0"/>
                <wp:wrapNone/>
                <wp:docPr id="730"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457FB" id="Line 451" o:spid="_x0000_s1026" style="position:absolute;z-index:25188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1.6pt" to="114.75pt,7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u0zgEAAIYDAAAOAAAAZHJzL2Uyb0RvYy54bWysU01v2zAMvQ/YfxB0X+xkS7MacXpI1l2y&#10;LUC7H8BIsi1MFgVJiZ1/P0r56LrdivkgiOLjI/lILx/G3rCj8kGjrfl0UnKmrECpbVvzn8+PHz5z&#10;FiJYCQatqvlJBf6wev9uObhKzbBDI5VnRGJDNbiadzG6qiiC6FQPYYJOWXI26HuIZPq2kB4GYu9N&#10;MSvLu2JAL51HoUKg183ZyVeZv2mUiD+aJqjITM2ptphPn899OovVEqrWg+u0uJQBb6iiB20p6Y1q&#10;AxHYwet/qHotPAZs4kRgX2DTaKFyD9TNtPyrm6cOnMq9kDjB3WQK/49WfD/uPNOy5ouPpI+Fnoa0&#10;1VaxT/NpUmdwoSLQ2u586k+M9sltUfwKzOK6A9uqXOXzyVFgjihehSQjOMqxH76hJAwcImapxsb3&#10;iZJEYGOeyOk2ETVGJujxfrqYL+aciaurgOoa53yIXxX2LF1qbqjozAvHbYhUOUGvkJTG4qM2Js/b&#10;WDZQsbPybp4jAhotkzfhgm/3a+PZEdLK5C/pQGyvYIl6A6E747LrvEweD1bmNJ0C+eVyj6DN+U5E&#10;xhLfVZizxHuUp51PedI7DTtnvCxm2qY/7Yx6+X1WvwEAAP//AwBQSwMEFAAGAAgAAAAhAL1s8zjf&#10;AAAADAEAAA8AAABkcnMvZG93bnJldi54bWxMj8FOwzAQRO9I/IO1lbgg6mBSFEKcClWCGxUUED26&#10;8TaJiNdR7Dbh77scEBx3djTzplhOrhNHHELrScP1PAGBVHnbUq3h/e3xKgMRoiFrOk+o4RsDLMvz&#10;s8Lk1o/0isdNrAWHUMiNhibGPpcyVA06E+a+R+Lf3g/ORD6HWtrBjBzuOqmS5FY60xI3NKbHVYPV&#10;1+bgNEiZZOn08Tk+p5cha7erevu0ftH6YjY93IOIOMU/M/zgMzqUzLTzB7JBdBqyBU+JrKfqRoFg&#10;h1J3CxC7X0mWhfw/ojwBAAD//wMAUEsBAi0AFAAGAAgAAAAhALaDOJL+AAAA4QEAABMAAAAAAAAA&#10;AAAAAAAAAAAAAFtDb250ZW50X1R5cGVzXS54bWxQSwECLQAUAAYACAAAACEAOP0h/9YAAACUAQAA&#10;CwAAAAAAAAAAAAAAAAAvAQAAX3JlbHMvLnJlbHNQSwECLQAUAAYACAAAACEAZJV7tM4BAACGAwAA&#10;DgAAAAAAAAAAAAAAAAAuAgAAZHJzL2Uyb0RvYy54bWxQSwECLQAUAAYACAAAACEAvWzzON8AAAAM&#10;AQAADwAAAAAAAAAAAAAAAAAoBAAAZHJzL2Rvd25yZXYueG1sUEsFBgAAAAAEAAQA8wAAADQFAAAA&#10;AA==&#10;" strokeweight=".95pt">
                <w10:wrap anchorx="page" anchory="page"/>
              </v:line>
            </w:pict>
          </mc:Fallback>
        </mc:AlternateContent>
      </w:r>
      <w:r w:rsidR="00083242">
        <w:rPr>
          <w:rFonts w:ascii="Tahoma" w:eastAsia="Tahoma" w:hAnsi="Tahoma"/>
          <w:color w:val="404042"/>
          <w:spacing w:val="5"/>
          <w:sz w:val="14"/>
        </w:rPr>
        <w:t>81 Career Industry Council of Australia and McCrindle (2017).</w:t>
      </w:r>
    </w:p>
    <w:p w14:paraId="7A5F5363" w14:textId="77777777" w:rsidR="009757A9" w:rsidRDefault="00083242">
      <w:pPr>
        <w:spacing w:before="30" w:after="575" w:line="172" w:lineRule="exact"/>
        <w:textAlignment w:val="baseline"/>
        <w:rPr>
          <w:rFonts w:ascii="Tahoma" w:eastAsia="Tahoma" w:hAnsi="Tahoma"/>
          <w:color w:val="404042"/>
          <w:spacing w:val="4"/>
          <w:sz w:val="14"/>
        </w:rPr>
      </w:pPr>
      <w:r>
        <w:rPr>
          <w:rFonts w:ascii="Tahoma" w:eastAsia="Tahoma" w:hAnsi="Tahoma"/>
          <w:color w:val="404042"/>
          <w:spacing w:val="4"/>
          <w:sz w:val="14"/>
        </w:rPr>
        <w:t>82 Regional Education Expert Advisory Group (2019), p. 65.</w:t>
      </w:r>
    </w:p>
    <w:p w14:paraId="360EE7E3" w14:textId="77777777" w:rsidR="009757A9" w:rsidRDefault="009757A9">
      <w:pPr>
        <w:spacing w:before="30" w:after="575" w:line="172" w:lineRule="exact"/>
        <w:sectPr w:rsidR="009757A9">
          <w:type w:val="continuous"/>
          <w:pgSz w:w="11909" w:h="16838"/>
          <w:pgMar w:top="1100" w:right="6739" w:bottom="0" w:left="850" w:header="720" w:footer="720" w:gutter="0"/>
          <w:cols w:space="720"/>
        </w:sectPr>
      </w:pPr>
    </w:p>
    <w:p w14:paraId="74E2D118" w14:textId="77777777" w:rsidR="009757A9" w:rsidRDefault="00083242">
      <w:pPr>
        <w:tabs>
          <w:tab w:val="left" w:pos="10872"/>
        </w:tabs>
        <w:spacing w:after="639" w:line="205" w:lineRule="exact"/>
        <w:ind w:left="7992"/>
        <w:textAlignment w:val="baseline"/>
        <w:rPr>
          <w:rFonts w:ascii="Tahoma" w:eastAsia="Tahoma" w:hAnsi="Tahoma"/>
          <w:color w:val="404042"/>
          <w:sz w:val="14"/>
        </w:rPr>
      </w:pPr>
      <w:r>
        <w:rPr>
          <w:rFonts w:ascii="Tahoma" w:eastAsia="Tahoma" w:hAnsi="Tahoma"/>
          <w:color w:val="404042"/>
          <w:sz w:val="14"/>
        </w:rPr>
        <w:t>Chapter 2: Exercising informed choice</w:t>
      </w:r>
      <w:r>
        <w:rPr>
          <w:rFonts w:ascii="Arial" w:eastAsia="Arial" w:hAnsi="Arial"/>
          <w:b/>
          <w:color w:val="5556A1"/>
          <w:sz w:val="19"/>
        </w:rPr>
        <w:tab/>
        <w:t>71</w:t>
      </w:r>
    </w:p>
    <w:p w14:paraId="3C7C798F" w14:textId="77777777" w:rsidR="009757A9" w:rsidRDefault="00083242">
      <w:pPr>
        <w:textAlignment w:val="baseline"/>
      </w:pPr>
      <w:r>
        <w:rPr>
          <w:noProof/>
          <w:lang w:val="en-AU" w:eastAsia="en-AU"/>
        </w:rPr>
        <w:drawing>
          <wp:inline distT="0" distB="0" distL="0" distR="0" wp14:anchorId="1A18BD4F" wp14:editId="42234AA1">
            <wp:extent cx="7562215" cy="462915"/>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5" name="Picture"/>
                    <pic:cNvPicPr preferRelativeResize="0"/>
                  </pic:nvPicPr>
                  <pic:blipFill>
                    <a:blip r:embed="rId37"/>
                    <a:stretch>
                      <a:fillRect/>
                    </a:stretch>
                  </pic:blipFill>
                  <pic:spPr>
                    <a:xfrm>
                      <a:off x="0" y="0"/>
                      <a:ext cx="7562215" cy="462915"/>
                    </a:xfrm>
                    <a:prstGeom prst="rect">
                      <a:avLst/>
                    </a:prstGeom>
                  </pic:spPr>
                </pic:pic>
              </a:graphicData>
            </a:graphic>
          </wp:inline>
        </w:drawing>
      </w:r>
    </w:p>
    <w:p w14:paraId="0E5035E6" w14:textId="77777777" w:rsidR="009757A9" w:rsidRDefault="009757A9">
      <w:pPr>
        <w:sectPr w:rsidR="009757A9">
          <w:type w:val="continuous"/>
          <w:pgSz w:w="11909" w:h="16838"/>
          <w:pgMar w:top="1100" w:right="0" w:bottom="0" w:left="0" w:header="720" w:footer="720" w:gutter="0"/>
          <w:cols w:space="720"/>
        </w:sectPr>
      </w:pPr>
    </w:p>
    <w:tbl>
      <w:tblPr>
        <w:tblStyle w:val="TableGrid"/>
        <w:tblW w:w="0" w:type="auto"/>
        <w:tblInd w:w="864" w:type="dxa"/>
        <w:tblLook w:val="04A0" w:firstRow="1" w:lastRow="0" w:firstColumn="1" w:lastColumn="0" w:noHBand="0" w:noVBand="1"/>
      </w:tblPr>
      <w:tblGrid>
        <w:gridCol w:w="9468"/>
      </w:tblGrid>
      <w:tr w:rsidR="004D1F8F" w14:paraId="655DB9D7" w14:textId="77777777" w:rsidTr="00863A85">
        <w:tc>
          <w:tcPr>
            <w:tcW w:w="9468" w:type="dxa"/>
            <w:tcBorders>
              <w:top w:val="single" w:sz="4" w:space="0" w:color="auto"/>
              <w:left w:val="single" w:sz="4" w:space="0" w:color="auto"/>
              <w:bottom w:val="single" w:sz="4" w:space="0" w:color="auto"/>
              <w:right w:val="single" w:sz="4" w:space="0" w:color="auto"/>
            </w:tcBorders>
            <w:shd w:val="clear" w:color="auto" w:fill="ECF3FA"/>
          </w:tcPr>
          <w:p w14:paraId="2658170C" w14:textId="77777777" w:rsidR="004D1F8F" w:rsidRDefault="004D1F8F" w:rsidP="004D1F8F">
            <w:pPr>
              <w:spacing w:before="240" w:after="240" w:line="269" w:lineRule="exact"/>
              <w:textAlignment w:val="baseline"/>
              <w:rPr>
                <w:rFonts w:ascii="Arial" w:eastAsia="Arial" w:hAnsi="Arial"/>
                <w:b/>
                <w:color w:val="00708E"/>
                <w:spacing w:val="-9"/>
                <w:sz w:val="25"/>
              </w:rPr>
            </w:pPr>
            <w:r>
              <w:rPr>
                <w:rFonts w:ascii="Arial" w:eastAsia="Arial" w:hAnsi="Arial"/>
                <w:b/>
                <w:color w:val="00708E"/>
                <w:spacing w:val="-9"/>
                <w:sz w:val="25"/>
              </w:rPr>
              <w:lastRenderedPageBreak/>
              <w:t>Recommendation 6</w:t>
            </w:r>
          </w:p>
          <w:p w14:paraId="6832DE94" w14:textId="77777777" w:rsidR="004D1F8F" w:rsidRDefault="004D1F8F" w:rsidP="004D1F8F">
            <w:pPr>
              <w:spacing w:after="240" w:line="276" w:lineRule="auto"/>
              <w:jc w:val="both"/>
              <w:textAlignment w:val="baseline"/>
              <w:rPr>
                <w:rFonts w:ascii="Tahoma" w:eastAsia="Tahoma" w:hAnsi="Tahoma"/>
                <w:color w:val="404042"/>
                <w:sz w:val="18"/>
              </w:rPr>
            </w:pPr>
            <w:r>
              <w:rPr>
                <w:rFonts w:ascii="Tahoma" w:eastAsia="Tahoma" w:hAnsi="Tahoma"/>
                <w:color w:val="404042"/>
                <w:sz w:val="18"/>
              </w:rPr>
              <w:t>Career guidance within and outside of schools should be strengthened significantly and accorded higher status.</w:t>
            </w:r>
          </w:p>
          <w:p w14:paraId="2C4787C1" w14:textId="77777777" w:rsidR="004D1F8F" w:rsidRDefault="004D1F8F" w:rsidP="004D1F8F">
            <w:pPr>
              <w:numPr>
                <w:ilvl w:val="0"/>
                <w:numId w:val="18"/>
              </w:numPr>
              <w:spacing w:after="240" w:line="276" w:lineRule="auto"/>
              <w:ind w:left="216" w:hanging="216"/>
              <w:textAlignment w:val="baseline"/>
              <w:rPr>
                <w:rFonts w:ascii="Tahoma" w:eastAsia="Tahoma" w:hAnsi="Tahoma"/>
                <w:color w:val="404042"/>
                <w:sz w:val="18"/>
              </w:rPr>
            </w:pPr>
            <w:r>
              <w:rPr>
                <w:rFonts w:ascii="Tahoma" w:eastAsia="Tahoma" w:hAnsi="Tahoma"/>
                <w:color w:val="404042"/>
                <w:sz w:val="18"/>
              </w:rPr>
              <w:t>The newly established National Careers Institute should provide a free and comprehensive digital platform for career information for students and their teachers, with a focus on making its considerable data sources easy to navigate.</w:t>
            </w:r>
          </w:p>
          <w:p w14:paraId="19DD51E6" w14:textId="77777777" w:rsidR="004D1F8F" w:rsidRDefault="004D1F8F" w:rsidP="004D1F8F">
            <w:pPr>
              <w:numPr>
                <w:ilvl w:val="0"/>
                <w:numId w:val="18"/>
              </w:numPr>
              <w:spacing w:after="240" w:line="276" w:lineRule="auto"/>
              <w:ind w:left="216" w:hanging="216"/>
              <w:textAlignment w:val="baseline"/>
              <w:rPr>
                <w:rFonts w:ascii="Tahoma" w:eastAsia="Tahoma" w:hAnsi="Tahoma"/>
                <w:color w:val="404042"/>
                <w:sz w:val="18"/>
              </w:rPr>
            </w:pPr>
            <w:r>
              <w:rPr>
                <w:rFonts w:ascii="Tahoma" w:eastAsia="Tahoma" w:hAnsi="Tahoma"/>
                <w:color w:val="404042"/>
                <w:sz w:val="18"/>
              </w:rPr>
              <w:t>Schools should be supported by a network of career hubs that provide a connected system of individualised career guidance that schools, students and their parents can access, with an initial focus on regional and remote areas.</w:t>
            </w:r>
          </w:p>
          <w:p w14:paraId="22011018" w14:textId="77777777" w:rsidR="004D1F8F" w:rsidRDefault="004D1F8F" w:rsidP="004D1F8F">
            <w:pPr>
              <w:numPr>
                <w:ilvl w:val="0"/>
                <w:numId w:val="18"/>
              </w:numPr>
              <w:spacing w:after="240" w:line="276" w:lineRule="auto"/>
              <w:ind w:left="216" w:hanging="216"/>
              <w:textAlignment w:val="baseline"/>
              <w:rPr>
                <w:rFonts w:ascii="Tahoma" w:eastAsia="Tahoma" w:hAnsi="Tahoma"/>
                <w:color w:val="404042"/>
                <w:sz w:val="18"/>
              </w:rPr>
            </w:pPr>
            <w:r>
              <w:rPr>
                <w:rFonts w:ascii="Tahoma" w:eastAsia="Tahoma" w:hAnsi="Tahoma"/>
                <w:color w:val="404042"/>
                <w:sz w:val="18"/>
              </w:rPr>
              <w:t>Schools should be encouraged to provide wide-ranging career guidance as the basis of pathway planning.</w:t>
            </w:r>
          </w:p>
          <w:p w14:paraId="47213982" w14:textId="77777777" w:rsidR="004D1F8F" w:rsidRDefault="004D1F8F" w:rsidP="004D1F8F">
            <w:pPr>
              <w:numPr>
                <w:ilvl w:val="0"/>
                <w:numId w:val="18"/>
              </w:numPr>
              <w:spacing w:after="240" w:line="276" w:lineRule="auto"/>
              <w:ind w:left="216" w:hanging="216"/>
              <w:textAlignment w:val="baseline"/>
              <w:rPr>
                <w:rFonts w:ascii="Tahoma" w:eastAsia="Tahoma" w:hAnsi="Tahoma"/>
                <w:color w:val="404042"/>
                <w:sz w:val="18"/>
              </w:rPr>
            </w:pPr>
            <w:r>
              <w:rPr>
                <w:rFonts w:ascii="Tahoma" w:eastAsia="Tahoma" w:hAnsi="Tahoma"/>
                <w:color w:val="404042"/>
                <w:sz w:val="18"/>
              </w:rPr>
              <w:t>Those students who choose to leave school before the end of Year 12 need to be given greater advice and support.</w:t>
            </w:r>
          </w:p>
          <w:p w14:paraId="3B592142" w14:textId="3C95E3A8" w:rsidR="004D1F8F" w:rsidRPr="004D1F8F" w:rsidRDefault="004D1F8F" w:rsidP="004D1F8F">
            <w:pPr>
              <w:numPr>
                <w:ilvl w:val="0"/>
                <w:numId w:val="18"/>
              </w:numPr>
              <w:spacing w:after="240" w:line="276" w:lineRule="auto"/>
              <w:ind w:left="216" w:hanging="216"/>
              <w:textAlignment w:val="baseline"/>
              <w:rPr>
                <w:rFonts w:ascii="Tahoma" w:eastAsia="Tahoma" w:hAnsi="Tahoma"/>
                <w:color w:val="404042"/>
                <w:sz w:val="18"/>
              </w:rPr>
            </w:pPr>
            <w:r>
              <w:rPr>
                <w:rFonts w:ascii="Tahoma" w:eastAsia="Tahoma" w:hAnsi="Tahoma"/>
                <w:color w:val="404042"/>
                <w:sz w:val="18"/>
              </w:rPr>
              <w:t>All those who provide career guidance both in and outside of schools should be expected to have certificated professional qualifications.</w:t>
            </w:r>
          </w:p>
        </w:tc>
      </w:tr>
    </w:tbl>
    <w:p w14:paraId="7BA0F1E6" w14:textId="77777777" w:rsidR="004D1F8F" w:rsidRDefault="004D1F8F">
      <w:pPr>
        <w:spacing w:before="2" w:line="215" w:lineRule="exact"/>
        <w:ind w:left="864"/>
        <w:textAlignment w:val="baseline"/>
        <w:rPr>
          <w:rFonts w:ascii="Arial" w:eastAsia="Arial" w:hAnsi="Arial"/>
          <w:i/>
          <w:color w:val="007896"/>
          <w:spacing w:val="1"/>
          <w:sz w:val="18"/>
        </w:rPr>
      </w:pPr>
    </w:p>
    <w:p w14:paraId="36306EF4" w14:textId="0DA023DC" w:rsidR="009757A9" w:rsidRDefault="00083242">
      <w:pPr>
        <w:spacing w:before="2" w:line="215" w:lineRule="exact"/>
        <w:ind w:left="864"/>
        <w:textAlignment w:val="baseline"/>
        <w:rPr>
          <w:rFonts w:ascii="Arial" w:eastAsia="Arial" w:hAnsi="Arial"/>
          <w:i/>
          <w:color w:val="007896"/>
          <w:spacing w:val="1"/>
          <w:sz w:val="18"/>
        </w:rPr>
      </w:pPr>
      <w:r>
        <w:rPr>
          <w:rFonts w:ascii="Arial" w:eastAsia="Arial" w:hAnsi="Arial"/>
          <w:i/>
          <w:color w:val="007896"/>
          <w:spacing w:val="1"/>
          <w:sz w:val="18"/>
        </w:rPr>
        <w:t>Implementation guidance</w:t>
      </w:r>
    </w:p>
    <w:p w14:paraId="7B1D5B88" w14:textId="77777777" w:rsidR="009757A9" w:rsidRDefault="00083242">
      <w:pPr>
        <w:spacing w:before="167" w:line="240" w:lineRule="exact"/>
        <w:ind w:left="864" w:right="1008"/>
        <w:textAlignment w:val="baseline"/>
        <w:rPr>
          <w:rFonts w:ascii="Tahoma" w:eastAsia="Tahoma" w:hAnsi="Tahoma"/>
          <w:color w:val="404042"/>
          <w:sz w:val="18"/>
        </w:rPr>
      </w:pPr>
      <w:r>
        <w:rPr>
          <w:rFonts w:ascii="Tahoma" w:eastAsia="Tahoma" w:hAnsi="Tahoma"/>
          <w:color w:val="404042"/>
          <w:sz w:val="18"/>
        </w:rPr>
        <w:t>Although the terms of reference for our report focus on Years 11 and 12, the Panel heard many times that it is too late to begin conversations about career aspirations and pathways in senior secondary school. Discussions must begin earlier, and be used to develop effective pathways to student goals.</w:t>
      </w:r>
    </w:p>
    <w:p w14:paraId="304D68E4" w14:textId="77777777" w:rsidR="009757A9" w:rsidRDefault="00083242">
      <w:pPr>
        <w:spacing w:before="182" w:line="238"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There is strong evidence to support the value of building career awareness throughout the primary years. This should be undertaken in conjunction with the exploration of students’ individual passions, interests and talents. Students develop views about their careers and lives early</w:t>
      </w:r>
      <w:r>
        <w:rPr>
          <w:rFonts w:ascii="Tahoma" w:eastAsia="Tahoma" w:hAnsi="Tahoma"/>
          <w:color w:val="404042"/>
          <w:spacing w:val="6"/>
          <w:sz w:val="18"/>
          <w:vertAlign w:val="superscript"/>
        </w:rPr>
        <w:t>83</w:t>
      </w:r>
      <w:r>
        <w:rPr>
          <w:rFonts w:ascii="Tahoma" w:eastAsia="Tahoma" w:hAnsi="Tahoma"/>
          <w:color w:val="404042"/>
          <w:spacing w:val="6"/>
          <w:sz w:val="18"/>
        </w:rPr>
        <w:t xml:space="preserve"> and can unwittingly narrow their choices if these explorations are not undertaken early enough. Years 7 and 8 are a key time for students to learn about themselves, and Year 9 is a critical time for career planning and decision-making. Self-awareness and decision-making skills of students need to be built in Years 7 to 9, so that they can make informed, confident course and career choices in Years 10 to 12 and beyond.</w:t>
      </w:r>
      <w:r>
        <w:rPr>
          <w:rFonts w:ascii="Tahoma" w:eastAsia="Tahoma" w:hAnsi="Tahoma"/>
          <w:color w:val="404042"/>
          <w:spacing w:val="6"/>
          <w:sz w:val="18"/>
          <w:vertAlign w:val="superscript"/>
        </w:rPr>
        <w:t>84</w:t>
      </w:r>
      <w:r>
        <w:rPr>
          <w:rFonts w:ascii="Tahoma" w:eastAsia="Tahoma" w:hAnsi="Tahoma"/>
          <w:color w:val="404042"/>
          <w:spacing w:val="6"/>
          <w:sz w:val="11"/>
        </w:rPr>
        <w:t xml:space="preserve"> </w:t>
      </w:r>
    </w:p>
    <w:p w14:paraId="24BDCFAB" w14:textId="097DBE41" w:rsidR="009757A9" w:rsidRDefault="00030053">
      <w:pPr>
        <w:spacing w:before="173" w:after="2606" w:line="240" w:lineRule="exact"/>
        <w:ind w:left="864" w:right="1152"/>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887104" behindDoc="0" locked="0" layoutInCell="1" allowOverlap="1" wp14:anchorId="50CF0664" wp14:editId="7B057943">
                <wp:simplePos x="0" y="0"/>
                <wp:positionH relativeFrom="page">
                  <wp:posOffset>561975</wp:posOffset>
                </wp:positionH>
                <wp:positionV relativeFrom="page">
                  <wp:posOffset>8576310</wp:posOffset>
                </wp:positionV>
                <wp:extent cx="917575" cy="0"/>
                <wp:effectExtent l="0" t="0" r="0" b="0"/>
                <wp:wrapNone/>
                <wp:docPr id="720"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B8F7A" id="Line 441" o:spid="_x0000_s1026" style="position:absolute;z-index:2518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675.3pt" to="116.5pt,6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SWRzgEAAIYDAAAOAAAAZHJzL2Uyb0RvYy54bWysU01v2zAMvQ/YfxB0X+wETbMZcXpI1l2y&#10;LUC7H8BIsi1MFgVJiZ1/P0r5aLvdhvogiOLjI/lILx/G3rCj8kGjrfl0UnKmrECpbVvzX8+Pnz5z&#10;FiJYCQatqvlJBf6w+vhhObhKzbBDI5VnRGJDNbiadzG6qiiC6FQPYYJOWXI26HuIZPq2kB4GYu9N&#10;MSvL+2JAL51HoUKg183ZyVeZv2mUiD+bJqjITM2ptphPn899OovVEqrWg+u0uJQB/1FFD9pS0hvV&#10;BiKwg9f/UPVaeAzYxInAvsCm0ULlHqibaflXN08dOJV7IXGCu8kU3o9W/DjuPNOy5osZ6WOhpyFt&#10;tVXs7m6a1BlcqAi0tjuf+hOjfXJbFL8Ds7juwLYqV/l8chSYI4o3IckIjnLsh+8oCQOHiFmqsfF9&#10;oiQR2JgncrpNRI2RCXr8Ml3MF3POxNVVQHWNcz7Ebwp7li41N1R05oXjNkSqnKBXSEpj8VEbk+dt&#10;LBuo2Fl5P88RAY2WyZtwwbf7tfHsCGll8pd0ILY3sES9gdCdcdl1XiaPBytzmk6B/Hq5R9DmfCci&#10;Y4nvKsxZ4j3K086nPOmdhp0zXhYzbdNrO6Nefp/VHwAAAP//AwBQSwMEFAAGAAgAAAAhANVf7Dre&#10;AAAADAEAAA8AAABkcnMvZG93bnJldi54bWxMj01Lw0AQhu+C/2EZwYvYXZu2LDGbIgW9KbYq9rjN&#10;jkkwOxuy2yb+e8eD6HHeeXg/ivXkO3HCIbaBDNzMFAikKriWagOvL/fXGkRMlpztAqGBL4ywLs/P&#10;Cpu7MNIWT7tUCzahmFsDTUp9LmWsGvQ2zkKPxL+PMHib+Bxq6QY7srnv5FyplfS2JU5obI+bBqvP&#10;3dEbkFLpxfT2Pj4urqJu95t6//D0bMzlxXR3CyLhlP5g+KnP1aHkTodwJBdFZ0DrJZOsZ0u1AsHE&#10;PMt43eFXkmUh/48ovwEAAP//AwBQSwECLQAUAAYACAAAACEAtoM4kv4AAADhAQAAEwAAAAAAAAAA&#10;AAAAAAAAAAAAW0NvbnRlbnRfVHlwZXNdLnhtbFBLAQItABQABgAIAAAAIQA4/SH/1gAAAJQBAAAL&#10;AAAAAAAAAAAAAAAAAC8BAABfcmVscy8ucmVsc1BLAQItABQABgAIAAAAIQD1HSWRzgEAAIYDAAAO&#10;AAAAAAAAAAAAAAAAAC4CAABkcnMvZTJvRG9jLnhtbFBLAQItABQABgAIAAAAIQDVX+w63gAAAAwB&#10;AAAPAAAAAAAAAAAAAAAAACgEAABkcnMvZG93bnJldi54bWxQSwUGAAAAAAQABADzAAAAMwUAAAAA&#10;" strokeweight=".95pt">
                <w10:wrap anchorx="page" anchory="page"/>
              </v:line>
            </w:pict>
          </mc:Fallback>
        </mc:AlternateContent>
      </w:r>
      <w:r w:rsidR="00083242">
        <w:rPr>
          <w:rFonts w:ascii="Tahoma" w:eastAsia="Tahoma" w:hAnsi="Tahoma"/>
          <w:color w:val="404042"/>
          <w:spacing w:val="5"/>
          <w:sz w:val="18"/>
        </w:rPr>
        <w:t>The Panel also believes that secondary schooling career advice should be the start of an ongoing process. Career services also need to extend beyond Year 12, as young people continue to need guidance after they leave school. Continuing access to career guidance needs to go hand in hand with lifelong learning. There is no reason why career hubs could not provide the help and assistance required by people of all ages.</w:t>
      </w:r>
    </w:p>
    <w:p w14:paraId="20D4889F" w14:textId="45953E24" w:rsidR="009757A9" w:rsidRDefault="00083242">
      <w:pPr>
        <w:spacing w:before="80" w:line="171" w:lineRule="exact"/>
        <w:ind w:left="864"/>
        <w:textAlignment w:val="baseline"/>
        <w:rPr>
          <w:rFonts w:ascii="Tahoma" w:eastAsia="Tahoma" w:hAnsi="Tahoma"/>
          <w:color w:val="404042"/>
          <w:spacing w:val="5"/>
          <w:sz w:val="14"/>
        </w:rPr>
      </w:pPr>
      <w:r>
        <w:rPr>
          <w:rFonts w:ascii="Tahoma" w:eastAsia="Tahoma" w:hAnsi="Tahoma"/>
          <w:color w:val="404042"/>
          <w:spacing w:val="5"/>
          <w:sz w:val="14"/>
        </w:rPr>
        <w:t>83 Commonwealth Department of Education and Training (2019), pp. 22–23.</w:t>
      </w:r>
    </w:p>
    <w:p w14:paraId="148A09C4" w14:textId="20B7E0F4" w:rsidR="009757A9" w:rsidRDefault="00083242">
      <w:pPr>
        <w:spacing w:before="26" w:line="171" w:lineRule="exact"/>
        <w:ind w:left="864"/>
        <w:textAlignment w:val="baseline"/>
        <w:rPr>
          <w:rFonts w:ascii="Tahoma" w:eastAsia="Tahoma" w:hAnsi="Tahoma"/>
          <w:color w:val="404042"/>
          <w:spacing w:val="2"/>
          <w:sz w:val="14"/>
        </w:rPr>
      </w:pPr>
      <w:r>
        <w:rPr>
          <w:rFonts w:ascii="Tahoma" w:eastAsia="Tahoma" w:hAnsi="Tahoma"/>
          <w:color w:val="404042"/>
          <w:spacing w:val="2"/>
          <w:sz w:val="14"/>
        </w:rPr>
        <w:t>84 Ithaca Group (2019), p. 7.</w:t>
      </w:r>
    </w:p>
    <w:p w14:paraId="0EA55B0E" w14:textId="56A5AD91" w:rsidR="009757A9" w:rsidRDefault="00083242" w:rsidP="00387224">
      <w:pPr>
        <w:tabs>
          <w:tab w:val="left" w:pos="1368"/>
          <w:tab w:val="left" w:pos="3195"/>
        </w:tabs>
        <w:spacing w:before="931" w:after="636"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72</w:t>
      </w:r>
      <w:r>
        <w:rPr>
          <w:rFonts w:ascii="Tahoma" w:eastAsia="Tahoma" w:hAnsi="Tahoma"/>
          <w:color w:val="404042"/>
          <w:spacing w:val="4"/>
          <w:sz w:val="14"/>
        </w:rPr>
        <w:tab/>
        <w:t>Looking to the future</w:t>
      </w:r>
      <w:r w:rsidR="00387224">
        <w:rPr>
          <w:rFonts w:ascii="Tahoma" w:eastAsia="Tahoma" w:hAnsi="Tahoma"/>
          <w:color w:val="404042"/>
          <w:spacing w:val="4"/>
          <w:sz w:val="14"/>
        </w:rPr>
        <w:tab/>
      </w:r>
    </w:p>
    <w:p w14:paraId="78A2DA0F" w14:textId="5754AF1B" w:rsidR="009757A9" w:rsidRDefault="00387224">
      <w:pPr>
        <w:textAlignment w:val="baseline"/>
      </w:pPr>
      <w:r>
        <w:rPr>
          <w:noProof/>
          <w:lang w:val="en-AU" w:eastAsia="en-AU"/>
        </w:rPr>
        <w:drawing>
          <wp:anchor distT="0" distB="0" distL="114300" distR="114300" simplePos="0" relativeHeight="252062208" behindDoc="0" locked="0" layoutInCell="1" allowOverlap="1" wp14:anchorId="5C073F1C" wp14:editId="0A58F661">
            <wp:simplePos x="0" y="0"/>
            <wp:positionH relativeFrom="margin">
              <wp:align>right</wp:align>
            </wp:positionH>
            <wp:positionV relativeFrom="paragraph">
              <wp:posOffset>212725</wp:posOffset>
            </wp:positionV>
            <wp:extent cx="7562215" cy="462915"/>
            <wp:effectExtent l="0" t="0" r="635" b="0"/>
            <wp:wrapThrough wrapText="bothSides">
              <wp:wrapPolygon edited="0">
                <wp:start x="0" y="0"/>
                <wp:lineTo x="0" y="20444"/>
                <wp:lineTo x="21547" y="20444"/>
                <wp:lineTo x="21547" y="0"/>
                <wp:lineTo x="0" y="0"/>
              </wp:wrapPolygon>
            </wp:wrapThrough>
            <wp:docPr id="117" name="Picture"/>
            <wp:cNvGraphicFramePr/>
            <a:graphic xmlns:a="http://schemas.openxmlformats.org/drawingml/2006/main">
              <a:graphicData uri="http://schemas.openxmlformats.org/drawingml/2006/picture">
                <pic:pic xmlns:pic="http://schemas.openxmlformats.org/drawingml/2006/picture">
                  <pic:nvPicPr>
                    <pic:cNvPr id="117" name="Picture"/>
                    <pic:cNvPicPr preferRelativeResize="0"/>
                  </pic:nvPicPr>
                  <pic:blipFill>
                    <a:blip r:embed="rId15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1A947793" w14:textId="77777777" w:rsidR="009757A9" w:rsidRDefault="009757A9">
      <w:pPr>
        <w:sectPr w:rsidR="009757A9" w:rsidSect="00030053">
          <w:pgSz w:w="11909" w:h="16838"/>
          <w:pgMar w:top="1276" w:right="0" w:bottom="0" w:left="0" w:header="720" w:footer="720" w:gutter="0"/>
          <w:cols w:space="720"/>
        </w:sectPr>
      </w:pPr>
    </w:p>
    <w:p w14:paraId="4CBBFB46" w14:textId="77777777" w:rsidR="009757A9" w:rsidRDefault="00083242">
      <w:pPr>
        <w:spacing w:before="21" w:after="373" w:line="225" w:lineRule="exact"/>
        <w:ind w:left="864"/>
        <w:textAlignment w:val="baseline"/>
        <w:rPr>
          <w:rFonts w:ascii="Arial" w:eastAsia="Arial" w:hAnsi="Arial"/>
          <w:b/>
          <w:color w:val="404042"/>
          <w:spacing w:val="4"/>
          <w:sz w:val="19"/>
        </w:rPr>
      </w:pPr>
      <w:r>
        <w:rPr>
          <w:rFonts w:ascii="Arial" w:eastAsia="Arial" w:hAnsi="Arial"/>
          <w:b/>
          <w:color w:val="404042"/>
          <w:spacing w:val="4"/>
          <w:sz w:val="19"/>
        </w:rPr>
        <w:lastRenderedPageBreak/>
        <w:t xml:space="preserve">Figure 8: </w:t>
      </w:r>
      <w:r>
        <w:rPr>
          <w:rFonts w:ascii="Tahoma" w:eastAsia="Tahoma" w:hAnsi="Tahoma"/>
          <w:color w:val="404042"/>
          <w:spacing w:val="4"/>
          <w:sz w:val="18"/>
        </w:rPr>
        <w:t>Proposed career ecosystem</w:t>
      </w:r>
    </w:p>
    <w:p w14:paraId="62A38119" w14:textId="77777777" w:rsidR="009757A9" w:rsidRDefault="00083242">
      <w:pPr>
        <w:spacing w:after="212"/>
        <w:ind w:left="850" w:right="845"/>
        <w:textAlignment w:val="baseline"/>
      </w:pPr>
      <w:r>
        <w:rPr>
          <w:noProof/>
          <w:lang w:val="en-AU" w:eastAsia="en-AU"/>
        </w:rPr>
        <w:drawing>
          <wp:inline distT="0" distB="0" distL="0" distR="0" wp14:anchorId="13A77E5C" wp14:editId="7008B082">
            <wp:extent cx="6485890" cy="8470265"/>
            <wp:effectExtent l="0" t="0" r="0" b="0"/>
            <wp:docPr id="118" name="Picture" descr="This infographic illustrates how Career Hubs fit within the careers eco system:&#10;-National Careers Institute: A single authoritative government source of career information; a digital platform to enable lifelong career planning, navigation and management&#10;-Career Hubs: provision of systemically connected, individualised and culturally responsive career guidance that is accessible to schools, and students and their parents; initial focus on regional areas.&#10;-Career websites: Provision of information&#10;-Industry groups/ skills organisations: provision of information to schools and careers advisers about opportunities within specific industries; opportunities for structured workplace learning, work experience.&#10;-Careers advisers within schools: provision of individualised advice to students and their parents.&#10;"/>
            <wp:cNvGraphicFramePr/>
            <a:graphic xmlns:a="http://schemas.openxmlformats.org/drawingml/2006/main">
              <a:graphicData uri="http://schemas.openxmlformats.org/drawingml/2006/picture">
                <pic:pic xmlns:pic="http://schemas.openxmlformats.org/drawingml/2006/picture">
                  <pic:nvPicPr>
                    <pic:cNvPr id="118" name="Picture" descr="This infographic illustrates how Career Hubs fit within the careers eco system:&#10;-National Careers Institute: A single authoritative government source of career information; a digital platform to enable lifelong career planning, navigation and management&#10;-Career Hubs: provision of systemically connected, individualised and culturally responsive career guidance that is accessible to schools, and students and their parents; initial focus on regional areas.&#10;-Career websites: Provision of information&#10;-Industry groups/ skills organisations: provision of information to schools and careers advisers about opportunities within specific industries; opportunities for structured workplace learning, work experience.&#10;-Careers advisers within schools: provision of individualised advice to students and their parents.&#10;"/>
                    <pic:cNvPicPr preferRelativeResize="0"/>
                  </pic:nvPicPr>
                  <pic:blipFill>
                    <a:blip r:embed="rId158"/>
                    <a:stretch>
                      <a:fillRect/>
                    </a:stretch>
                  </pic:blipFill>
                  <pic:spPr>
                    <a:xfrm>
                      <a:off x="0" y="0"/>
                      <a:ext cx="6485890" cy="8470265"/>
                    </a:xfrm>
                    <a:prstGeom prst="rect">
                      <a:avLst/>
                    </a:prstGeom>
                  </pic:spPr>
                </pic:pic>
              </a:graphicData>
            </a:graphic>
          </wp:inline>
        </w:drawing>
      </w:r>
    </w:p>
    <w:p w14:paraId="359C7FAA" w14:textId="77777777" w:rsidR="009757A9" w:rsidRDefault="00083242">
      <w:pPr>
        <w:tabs>
          <w:tab w:val="left" w:pos="10872"/>
        </w:tabs>
        <w:spacing w:after="631" w:line="213" w:lineRule="exact"/>
        <w:ind w:left="7992"/>
        <w:textAlignment w:val="baseline"/>
        <w:rPr>
          <w:rFonts w:ascii="Tahoma" w:eastAsia="Tahoma" w:hAnsi="Tahoma"/>
          <w:color w:val="404042"/>
          <w:sz w:val="14"/>
        </w:rPr>
      </w:pPr>
      <w:r>
        <w:rPr>
          <w:rFonts w:ascii="Tahoma" w:eastAsia="Tahoma" w:hAnsi="Tahoma"/>
          <w:color w:val="404042"/>
          <w:sz w:val="14"/>
        </w:rPr>
        <w:t>Chapter 2: Exercising informed choice</w:t>
      </w:r>
      <w:r>
        <w:rPr>
          <w:rFonts w:ascii="Arial" w:eastAsia="Arial" w:hAnsi="Arial"/>
          <w:b/>
          <w:color w:val="5556A1"/>
          <w:sz w:val="19"/>
        </w:rPr>
        <w:tab/>
        <w:t>73</w:t>
      </w:r>
    </w:p>
    <w:p w14:paraId="4FDA5F98" w14:textId="77777777" w:rsidR="009757A9" w:rsidRDefault="00083242">
      <w:pPr>
        <w:textAlignment w:val="baseline"/>
      </w:pPr>
      <w:r>
        <w:rPr>
          <w:noProof/>
          <w:lang w:val="en-AU" w:eastAsia="en-AU"/>
        </w:rPr>
        <w:drawing>
          <wp:inline distT="0" distB="0" distL="0" distR="0" wp14:anchorId="7D6D4450" wp14:editId="63E2BD54">
            <wp:extent cx="7562215" cy="462915"/>
            <wp:effectExtent l="0" t="0" r="0" b="0"/>
            <wp:docPr id="119" name="Picture"/>
            <wp:cNvGraphicFramePr/>
            <a:graphic xmlns:a="http://schemas.openxmlformats.org/drawingml/2006/main">
              <a:graphicData uri="http://schemas.openxmlformats.org/drawingml/2006/picture">
                <pic:pic xmlns:pic="http://schemas.openxmlformats.org/drawingml/2006/picture">
                  <pic:nvPicPr>
                    <pic:cNvPr id="119"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079224F6" w14:textId="77777777" w:rsidR="009757A9" w:rsidRDefault="009757A9">
      <w:pPr>
        <w:sectPr w:rsidR="009757A9">
          <w:pgSz w:w="11909" w:h="16838"/>
          <w:pgMar w:top="1080" w:right="0" w:bottom="0" w:left="0" w:header="720" w:footer="720" w:gutter="0"/>
          <w:cols w:space="720"/>
        </w:sectPr>
      </w:pPr>
    </w:p>
    <w:p w14:paraId="0CA0A393"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80576" behindDoc="1" locked="0" layoutInCell="1" allowOverlap="1" wp14:anchorId="0C861A8F" wp14:editId="0FB587AA">
                <wp:simplePos x="0" y="0"/>
                <wp:positionH relativeFrom="page">
                  <wp:posOffset>0</wp:posOffset>
                </wp:positionH>
                <wp:positionV relativeFrom="page">
                  <wp:posOffset>0</wp:posOffset>
                </wp:positionV>
                <wp:extent cx="7562215" cy="10692130"/>
                <wp:effectExtent l="0" t="0" r="0" b="0"/>
                <wp:wrapSquare wrapText="bothSides"/>
                <wp:docPr id="719"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69C2B" w14:textId="77777777" w:rsidR="00490F33" w:rsidRDefault="00490F33">
                            <w:pPr>
                              <w:textAlignment w:val="baseline"/>
                            </w:pPr>
                            <w:r>
                              <w:rPr>
                                <w:noProof/>
                                <w:lang w:val="en-AU" w:eastAsia="en-AU"/>
                              </w:rPr>
                              <w:drawing>
                                <wp:inline distT="0" distB="0" distL="0" distR="0" wp14:anchorId="44632E3E" wp14:editId="3E739B8A">
                                  <wp:extent cx="7562215" cy="10692130"/>
                                  <wp:effectExtent l="0" t="0" r="0" b="0"/>
                                  <wp:docPr id="12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0" name="Picture">
                                            <a:extLst>
                                              <a:ext uri="{C183D7F6-B498-43B3-948B-1728B52AA6E4}">
                                                <adec:decorative xmlns:adec="http://schemas.microsoft.com/office/drawing/2017/decorative" val="1"/>
                                              </a:ext>
                                            </a:extLst>
                                          </pic:cNvPr>
                                          <pic:cNvPicPr preferRelativeResize="0"/>
                                        </pic:nvPicPr>
                                        <pic:blipFill>
                                          <a:blip r:embed="rId159"/>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61A8F" id="Text Box 440" o:spid="_x0000_s1163" type="#_x0000_t202" style="position:absolute;margin-left:0;margin-top:0;width:595.45pt;height:841.9pt;z-index:-251835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X9QEAAMUDAAAOAAAAZHJzL2Uyb0RvYy54bWysU8Fu2zAMvQ/YPwi6L47TNlmNOEXXosOA&#10;rhvQ9gMYWY6F2aJGKbGzrx8lJ2m33oZdBIqint57pJZXQ9eKnSZv0JYyn0yl0FZhZeymlM9Pdx8+&#10;SuED2ApatLqUe+3l1er9u2XvCj3DBttKk2AQ64velbIJwRVZ5lWjO/ATdNryYY3UQeAtbbKKoGf0&#10;rs1m0+k865EqR6i095y9HQ/lKuHXtVbhW117HURbSuYW0kppXcc1Wy2h2BC4xqgDDfgHFh0Yy4+e&#10;oG4hgNiSeQPVGUXosQ4ThV2GdW2UThpYTT79S81jA04nLWyOdyeb/P+DVQ+77yRMVcpFfimFhY6b&#10;9KSHID7hIM7Pk0O98wUXPjouDQMfcKeTWu/uUf3wwuJNA3ajr4mwbzRUzDCP3mavrsae+MJHkHX/&#10;FSt+CLYBE9BQUxftY0MEo3On9qfuRDKKk4uL+WyWX0ih+Cyfzi9n+Vmil0FxvO/Ih88aOxGDUhL3&#10;P+HD7t6HyAeKY0l8zuKdads0A639I8GFMZP4R8oj+TCsh2RWfraI8qKgNVZ7lkQ4zhb/BQ4apF9S&#10;9DxXpfQ/t0BaivaLZVviEB4DOgbrYwBW8dVSBinG8CaMw7p1ZDYNI4/GW7xm62qTNL2wOBDmWUlS&#10;D3Mdh/H1PlW9/L7VbwAAAP//AwBQSwMEFAAGAAgAAAAhAHsiySLdAAAABwEAAA8AAABkcnMvZG93&#10;bnJldi54bWxMj8FOwzAQRO9I/IO1SNyoXZCiJMSpqoqeKiHScODoxNvEarxOY7cNf4/LBS6rWc1q&#10;5m2xmu3ALjh540jCciGAIbVOG+okfNbbpxSYD4q0GhyhhG/0sCrv7wqVa3elCi/70LEYQj5XEvoQ&#10;xpxz3/ZolV+4ESl6BzdZFeI6dVxP6hrD7cCfhUi4VYZiQ69G3PTYHvdnK2H9RdWbOb03H9WhMnWd&#10;CdolRykfH+b1K7CAc/g7hht+RIcyMjXuTNqzQUJ8JPzOm7fMRAasiSpJX1LgZcH/85c/AAAA//8D&#10;AFBLAQItABQABgAIAAAAIQC2gziS/gAAAOEBAAATAAAAAAAAAAAAAAAAAAAAAABbQ29udGVudF9U&#10;eXBlc10ueG1sUEsBAi0AFAAGAAgAAAAhADj9If/WAAAAlAEAAAsAAAAAAAAAAAAAAAAALwEAAF9y&#10;ZWxzLy5yZWxzUEsBAi0AFAAGAAgAAAAhACyb+Ff1AQAAxQMAAA4AAAAAAAAAAAAAAAAALgIAAGRy&#10;cy9lMm9Eb2MueG1sUEsBAi0AFAAGAAgAAAAhAHsiySLdAAAABwEAAA8AAAAAAAAAAAAAAAAATwQA&#10;AGRycy9kb3ducmV2LnhtbFBLBQYAAAAABAAEAPMAAABZBQAAAAA=&#10;" filled="f" stroked="f">
                <v:textbox inset="0,0,0,0">
                  <w:txbxContent>
                    <w:p w14:paraId="0EA69C2B" w14:textId="77777777" w:rsidR="00490F33" w:rsidRDefault="00490F33">
                      <w:pPr>
                        <w:textAlignment w:val="baseline"/>
                      </w:pPr>
                      <w:r>
                        <w:rPr>
                          <w:noProof/>
                          <w:lang w:val="en-AU" w:eastAsia="en-AU"/>
                        </w:rPr>
                        <w:drawing>
                          <wp:inline distT="0" distB="0" distL="0" distR="0" wp14:anchorId="44632E3E" wp14:editId="3E739B8A">
                            <wp:extent cx="7562215" cy="10692130"/>
                            <wp:effectExtent l="0" t="0" r="0" b="0"/>
                            <wp:docPr id="12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0" name="Picture">
                                      <a:extLst>
                                        <a:ext uri="{C183D7F6-B498-43B3-948B-1728B52AA6E4}">
                                          <adec:decorative xmlns:adec="http://schemas.microsoft.com/office/drawing/2017/decorative" val="1"/>
                                        </a:ext>
                                      </a:extLst>
                                    </pic:cNvPr>
                                    <pic:cNvPicPr preferRelativeResize="0"/>
                                  </pic:nvPicPr>
                                  <pic:blipFill>
                                    <a:blip r:embed="rId159"/>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81600" behindDoc="1" locked="0" layoutInCell="1" allowOverlap="1" wp14:anchorId="42224293" wp14:editId="3760D59F">
                <wp:simplePos x="0" y="0"/>
                <wp:positionH relativeFrom="page">
                  <wp:posOffset>542290</wp:posOffset>
                </wp:positionH>
                <wp:positionV relativeFrom="page">
                  <wp:posOffset>9695180</wp:posOffset>
                </wp:positionV>
                <wp:extent cx="1222375" cy="144145"/>
                <wp:effectExtent l="0" t="0" r="0" b="0"/>
                <wp:wrapSquare wrapText="bothSides"/>
                <wp:docPr id="718"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BE17D" w14:textId="77777777" w:rsidR="00490F33" w:rsidRDefault="00490F33">
                            <w:pPr>
                              <w:tabs>
                                <w:tab w:val="right" w:pos="1944"/>
                              </w:tabs>
                              <w:spacing w:after="33" w:line="193" w:lineRule="exact"/>
                              <w:textAlignment w:val="baseline"/>
                              <w:rPr>
                                <w:rFonts w:ascii="Arial" w:eastAsia="Arial" w:hAnsi="Arial"/>
                                <w:b/>
                                <w:color w:val="5556A1"/>
                                <w:sz w:val="18"/>
                              </w:rPr>
                            </w:pPr>
                            <w:r>
                              <w:rPr>
                                <w:rFonts w:ascii="Arial" w:eastAsia="Arial" w:hAnsi="Arial"/>
                                <w:b/>
                                <w:color w:val="5556A1"/>
                                <w:sz w:val="18"/>
                              </w:rPr>
                              <w:t>74</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24293" id="Text Box 439" o:spid="_x0000_s1164" type="#_x0000_t202" style="position:absolute;margin-left:42.7pt;margin-top:763.4pt;width:96.25pt;height:11.35pt;z-index:-251834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HP88QEAAMMDAAAOAAAAZHJzL2Uyb0RvYy54bWysU8Fu2zAMvQ/YPwi6L46TdO2MOEXXosOA&#10;rhvQ7gMYWY6F2aJGKbGzrx8lx1m33YZdBEokHx8fqfX10LXioMkbtKXMZ3MptFVYGbsr5dfn+zdX&#10;UvgAtoIWrS7lUXt5vXn9at27Qi+wwbbSJBjE+qJ3pWxCcEWWedXoDvwMnbbsrJE6CHylXVYR9Ize&#10;tdliPn+b9UiVI1Tae369G51yk/DrWqvwua69DqItJXML6aR0buOZbdZQ7AhcY9SJBvwDiw6M5aJn&#10;qDsIIPZk/oLqjCL0WIeZwi7DujZKpx64m3z+RzdPDTidemFxvDvL5P8frHo8fCFhqlJe5jwqCx0P&#10;6VkPQbzHQayW76JCvfMFBz45Dg0DO3jSqVvvHlB988LibQN2p2+IsG80VMwwj5nZi9QRx0eQbf8J&#10;Ky4E+4AJaKipi/KxIILReVLH83QiGRVLLhaL5eWFFIp9+WqVry5SCSimbEc+fNDYiWiUknj6CR0O&#10;Dz5ENlBMIbGYxXvTtmkDWvvbAwfGl8Q+Eh6ph2E7JKny5dUkyxarIzdEOG4W/wQ2GqQfUvS8VaX0&#10;3/dAWor2o2VR4gpOBk3GdjLAKk4tZZBiNG/DuKp7R2bXMPIou8UbFq42qaeo8MjiRJg3JbV62uq4&#10;ii/vKerX39v8BAAA//8DAFBLAwQUAAYACAAAACEABqFWkuAAAAAMAQAADwAAAGRycy9kb3ducmV2&#10;LnhtbEyPPU/DMBCGdyT+g3VIbNRp1KRNGqeqEExIiDQMjE7sJlbjc4jdNvx7rhOM996j96PYzXZg&#10;Fz1541DAchEB09g6ZbAT8Fm/Pm2A+SBRycGhFvCjPezK+7tC5spdsdKXQ+gYmaDPpYA+hDHn3Le9&#10;ttIv3KiRfkc3WRnonDquJnklczvwOIpSbqVBSujlqJ973Z4OZytg/4XVi/l+bz6qY2XqOovwLT0J&#10;8fgw77fAgp7DHwy3+lQdSurUuDMqzwYBm2RFJOlJnNIGIuL1OgPW3KRVlgAvC/5/RPkLAAD//wMA&#10;UEsBAi0AFAAGAAgAAAAhALaDOJL+AAAA4QEAABMAAAAAAAAAAAAAAAAAAAAAAFtDb250ZW50X1R5&#10;cGVzXS54bWxQSwECLQAUAAYACAAAACEAOP0h/9YAAACUAQAACwAAAAAAAAAAAAAAAAAvAQAAX3Jl&#10;bHMvLnJlbHNQSwECLQAUAAYACAAAACEAhfBz/PEBAADDAwAADgAAAAAAAAAAAAAAAAAuAgAAZHJz&#10;L2Uyb0RvYy54bWxQSwECLQAUAAYACAAAACEABqFWkuAAAAAMAQAADwAAAAAAAAAAAAAAAABLBAAA&#10;ZHJzL2Rvd25yZXYueG1sUEsFBgAAAAAEAAQA8wAAAFgFAAAAAA==&#10;" filled="f" stroked="f">
                <v:textbox inset="0,0,0,0">
                  <w:txbxContent>
                    <w:p w14:paraId="302BE17D" w14:textId="77777777" w:rsidR="00490F33" w:rsidRDefault="00490F33">
                      <w:pPr>
                        <w:tabs>
                          <w:tab w:val="right" w:pos="1944"/>
                        </w:tabs>
                        <w:spacing w:after="33" w:line="193" w:lineRule="exact"/>
                        <w:textAlignment w:val="baseline"/>
                        <w:rPr>
                          <w:rFonts w:ascii="Arial" w:eastAsia="Arial" w:hAnsi="Arial"/>
                          <w:b/>
                          <w:color w:val="5556A1"/>
                          <w:sz w:val="18"/>
                        </w:rPr>
                      </w:pPr>
                      <w:r>
                        <w:rPr>
                          <w:rFonts w:ascii="Arial" w:eastAsia="Arial" w:hAnsi="Arial"/>
                          <w:b/>
                          <w:color w:val="5556A1"/>
                          <w:sz w:val="18"/>
                        </w:rPr>
                        <w:t>74</w:t>
                      </w:r>
                      <w:r>
                        <w:rPr>
                          <w:rFonts w:ascii="Tahoma" w:eastAsia="Tahoma" w:hAnsi="Tahoma"/>
                          <w:color w:val="404042"/>
                          <w:sz w:val="14"/>
                        </w:rPr>
                        <w:tab/>
                        <w:t>Looking to the future</w:t>
                      </w:r>
                    </w:p>
                  </w:txbxContent>
                </v:textbox>
                <w10:wrap type="square" anchorx="page" anchory="page"/>
              </v:shape>
            </w:pict>
          </mc:Fallback>
        </mc:AlternateContent>
      </w:r>
    </w:p>
    <w:p w14:paraId="09AFE658" w14:textId="77777777" w:rsidR="009757A9" w:rsidRDefault="009757A9">
      <w:pPr>
        <w:sectPr w:rsidR="009757A9">
          <w:pgSz w:w="11909" w:h="16838"/>
          <w:pgMar w:top="0" w:right="1440" w:bottom="0" w:left="1440" w:header="720" w:footer="720" w:gutter="0"/>
          <w:cols w:space="720"/>
        </w:sectPr>
      </w:pPr>
    </w:p>
    <w:p w14:paraId="3C246A54" w14:textId="77777777" w:rsidR="009757A9" w:rsidRDefault="000D2E34">
      <w:pPr>
        <w:spacing w:before="2" w:after="4272" w:line="474" w:lineRule="exact"/>
        <w:textAlignment w:val="baseline"/>
        <w:rPr>
          <w:rFonts w:ascii="Arial" w:eastAsia="Arial" w:hAnsi="Arial"/>
          <w:color w:val="00708B"/>
          <w:spacing w:val="11"/>
          <w:w w:val="95"/>
          <w:sz w:val="39"/>
        </w:rPr>
      </w:pPr>
      <w:r w:rsidRPr="00030053">
        <w:rPr>
          <w:rStyle w:val="Heading1Char"/>
          <w:noProof/>
        </w:rPr>
        <w:lastRenderedPageBreak/>
        <mc:AlternateContent>
          <mc:Choice Requires="wps">
            <w:drawing>
              <wp:anchor distT="0" distB="0" distL="0" distR="0" simplePos="0" relativeHeight="251482624" behindDoc="1" locked="0" layoutInCell="1" allowOverlap="1" wp14:anchorId="18F014E6" wp14:editId="4D5E70C1">
                <wp:simplePos x="0" y="0"/>
                <wp:positionH relativeFrom="page">
                  <wp:posOffset>804545</wp:posOffset>
                </wp:positionH>
                <wp:positionV relativeFrom="page">
                  <wp:posOffset>0</wp:posOffset>
                </wp:positionV>
                <wp:extent cx="6757670" cy="6686550"/>
                <wp:effectExtent l="0" t="0" r="0" b="0"/>
                <wp:wrapSquare wrapText="bothSides"/>
                <wp:docPr id="717"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8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883BC" w14:textId="77777777" w:rsidR="00490F33" w:rsidRDefault="00490F33">
                            <w:pPr>
                              <w:spacing w:after="1818"/>
                              <w:textAlignment w:val="baseline"/>
                            </w:pPr>
                            <w:r>
                              <w:rPr>
                                <w:noProof/>
                                <w:lang w:val="en-AU" w:eastAsia="en-AU"/>
                              </w:rPr>
                              <w:drawing>
                                <wp:inline distT="0" distB="0" distL="0" distR="0" wp14:anchorId="7AA5F8AF" wp14:editId="051B8637">
                                  <wp:extent cx="6757670" cy="5532120"/>
                                  <wp:effectExtent l="0" t="0" r="0" b="0"/>
                                  <wp:docPr id="12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1" name="Picture">
                                            <a:extLst>
                                              <a:ext uri="{C183D7F6-B498-43B3-948B-1728B52AA6E4}">
                                                <adec:decorative xmlns:adec="http://schemas.microsoft.com/office/drawing/2017/decorative" val="1"/>
                                              </a:ext>
                                            </a:extLst>
                                          </pic:cNvPr>
                                          <pic:cNvPicPr preferRelativeResize="0"/>
                                        </pic:nvPicPr>
                                        <pic:blipFill>
                                          <a:blip r:embed="rId160"/>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14E6" id="Text Box 438" o:spid="_x0000_s1165" type="#_x0000_t202" style="position:absolute;margin-left:63.35pt;margin-top:0;width:532.1pt;height:526.5pt;z-index:-251833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Up8gEAAMQDAAAOAAAAZHJzL2Uyb0RvYy54bWysU21v0zAQ/o7Ef7D8nabdaFqiptPYNIQ0&#10;BtLGD7g6TmOR+MzZbTJ+PWenKQO+Ib5Y53t5/Nxz583V0LXiqMkbtKVczOZSaKuwMnZfyq9Pd2/W&#10;UvgAtoIWrS7ls/byavv61aZ3hb7ABttKk2AQ64velbIJwRVZ5lWjO/AzdNpysEbqIPCV9llF0DN6&#10;12YX83me9UiVI1Tae/bejkG5Tfh1rVX4XNdeB9GWkrmFdFI6d/HMthso9gSuMepEA/6BRQfG8qNn&#10;qFsIIA5k/oLqjCL0WIeZwi7DujZKpx64m8X8j24eG3A69cLieHeWyf8/WPVw/ELCVKVcLVZSWOh4&#10;SE96COI9DuLt5Toq1DtfcOKj49QwcIAnnbr17h7VNy8s3jRg9/qaCPtGQ8UMF7Eye1E64vgIsus/&#10;YcUPwSFgAhpq6qJ8LIhgdJ7U83k6kYxiZ75arvIVhxTH8nydL5dpfhkUU7kjHz5o7EQ0Skk8/gQP&#10;x3sfIh0oppT4msU707ZpBVr7m4MToyfRj4xH7mHYDUmrxeW7SZcdVs/cEeG4WvwV2GiQfkjR81qV&#10;0n8/AGkp2o+WVYk7OBk0GbvJAKu4tJRBitG8CeOuHhyZfcPIo+4Wr1m52qSeosQjixNhXpXU6mmt&#10;4y6+vKesX59v+xMAAP//AwBQSwMEFAAGAAgAAAAhAKfTF87eAAAACgEAAA8AAABkcnMvZG93bnJl&#10;di54bWxMj8FOwzAQRO9I/IO1SNyo3SICCXGqCsEJCZGGA0cn2SZW43WI3Tb8PdsTve1oRrNv8vXs&#10;BnHEKVhPGpYLBQKp8a2lTsNX9Xb3BCJEQ60ZPKGGXwywLq6vcpO1/kQlHrexE1xCITMa+hjHTMrQ&#10;9OhMWPgRib2dn5yJLKdOtpM5cbkb5EqpRDpjiT/0ZsSXHpv99uA0bL6pfLU/H/VnuSttVaWK3pO9&#10;1rc38+YZRMQ5/ofhjM/oUDBT7Q/UBjGwXiWPHNXAi872MlUpiJov9XCvQBa5vJxQ/AEAAP//AwBQ&#10;SwECLQAUAAYACAAAACEAtoM4kv4AAADhAQAAEwAAAAAAAAAAAAAAAAAAAAAAW0NvbnRlbnRfVHlw&#10;ZXNdLnhtbFBLAQItABQABgAIAAAAIQA4/SH/1gAAAJQBAAALAAAAAAAAAAAAAAAAAC8BAABfcmVs&#10;cy8ucmVsc1BLAQItABQABgAIAAAAIQCXTTUp8gEAAMQDAAAOAAAAAAAAAAAAAAAAAC4CAABkcnMv&#10;ZTJvRG9jLnhtbFBLAQItABQABgAIAAAAIQCn0xfO3gAAAAoBAAAPAAAAAAAAAAAAAAAAAEwEAABk&#10;cnMvZG93bnJldi54bWxQSwUGAAAAAAQABADzAAAAVwUAAAAA&#10;" filled="f" stroked="f">
                <v:textbox inset="0,0,0,0">
                  <w:txbxContent>
                    <w:p w14:paraId="3AC883BC" w14:textId="77777777" w:rsidR="00490F33" w:rsidRDefault="00490F33">
                      <w:pPr>
                        <w:spacing w:after="1818"/>
                        <w:textAlignment w:val="baseline"/>
                      </w:pPr>
                      <w:r>
                        <w:rPr>
                          <w:noProof/>
                          <w:lang w:val="en-AU" w:eastAsia="en-AU"/>
                        </w:rPr>
                        <w:drawing>
                          <wp:inline distT="0" distB="0" distL="0" distR="0" wp14:anchorId="7AA5F8AF" wp14:editId="051B8637">
                            <wp:extent cx="6757670" cy="5532120"/>
                            <wp:effectExtent l="0" t="0" r="0" b="0"/>
                            <wp:docPr id="12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1" name="Picture">
                                      <a:extLst>
                                        <a:ext uri="{C183D7F6-B498-43B3-948B-1728B52AA6E4}">
                                          <adec:decorative xmlns:adec="http://schemas.microsoft.com/office/drawing/2017/decorative" val="1"/>
                                        </a:ext>
                                      </a:extLst>
                                    </pic:cNvPr>
                                    <pic:cNvPicPr preferRelativeResize="0"/>
                                  </pic:nvPicPr>
                                  <pic:blipFill>
                                    <a:blip r:embed="rId160"/>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sidRPr="00030053">
        <w:rPr>
          <w:rStyle w:val="Heading1Char"/>
        </w:rPr>
        <w:t>CHAPTER 3:</w:t>
      </w:r>
      <w:r w:rsidR="00083242">
        <w:rPr>
          <w:rFonts w:ascii="Arial" w:eastAsia="Arial" w:hAnsi="Arial"/>
          <w:color w:val="00708B"/>
          <w:spacing w:val="11"/>
          <w:w w:val="95"/>
          <w:sz w:val="39"/>
        </w:rPr>
        <w:t xml:space="preserve"> </w:t>
      </w:r>
      <w:r w:rsidR="00083242" w:rsidRPr="00D64119">
        <w:rPr>
          <w:rStyle w:val="Heading1Char"/>
          <w:b w:val="0"/>
          <w:bCs/>
        </w:rPr>
        <w:t>VET AND THE WORLD OF WORK</w:t>
      </w:r>
    </w:p>
    <w:p w14:paraId="5C0FE05F" w14:textId="77777777" w:rsidR="009757A9" w:rsidRDefault="009757A9">
      <w:pPr>
        <w:spacing w:before="2" w:after="4272" w:line="474" w:lineRule="exact"/>
        <w:sectPr w:rsidR="009757A9" w:rsidSect="00030053">
          <w:pgSz w:w="11909" w:h="16838"/>
          <w:pgMar w:top="0" w:right="1986" w:bottom="0" w:left="869" w:header="720" w:footer="720" w:gutter="0"/>
          <w:cols w:space="720"/>
        </w:sectPr>
      </w:pPr>
    </w:p>
    <w:p w14:paraId="681F7DC4" w14:textId="77777777" w:rsidR="009757A9" w:rsidRDefault="00083242">
      <w:pPr>
        <w:spacing w:before="2" w:after="609" w:line="205" w:lineRule="exact"/>
        <w:ind w:left="10800"/>
        <w:textAlignment w:val="baseline"/>
        <w:rPr>
          <w:rFonts w:ascii="Arial" w:eastAsia="Arial" w:hAnsi="Arial"/>
          <w:color w:val="5556A1"/>
          <w:spacing w:val="38"/>
          <w:sz w:val="18"/>
        </w:rPr>
      </w:pPr>
      <w:r>
        <w:rPr>
          <w:rFonts w:ascii="Arial" w:eastAsia="Arial" w:hAnsi="Arial"/>
          <w:color w:val="5556A1"/>
          <w:spacing w:val="38"/>
          <w:sz w:val="18"/>
        </w:rPr>
        <w:t>75</w:t>
      </w:r>
    </w:p>
    <w:p w14:paraId="1B28BF91" w14:textId="77777777" w:rsidR="009757A9" w:rsidRDefault="00083242">
      <w:pPr>
        <w:textAlignment w:val="baseline"/>
      </w:pPr>
      <w:r>
        <w:rPr>
          <w:noProof/>
          <w:lang w:val="en-AU" w:eastAsia="en-AU"/>
        </w:rPr>
        <w:drawing>
          <wp:inline distT="0" distB="0" distL="0" distR="0" wp14:anchorId="3B18749B" wp14:editId="343E25A4">
            <wp:extent cx="7562215" cy="462915"/>
            <wp:effectExtent l="0" t="0" r="0" b="0"/>
            <wp:docPr id="122" name="Picture"/>
            <wp:cNvGraphicFramePr/>
            <a:graphic xmlns:a="http://schemas.openxmlformats.org/drawingml/2006/main">
              <a:graphicData uri="http://schemas.openxmlformats.org/drawingml/2006/picture">
                <pic:pic xmlns:pic="http://schemas.openxmlformats.org/drawingml/2006/picture">
                  <pic:nvPicPr>
                    <pic:cNvPr id="122"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0549DEB8" w14:textId="77777777" w:rsidR="009757A9" w:rsidRDefault="009757A9">
      <w:pPr>
        <w:sectPr w:rsidR="009757A9">
          <w:type w:val="continuous"/>
          <w:pgSz w:w="11909" w:h="16838"/>
          <w:pgMar w:top="0" w:right="0" w:bottom="0" w:left="0" w:header="720" w:footer="720" w:gutter="0"/>
          <w:cols w:space="720"/>
        </w:sectPr>
      </w:pPr>
    </w:p>
    <w:p w14:paraId="7DF1DF6E" w14:textId="4EFE3378" w:rsidR="009757A9" w:rsidRDefault="000D2E34">
      <w:pPr>
        <w:spacing w:line="234" w:lineRule="exact"/>
        <w:ind w:left="792" w:right="1152"/>
        <w:textAlignment w:val="baseline"/>
        <w:rPr>
          <w:rFonts w:ascii="Tahoma" w:eastAsia="Tahoma" w:hAnsi="Tahoma"/>
          <w:color w:val="404042"/>
          <w:sz w:val="18"/>
        </w:rPr>
      </w:pPr>
      <w:r>
        <w:rPr>
          <w:noProof/>
          <w:lang w:val="en-AU" w:eastAsia="en-AU"/>
        </w:rPr>
        <w:lastRenderedPageBreak/>
        <mc:AlternateContent>
          <mc:Choice Requires="wps">
            <w:drawing>
              <wp:anchor distT="0" distB="300355" distL="539750" distR="536575" simplePos="0" relativeHeight="251483648" behindDoc="1" locked="0" layoutInCell="1" allowOverlap="1" wp14:anchorId="4F36DB6B" wp14:editId="48AFEE89">
                <wp:simplePos x="0" y="0"/>
                <wp:positionH relativeFrom="page">
                  <wp:posOffset>539750</wp:posOffset>
                </wp:positionH>
                <wp:positionV relativeFrom="page">
                  <wp:posOffset>711200</wp:posOffset>
                </wp:positionV>
                <wp:extent cx="6485890" cy="2473325"/>
                <wp:effectExtent l="0" t="0" r="10160" b="22225"/>
                <wp:wrapSquare wrapText="bothSides"/>
                <wp:docPr id="716"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2473325"/>
                        </a:xfrm>
                        <a:prstGeom prst="rect">
                          <a:avLst/>
                        </a:prstGeom>
                        <a:solidFill>
                          <a:srgbClr val="DFE6EB"/>
                        </a:solidFill>
                        <a:ln w="9525">
                          <a:solidFill>
                            <a:srgbClr val="000000"/>
                          </a:solidFill>
                          <a:miter lim="800000"/>
                          <a:headEnd/>
                          <a:tailEnd/>
                        </a:ln>
                      </wps:spPr>
                      <wps:txbx>
                        <w:txbxContent>
                          <w:p w14:paraId="7CBE1C7D" w14:textId="56F8B19C" w:rsidR="00490F33" w:rsidRDefault="00490F33">
                            <w:pPr>
                              <w:spacing w:before="32" w:after="137" w:line="230" w:lineRule="exact"/>
                              <w:ind w:left="33" w:right="5"/>
                              <w:textAlignment w:val="baseline"/>
                            </w:pPr>
                          </w:p>
                          <w:p w14:paraId="2457D6FB" w14:textId="77777777" w:rsidR="00490F33" w:rsidRDefault="00490F33" w:rsidP="00030053">
                            <w:pPr>
                              <w:pStyle w:val="Heading2"/>
                              <w:ind w:left="426"/>
                              <w:rPr>
                                <w:rFonts w:eastAsia="Arial"/>
                                <w:w w:val="95"/>
                              </w:rPr>
                            </w:pPr>
                            <w:r>
                              <w:rPr>
                                <w:rFonts w:eastAsia="Arial"/>
                                <w:w w:val="95"/>
                              </w:rPr>
                              <w:t>CHAPTER FINDINGS</w:t>
                            </w:r>
                          </w:p>
                          <w:p w14:paraId="58DF207E" w14:textId="77777777" w:rsidR="00490F33" w:rsidRDefault="00490F33">
                            <w:pPr>
                              <w:spacing w:before="25" w:line="215" w:lineRule="exact"/>
                              <w:ind w:left="216"/>
                              <w:textAlignment w:val="baseline"/>
                              <w:rPr>
                                <w:rFonts w:ascii="Tahoma" w:eastAsia="Tahoma" w:hAnsi="Tahoma"/>
                                <w:color w:val="404042"/>
                                <w:spacing w:val="6"/>
                                <w:sz w:val="18"/>
                              </w:rPr>
                            </w:pPr>
                            <w:r>
                              <w:rPr>
                                <w:rFonts w:ascii="Tahoma" w:eastAsia="Tahoma" w:hAnsi="Tahoma"/>
                                <w:color w:val="404042"/>
                                <w:spacing w:val="6"/>
                                <w:sz w:val="18"/>
                              </w:rPr>
                              <w:t>3.1 All students should be encouraged to undertake career education and work exploration activities, regardless</w:t>
                            </w:r>
                          </w:p>
                          <w:p w14:paraId="02EE5C4A" w14:textId="77777777" w:rsidR="00490F33" w:rsidRDefault="00490F33">
                            <w:pPr>
                              <w:spacing w:line="240" w:lineRule="exact"/>
                              <w:ind w:left="576" w:right="648"/>
                              <w:textAlignment w:val="baseline"/>
                              <w:rPr>
                                <w:rFonts w:ascii="Tahoma" w:eastAsia="Tahoma" w:hAnsi="Tahoma"/>
                                <w:color w:val="404042"/>
                                <w:sz w:val="18"/>
                              </w:rPr>
                            </w:pPr>
                            <w:r>
                              <w:rPr>
                                <w:rFonts w:ascii="Tahoma" w:eastAsia="Tahoma" w:hAnsi="Tahoma"/>
                                <w:color w:val="404042"/>
                                <w:sz w:val="18"/>
                              </w:rPr>
                              <w:t>of their chosen pathway or locality. They need to be provided with individualised, objective, unbiased and up-to-date career information.</w:t>
                            </w:r>
                          </w:p>
                          <w:p w14:paraId="0D57468C" w14:textId="77777777" w:rsidR="00490F33" w:rsidRDefault="00490F33">
                            <w:pPr>
                              <w:spacing w:before="168" w:line="240" w:lineRule="exact"/>
                              <w:ind w:left="576" w:right="936" w:hanging="360"/>
                              <w:textAlignment w:val="baseline"/>
                              <w:rPr>
                                <w:rFonts w:ascii="Verdana" w:eastAsia="Verdana" w:hAnsi="Verdana"/>
                                <w:color w:val="404042"/>
                                <w:spacing w:val="-7"/>
                                <w:sz w:val="18"/>
                              </w:rPr>
                            </w:pPr>
                            <w:r>
                              <w:rPr>
                                <w:rFonts w:ascii="Verdana" w:eastAsia="Verdana" w:hAnsi="Verdana"/>
                                <w:color w:val="404042"/>
                                <w:spacing w:val="-7"/>
                                <w:sz w:val="18"/>
                              </w:rPr>
                              <w:t>3.2 VET delivered to senior secondary students is of inconsistent quality, difficult to navigate, and not well integrated into senior secondary studies. VET qualifications delivered in schools need to meet clearly defined standards and deliver or contribute to credentials that are accepted in the labour market.</w:t>
                            </w:r>
                          </w:p>
                          <w:p w14:paraId="683A1D29" w14:textId="77777777" w:rsidR="00490F33" w:rsidRDefault="00490F33">
                            <w:pPr>
                              <w:spacing w:before="173" w:after="293" w:line="240" w:lineRule="exact"/>
                              <w:ind w:left="576" w:right="792" w:hanging="360"/>
                              <w:textAlignment w:val="baseline"/>
                              <w:rPr>
                                <w:rFonts w:ascii="Tahoma" w:eastAsia="Tahoma" w:hAnsi="Tahoma"/>
                                <w:color w:val="404042"/>
                                <w:sz w:val="18"/>
                              </w:rPr>
                            </w:pPr>
                            <w:r>
                              <w:rPr>
                                <w:rFonts w:ascii="Tahoma" w:eastAsia="Tahoma" w:hAnsi="Tahoma"/>
                                <w:color w:val="404042"/>
                                <w:sz w:val="18"/>
                              </w:rPr>
                              <w:t>3.3 Upfront expenses associated with undertaking VET are not equitable. Costs can act as a disincentive for students to study VET in both Years 11 and 12 or as a post-school pathway.</w:t>
                            </w:r>
                          </w:p>
                          <w:p w14:paraId="187D967D" w14:textId="71562796" w:rsidR="00490F33" w:rsidRDefault="00490F33">
                            <w:pPr>
                              <w:spacing w:after="43" w:line="192" w:lineRule="exact"/>
                              <w:ind w:left="33" w:right="5"/>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6DB6B" id="Text Box 437" o:spid="_x0000_s1166" type="#_x0000_t202" style="position:absolute;left:0;text-align:left;margin-left:42.5pt;margin-top:56pt;width:510.7pt;height:194.75pt;z-index:-251832832;visibility:visible;mso-wrap-style:square;mso-width-percent:0;mso-height-percent:0;mso-wrap-distance-left:42.5pt;mso-wrap-distance-top:0;mso-wrap-distance-right:42.25pt;mso-wrap-distance-bottom:23.6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fHKgIAAE4EAAAOAAAAZHJzL2Uyb0RvYy54bWysVNtu2zAMfR+wfxD0vjj3pEacos1lGNBd&#10;gHYfIMuyLUwWNUmJnX19KTlJuwv2MCwPAmVSh4eHZFa3XaPIUVgnQWd0NBhSIjSHQuoqo1+f9u+W&#10;lDjPdMEUaJHRk3D0dv32zao1qRhDDaoQliCIdmlrMlp7b9IkcbwWDXMDMEKjswTbMI9XWyWFZS2i&#10;NyoZD4fzpAVbGAtcOIdft72TriN+WQruP5elE56ojCI3H08bzzycyXrF0soyU0t+psH+gUXDpMak&#10;V6gt84wcrPwNqpHcgoPSDzg0CZSl5CLWgNWMhr9U81gzI2ItKI4zV5nc/4Pln45fLJFFRhejOSWa&#10;NdikJ9F5cg8dmU4WQaHWuBQDHw2G+g4d2OlYrTMPwL85omFTM12JO2uhrQUrkOEovExePe1xXADJ&#10;249QYCJ28BCButI2QT4UhCA6dup07U4gw/HjfLqcLW/QxdE3ni4mk/Es5mDp5bmxzr8X0JBgZNRi&#10;+yM8Oz44H+iw9BISsjlQsthLpeLFVvlGWXJkOCrb/W6+uz+j/xSmNGkzejPD3H+HGMbfnyAa6XHm&#10;lWwyurwGsTTottNFnEjPpOptpKz0WcigXa+i7/Iudm00jTMcZM6hOKG2Fvohx6VEowb7g5IWBzyj&#10;7vuBWUGJ+qCxP2EbLoa9GPnFYJrj04x6Snpz4/utORgrqxqR+wnQcIc9LGVU94XFmTAObRT9vGBh&#10;K17fY9TL38D6GQAA//8DAFBLAwQUAAYACAAAACEAmkVqf98AAAALAQAADwAAAGRycy9kb3ducmV2&#10;LnhtbEyPzU7DMBCE70i8g7VI3KjtiERRiFNVCCQQJwocuDnxNrEa21HspuHt2Z7gtj+zs9/U29WN&#10;bME52uAVyI0Ahr4LxvpewefH810JLCbtjR6DRwU/GGHbXF/VujLh7N9x2aeekYmPlVYwpDRVnMdu&#10;QKfjJkzoaXcIs9OJ2rnnZtZnMncjz4QouNPW04dBT/g4YHfcnxxhZMvhqT/u9NtLXsjp9cu25bdV&#10;6vZm3T0AS7imPzFc8OkGGmJqw8mbyEYFZU5REs1lRsVFIEVxD6xVkAuZA29q/j9D8wsAAP//AwBQ&#10;SwECLQAUAAYACAAAACEAtoM4kv4AAADhAQAAEwAAAAAAAAAAAAAAAAAAAAAAW0NvbnRlbnRfVHlw&#10;ZXNdLnhtbFBLAQItABQABgAIAAAAIQA4/SH/1gAAAJQBAAALAAAAAAAAAAAAAAAAAC8BAABfcmVs&#10;cy8ucmVsc1BLAQItABQABgAIAAAAIQA1AWfHKgIAAE4EAAAOAAAAAAAAAAAAAAAAAC4CAABkcnMv&#10;ZTJvRG9jLnhtbFBLAQItABQABgAIAAAAIQCaRWp/3wAAAAsBAAAPAAAAAAAAAAAAAAAAAIQEAABk&#10;cnMvZG93bnJldi54bWxQSwUGAAAAAAQABADzAAAAkAUAAAAA&#10;" fillcolor="#dfe6eb">
                <v:textbox inset="0,0,0,0">
                  <w:txbxContent>
                    <w:p w14:paraId="7CBE1C7D" w14:textId="56F8B19C" w:rsidR="00490F33" w:rsidRDefault="00490F33">
                      <w:pPr>
                        <w:spacing w:before="32" w:after="137" w:line="230" w:lineRule="exact"/>
                        <w:ind w:left="33" w:right="5"/>
                        <w:textAlignment w:val="baseline"/>
                      </w:pPr>
                    </w:p>
                    <w:p w14:paraId="2457D6FB" w14:textId="77777777" w:rsidR="00490F33" w:rsidRDefault="00490F33" w:rsidP="00030053">
                      <w:pPr>
                        <w:pStyle w:val="Heading2"/>
                        <w:ind w:left="426"/>
                        <w:rPr>
                          <w:rFonts w:eastAsia="Arial"/>
                          <w:w w:val="95"/>
                        </w:rPr>
                      </w:pPr>
                      <w:r>
                        <w:rPr>
                          <w:rFonts w:eastAsia="Arial"/>
                          <w:w w:val="95"/>
                        </w:rPr>
                        <w:t>CHAPTER FINDINGS</w:t>
                      </w:r>
                    </w:p>
                    <w:p w14:paraId="58DF207E" w14:textId="77777777" w:rsidR="00490F33" w:rsidRDefault="00490F33">
                      <w:pPr>
                        <w:spacing w:before="25" w:line="215" w:lineRule="exact"/>
                        <w:ind w:left="216"/>
                        <w:textAlignment w:val="baseline"/>
                        <w:rPr>
                          <w:rFonts w:ascii="Tahoma" w:eastAsia="Tahoma" w:hAnsi="Tahoma"/>
                          <w:color w:val="404042"/>
                          <w:spacing w:val="6"/>
                          <w:sz w:val="18"/>
                        </w:rPr>
                      </w:pPr>
                      <w:r>
                        <w:rPr>
                          <w:rFonts w:ascii="Tahoma" w:eastAsia="Tahoma" w:hAnsi="Tahoma"/>
                          <w:color w:val="404042"/>
                          <w:spacing w:val="6"/>
                          <w:sz w:val="18"/>
                        </w:rPr>
                        <w:t>3.1 All students should be encouraged to undertake career education and work exploration activities, regardless</w:t>
                      </w:r>
                    </w:p>
                    <w:p w14:paraId="02EE5C4A" w14:textId="77777777" w:rsidR="00490F33" w:rsidRDefault="00490F33">
                      <w:pPr>
                        <w:spacing w:line="240" w:lineRule="exact"/>
                        <w:ind w:left="576" w:right="648"/>
                        <w:textAlignment w:val="baseline"/>
                        <w:rPr>
                          <w:rFonts w:ascii="Tahoma" w:eastAsia="Tahoma" w:hAnsi="Tahoma"/>
                          <w:color w:val="404042"/>
                          <w:sz w:val="18"/>
                        </w:rPr>
                      </w:pPr>
                      <w:r>
                        <w:rPr>
                          <w:rFonts w:ascii="Tahoma" w:eastAsia="Tahoma" w:hAnsi="Tahoma"/>
                          <w:color w:val="404042"/>
                          <w:sz w:val="18"/>
                        </w:rPr>
                        <w:t>of their chosen pathway or locality. They need to be provided with individualised, objective, unbiased and up-to-date career information.</w:t>
                      </w:r>
                    </w:p>
                    <w:p w14:paraId="0D57468C" w14:textId="77777777" w:rsidR="00490F33" w:rsidRDefault="00490F33">
                      <w:pPr>
                        <w:spacing w:before="168" w:line="240" w:lineRule="exact"/>
                        <w:ind w:left="576" w:right="936" w:hanging="360"/>
                        <w:textAlignment w:val="baseline"/>
                        <w:rPr>
                          <w:rFonts w:ascii="Verdana" w:eastAsia="Verdana" w:hAnsi="Verdana"/>
                          <w:color w:val="404042"/>
                          <w:spacing w:val="-7"/>
                          <w:sz w:val="18"/>
                        </w:rPr>
                      </w:pPr>
                      <w:r>
                        <w:rPr>
                          <w:rFonts w:ascii="Verdana" w:eastAsia="Verdana" w:hAnsi="Verdana"/>
                          <w:color w:val="404042"/>
                          <w:spacing w:val="-7"/>
                          <w:sz w:val="18"/>
                        </w:rPr>
                        <w:t>3.2 VET delivered to senior secondary students is of inconsistent quality, difficult to navigate, and not well integrated into senior secondary studies. VET qualifications delivered in schools need to meet clearly defined standards and deliver or contribute to credentials that are accepted in the labour market.</w:t>
                      </w:r>
                    </w:p>
                    <w:p w14:paraId="683A1D29" w14:textId="77777777" w:rsidR="00490F33" w:rsidRDefault="00490F33">
                      <w:pPr>
                        <w:spacing w:before="173" w:after="293" w:line="240" w:lineRule="exact"/>
                        <w:ind w:left="576" w:right="792" w:hanging="360"/>
                        <w:textAlignment w:val="baseline"/>
                        <w:rPr>
                          <w:rFonts w:ascii="Tahoma" w:eastAsia="Tahoma" w:hAnsi="Tahoma"/>
                          <w:color w:val="404042"/>
                          <w:sz w:val="18"/>
                        </w:rPr>
                      </w:pPr>
                      <w:r>
                        <w:rPr>
                          <w:rFonts w:ascii="Tahoma" w:eastAsia="Tahoma" w:hAnsi="Tahoma"/>
                          <w:color w:val="404042"/>
                          <w:sz w:val="18"/>
                        </w:rPr>
                        <w:t>3.3 Upfront expenses associated with undertaking VET are not equitable. Costs can act as a disincentive for students to study VET in both Years 11 and 12 or as a post-school pathway.</w:t>
                      </w:r>
                    </w:p>
                    <w:p w14:paraId="187D967D" w14:textId="71562796" w:rsidR="00490F33" w:rsidRDefault="00490F33">
                      <w:pPr>
                        <w:spacing w:after="43" w:line="192" w:lineRule="exact"/>
                        <w:ind w:left="33" w:right="5"/>
                        <w:textAlignment w:val="baseline"/>
                      </w:pPr>
                    </w:p>
                  </w:txbxContent>
                </v:textbox>
                <w10:wrap type="square" anchorx="page" anchory="page"/>
              </v:shape>
            </w:pict>
          </mc:Fallback>
        </mc:AlternateContent>
      </w:r>
      <w:r w:rsidR="00083242">
        <w:rPr>
          <w:rFonts w:ascii="Tahoma" w:eastAsia="Tahoma" w:hAnsi="Tahoma"/>
          <w:color w:val="404042"/>
          <w:sz w:val="18"/>
        </w:rPr>
        <w:t xml:space="preserve">Australia’s economy needs graduates from both the higher education and VET sectors. Many people misunderstand </w:t>
      </w:r>
      <w:r w:rsidR="00083242">
        <w:rPr>
          <w:rFonts w:ascii="Verdana" w:eastAsia="Verdana" w:hAnsi="Verdana"/>
          <w:color w:val="404042"/>
          <w:sz w:val="18"/>
        </w:rPr>
        <w:t xml:space="preserve">the breadth and depth of offerings in the VET sector, incorrectly assuming it is limited to trades training. In reality, it </w:t>
      </w:r>
      <w:r w:rsidR="00083242">
        <w:rPr>
          <w:rFonts w:ascii="Tahoma" w:eastAsia="Tahoma" w:hAnsi="Tahoma"/>
          <w:color w:val="404042"/>
          <w:sz w:val="18"/>
        </w:rPr>
        <w:t>also encompasses emerging areas such as coding, cybersecurity and mechatronics.</w:t>
      </w:r>
    </w:p>
    <w:p w14:paraId="43156DB5" w14:textId="6D22D76E" w:rsidR="009757A9" w:rsidRDefault="00083242">
      <w:pPr>
        <w:spacing w:before="185" w:line="240" w:lineRule="exact"/>
        <w:ind w:left="792" w:right="864"/>
        <w:textAlignment w:val="baseline"/>
        <w:rPr>
          <w:rFonts w:ascii="Tahoma" w:eastAsia="Tahoma" w:hAnsi="Tahoma"/>
          <w:color w:val="404042"/>
          <w:sz w:val="18"/>
        </w:rPr>
      </w:pPr>
      <w:r>
        <w:rPr>
          <w:rFonts w:ascii="Tahoma" w:eastAsia="Tahoma" w:hAnsi="Tahoma"/>
          <w:color w:val="404042"/>
          <w:sz w:val="18"/>
        </w:rPr>
        <w:t xml:space="preserve">While the impact of the COVID-19 pandemic on labour market demand is yet to play out, earlier predictions indicated </w:t>
      </w:r>
      <w:r>
        <w:rPr>
          <w:rFonts w:ascii="Verdana" w:eastAsia="Verdana" w:hAnsi="Verdana"/>
          <w:color w:val="404042"/>
          <w:sz w:val="18"/>
        </w:rPr>
        <w:t xml:space="preserve">the strongest employment growth over the next five years in Australia would occur not only for professionals but for </w:t>
      </w:r>
      <w:r>
        <w:rPr>
          <w:rFonts w:ascii="Tahoma" w:eastAsia="Tahoma" w:hAnsi="Tahoma"/>
          <w:color w:val="404042"/>
          <w:sz w:val="18"/>
        </w:rPr>
        <w:t>community and personal service workers,</w:t>
      </w:r>
      <w:r>
        <w:rPr>
          <w:rFonts w:ascii="Tahoma" w:eastAsia="Tahoma" w:hAnsi="Tahoma"/>
          <w:color w:val="404042"/>
          <w:sz w:val="18"/>
          <w:vertAlign w:val="superscript"/>
        </w:rPr>
        <w:t>85</w:t>
      </w:r>
      <w:r>
        <w:rPr>
          <w:rFonts w:ascii="Tahoma" w:eastAsia="Tahoma" w:hAnsi="Tahoma"/>
          <w:color w:val="404042"/>
          <w:sz w:val="18"/>
        </w:rPr>
        <w:t xml:space="preserve"> many of whom are vocationally trained. Addressing skills shortages across </w:t>
      </w:r>
      <w:r>
        <w:rPr>
          <w:rFonts w:ascii="Verdana" w:eastAsia="Verdana" w:hAnsi="Verdana"/>
          <w:color w:val="404042"/>
          <w:sz w:val="18"/>
        </w:rPr>
        <w:t xml:space="preserve">Australia will require people with a range of qualifications – including specialist managers, health professionals, trade </w:t>
      </w:r>
      <w:r>
        <w:rPr>
          <w:rFonts w:ascii="Tahoma" w:eastAsia="Tahoma" w:hAnsi="Tahoma"/>
          <w:color w:val="404042"/>
          <w:sz w:val="18"/>
        </w:rPr>
        <w:t>workers from the automotive, construction, electrotechnology and food trades, and hairdressers.</w:t>
      </w:r>
      <w:r>
        <w:rPr>
          <w:rFonts w:ascii="Tahoma" w:eastAsia="Tahoma" w:hAnsi="Tahoma"/>
          <w:color w:val="404042"/>
          <w:sz w:val="18"/>
          <w:vertAlign w:val="superscript"/>
        </w:rPr>
        <w:t>86</w:t>
      </w:r>
      <w:r>
        <w:rPr>
          <w:rFonts w:ascii="Tahoma" w:eastAsia="Tahoma" w:hAnsi="Tahoma"/>
          <w:color w:val="404042"/>
          <w:sz w:val="10"/>
        </w:rPr>
        <w:t xml:space="preserve"> </w:t>
      </w:r>
    </w:p>
    <w:p w14:paraId="281E7E37" w14:textId="244E6617" w:rsidR="009757A9" w:rsidRDefault="00083242">
      <w:pPr>
        <w:spacing w:before="156" w:line="240" w:lineRule="exact"/>
        <w:ind w:left="792" w:right="864"/>
        <w:textAlignment w:val="baseline"/>
        <w:rPr>
          <w:rFonts w:ascii="Tahoma" w:eastAsia="Tahoma" w:hAnsi="Tahoma"/>
          <w:color w:val="404042"/>
          <w:spacing w:val="3"/>
          <w:sz w:val="18"/>
        </w:rPr>
      </w:pPr>
      <w:r>
        <w:rPr>
          <w:rFonts w:ascii="Tahoma" w:eastAsia="Tahoma" w:hAnsi="Tahoma"/>
          <w:color w:val="404042"/>
          <w:spacing w:val="3"/>
          <w:sz w:val="18"/>
        </w:rPr>
        <w:t>For decades, Australia’s VET system has successfully developed skilled workers for many occupations to support economic growth through labour force participation. Yet, in terms of post-school pathways, VET is now considered the poor cousin to university.</w:t>
      </w:r>
      <w:r>
        <w:rPr>
          <w:rFonts w:ascii="Tahoma" w:eastAsia="Tahoma" w:hAnsi="Tahoma"/>
          <w:color w:val="404042"/>
          <w:spacing w:val="3"/>
          <w:sz w:val="18"/>
          <w:vertAlign w:val="superscript"/>
        </w:rPr>
        <w:t>87</w:t>
      </w:r>
      <w:r>
        <w:rPr>
          <w:rFonts w:ascii="Tahoma" w:eastAsia="Tahoma" w:hAnsi="Tahoma"/>
          <w:color w:val="404042"/>
          <w:spacing w:val="3"/>
          <w:sz w:val="18"/>
        </w:rPr>
        <w:t xml:space="preserve"> In 1996, there were 536,400 students studying at technical and further education, 203,800 students at ‘other educational institutions’, and 746,000 students at university;</w:t>
      </w:r>
      <w:r>
        <w:rPr>
          <w:rFonts w:ascii="Tahoma" w:eastAsia="Tahoma" w:hAnsi="Tahoma"/>
          <w:color w:val="404042"/>
          <w:spacing w:val="3"/>
          <w:sz w:val="18"/>
          <w:vertAlign w:val="superscript"/>
        </w:rPr>
        <w:t>88</w:t>
      </w:r>
      <w:r>
        <w:rPr>
          <w:rFonts w:ascii="Tahoma" w:eastAsia="Tahoma" w:hAnsi="Tahoma"/>
          <w:color w:val="404042"/>
          <w:spacing w:val="3"/>
          <w:sz w:val="18"/>
        </w:rPr>
        <w:t xml:space="preserve"> by 2019, the number studying at technical and further education had dropped to 517,800, the number at ‘other institutions/organisations’ increased </w:t>
      </w:r>
      <w:r>
        <w:rPr>
          <w:rFonts w:ascii="Verdana" w:eastAsia="Verdana" w:hAnsi="Verdana"/>
          <w:color w:val="404042"/>
          <w:spacing w:val="3"/>
          <w:sz w:val="18"/>
        </w:rPr>
        <w:t>to 320,500, and there was a significant increase to 1.4 million at university.</w:t>
      </w:r>
      <w:r>
        <w:rPr>
          <w:rFonts w:ascii="Tahoma" w:eastAsia="Tahoma" w:hAnsi="Tahoma"/>
          <w:color w:val="404042"/>
          <w:spacing w:val="3"/>
          <w:sz w:val="18"/>
          <w:vertAlign w:val="superscript"/>
        </w:rPr>
        <w:t>89</w:t>
      </w:r>
      <w:r>
        <w:rPr>
          <w:rFonts w:ascii="Tahoma" w:eastAsia="Tahoma" w:hAnsi="Tahoma"/>
          <w:color w:val="404042"/>
          <w:spacing w:val="3"/>
          <w:sz w:val="18"/>
        </w:rPr>
        <w:t xml:space="preserve"> Today in Australia, many workers have </w:t>
      </w:r>
      <w:r>
        <w:rPr>
          <w:rFonts w:ascii="Verdana" w:eastAsia="Verdana" w:hAnsi="Verdana"/>
          <w:color w:val="404042"/>
          <w:spacing w:val="3"/>
          <w:sz w:val="18"/>
        </w:rPr>
        <w:t xml:space="preserve">gained both VET and higher education qualifications. It is the combination that gives them the skills they need for the </w:t>
      </w:r>
      <w:r>
        <w:rPr>
          <w:rFonts w:ascii="Tahoma" w:eastAsia="Tahoma" w:hAnsi="Tahoma"/>
          <w:color w:val="404042"/>
          <w:spacing w:val="3"/>
          <w:sz w:val="18"/>
        </w:rPr>
        <w:t>workplace. Yet in many parts of Australia, VET and academic learning are conceptualised and taught as very separate streams – academic learning focuses on knowledge acquisition in traditional learning areas, and VET programs focus on skills development for a particular occupation or trade.</w:t>
      </w:r>
      <w:r>
        <w:rPr>
          <w:rFonts w:ascii="Tahoma" w:eastAsia="Tahoma" w:hAnsi="Tahoma"/>
          <w:color w:val="404042"/>
          <w:spacing w:val="3"/>
          <w:sz w:val="18"/>
          <w:vertAlign w:val="superscript"/>
        </w:rPr>
        <w:t>90</w:t>
      </w:r>
      <w:r>
        <w:rPr>
          <w:rFonts w:ascii="Verdana" w:eastAsia="Verdana" w:hAnsi="Verdana"/>
          <w:color w:val="404042"/>
          <w:spacing w:val="3"/>
          <w:sz w:val="18"/>
        </w:rPr>
        <w:t xml:space="preserve"> It is difficult for secondary students to mix and match courses </w:t>
      </w:r>
      <w:r>
        <w:rPr>
          <w:rFonts w:ascii="Tahoma" w:eastAsia="Tahoma" w:hAnsi="Tahoma"/>
          <w:color w:val="404042"/>
          <w:spacing w:val="3"/>
          <w:sz w:val="18"/>
        </w:rPr>
        <w:t>at school as readily as they can once they move into tertiary education.</w:t>
      </w:r>
    </w:p>
    <w:p w14:paraId="34DCC611" w14:textId="471820E8" w:rsidR="009757A9" w:rsidRDefault="00083242">
      <w:pPr>
        <w:spacing w:before="168" w:after="345" w:line="240" w:lineRule="exact"/>
        <w:ind w:left="792" w:right="864"/>
        <w:textAlignment w:val="baseline"/>
        <w:rPr>
          <w:rFonts w:ascii="Verdana" w:eastAsia="Verdana" w:hAnsi="Verdana"/>
          <w:color w:val="404042"/>
          <w:sz w:val="18"/>
        </w:rPr>
      </w:pPr>
      <w:r>
        <w:rPr>
          <w:rFonts w:ascii="Verdana" w:eastAsia="Verdana" w:hAnsi="Verdana"/>
          <w:color w:val="404042"/>
          <w:sz w:val="18"/>
        </w:rPr>
        <w:t xml:space="preserve">The Panel identified good examples of VET delivered to secondary students. We also heard criticism that many VET certificates gained by students in school are not recognised as equivalent to post-school qualifications by industry and do not provide an effective pathway into a job. In addition, there are disparities in funding and the manner in which VET </w:t>
      </w:r>
      <w:r>
        <w:rPr>
          <w:rFonts w:ascii="Tahoma" w:eastAsia="Tahoma" w:hAnsi="Tahoma"/>
          <w:color w:val="404042"/>
          <w:sz w:val="18"/>
        </w:rPr>
        <w:t>units of competency can count towards an SSCE across states and territories. These factors act as a disincentive for able students to choose to study VET in schools.</w:t>
      </w:r>
    </w:p>
    <w:p w14:paraId="14A75BF6" w14:textId="4814D8E9" w:rsidR="009757A9" w:rsidRDefault="000D2E34">
      <w:pPr>
        <w:spacing w:before="80" w:line="167" w:lineRule="exact"/>
        <w:ind w:left="792"/>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88128" behindDoc="0" locked="0" layoutInCell="1" allowOverlap="1" wp14:anchorId="57F2A242" wp14:editId="368F70E9">
                <wp:simplePos x="0" y="0"/>
                <wp:positionH relativeFrom="page">
                  <wp:posOffset>539750</wp:posOffset>
                </wp:positionH>
                <wp:positionV relativeFrom="page">
                  <wp:posOffset>7674610</wp:posOffset>
                </wp:positionV>
                <wp:extent cx="917575" cy="0"/>
                <wp:effectExtent l="0" t="0" r="0" b="0"/>
                <wp:wrapNone/>
                <wp:docPr id="715"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8BA41" id="Line 436" o:spid="_x0000_s1026" style="position:absolute;z-index:2518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04.3pt" to="114.75pt,6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UlzQEAAIYDAAAOAAAAZHJzL2Uyb0RvYy54bWysU02T0zAMvTPDf/D4TpMU2kKm6R5alkuB&#10;zuzyA1TbSTw4lsd2m/bfI7sfu8CNIQePZUlPT0/K8uE0GHZUPmi0Da8mJWfKCpTadg3/8fz47iNn&#10;IYKVYNCqhp9V4A+rt2+Wo6vVFHs0UnlGIDbUo2t4H6OriyKIXg0QJuiUJWeLfoBIpu8K6WEk9MEU&#10;07KcFyN66TwKFQK9bi5Ovsr4batE/N62QUVmGk7cYj59PvfpLFZLqDsPrtfiSgP+gcUA2lLRO9QG&#10;IrCD139BDVp4DNjGicChwLbVQuUeqJuq/KObpx6cyr2QOMHdZQr/D1Z8O+4807Lhi2rGmYWBhrTV&#10;VrEP7+dJndGFmoLWdudTf+Jkn9wWxc/ALK57sJ3KLJ/PjhKrlFH8lpKM4KjGfvyKkmLgEDFLdWr9&#10;kCBJBHbKEznfJ6JOkQl6/FQtZgviJW6uAupbnvMhflE4sHRpuCHSGReO2xATD6hvIamMxUdtTJ63&#10;sWwkstNyPssZAY2WyZvigu/2a+PZEdLK5C93RZ7XYQl6A6G/xGXXZZk8HqzMZXoF8vP1HkGby51o&#10;GXtVKQlzkXiP8rzzN/Vo2Jn/dTHTNr22c/bL77P6BQAA//8DAFBLAwQUAAYACAAAACEAK1w2fN8A&#10;AAAMAQAADwAAAGRycy9kb3ducmV2LnhtbEyPwU7DMBBE70j8g7VIXBC1idrKhDgVqgQ3EBSq9ujG&#10;SxIRr6PYbcLfsxwQHHd2NPOmWE2+EyccYhvIwM1MgUCqgmupNvD+9nCtQcRkydkuEBr4wgir8vys&#10;sLkLI73iaZNqwSEUc2ugSanPpYxVg97GWeiR+PcRBm8Tn0Mt3WBHDvedzJRaSm9b4obG9rhusPrc&#10;HL0BKZWeT9vd+DS/irrdr+v94/OLMZcX0/0diIRT+jPDDz6jQ8lMh3AkF0VnQC94SmI9U3oJgh1Z&#10;drsAcfiVZFnI/yPKbwAAAP//AwBQSwECLQAUAAYACAAAACEAtoM4kv4AAADhAQAAEwAAAAAAAAAA&#10;AAAAAAAAAAAAW0NvbnRlbnRfVHlwZXNdLnhtbFBLAQItABQABgAIAAAAIQA4/SH/1gAAAJQBAAAL&#10;AAAAAAAAAAAAAAAAAC8BAABfcmVscy8ucmVsc1BLAQItABQABgAIAAAAIQBukHUlzQEAAIYDAAAO&#10;AAAAAAAAAAAAAAAAAC4CAABkcnMvZTJvRG9jLnhtbFBLAQItABQABgAIAAAAIQArXDZ83wAAAAwB&#10;AAAPAAAAAAAAAAAAAAAAACcEAABkcnMvZG93bnJldi54bWxQSwUGAAAAAAQABADzAAAAMwUAAAAA&#10;" strokeweight=".95pt">
                <w10:wrap anchorx="page" anchory="page"/>
              </v:line>
            </w:pict>
          </mc:Fallback>
        </mc:AlternateContent>
      </w:r>
      <w:r w:rsidR="00083242">
        <w:rPr>
          <w:rFonts w:ascii="Tahoma" w:eastAsia="Tahoma" w:hAnsi="Tahoma"/>
          <w:color w:val="404042"/>
          <w:sz w:val="14"/>
        </w:rPr>
        <w:t xml:space="preserve">85 </w:t>
      </w:r>
      <w:r w:rsidR="00083242">
        <w:rPr>
          <w:rFonts w:ascii="Verdana" w:eastAsia="Verdana" w:hAnsi="Verdana"/>
          <w:color w:val="404042"/>
          <w:sz w:val="13"/>
        </w:rPr>
        <w:t>Commonwealth Department of Employment, Skills, Small and Family Business (2019a), p. 6.</w:t>
      </w:r>
    </w:p>
    <w:p w14:paraId="737FA16A" w14:textId="77777777" w:rsidR="009757A9" w:rsidRDefault="00083242">
      <w:pPr>
        <w:spacing w:line="199" w:lineRule="exact"/>
        <w:ind w:left="1080" w:right="864" w:hanging="288"/>
        <w:jc w:val="both"/>
        <w:textAlignment w:val="baseline"/>
        <w:rPr>
          <w:rFonts w:ascii="Tahoma" w:eastAsia="Tahoma" w:hAnsi="Tahoma"/>
          <w:color w:val="404042"/>
          <w:sz w:val="14"/>
        </w:rPr>
      </w:pPr>
      <w:r>
        <w:rPr>
          <w:rFonts w:ascii="Tahoma" w:eastAsia="Tahoma" w:hAnsi="Tahoma"/>
          <w:color w:val="404042"/>
          <w:sz w:val="14"/>
        </w:rPr>
        <w:t xml:space="preserve">86 Commonwealth Department of Employment, Skills, Small and Family Business (2019b), </w:t>
      </w:r>
      <w:r>
        <w:rPr>
          <w:rFonts w:ascii="Arial" w:eastAsia="Arial" w:hAnsi="Arial"/>
          <w:i/>
          <w:color w:val="404042"/>
          <w:sz w:val="14"/>
        </w:rPr>
        <w:t>Ratings Summary: Labour market analysis of skills occupations</w:t>
      </w:r>
      <w:r>
        <w:rPr>
          <w:rFonts w:ascii="Tahoma" w:eastAsia="Tahoma" w:hAnsi="Tahoma"/>
          <w:color w:val="404042"/>
          <w:sz w:val="14"/>
        </w:rPr>
        <w:t xml:space="preserve">, </w:t>
      </w:r>
      <w:hyperlink r:id="rId161">
        <w:r>
          <w:rPr>
            <w:rFonts w:ascii="Verdana" w:eastAsia="Verdana" w:hAnsi="Verdana"/>
            <w:color w:val="0000FF"/>
            <w:sz w:val="13"/>
            <w:u w:val="single"/>
          </w:rPr>
          <w:t>https://docs.employment.gov.au/system/files/doc/other/ratingssummary_june2019_0.pdf</w:t>
        </w:r>
      </w:hyperlink>
      <w:r>
        <w:rPr>
          <w:rFonts w:ascii="Tahoma" w:eastAsia="Tahoma" w:hAnsi="Tahoma"/>
          <w:color w:val="404042"/>
          <w:sz w:val="14"/>
        </w:rPr>
        <w:t>.</w:t>
      </w:r>
    </w:p>
    <w:p w14:paraId="0260506E" w14:textId="46C834DA" w:rsidR="009757A9" w:rsidRDefault="00083242">
      <w:pPr>
        <w:spacing w:line="200" w:lineRule="exact"/>
        <w:ind w:left="1080" w:right="864" w:hanging="288"/>
        <w:textAlignment w:val="baseline"/>
        <w:rPr>
          <w:rFonts w:ascii="Tahoma" w:eastAsia="Tahoma" w:hAnsi="Tahoma"/>
          <w:color w:val="404042"/>
          <w:spacing w:val="4"/>
          <w:sz w:val="14"/>
        </w:rPr>
      </w:pPr>
      <w:r>
        <w:rPr>
          <w:rFonts w:ascii="Tahoma" w:eastAsia="Tahoma" w:hAnsi="Tahoma"/>
          <w:color w:val="404042"/>
          <w:spacing w:val="4"/>
          <w:sz w:val="14"/>
        </w:rPr>
        <w:t xml:space="preserve">87 Skilling Australia Foundation and McCrindle (2017), </w:t>
      </w:r>
      <w:r>
        <w:rPr>
          <w:rFonts w:ascii="Arial" w:eastAsia="Arial" w:hAnsi="Arial"/>
          <w:i/>
          <w:color w:val="404042"/>
          <w:spacing w:val="4"/>
          <w:sz w:val="14"/>
        </w:rPr>
        <w:t>Perceptions Are Not Reality: Myths, realities and the critical role of vocational education and training in Australia</w:t>
      </w:r>
      <w:r>
        <w:rPr>
          <w:rFonts w:ascii="Verdana" w:eastAsia="Verdana" w:hAnsi="Verdana"/>
          <w:color w:val="404042"/>
          <w:spacing w:val="4"/>
          <w:sz w:val="13"/>
        </w:rPr>
        <w:t xml:space="preserve">, May 2017, p. 5, </w:t>
      </w:r>
      <w:hyperlink r:id="rId162">
        <w:r>
          <w:rPr>
            <w:rFonts w:ascii="Tahoma" w:eastAsia="Tahoma" w:hAnsi="Tahoma"/>
            <w:color w:val="0000FF"/>
            <w:spacing w:val="4"/>
            <w:sz w:val="14"/>
            <w:u w:val="single"/>
          </w:rPr>
          <w:t>https://2qean3b1jjd1s87812ool5ji-wpengine.netdna-ssl.com/wp-content/uploads/work/Skilling-Australia-Vocation-Educ ation-Report.pdf</w:t>
        </w:r>
      </w:hyperlink>
      <w:r>
        <w:rPr>
          <w:rFonts w:ascii="Tahoma" w:eastAsia="Tahoma" w:hAnsi="Tahoma"/>
          <w:color w:val="404042"/>
          <w:spacing w:val="4"/>
          <w:sz w:val="14"/>
        </w:rPr>
        <w:t>.</w:t>
      </w:r>
    </w:p>
    <w:p w14:paraId="43FA353F" w14:textId="6AD3D049" w:rsidR="009757A9" w:rsidRDefault="00083242">
      <w:pPr>
        <w:spacing w:before="3" w:line="200" w:lineRule="exact"/>
        <w:ind w:left="1080" w:right="1008" w:hanging="288"/>
        <w:jc w:val="both"/>
        <w:textAlignment w:val="baseline"/>
        <w:rPr>
          <w:rFonts w:ascii="Tahoma" w:eastAsia="Tahoma" w:hAnsi="Tahoma"/>
          <w:color w:val="404042"/>
          <w:sz w:val="14"/>
        </w:rPr>
      </w:pPr>
      <w:r>
        <w:rPr>
          <w:rFonts w:ascii="Tahoma" w:eastAsia="Tahoma" w:hAnsi="Tahoma"/>
          <w:color w:val="404042"/>
          <w:sz w:val="14"/>
        </w:rPr>
        <w:t xml:space="preserve">88 Australian Bureau of Statistics (1996), </w:t>
      </w:r>
      <w:r>
        <w:rPr>
          <w:rFonts w:ascii="Arial" w:eastAsia="Arial" w:hAnsi="Arial"/>
          <w:i/>
          <w:color w:val="404042"/>
          <w:sz w:val="14"/>
        </w:rPr>
        <w:t>Transition from Education to Work, Australia, May 1996</w:t>
      </w:r>
      <w:r>
        <w:rPr>
          <w:rFonts w:ascii="Verdana" w:eastAsia="Verdana" w:hAnsi="Verdana"/>
          <w:color w:val="404042"/>
          <w:sz w:val="13"/>
        </w:rPr>
        <w:t xml:space="preserve">, cat. no. 6227.0, p. 5, </w:t>
      </w:r>
      <w:hyperlink r:id="rId163">
        <w:r>
          <w:rPr>
            <w:rFonts w:ascii="Tahoma" w:eastAsia="Tahoma" w:hAnsi="Tahoma"/>
            <w:color w:val="0000FF"/>
            <w:sz w:val="14"/>
            <w:u w:val="single"/>
          </w:rPr>
          <w:t>https://www.ausstats.abs.gov.au/ ausstats/free.nsf/0/A5D41B6DD31B7B4DCA25722500073702/$File/62270_1996.pdf</w:t>
        </w:r>
      </w:hyperlink>
      <w:r>
        <w:rPr>
          <w:rFonts w:ascii="Tahoma" w:eastAsia="Tahoma" w:hAnsi="Tahoma"/>
          <w:color w:val="404042"/>
          <w:sz w:val="14"/>
        </w:rPr>
        <w:t>.</w:t>
      </w:r>
    </w:p>
    <w:p w14:paraId="70D98EF3" w14:textId="6322B330" w:rsidR="009757A9" w:rsidRDefault="00083242">
      <w:pPr>
        <w:spacing w:before="30" w:line="163" w:lineRule="exact"/>
        <w:ind w:left="792"/>
        <w:textAlignment w:val="baseline"/>
        <w:rPr>
          <w:rFonts w:ascii="Tahoma" w:eastAsia="Tahoma" w:hAnsi="Tahoma"/>
          <w:color w:val="404042"/>
          <w:spacing w:val="4"/>
          <w:sz w:val="14"/>
        </w:rPr>
      </w:pPr>
      <w:r>
        <w:rPr>
          <w:rFonts w:ascii="Tahoma" w:eastAsia="Tahoma" w:hAnsi="Tahoma"/>
          <w:color w:val="404042"/>
          <w:spacing w:val="4"/>
          <w:sz w:val="14"/>
        </w:rPr>
        <w:t>89 Australian Bureau of Statistics (2019b).</w:t>
      </w:r>
    </w:p>
    <w:p w14:paraId="654DE1AF" w14:textId="1F587389" w:rsidR="009757A9" w:rsidRDefault="00083242">
      <w:pPr>
        <w:spacing w:before="4" w:line="200" w:lineRule="exact"/>
        <w:ind w:left="1080" w:right="1440" w:hanging="288"/>
        <w:textAlignment w:val="baseline"/>
        <w:rPr>
          <w:rFonts w:ascii="Tahoma" w:eastAsia="Tahoma" w:hAnsi="Tahoma"/>
          <w:color w:val="404042"/>
          <w:sz w:val="14"/>
        </w:rPr>
      </w:pPr>
      <w:r>
        <w:rPr>
          <w:rFonts w:ascii="Tahoma" w:eastAsia="Tahoma" w:hAnsi="Tahoma"/>
          <w:color w:val="404042"/>
          <w:sz w:val="14"/>
        </w:rPr>
        <w:t xml:space="preserve">90 O’Connell, M. and Torii, K. (2016), ‘Vocational learning in schools – an international comparison’, in Committee for Economic Development of Australia (2016), </w:t>
      </w:r>
      <w:r>
        <w:rPr>
          <w:rFonts w:ascii="Arial" w:eastAsia="Arial" w:hAnsi="Arial"/>
          <w:i/>
          <w:color w:val="404042"/>
          <w:sz w:val="14"/>
        </w:rPr>
        <w:t>VET: Securing skills for growth</w:t>
      </w:r>
      <w:r>
        <w:rPr>
          <w:rFonts w:ascii="Verdana" w:eastAsia="Verdana" w:hAnsi="Verdana"/>
          <w:color w:val="404042"/>
          <w:sz w:val="13"/>
        </w:rPr>
        <w:t xml:space="preserve">, August 2016, p. 70, </w:t>
      </w:r>
      <w:hyperlink r:id="rId164">
        <w:r>
          <w:rPr>
            <w:rFonts w:ascii="Tahoma" w:eastAsia="Tahoma" w:hAnsi="Tahoma"/>
            <w:color w:val="0000FF"/>
            <w:sz w:val="14"/>
            <w:u w:val="single"/>
          </w:rPr>
          <w:t xml:space="preserve">https://www.ceda.com.au/CEDA/media/ResearchCatalogueDocuments/ </w:t>
        </w:r>
      </w:hyperlink>
      <w:r>
        <w:rPr>
          <w:rFonts w:ascii="Verdana" w:eastAsia="Verdana" w:hAnsi="Verdana"/>
          <w:color w:val="0000FF"/>
          <w:sz w:val="13"/>
          <w:u w:val="single"/>
        </w:rPr>
        <w:t>Research%20and%20Policy/PDF/31760-CEDAVETReportAugust2016Final_flattened.pdf</w:t>
      </w:r>
      <w:r>
        <w:rPr>
          <w:rFonts w:ascii="Tahoma" w:eastAsia="Tahoma" w:hAnsi="Tahoma"/>
          <w:color w:val="404042"/>
          <w:sz w:val="14"/>
        </w:rPr>
        <w:t>.</w:t>
      </w:r>
    </w:p>
    <w:p w14:paraId="77D7D581" w14:textId="03B34DA2" w:rsidR="009757A9" w:rsidRDefault="00151F66">
      <w:pPr>
        <w:tabs>
          <w:tab w:val="left" w:pos="1368"/>
        </w:tabs>
        <w:spacing w:before="743" w:after="636" w:line="200" w:lineRule="exact"/>
        <w:ind w:left="792"/>
        <w:textAlignment w:val="baseline"/>
        <w:rPr>
          <w:rFonts w:ascii="Arial" w:eastAsia="Arial" w:hAnsi="Arial"/>
          <w:b/>
          <w:color w:val="5556A1"/>
          <w:spacing w:val="1"/>
          <w:sz w:val="19"/>
        </w:rPr>
      </w:pPr>
      <w:r>
        <w:rPr>
          <w:noProof/>
          <w:lang w:val="en-AU" w:eastAsia="en-AU"/>
        </w:rPr>
        <w:drawing>
          <wp:anchor distT="0" distB="0" distL="114300" distR="114300" simplePos="0" relativeHeight="252130816" behindDoc="1" locked="0" layoutInCell="1" allowOverlap="1" wp14:anchorId="615B4A4B" wp14:editId="10B6022B">
            <wp:simplePos x="0" y="0"/>
            <wp:positionH relativeFrom="margin">
              <wp:align>right</wp:align>
            </wp:positionH>
            <wp:positionV relativeFrom="paragraph">
              <wp:posOffset>962660</wp:posOffset>
            </wp:positionV>
            <wp:extent cx="7562215" cy="462915"/>
            <wp:effectExtent l="0" t="0" r="635" b="0"/>
            <wp:wrapNone/>
            <wp:docPr id="125" name="Picture"/>
            <wp:cNvGraphicFramePr/>
            <a:graphic xmlns:a="http://schemas.openxmlformats.org/drawingml/2006/main">
              <a:graphicData uri="http://schemas.openxmlformats.org/drawingml/2006/picture">
                <pic:pic xmlns:pic="http://schemas.openxmlformats.org/drawingml/2006/picture">
                  <pic:nvPicPr>
                    <pic:cNvPr id="125" name="Picture"/>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1"/>
          <w:sz w:val="19"/>
        </w:rPr>
        <w:t>76</w:t>
      </w:r>
      <w:r w:rsidR="00083242">
        <w:rPr>
          <w:rFonts w:ascii="Tahoma" w:eastAsia="Tahoma" w:hAnsi="Tahoma"/>
          <w:color w:val="404042"/>
          <w:spacing w:val="1"/>
          <w:sz w:val="14"/>
        </w:rPr>
        <w:tab/>
        <w:t>Looking to the future</w:t>
      </w:r>
    </w:p>
    <w:p w14:paraId="2E26BB63" w14:textId="532537E1" w:rsidR="009757A9" w:rsidRDefault="009757A9">
      <w:pPr>
        <w:textAlignment w:val="baseline"/>
      </w:pPr>
    </w:p>
    <w:p w14:paraId="1EEF92D1" w14:textId="77777777" w:rsidR="009757A9" w:rsidRDefault="009757A9">
      <w:pPr>
        <w:sectPr w:rsidR="009757A9">
          <w:pgSz w:w="11909" w:h="16838"/>
          <w:pgMar w:top="5470" w:right="0" w:bottom="0" w:left="0" w:header="720" w:footer="720" w:gutter="0"/>
          <w:cols w:space="720"/>
        </w:sectPr>
      </w:pPr>
    </w:p>
    <w:p w14:paraId="67E02B33" w14:textId="77777777" w:rsidR="009757A9" w:rsidRDefault="00083242">
      <w:pPr>
        <w:spacing w:line="240" w:lineRule="exact"/>
        <w:ind w:left="864" w:right="1080"/>
        <w:textAlignment w:val="baseline"/>
        <w:rPr>
          <w:rFonts w:ascii="Tahoma" w:eastAsia="Tahoma" w:hAnsi="Tahoma"/>
          <w:color w:val="404042"/>
          <w:sz w:val="18"/>
        </w:rPr>
      </w:pPr>
      <w:r>
        <w:rPr>
          <w:rFonts w:ascii="Tahoma" w:eastAsia="Tahoma" w:hAnsi="Tahoma"/>
          <w:color w:val="404042"/>
          <w:sz w:val="18"/>
        </w:rPr>
        <w:lastRenderedPageBreak/>
        <w:t>VET programs are well placed to provide students with opportunities to explore the world of work, particularly where mandatory work placements or paid employment are part of training. However, a key feature of a school-based apprenticeship or traineeship – structured workplace learning – is not always available to all students.</w:t>
      </w:r>
    </w:p>
    <w:p w14:paraId="1DE6241D" w14:textId="77777777" w:rsidR="009757A9" w:rsidRDefault="00083242">
      <w:pPr>
        <w:spacing w:before="188"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Given the range of capabilities needed for the future workforce, the current bifurcation of senior secondary schooling</w:t>
      </w:r>
    </w:p>
    <w:p w14:paraId="2104252F" w14:textId="77777777" w:rsidR="009757A9" w:rsidRDefault="00083242">
      <w:pPr>
        <w:spacing w:before="6" w:line="237" w:lineRule="exact"/>
        <w:ind w:left="864" w:right="936"/>
        <w:textAlignment w:val="baseline"/>
        <w:rPr>
          <w:rFonts w:ascii="Tahoma" w:eastAsia="Tahoma" w:hAnsi="Tahoma"/>
          <w:color w:val="404042"/>
          <w:sz w:val="18"/>
        </w:rPr>
      </w:pPr>
      <w:r>
        <w:rPr>
          <w:rFonts w:ascii="Tahoma" w:eastAsia="Tahoma" w:hAnsi="Tahoma"/>
          <w:color w:val="404042"/>
          <w:sz w:val="18"/>
        </w:rPr>
        <w:t>into either a higher education or VET pathway does not allow all students to develop the capabilities that are cultivated through work-integrated learning.</w:t>
      </w:r>
      <w:r>
        <w:rPr>
          <w:rFonts w:ascii="Tahoma" w:eastAsia="Tahoma" w:hAnsi="Tahoma"/>
          <w:color w:val="404042"/>
          <w:sz w:val="18"/>
          <w:vertAlign w:val="superscript"/>
        </w:rPr>
        <w:t>91</w:t>
      </w:r>
      <w:r>
        <w:rPr>
          <w:rFonts w:ascii="Tahoma" w:eastAsia="Tahoma" w:hAnsi="Tahoma"/>
          <w:color w:val="404042"/>
          <w:sz w:val="18"/>
        </w:rPr>
        <w:t xml:space="preserve"> It is time for change.</w:t>
      </w:r>
    </w:p>
    <w:p w14:paraId="37133BD7" w14:textId="77777777" w:rsidR="009757A9" w:rsidRPr="00030053" w:rsidRDefault="00083242" w:rsidP="00030053">
      <w:pPr>
        <w:pStyle w:val="Heading2"/>
        <w:rPr>
          <w:rFonts w:eastAsia="Arial"/>
          <w:sz w:val="25"/>
          <w:szCs w:val="25"/>
        </w:rPr>
      </w:pPr>
      <w:r w:rsidRPr="00030053">
        <w:rPr>
          <w:rFonts w:eastAsia="Arial"/>
          <w:sz w:val="25"/>
          <w:szCs w:val="25"/>
        </w:rPr>
        <w:t>The importance of language</w:t>
      </w:r>
    </w:p>
    <w:p w14:paraId="77EB70AF" w14:textId="77777777" w:rsidR="009757A9" w:rsidRDefault="00083242">
      <w:pPr>
        <w:spacing w:before="151" w:line="240" w:lineRule="exact"/>
        <w:ind w:left="864" w:right="1080"/>
        <w:textAlignment w:val="baseline"/>
        <w:rPr>
          <w:rFonts w:ascii="Tahoma" w:eastAsia="Tahoma" w:hAnsi="Tahoma"/>
          <w:color w:val="404042"/>
          <w:spacing w:val="5"/>
          <w:sz w:val="18"/>
        </w:rPr>
      </w:pPr>
      <w:r>
        <w:rPr>
          <w:rFonts w:ascii="Tahoma" w:eastAsia="Tahoma" w:hAnsi="Tahoma"/>
          <w:color w:val="404042"/>
          <w:spacing w:val="5"/>
          <w:sz w:val="18"/>
        </w:rPr>
        <w:t>Language is important. The Preparing Secondary Students for Work framework, developed by Education Council in 2014, uses the terminology ‘vocational learning’, but the Panel has found throughout consultations that most stakeholders find this language confusing. The term ‘vocational education and training’ is often used as a catch-all for all those activities that have vocational elements. For this reason, we will be using the language ‘career education and work exploration activities’ rather than ‘vocational learning’.</w:t>
      </w:r>
    </w:p>
    <w:p w14:paraId="1E4ED1A7" w14:textId="77777777" w:rsidR="009757A9" w:rsidRDefault="00083242">
      <w:pPr>
        <w:spacing w:before="165" w:line="240" w:lineRule="exact"/>
        <w:ind w:left="864" w:right="1152"/>
        <w:textAlignment w:val="baseline"/>
        <w:rPr>
          <w:rFonts w:ascii="Tahoma" w:eastAsia="Tahoma" w:hAnsi="Tahoma"/>
          <w:color w:val="404042"/>
          <w:sz w:val="18"/>
        </w:rPr>
      </w:pPr>
      <w:r>
        <w:rPr>
          <w:rFonts w:ascii="Tahoma" w:eastAsia="Tahoma" w:hAnsi="Tahoma"/>
          <w:color w:val="404042"/>
          <w:sz w:val="18"/>
        </w:rPr>
        <w:t>But that is not the only challenge with nomenclature, terminology and language. The terms ‘vocational education and training’ and ‘career education and work exploration’ are often used interchangeably. We intend to make a clear distinction between them:</w:t>
      </w:r>
    </w:p>
    <w:p w14:paraId="50CDB2AF" w14:textId="77777777" w:rsidR="009757A9" w:rsidRDefault="00083242">
      <w:pPr>
        <w:numPr>
          <w:ilvl w:val="0"/>
          <w:numId w:val="19"/>
        </w:numPr>
        <w:tabs>
          <w:tab w:val="clear" w:pos="216"/>
          <w:tab w:val="left" w:pos="1080"/>
        </w:tabs>
        <w:spacing w:before="86" w:line="240" w:lineRule="exact"/>
        <w:ind w:left="1080" w:right="936" w:hanging="216"/>
        <w:textAlignment w:val="baseline"/>
        <w:rPr>
          <w:rFonts w:ascii="Arial" w:eastAsia="Arial" w:hAnsi="Arial"/>
          <w:b/>
          <w:color w:val="404042"/>
          <w:spacing w:val="6"/>
          <w:sz w:val="19"/>
        </w:rPr>
      </w:pPr>
      <w:r>
        <w:rPr>
          <w:rFonts w:ascii="Arial" w:eastAsia="Arial" w:hAnsi="Arial"/>
          <w:b/>
          <w:color w:val="404042"/>
          <w:spacing w:val="6"/>
          <w:sz w:val="19"/>
        </w:rPr>
        <w:t xml:space="preserve">Career education and work exploration </w:t>
      </w:r>
      <w:r>
        <w:rPr>
          <w:rFonts w:ascii="Tahoma" w:eastAsia="Tahoma" w:hAnsi="Tahoma"/>
          <w:color w:val="404042"/>
          <w:spacing w:val="6"/>
          <w:sz w:val="18"/>
        </w:rPr>
        <w:t>is often referred to as ‘vocational learning’ and can include short programs with industry, work placements and curriculum-based subjects. It aims to help secondary students explore the world of work, identify career options and pathways, and build career development skills. It provides opportunities for students to ‘taste’ the world of work through one-off events such as careers expos, initiatives such as enterprise learning, or spending time in a real or simulated workplace. The Panel strongly believes this should be available to all students.</w:t>
      </w:r>
    </w:p>
    <w:p w14:paraId="7E4CB432" w14:textId="77777777" w:rsidR="009757A9" w:rsidRDefault="00083242">
      <w:pPr>
        <w:numPr>
          <w:ilvl w:val="0"/>
          <w:numId w:val="19"/>
        </w:numPr>
        <w:tabs>
          <w:tab w:val="clear" w:pos="216"/>
          <w:tab w:val="left" w:pos="1080"/>
        </w:tabs>
        <w:spacing w:before="90" w:line="240" w:lineRule="exact"/>
        <w:ind w:left="1080" w:right="936" w:hanging="216"/>
        <w:textAlignment w:val="baseline"/>
        <w:rPr>
          <w:rFonts w:ascii="Arial" w:eastAsia="Arial" w:hAnsi="Arial"/>
          <w:b/>
          <w:color w:val="404042"/>
          <w:sz w:val="19"/>
        </w:rPr>
      </w:pPr>
      <w:r>
        <w:rPr>
          <w:rFonts w:ascii="Arial" w:eastAsia="Arial" w:hAnsi="Arial"/>
          <w:b/>
          <w:color w:val="404042"/>
          <w:sz w:val="19"/>
        </w:rPr>
        <w:t xml:space="preserve">Vocational education and training </w:t>
      </w:r>
      <w:r>
        <w:rPr>
          <w:rFonts w:ascii="Tahoma" w:eastAsia="Tahoma" w:hAnsi="Tahoma"/>
          <w:color w:val="404042"/>
          <w:sz w:val="18"/>
        </w:rPr>
        <w:t>delivers formal units of competency or qualifications, including apprenticeships and traineeships, and can be studied as part of a pathway to work, VET or higher education. The Panel believes equally strongly that students who choose to specialise in this way should receive high-quality training.</w:t>
      </w:r>
    </w:p>
    <w:p w14:paraId="5FA9CD16" w14:textId="77777777" w:rsidR="009757A9" w:rsidRDefault="00083242">
      <w:pPr>
        <w:spacing w:before="165"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In short, the Panel makes a clear distinction between the career education and work exploration activities that make up vocational learning (which should be available to all) and VET, which delivers formal qualifications to students who choose to undertake studies at the certificate level. At present, these two distinct types of learning are often confused as ‘VET in Schools’.</w:t>
      </w:r>
    </w:p>
    <w:p w14:paraId="102DA6A1" w14:textId="77777777" w:rsidR="009757A9" w:rsidRDefault="00083242">
      <w:pPr>
        <w:spacing w:before="171" w:line="240" w:lineRule="exact"/>
        <w:ind w:left="864"/>
        <w:textAlignment w:val="baseline"/>
        <w:rPr>
          <w:rFonts w:ascii="Tahoma" w:eastAsia="Tahoma" w:hAnsi="Tahoma"/>
          <w:color w:val="404042"/>
          <w:spacing w:val="6"/>
          <w:sz w:val="18"/>
        </w:rPr>
      </w:pPr>
      <w:r>
        <w:rPr>
          <w:rFonts w:ascii="Tahoma" w:eastAsia="Tahoma" w:hAnsi="Tahoma"/>
          <w:color w:val="404042"/>
          <w:spacing w:val="6"/>
          <w:sz w:val="18"/>
        </w:rPr>
        <w:t>There are different regulatory frameworks around career education and work exploration (on the one hand) and VET</w:t>
      </w:r>
    </w:p>
    <w:p w14:paraId="425E159A" w14:textId="77777777" w:rsidR="009757A9" w:rsidRDefault="00083242">
      <w:pPr>
        <w:spacing w:line="240" w:lineRule="exact"/>
        <w:ind w:left="864" w:right="936"/>
        <w:textAlignment w:val="baseline"/>
        <w:rPr>
          <w:rFonts w:ascii="Tahoma" w:eastAsia="Tahoma" w:hAnsi="Tahoma"/>
          <w:color w:val="404042"/>
          <w:sz w:val="18"/>
        </w:rPr>
      </w:pPr>
      <w:r>
        <w:rPr>
          <w:rFonts w:ascii="Tahoma" w:eastAsia="Tahoma" w:hAnsi="Tahoma"/>
          <w:color w:val="404042"/>
          <w:sz w:val="18"/>
        </w:rPr>
        <w:t>(on the other). VET delivered to secondary students is subject to a national regulatory framework administered through the Australian Skills Quality Authority (ASQA). Career education and work exploration is not regulated by ASQA.</w:t>
      </w:r>
    </w:p>
    <w:p w14:paraId="2E6F87BE" w14:textId="4E8D9E11" w:rsidR="009757A9" w:rsidRDefault="00083242">
      <w:pPr>
        <w:spacing w:before="172" w:after="3192"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The Panel supports the need to distinguish career education and work exploration from VET. In our view VET qualifications should only be delivered to school students when the elements required for quality delivery exist, either at school or by a registered training organisation. Formal VET qualifications should be rigorous and meet regulatory requirements and industry standards.</w:t>
      </w:r>
    </w:p>
    <w:p w14:paraId="07B752DA" w14:textId="77777777" w:rsidR="009757A9" w:rsidRDefault="009757A9">
      <w:pPr>
        <w:spacing w:before="172" w:after="3192" w:line="240" w:lineRule="exact"/>
        <w:sectPr w:rsidR="009757A9">
          <w:pgSz w:w="11909" w:h="16838"/>
          <w:pgMar w:top="1080" w:right="0" w:bottom="0" w:left="0" w:header="720" w:footer="720" w:gutter="0"/>
          <w:cols w:space="720"/>
        </w:sectPr>
      </w:pPr>
    </w:p>
    <w:p w14:paraId="1EF22BF8" w14:textId="29F5C978" w:rsidR="009757A9" w:rsidRDefault="000B186B">
      <w:pPr>
        <w:spacing w:before="79" w:after="724" w:line="172" w:lineRule="exact"/>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89152" behindDoc="0" locked="0" layoutInCell="1" allowOverlap="1" wp14:anchorId="133EAA85" wp14:editId="48DFE1E3">
                <wp:simplePos x="0" y="0"/>
                <wp:positionH relativeFrom="page">
                  <wp:posOffset>530225</wp:posOffset>
                </wp:positionH>
                <wp:positionV relativeFrom="page">
                  <wp:posOffset>9156700</wp:posOffset>
                </wp:positionV>
                <wp:extent cx="917575" cy="0"/>
                <wp:effectExtent l="0" t="0" r="0" b="0"/>
                <wp:wrapNone/>
                <wp:docPr id="714"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BC1E5" id="Line 435" o:spid="_x0000_s1026" style="position:absolute;z-index:25188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5pt,721pt" to="114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mazgEAAIYDAAAOAAAAZHJzL2Uyb0RvYy54bWysU8Fu2zAMvQ/YPwi6L3ayplmNOD0k6y7Z&#10;FqDtBzCSHAuTRUFSYufvR8lJ1m23YT4Iokg+Pj7Sy8ehM+ykfNBoaz6dlJwpK1Bqe6j568vTh0+c&#10;hQhWgkGran5WgT+u3r9b9q5SM2zRSOUZgdhQ9a7mbYyuKoogWtVBmKBTlpwN+g4imf5QSA89oXem&#10;mJXlfdGjl86jUCHQ62Z08lXGbxol4vemCSoyU3PiFvPp87lPZ7FaQnXw4FotLjTgH1h0oC0VvUFt&#10;IAI7ev0XVKeFx4BNnAjsCmwaLVTugbqZln9089yCU7kXEie4m0zh/8GKb6edZ1rWfDG948xCR0Pa&#10;aqvY3cd5Uqd3oaKgtd351J8Y7LPbovgRmMV1C/agMsuXs6PEacoofktJRnBUY99/RUkxcIyYpRoa&#10;3yVIEoENeSLn20TUEJmgx4fpYr6YcyaurgKqa57zIX5R2LF0qbkh0hkXTtsQEw+oriGpjMUnbUye&#10;t7GsJ7Kz8n6eMwIaLZM3xQV/2K+NZydIK5O/3BV53oYl6A2EdozLrnGZPB6tzGVaBfLz5R5Bm/FO&#10;tIy9qJSEGSXeozzv/FU9Gnbmf1nMtE1v7Zz96/dZ/QQAAP//AwBQSwMEFAAGAAgAAAAhAEkqwFLe&#10;AAAADAEAAA8AAABkcnMvZG93bnJldi54bWxMj0FPwzAMhe9I+w+RJ3FBW0opKCpNJzQJbiAYTOyY&#10;NV5brXGqJlvLv8ccENzs56fn7xWryXXijENoPWm4XiYgkCpvW6o1fLw/LhSIEA1Z03lCDV8YYFXO&#10;LgqTWz/SG543sRYcQiE3GpoY+1zKUDXoTFj6HolvBz84E3kdamkHM3K462SaJHfSmZb4Q2N6XDdY&#10;HTcnp0HKRGXT9nN8zq6Canfrevf08qr15Xx6uAcRcYp/ZvjBZ3QomWnvT2SD6DSom1t2sp5lKZdi&#10;R5oqHva/kiwL+b9E+Q0AAP//AwBQSwECLQAUAAYACAAAACEAtoM4kv4AAADhAQAAEwAAAAAAAAAA&#10;AAAAAAAAAAAAW0NvbnRlbnRfVHlwZXNdLnhtbFBLAQItABQABgAIAAAAIQA4/SH/1gAAAJQBAAAL&#10;AAAAAAAAAAAAAAAAAC8BAABfcmVscy8ucmVsc1BLAQItABQABgAIAAAAIQCsjLmazgEAAIYDAAAO&#10;AAAAAAAAAAAAAAAAAC4CAABkcnMvZTJvRG9jLnhtbFBLAQItABQABgAIAAAAIQBJKsBS3gAAAAwB&#10;AAAPAAAAAAAAAAAAAAAAACgEAABkcnMvZG93bnJldi54bWxQSwUGAAAAAAQABADzAAAAMwUAAAAA&#10;" strokeweight=".95pt">
                <w10:wrap anchorx="page" anchory="page"/>
              </v:line>
            </w:pict>
          </mc:Fallback>
        </mc:AlternateContent>
      </w:r>
      <w:r w:rsidR="00083242">
        <w:rPr>
          <w:rFonts w:ascii="Tahoma" w:eastAsia="Tahoma" w:hAnsi="Tahoma"/>
          <w:color w:val="404042"/>
          <w:sz w:val="14"/>
        </w:rPr>
        <w:t>91 O’Connell and Torii (2016), p. 71.</w:t>
      </w:r>
    </w:p>
    <w:p w14:paraId="4B8D9A77" w14:textId="77777777" w:rsidR="009757A9" w:rsidRDefault="009757A9">
      <w:pPr>
        <w:spacing w:before="79" w:after="724" w:line="172" w:lineRule="exact"/>
        <w:sectPr w:rsidR="009757A9">
          <w:type w:val="continuous"/>
          <w:pgSz w:w="11909" w:h="16838"/>
          <w:pgMar w:top="1080" w:right="8679" w:bottom="0" w:left="850" w:header="720" w:footer="720" w:gutter="0"/>
          <w:cols w:space="720"/>
        </w:sectPr>
      </w:pPr>
    </w:p>
    <w:p w14:paraId="0189BB5C" w14:textId="4B3BD1B6" w:rsidR="009757A9" w:rsidRPr="000B186B" w:rsidRDefault="000E6F32" w:rsidP="000B186B">
      <w:pPr>
        <w:tabs>
          <w:tab w:val="left" w:pos="10872"/>
        </w:tabs>
        <w:spacing w:after="630" w:line="214" w:lineRule="exact"/>
        <w:ind w:left="8064"/>
        <w:textAlignment w:val="baseline"/>
        <w:rPr>
          <w:rFonts w:ascii="Tahoma" w:eastAsia="Tahoma" w:hAnsi="Tahoma"/>
          <w:color w:val="404042"/>
          <w:sz w:val="14"/>
        </w:rPr>
        <w:sectPr w:rsidR="009757A9" w:rsidRPr="000B186B">
          <w:type w:val="continuous"/>
          <w:pgSz w:w="11909" w:h="16838"/>
          <w:pgMar w:top="1080" w:right="0" w:bottom="0" w:left="0" w:header="720" w:footer="720" w:gutter="0"/>
          <w:cols w:space="720"/>
        </w:sectPr>
      </w:pPr>
      <w:r>
        <w:rPr>
          <w:noProof/>
          <w:lang w:val="en-AU" w:eastAsia="en-AU"/>
        </w:rPr>
        <w:drawing>
          <wp:anchor distT="0" distB="0" distL="114300" distR="114300" simplePos="0" relativeHeight="252063232" behindDoc="0" locked="0" layoutInCell="1" allowOverlap="1" wp14:anchorId="064428BF" wp14:editId="5C2D09F6">
            <wp:simplePos x="0" y="0"/>
            <wp:positionH relativeFrom="page">
              <wp:align>right</wp:align>
            </wp:positionH>
            <wp:positionV relativeFrom="paragraph">
              <wp:posOffset>433705</wp:posOffset>
            </wp:positionV>
            <wp:extent cx="7562215" cy="462915"/>
            <wp:effectExtent l="0" t="0" r="635" b="0"/>
            <wp:wrapThrough wrapText="bothSides">
              <wp:wrapPolygon edited="0">
                <wp:start x="0" y="0"/>
                <wp:lineTo x="0" y="20444"/>
                <wp:lineTo x="21547" y="20444"/>
                <wp:lineTo x="21547" y="0"/>
                <wp:lineTo x="0" y="0"/>
              </wp:wrapPolygon>
            </wp:wrapThrough>
            <wp:docPr id="65" name="Picture"/>
            <wp:cNvGraphicFramePr/>
            <a:graphic xmlns:a="http://schemas.openxmlformats.org/drawingml/2006/main">
              <a:graphicData uri="http://schemas.openxmlformats.org/drawingml/2006/picture">
                <pic:pic xmlns:pic="http://schemas.openxmlformats.org/drawingml/2006/picture">
                  <pic:nvPicPr>
                    <pic:cNvPr id="122"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3: VET and the world of work</w:t>
      </w:r>
      <w:r w:rsidR="00083242">
        <w:rPr>
          <w:rFonts w:ascii="Arial" w:eastAsia="Arial" w:hAnsi="Arial"/>
          <w:b/>
          <w:color w:val="5556A1"/>
          <w:sz w:val="19"/>
        </w:rPr>
        <w:tab/>
        <w:t>7</w:t>
      </w:r>
      <w:r w:rsidR="000B186B">
        <w:rPr>
          <w:rFonts w:ascii="Arial" w:eastAsia="Arial" w:hAnsi="Arial"/>
          <w:b/>
          <w:color w:val="5556A1"/>
          <w:sz w:val="19"/>
        </w:rPr>
        <w:t>7</w:t>
      </w:r>
    </w:p>
    <w:p w14:paraId="1BE56C20" w14:textId="77E7B248" w:rsidR="009757A9" w:rsidRPr="00030053" w:rsidRDefault="00083242" w:rsidP="00030053">
      <w:pPr>
        <w:pStyle w:val="Heading2"/>
        <w:rPr>
          <w:rFonts w:eastAsia="Arial"/>
          <w:sz w:val="25"/>
          <w:szCs w:val="25"/>
        </w:rPr>
      </w:pPr>
      <w:r w:rsidRPr="00030053">
        <w:rPr>
          <w:rFonts w:eastAsia="Arial"/>
          <w:sz w:val="25"/>
          <w:szCs w:val="25"/>
        </w:rPr>
        <w:lastRenderedPageBreak/>
        <w:t>Career education and work exploration</w:t>
      </w:r>
    </w:p>
    <w:p w14:paraId="4B71C7D7" w14:textId="097546B2" w:rsidR="009757A9" w:rsidRDefault="001F0253">
      <w:pPr>
        <w:spacing w:before="145" w:after="595" w:line="240" w:lineRule="exact"/>
        <w:ind w:left="864" w:right="864"/>
        <w:textAlignment w:val="baseline"/>
        <w:rPr>
          <w:rFonts w:ascii="Tahoma" w:eastAsia="Tahoma" w:hAnsi="Tahoma"/>
          <w:color w:val="404042"/>
          <w:spacing w:val="4"/>
          <w:sz w:val="18"/>
        </w:rPr>
      </w:pPr>
      <w:r>
        <w:rPr>
          <w:noProof/>
          <w:lang w:val="en-AU" w:eastAsia="en-AU"/>
        </w:rPr>
        <mc:AlternateContent>
          <mc:Choice Requires="wps">
            <w:drawing>
              <wp:anchor distT="0" distB="0" distL="114300" distR="114300" simplePos="0" relativeHeight="251890176" behindDoc="0" locked="0" layoutInCell="1" allowOverlap="1" wp14:anchorId="5BC62D7A" wp14:editId="2B452E81">
                <wp:simplePos x="0" y="0"/>
                <wp:positionH relativeFrom="page">
                  <wp:posOffset>857885</wp:posOffset>
                </wp:positionH>
                <wp:positionV relativeFrom="page">
                  <wp:posOffset>2797810</wp:posOffset>
                </wp:positionV>
                <wp:extent cx="5907405" cy="0"/>
                <wp:effectExtent l="0" t="0" r="0" b="0"/>
                <wp:wrapNone/>
                <wp:docPr id="713"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06C70" id="Line 434" o:spid="_x0000_s1026" style="position:absolute;z-index:25189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55pt,220.3pt" to="532.7pt,2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1o0AEAAIYDAAAOAAAAZHJzL2Uyb0RvYy54bWysU8GO2yAQvVfqPyDujZ1NsmmsOHtIur2k&#10;baTdfsAEsI0KDAISO39fwEnabW9VL2hgZt68eTOsnwatyFk4L9HUdDopKRGGIZemren31+cPHynx&#10;AQwHhUbU9CI8fdq8f7fubSUesEPFhSMRxPiqtzXtQrBVUXjWCQ1+glaY6GzQaQjx6tqCO+gjulbF&#10;Q1k+Fj06bh0y4X183Y1Ousn4TSNY+NY0XgSiahq5hXy6fB7TWWzWULUObCfZlQb8AwsN0sSid6gd&#10;BCAnJ/+C0pI59NiECUNdYNNIJnIPsZtp+Uc3Lx1YkXuJ4nh7l8n/P1j29XxwRPKaLqczSgzoOKS9&#10;NILMZ/OkTm99FYO25uBSf2wwL3aP7IcnBrcdmFZklq8XGxOnKaN4k5Iu3sYax/4L8hgDp4BZqqFx&#10;OkFGEciQJ3K5T0QMgbD4uFiVy3m5oITdfAVUt0TrfPgsUJNk1FRF1hkYznsfEhGobiGpjsFnqVQe&#10;uDKkr+njbFHmBI9K8uRMYd61x61y5AxpZcrlapV1iGBvwhLyDnw3xmXXuEwOT4bnKp0A/ulqB5Bq&#10;tCOQMleVkjCjxEfkl4O7qReHnelfFzNt0+/3nP3r+2x+AgAA//8DAFBLAwQUAAYACAAAACEAcnVK&#10;JdwAAAAMAQAADwAAAGRycy9kb3ducmV2LnhtbEyPwU7DMAyG70i8Q2Sk3Viy0VaoNJ2moZ12gQ2J&#10;q9eYttA4VZN13dsvk5Dg+Nuffn8uVpPtxEiDbx1rWMwVCOLKmZZrDR+H7eMzCB+QDXaOScOFPKzK&#10;+7sCc+PO/E7jPtQilrDPUUMTQp9L6auGLPq564nj7ssNFkOMQy3NgOdYbju5VCqTFluOFxrsadNQ&#10;9bM/WQ1bVIc3s9u5b/+ZXjYYpHmlUevZw7R+ARFoCn8w3PSjOpTR6ehObLzoYn5KFxHVkCQqA3Ej&#10;VJYmII6/I1kW8v8T5RUAAP//AwBQSwECLQAUAAYACAAAACEAtoM4kv4AAADhAQAAEwAAAAAAAAAA&#10;AAAAAAAAAAAAW0NvbnRlbnRfVHlwZXNdLnhtbFBLAQItABQABgAIAAAAIQA4/SH/1gAAAJQBAAAL&#10;AAAAAAAAAAAAAAAAAC8BAABfcmVscy8ucmVsc1BLAQItABQABgAIAAAAIQBqSX1o0AEAAIYDAAAO&#10;AAAAAAAAAAAAAAAAAC4CAABkcnMvZTJvRG9jLnhtbFBLAQItABQABgAIAAAAIQBydUol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pacing w:val="4"/>
          <w:sz w:val="18"/>
        </w:rPr>
        <w:t xml:space="preserve">The Panel equally believes that there is considerable value in all secondary students experiencing quality career education and work exploration. This can include subjects that allow secondary students to undertake a general work-related curriculum, or providing opportunities for students to explore particular occupations or industries. Strong programs ensure that student choices about school subjects and post-school education, training and employment can be based on a thorough understanding of their options; the occupations and industries they are considering; </w:t>
      </w:r>
      <w:r w:rsidR="00083242">
        <w:rPr>
          <w:rFonts w:ascii="Verdana" w:eastAsia="Verdana" w:hAnsi="Verdana"/>
          <w:color w:val="404042"/>
          <w:spacing w:val="4"/>
          <w:sz w:val="18"/>
        </w:rPr>
        <w:t>the different pathways they can follow to achieve workforce objectives; and the variety of training and employment pathways that they can follow with a particular qualification.</w:t>
      </w:r>
      <w:r w:rsidR="00083242">
        <w:rPr>
          <w:rFonts w:ascii="Tahoma" w:eastAsia="Tahoma" w:hAnsi="Tahoma"/>
          <w:color w:val="404042"/>
          <w:spacing w:val="4"/>
          <w:sz w:val="18"/>
          <w:vertAlign w:val="superscript"/>
        </w:rPr>
        <w:t>92</w:t>
      </w:r>
      <w:r w:rsidR="00083242">
        <w:rPr>
          <w:rFonts w:ascii="Tahoma" w:eastAsia="Tahoma" w:hAnsi="Tahoma"/>
          <w:color w:val="404042"/>
          <w:spacing w:val="4"/>
          <w:sz w:val="18"/>
        </w:rPr>
        <w:t xml:space="preserve"> Career education and work exploration need to provide a strong foundation for all students to make decisions about their futures.</w:t>
      </w:r>
    </w:p>
    <w:p w14:paraId="670C5BA2" w14:textId="0C0A7D4A" w:rsidR="009757A9" w:rsidRDefault="00083242">
      <w:pPr>
        <w:spacing w:before="95" w:line="301" w:lineRule="exact"/>
        <w:ind w:left="1296" w:right="1872"/>
        <w:textAlignment w:val="baseline"/>
        <w:rPr>
          <w:rFonts w:ascii="Tahoma" w:eastAsia="Tahoma" w:hAnsi="Tahoma"/>
          <w:i/>
          <w:color w:val="007994"/>
          <w:sz w:val="21"/>
        </w:rPr>
      </w:pPr>
      <w:r>
        <w:rPr>
          <w:rFonts w:ascii="Tahoma" w:eastAsia="Tahoma" w:hAnsi="Tahoma"/>
          <w:i/>
          <w:color w:val="007994"/>
          <w:sz w:val="21"/>
        </w:rPr>
        <w:t>“There is no better preparation for work than other work, so policy settings and solutions need to identify the best mechanisms of delivering to school students who have not worked,</w:t>
      </w:r>
    </w:p>
    <w:p w14:paraId="602433CF" w14:textId="77777777" w:rsidR="009757A9" w:rsidRDefault="00083242">
      <w:pPr>
        <w:spacing w:line="298" w:lineRule="exact"/>
        <w:ind w:left="1296" w:right="1656"/>
        <w:textAlignment w:val="baseline"/>
        <w:rPr>
          <w:rFonts w:ascii="Verdana" w:eastAsia="Verdana" w:hAnsi="Verdana"/>
          <w:i/>
          <w:color w:val="007994"/>
          <w:sz w:val="18"/>
        </w:rPr>
      </w:pPr>
      <w:r>
        <w:rPr>
          <w:rFonts w:ascii="Verdana" w:eastAsia="Verdana" w:hAnsi="Verdana"/>
          <w:i/>
          <w:color w:val="007994"/>
          <w:sz w:val="18"/>
        </w:rPr>
        <w:t xml:space="preserve">a strong understanding of the skills and attributes that employers look for and sufficient </w:t>
      </w:r>
      <w:r>
        <w:rPr>
          <w:rFonts w:ascii="Tahoma" w:eastAsia="Tahoma" w:hAnsi="Tahoma"/>
          <w:i/>
          <w:color w:val="007994"/>
          <w:sz w:val="21"/>
        </w:rPr>
        <w:t>vocational learning and work experience to achieve a successful transition, whether to work or further education.”</w:t>
      </w:r>
    </w:p>
    <w:p w14:paraId="67E483DC" w14:textId="475500B2" w:rsidR="009757A9" w:rsidRDefault="00083242">
      <w:pPr>
        <w:spacing w:before="64" w:after="220" w:line="242" w:lineRule="exact"/>
        <w:ind w:left="4968"/>
        <w:textAlignment w:val="baseline"/>
        <w:rPr>
          <w:rFonts w:ascii="Tahoma" w:eastAsia="Tahoma" w:hAnsi="Tahoma"/>
          <w:i/>
          <w:color w:val="007994"/>
          <w:spacing w:val="2"/>
          <w:sz w:val="21"/>
        </w:rPr>
      </w:pPr>
      <w:r>
        <w:rPr>
          <w:rFonts w:ascii="Tahoma" w:eastAsia="Tahoma" w:hAnsi="Tahoma"/>
          <w:i/>
          <w:color w:val="007994"/>
          <w:spacing w:val="2"/>
          <w:sz w:val="21"/>
        </w:rPr>
        <w:t>Australian Chamber of Commerce and Industry submission</w:t>
      </w:r>
    </w:p>
    <w:p w14:paraId="44A36BD5" w14:textId="23088DFF" w:rsidR="009757A9" w:rsidRDefault="001F0253">
      <w:pPr>
        <w:spacing w:before="484" w:line="240" w:lineRule="exact"/>
        <w:ind w:left="864" w:right="864"/>
        <w:textAlignment w:val="baseline"/>
        <w:rPr>
          <w:rFonts w:ascii="Verdana" w:eastAsia="Verdana" w:hAnsi="Verdana"/>
          <w:color w:val="404042"/>
          <w:sz w:val="18"/>
        </w:rPr>
      </w:pPr>
      <w:r>
        <w:rPr>
          <w:noProof/>
          <w:lang w:val="en-AU" w:eastAsia="en-AU"/>
        </w:rPr>
        <mc:AlternateContent>
          <mc:Choice Requires="wps">
            <w:drawing>
              <wp:anchor distT="0" distB="0" distL="114300" distR="114300" simplePos="0" relativeHeight="251891200" behindDoc="0" locked="0" layoutInCell="1" allowOverlap="1" wp14:anchorId="06BEF45F" wp14:editId="4CAD780B">
                <wp:simplePos x="0" y="0"/>
                <wp:positionH relativeFrom="page">
                  <wp:posOffset>788035</wp:posOffset>
                </wp:positionH>
                <wp:positionV relativeFrom="page">
                  <wp:posOffset>4277995</wp:posOffset>
                </wp:positionV>
                <wp:extent cx="5907405" cy="0"/>
                <wp:effectExtent l="0" t="0" r="0" b="0"/>
                <wp:wrapNone/>
                <wp:docPr id="712"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950D8" id="Line 433" o:spid="_x0000_s1026" style="position:absolute;z-index:2518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05pt,336.85pt" to="527.2pt,3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wR0QEAAIYDAAAOAAAAZHJzL2Uyb0RvYy54bWysU02PGyEMvVfqf0Dcm5l8bZpRJntIur2k&#10;baTd/QEOMDOogBGQzOTfF8hHt91b1Qsy2H5+fjarx0ErchLOSzQ1HY9KSoRhyKVpa/r68vTpMyU+&#10;gOGg0IianoWnj+uPH1a9rcQEO1RcOBJBjK96W9MuBFsVhWed0OBHaIWJzgadhhCvri24gz6ia1VM&#10;yvKh6NFx65AJ7+Pr9uKk64zfNIKFH03jRSCqppFbyKfL5yGdxXoFVevAdpJdacA/sNAgTSx6h9pC&#10;AHJ08h2UlsyhxyaMGOoCm0YykXuI3YzLv7p57sCK3EsUx9u7TP7/wbLvp70jktd0MZ5QYkDHIe2k&#10;EWQ2nSZ1euurGLQxe5f6Y4N5tjtkPz0xuOnAtCKzfDnbmDhOGcUfKenibaxx6L8hjzFwDJilGhqn&#10;E2QUgQx5Iuf7RMQQCIuP82W5mJVzStjNV0B1S7TOh68CNUlGTVVknYHhtPMhEYHqFpLqGHySSuWB&#10;K0P6mj5M52VO8KgkT84U5l172ChHTpBWplwsl7PcVfS8DUvIW/DdJS67Lsvk8Gh4rtIJ4F+udgCp&#10;LnZkpcxVpSTMReID8vPe3dSLw870r4uZtuntPWf//j7rXwAAAP//AwBQSwMEFAAGAAgAAAAhAOK6&#10;8eLdAAAADAEAAA8AAABkcnMvZG93bnJldi54bWxMj8FuwjAMhu+TeIfISLuNBFZg6poiBOLEZYNJ&#10;u5rGa7s1TtWEUt5+QZrEjr/96ffnbDXYRvTU+dqxhulEgSAunKm51PBx3D29gPAB2WDjmDRcycMq&#10;Hz1kmBp34XfqD6EUsYR9ihqqENpUSl9UZNFPXEscd1+usxhi7EppOrzEctvImVILabHmeKHCljYV&#10;FT+Hs9WwQ3V8M/u9+/af8+sGgzRb6rV+HA/rVxCBhnCH4aYf1SGPTid3ZuNFE/MsmUZUw2L5vARx&#10;I9Q8SUCc/kYyz+T/J/JfAAAA//8DAFBLAQItABQABgAIAAAAIQC2gziS/gAAAOEBAAATAAAAAAAA&#10;AAAAAAAAAAAAAABbQ29udGVudF9UeXBlc10ueG1sUEsBAi0AFAAGAAgAAAAhADj9If/WAAAAlAEA&#10;AAsAAAAAAAAAAAAAAAAALwEAAF9yZWxzLy5yZWxzUEsBAi0AFAAGAAgAAAAhAAkJ7BHRAQAAhgMA&#10;AA4AAAAAAAAAAAAAAAAALgIAAGRycy9lMm9Eb2MueG1sUEsBAi0AFAAGAAgAAAAhAOK68eLdAAAA&#10;DAEAAA8AAAAAAAAAAAAAAAAAKwQAAGRycy9kb3ducmV2LnhtbFBLBQYAAAAABAAEAPMAAAA1BQAA&#10;AAA=&#10;" strokecolor="#007994" strokeweight=".5pt">
                <w10:wrap anchorx="page" anchory="page"/>
              </v:line>
            </w:pict>
          </mc:Fallback>
        </mc:AlternateContent>
      </w:r>
      <w:r w:rsidR="00083242">
        <w:rPr>
          <w:rFonts w:ascii="Verdana" w:eastAsia="Verdana" w:hAnsi="Verdana"/>
          <w:color w:val="404042"/>
          <w:sz w:val="18"/>
        </w:rPr>
        <w:t xml:space="preserve">Students reap the greatest benefits from career education and work exploration activities when they are based on </w:t>
      </w:r>
      <w:r w:rsidR="00083242">
        <w:rPr>
          <w:rFonts w:ascii="Tahoma" w:eastAsia="Tahoma" w:hAnsi="Tahoma"/>
          <w:color w:val="404042"/>
          <w:sz w:val="18"/>
        </w:rPr>
        <w:t xml:space="preserve">strong collaboration with industry. Contact with employers gives students a real-world insight into what jobs exist (and </w:t>
      </w:r>
      <w:r w:rsidR="00083242">
        <w:rPr>
          <w:rFonts w:ascii="Verdana" w:eastAsia="Verdana" w:hAnsi="Verdana"/>
          <w:color w:val="404042"/>
          <w:sz w:val="18"/>
        </w:rPr>
        <w:t xml:space="preserve">may exist in the future), what those jobs are like, and what skills and qualifications they require. There are many ways </w:t>
      </w:r>
      <w:r w:rsidR="00083242">
        <w:rPr>
          <w:rFonts w:ascii="Tahoma" w:eastAsia="Tahoma" w:hAnsi="Tahoma"/>
          <w:color w:val="404042"/>
          <w:sz w:val="18"/>
        </w:rPr>
        <w:t>to build in greater engagement with employers – including career expos, workplace visits and practical activities such as try-a-trade, and connections with a workplace within individual lessons. All these options enhance students’ career exploration and develop their understanding of how what they learn at school is relevant to their work beyond school.</w:t>
      </w:r>
      <w:r w:rsidR="00083242">
        <w:rPr>
          <w:rFonts w:ascii="Tahoma" w:eastAsia="Tahoma" w:hAnsi="Tahoma"/>
          <w:color w:val="404042"/>
          <w:sz w:val="18"/>
          <w:vertAlign w:val="superscript"/>
        </w:rPr>
        <w:t>93</w:t>
      </w:r>
      <w:r w:rsidR="00083242">
        <w:rPr>
          <w:rFonts w:ascii="Tahoma" w:eastAsia="Tahoma" w:hAnsi="Tahoma"/>
          <w:color w:val="404042"/>
          <w:sz w:val="10"/>
        </w:rPr>
        <w:t xml:space="preserve"> </w:t>
      </w:r>
    </w:p>
    <w:p w14:paraId="4C6CAD35" w14:textId="3B85BA13" w:rsidR="009757A9" w:rsidRDefault="001F0253">
      <w:pPr>
        <w:spacing w:before="146" w:after="542" w:line="240" w:lineRule="exact"/>
        <w:ind w:left="864" w:right="864"/>
        <w:textAlignment w:val="baseline"/>
        <w:rPr>
          <w:rFonts w:ascii="Verdana" w:eastAsia="Verdana" w:hAnsi="Verdana"/>
          <w:color w:val="404042"/>
          <w:sz w:val="18"/>
        </w:rPr>
      </w:pPr>
      <w:r>
        <w:rPr>
          <w:noProof/>
          <w:lang w:val="en-AU" w:eastAsia="en-AU"/>
        </w:rPr>
        <mc:AlternateContent>
          <mc:Choice Requires="wps">
            <w:drawing>
              <wp:anchor distT="0" distB="0" distL="114300" distR="114300" simplePos="0" relativeHeight="251892224" behindDoc="0" locked="0" layoutInCell="1" allowOverlap="1" wp14:anchorId="43CF565E" wp14:editId="5AD9C042">
                <wp:simplePos x="0" y="0"/>
                <wp:positionH relativeFrom="page">
                  <wp:posOffset>826135</wp:posOffset>
                </wp:positionH>
                <wp:positionV relativeFrom="page">
                  <wp:posOffset>6903720</wp:posOffset>
                </wp:positionV>
                <wp:extent cx="5907405" cy="0"/>
                <wp:effectExtent l="0" t="0" r="0" b="0"/>
                <wp:wrapNone/>
                <wp:docPr id="711" name="Lin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0F24A" id="Line 432" o:spid="_x0000_s1026" style="position:absolute;z-index:25189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43.6pt" to="530.2pt,5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TM0QEAAIYDAAAOAAAAZHJzL2Uyb0RvYy54bWysU02P2yAQvVfqf0DcG9vZZNNYcfaQdHtJ&#10;20i7/QETwDYqMAhI7Pz7Avnotr1VvaCBmXnz5s2wehq1IifhvETT0GpSUiIMQy5N19Dvr88fPlLi&#10;AxgOCo1o6Fl4+rR+/2412FpMsUfFhSMRxPh6sA3tQ7B1UXjWCw1+glaY6GzRaQjx6rqCOxgiulbF&#10;tCwfiwEdtw6Z8D6+bi9Ous74bStY+Na2XgSiGhq5hXy6fB7SWaxXUHcObC/ZlQb8AwsN0sSid6gt&#10;BCBHJ/+C0pI59NiGCUNdYNtKJnIPsZuq/KOblx6syL1Ecby9y+T/Hyz7eto7InlDF1VFiQEdh7ST&#10;RpDZwzSpM1hfx6CN2bvUHxvNi90h++GJwU0PphOZ5evZxsQqZRS/paSLt7HGYfiCPMbAMWCWamyd&#10;TpBRBDLmiZzvExFjICw+zpflYlbOKWE3XwH1LdE6Hz4L1CQZDVWRdQaG086HRATqW0iqY/BZKpUH&#10;rgwZGvr4MC9zgkcleXKmMO+6w0Y5coK0MuViuZzlrqLnbVhC3oLvL3HZdVkmh0fDc5VeAP90tQNI&#10;dbEjK2WuKiVhLhIfkJ/37qZeHHamf13MtE1v7zn71/dZ/wQAAP//AwBQSwMEFAAGAAgAAAAhANp7&#10;WEDdAAAADgEAAA8AAABkcnMvZG93bnJldi54bWxMj0FPwzAMhe9I/IfISNxYsgFjKk0nNLTTLrAh&#10;cfUa0xYap2qyrvv3eAc0bn720/P38uXoWzVQH5vAFqYTA4q4DK7hysLHbn23ABUTssM2MFk4UYRl&#10;cX2VY+bCkd9p2KZKSQjHDC3UKXWZ1rGsyWOchI5Ybl+h95hE9pV2PR4l3Ld6Zsxce2xYPtTY0aqm&#10;8md78BbWaHZvbrMJ3/Hz8bTCpN0rDdbe3owvz6ASjelihjO+oEMhTPtwYBdVK/reTMUqg1k8zUCd&#10;LWZuHkDt/3a6yPX/GsUvAAAA//8DAFBLAQItABQABgAIAAAAIQC2gziS/gAAAOEBAAATAAAAAAAA&#10;AAAAAAAAAAAAAABbQ29udGVudF9UeXBlc10ueG1sUEsBAi0AFAAGAAgAAAAhADj9If/WAAAAlAEA&#10;AAsAAAAAAAAAAAAAAAAALwEAAF9yZWxzLy5yZWxzUEsBAi0AFAAGAAgAAAAhAK92lMzRAQAAhgMA&#10;AA4AAAAAAAAAAAAAAAAALgIAAGRycy9lMm9Eb2MueG1sUEsBAi0AFAAGAAgAAAAhANp7WEDdAAAA&#10;DgEAAA8AAAAAAAAAAAAAAAAAKwQAAGRycy9kb3ducmV2LnhtbFBLBQYAAAAABAAEAPMAAAA1BQAA&#10;AAA=&#10;" strokecolor="#007994" strokeweight=".5pt">
                <w10:wrap anchorx="page" anchory="page"/>
              </v:line>
            </w:pict>
          </mc:Fallback>
        </mc:AlternateContent>
      </w:r>
      <w:r w:rsidR="00083242">
        <w:rPr>
          <w:rFonts w:ascii="Verdana" w:eastAsia="Verdana" w:hAnsi="Verdana"/>
          <w:color w:val="404042"/>
          <w:sz w:val="18"/>
        </w:rPr>
        <w:t xml:space="preserve">Industry advocates and employers agree that the benefits of work placement are immense, providing students with an </w:t>
      </w:r>
      <w:r w:rsidR="00083242">
        <w:rPr>
          <w:rFonts w:ascii="Tahoma" w:eastAsia="Tahoma" w:hAnsi="Tahoma"/>
          <w:color w:val="404042"/>
          <w:sz w:val="18"/>
        </w:rPr>
        <w:t xml:space="preserve">opportunity to develop and demonstrate their skills within the workplace. Students are even more enthusiastic. Many </w:t>
      </w:r>
      <w:r w:rsidR="00083242">
        <w:rPr>
          <w:rFonts w:ascii="Verdana" w:eastAsia="Verdana" w:hAnsi="Verdana"/>
          <w:color w:val="404042"/>
          <w:sz w:val="18"/>
        </w:rPr>
        <w:t xml:space="preserve">teachers feel that offering access to workplace learning should be an integral part of the school learning program. But it </w:t>
      </w:r>
      <w:r w:rsidR="00083242">
        <w:rPr>
          <w:rFonts w:ascii="Tahoma" w:eastAsia="Tahoma" w:hAnsi="Tahoma"/>
          <w:color w:val="404042"/>
          <w:sz w:val="18"/>
        </w:rPr>
        <w:t xml:space="preserve">is challenging. With a crowded curriculum and many external impositions made on students during their senior years, </w:t>
      </w:r>
      <w:r w:rsidR="00083242">
        <w:rPr>
          <w:rFonts w:ascii="Verdana" w:eastAsia="Verdana" w:hAnsi="Verdana"/>
          <w:color w:val="404042"/>
          <w:sz w:val="18"/>
        </w:rPr>
        <w:t xml:space="preserve">schools find it difficult to provide students with work placements. However, it is the Panel’s strong view that, despite the </w:t>
      </w:r>
      <w:r w:rsidR="00083242">
        <w:rPr>
          <w:rFonts w:ascii="Tahoma" w:eastAsia="Tahoma" w:hAnsi="Tahoma"/>
          <w:color w:val="404042"/>
          <w:sz w:val="18"/>
        </w:rPr>
        <w:t>challenges, schools should structure the school term and timetables to provide such opportunities. Applied learning and early engagement in the workplace need to be accommodated by schools and employers.</w:t>
      </w:r>
    </w:p>
    <w:p w14:paraId="003DBA80" w14:textId="4D0B09D9" w:rsidR="009757A9" w:rsidRDefault="00083242">
      <w:pPr>
        <w:spacing w:before="102" w:line="301" w:lineRule="exact"/>
        <w:ind w:left="1296" w:right="1512"/>
        <w:textAlignment w:val="baseline"/>
        <w:rPr>
          <w:rFonts w:ascii="Tahoma" w:eastAsia="Tahoma" w:hAnsi="Tahoma"/>
          <w:i/>
          <w:color w:val="007994"/>
          <w:sz w:val="21"/>
        </w:rPr>
      </w:pPr>
      <w:r>
        <w:rPr>
          <w:rFonts w:ascii="Tahoma" w:eastAsia="Tahoma" w:hAnsi="Tahoma"/>
          <w:i/>
          <w:color w:val="007994"/>
          <w:sz w:val="21"/>
        </w:rPr>
        <w:t>“The over-emphasis on academic success in traditional subjects has led to a lack of exposure to vocational options even when students may be better suited to, and have better work outcomes, within these pathways.”</w:t>
      </w:r>
    </w:p>
    <w:p w14:paraId="5B2877B9" w14:textId="3CE1CFE5" w:rsidR="009757A9" w:rsidRDefault="000D2E34">
      <w:pPr>
        <w:spacing w:before="49" w:after="208" w:line="266" w:lineRule="exact"/>
        <w:ind w:left="7920"/>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93248" behindDoc="0" locked="0" layoutInCell="1" allowOverlap="1" wp14:anchorId="702DD884" wp14:editId="7C957505">
                <wp:simplePos x="0" y="0"/>
                <wp:positionH relativeFrom="margin">
                  <wp:align>center</wp:align>
                </wp:positionH>
                <wp:positionV relativeFrom="page">
                  <wp:posOffset>7860665</wp:posOffset>
                </wp:positionV>
                <wp:extent cx="5907405" cy="0"/>
                <wp:effectExtent l="0" t="0" r="0" b="0"/>
                <wp:wrapNone/>
                <wp:docPr id="710"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41814" id="Line 431" o:spid="_x0000_s1026" style="position:absolute;z-index:2518932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618.95pt" to="465.15pt,6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MP0QEAAIYDAAAOAAAAZHJzL2Uyb0RvYy54bWysU01v2zAMvQ/YfxB0X2y3ybIYcXpI1l2y&#10;LUDbH8BIcixMFgVJiZN/P0r56Lrdil0EiXx8JB+p+cOxN+ygfNBoG16NSs6UFSi13TX85fnx0xfO&#10;QgQrwaBVDT+pwB8WHz/MB1erO+zQSOUZkdhQD67hXYyuLoogOtVDGKFTlpwt+h4iPf2ukB4GYu9N&#10;cVeWn4sBvXQehQqBrKuzky8yf9sqEX+2bVCRmYZTbTGfPp/bdBaLOdQ7D67T4lIGvKOKHrSlpDeq&#10;FURge6//oeq18BiwjSOBfYFtq4XKPVA3VflXN08dOJV7IXGCu8kU/h+t+HHYeKZlw6cV6WOhpyGt&#10;tVVsfF8ldQYXagIt7can/sTRPrk1il+BWVx2YHcqV/l8chSYI4o3IekRHOXYDt9REgb2EbNUx9b3&#10;iZJEYMc8kdNtIuoYmSDjZFZOx+WEM3H1FVBfA50P8ZvCnqVLww1VnYnhsA6RSifoFZLyWHzUxuSB&#10;G8uGht9X00kOCGi0TM4EC363XRrPDpBWppzOZuOkA5G9gSXmFYTujMuu8zJ53FuZs3QK5NfLPYI2&#10;5zsRGUt8V2HOEm9RnjY+5Ul2GnbOeFnMtE1/vjPq9fssfgMAAP//AwBQSwMEFAAGAAgAAAAhAJeV&#10;Le/dAAAACgEAAA8AAABkcnMvZG93bnJldi54bWxMj0tPwzAQhO9I/AdrkbhRm0Q8msapAIkDp9KH&#10;hHpz4yUJiddR7Dbpv2c5IDjuzGj2m3w5uU6ccAiNJw23MwUCqfS2oUrDbvt68wgiREPWdJ5QwxkD&#10;LIvLi9xk1o+0xtMmVoJLKGRGQx1jn0kZyhqdCTPfI7H36QdnIp9DJe1gRi53nUyUupfONMQfatPj&#10;S41luzk6DS1WamxX2/PqI7x/3fXPe5vs3rS+vpqeFiAiTvEvDD/4jA4FMx38kWwQnQYeEllN0oc5&#10;CPbnqUpBHH4lWeTy/4TiGwAA//8DAFBLAQItABQABgAIAAAAIQC2gziS/gAAAOEBAAATAAAAAAAA&#10;AAAAAAAAAAAAAABbQ29udGVudF9UeXBlc10ueG1sUEsBAi0AFAAGAAgAAAAhADj9If/WAAAAlAEA&#10;AAsAAAAAAAAAAAAAAAAALwEAAF9yZWxzLy5yZWxzUEsBAi0AFAAGAAgAAAAhAAGNcw/RAQAAhgMA&#10;AA4AAAAAAAAAAAAAAAAALgIAAGRycy9lMm9Eb2MueG1sUEsBAi0AFAAGAAgAAAAhAJeVLe/dAAAA&#10;CgEAAA8AAAAAAAAAAAAAAAAAKwQAAGRycy9kb3ducmV2LnhtbFBLBQYAAAAABAAEAPMAAAA1BQAA&#10;AAA=&#10;" strokecolor="#007994" strokeweight=".25pt">
                <w10:wrap anchorx="margin" anchory="page"/>
              </v:line>
            </w:pict>
          </mc:Fallback>
        </mc:AlternateContent>
      </w:r>
      <w:r w:rsidR="00083242">
        <w:rPr>
          <w:rFonts w:ascii="Tahoma" w:eastAsia="Tahoma" w:hAnsi="Tahoma"/>
          <w:i/>
          <w:color w:val="007994"/>
          <w:sz w:val="21"/>
        </w:rPr>
        <w:t>Australian Industry Group</w:t>
      </w:r>
      <w:r w:rsidR="00083242">
        <w:rPr>
          <w:rFonts w:ascii="Tahoma" w:eastAsia="Tahoma" w:hAnsi="Tahoma"/>
          <w:i/>
          <w:color w:val="007994"/>
          <w:sz w:val="21"/>
          <w:vertAlign w:val="superscript"/>
        </w:rPr>
        <w:t>94</w:t>
      </w:r>
      <w:r w:rsidR="00083242">
        <w:rPr>
          <w:rFonts w:ascii="Tahoma" w:eastAsia="Tahoma" w:hAnsi="Tahoma"/>
          <w:i/>
          <w:color w:val="007994"/>
          <w:sz w:val="12"/>
        </w:rPr>
        <w:t xml:space="preserve"> </w:t>
      </w:r>
    </w:p>
    <w:p w14:paraId="23F09EC3" w14:textId="1D1591C2" w:rsidR="008D5CB6" w:rsidRDefault="008D5CB6">
      <w:pPr>
        <w:spacing w:before="8" w:line="200" w:lineRule="exact"/>
        <w:ind w:left="1080" w:right="1296" w:hanging="288"/>
        <w:textAlignment w:val="baseline"/>
        <w:rPr>
          <w:rFonts w:ascii="Tahoma" w:eastAsia="Tahoma" w:hAnsi="Tahoma"/>
          <w:color w:val="404042"/>
          <w:sz w:val="14"/>
        </w:rPr>
      </w:pPr>
    </w:p>
    <w:p w14:paraId="72664E27" w14:textId="4380AD3E" w:rsidR="008D5CB6" w:rsidRDefault="008D5CB6">
      <w:pPr>
        <w:spacing w:before="8" w:line="200" w:lineRule="exact"/>
        <w:ind w:left="1080" w:right="1296" w:hanging="288"/>
        <w:textAlignment w:val="baseline"/>
        <w:rPr>
          <w:rFonts w:ascii="Tahoma" w:eastAsia="Tahoma" w:hAnsi="Tahoma"/>
          <w:color w:val="404042"/>
          <w:sz w:val="14"/>
        </w:rPr>
      </w:pPr>
    </w:p>
    <w:p w14:paraId="487129BF" w14:textId="320FE446" w:rsidR="008D5CB6" w:rsidRDefault="008D5CB6">
      <w:pPr>
        <w:spacing w:before="8" w:line="200" w:lineRule="exact"/>
        <w:ind w:left="1080" w:right="1296" w:hanging="288"/>
        <w:textAlignment w:val="baseline"/>
        <w:rPr>
          <w:rFonts w:ascii="Tahoma" w:eastAsia="Tahoma" w:hAnsi="Tahoma"/>
          <w:color w:val="404042"/>
          <w:sz w:val="14"/>
        </w:rPr>
      </w:pPr>
    </w:p>
    <w:p w14:paraId="21F8E2BD" w14:textId="0F589058" w:rsidR="008D5CB6" w:rsidRDefault="008D5CB6">
      <w:pPr>
        <w:spacing w:before="8" w:line="200" w:lineRule="exact"/>
        <w:ind w:left="1080" w:right="1296" w:hanging="288"/>
        <w:textAlignment w:val="baseline"/>
        <w:rPr>
          <w:rFonts w:ascii="Tahoma" w:eastAsia="Tahoma" w:hAnsi="Tahoma"/>
          <w:color w:val="404042"/>
          <w:sz w:val="14"/>
        </w:rPr>
      </w:pPr>
    </w:p>
    <w:p w14:paraId="1C7669FB" w14:textId="015DF8FE" w:rsidR="008D5CB6" w:rsidRDefault="008D5CB6">
      <w:pPr>
        <w:spacing w:before="8" w:line="200" w:lineRule="exact"/>
        <w:ind w:left="1080" w:right="1296" w:hanging="288"/>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94272" behindDoc="0" locked="0" layoutInCell="1" allowOverlap="1" wp14:anchorId="6647C5B1" wp14:editId="4233F5FE">
                <wp:simplePos x="0" y="0"/>
                <wp:positionH relativeFrom="page">
                  <wp:posOffset>473075</wp:posOffset>
                </wp:positionH>
                <wp:positionV relativeFrom="page">
                  <wp:posOffset>8550275</wp:posOffset>
                </wp:positionV>
                <wp:extent cx="917575" cy="0"/>
                <wp:effectExtent l="0" t="0" r="0" b="0"/>
                <wp:wrapNone/>
                <wp:docPr id="709"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5BB97" id="Line 430" o:spid="_x0000_s1026" style="position:absolute;z-index:25189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5pt,673.25pt" to="109.5pt,6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OIzwEAAIYDAAAOAAAAZHJzL2Uyb0RvYy54bWysU01v2zAMvQ/YfxB0X+xkS7MacXpI1l2y&#10;LUDbH8BIsi1MFgVRiZ1/P0n5WLfehvkgiCL5+PhILx/G3rCj8qTR1nw6KTlTVqDUtq35y/Pjh8+c&#10;UQArwaBVNT8p4g+r9++Wg6vUDDs0UnkWQSxVg6t5F4KrioJEp3qgCTplo7NB30OIpm8L6WGI6L0p&#10;ZmV5VwzopfMoFFF83ZydfJXxm0aJ8KNpSAVmah65hXz6fO7TWayWULUeXKfFhQb8A4setI1Fb1Ab&#10;CMAOXr+B6rXwSNiEicC+wKbRQuUeYjfT8q9unjpwKvcSxSF3k4n+H6z4ftx5pmXNF+U9Zxb6OKSt&#10;top9+pjVGRxVMWhtdz71J0b75LYofhKzuO7AtiqzfD65mDhNehZ/pCSDXKyxH76hjDFwCJilGhvf&#10;J8goAhvzRE63iagxMBEf76eL+WLOmbi6Cqiuec5T+KqwZ+lScxNJZ1w4bikkHlBdQ1IZi4/amDxv&#10;Y9kQyc7Ku3nOIDRaJm+KI9/u18azI6SVyV/uKnpehyXoDVB3jsuu8zJ5PFiZy3QK5JfLPYA253uk&#10;ZexFpSRMWlWq9ihPO39VLw47878sZtqm13bO/v37rH4BAAD//wMAUEsDBBQABgAIAAAAIQDZIx9g&#10;3wAAAAwBAAAPAAAAZHJzL2Rvd25yZXYueG1sTI9BT8MwDIXvSPyHyEhcEHM3yiil6YQmwQ0EA8SO&#10;WWPaisapmmwt/x5zQHCzn5+ev1esJtepAw2h9axhPktAEVfetlxreH25O89AhWjYms4zafiiAKvy&#10;+KgwufUjP9NhE2slIRxyo6GJsc8RQ9WQM2Hme2K5ffjBmSjrUKMdzCjhrsNFkizRmZblQ2N6WjdU&#10;fW72TgNikqXT2/v4kJ6FrN2u6+3945PWpyfT7Q2oSFP8M8MPvqBDKUw7v2cbVKfhKr0Up+gX6VIm&#10;cSzm19Ju9ythWeD/EuU3AAAA//8DAFBLAQItABQABgAIAAAAIQC2gziS/gAAAOEBAAATAAAAAAAA&#10;AAAAAAAAAAAAAABbQ29udGVudF9UeXBlc10ueG1sUEsBAi0AFAAGAAgAAAAhADj9If/WAAAAlAEA&#10;AAsAAAAAAAAAAAAAAAAALwEAAF9yZWxzLy5yZWxzUEsBAi0AFAAGAAgAAAAhAD23Q4jPAQAAhgMA&#10;AA4AAAAAAAAAAAAAAAAALgIAAGRycy9lMm9Eb2MueG1sUEsBAi0AFAAGAAgAAAAhANkjH2DfAAAA&#10;DAEAAA8AAAAAAAAAAAAAAAAAKQQAAGRycy9kb3ducmV2LnhtbFBLBQYAAAAABAAEAPMAAAA1BQAA&#10;AAA=&#10;" strokeweight=".95pt">
                <w10:wrap anchorx="page" anchory="page"/>
              </v:line>
            </w:pict>
          </mc:Fallback>
        </mc:AlternateContent>
      </w:r>
    </w:p>
    <w:p w14:paraId="3A85C907" w14:textId="0DF81583" w:rsidR="009757A9" w:rsidRDefault="00083242">
      <w:pPr>
        <w:spacing w:before="8" w:line="200" w:lineRule="exact"/>
        <w:ind w:left="1080" w:right="1296" w:hanging="288"/>
        <w:textAlignment w:val="baseline"/>
        <w:rPr>
          <w:rFonts w:ascii="Tahoma" w:eastAsia="Tahoma" w:hAnsi="Tahoma"/>
          <w:color w:val="404042"/>
          <w:sz w:val="14"/>
        </w:rPr>
      </w:pPr>
      <w:r>
        <w:rPr>
          <w:rFonts w:ascii="Tahoma" w:eastAsia="Tahoma" w:hAnsi="Tahoma"/>
          <w:color w:val="404042"/>
          <w:sz w:val="14"/>
        </w:rPr>
        <w:t xml:space="preserve">92 Council of Australian Governments Education Council (2014), </w:t>
      </w:r>
      <w:r>
        <w:rPr>
          <w:rFonts w:ascii="Arial" w:eastAsia="Arial" w:hAnsi="Arial"/>
          <w:i/>
          <w:color w:val="404042"/>
          <w:sz w:val="14"/>
        </w:rPr>
        <w:t>Preparing Secondary Students for Work: A framework for vocational learning and VET delivered to secondary student</w:t>
      </w:r>
      <w:r>
        <w:rPr>
          <w:rFonts w:ascii="Verdana" w:eastAsia="Verdana" w:hAnsi="Verdana"/>
          <w:color w:val="404042"/>
          <w:sz w:val="14"/>
        </w:rPr>
        <w:t xml:space="preserve">s, p. 6, </w:t>
      </w:r>
      <w:hyperlink r:id="rId165">
        <w:r>
          <w:rPr>
            <w:rFonts w:ascii="Tahoma" w:eastAsia="Tahoma" w:hAnsi="Tahoma"/>
            <w:color w:val="0000FF"/>
            <w:sz w:val="14"/>
            <w:u w:val="single"/>
          </w:rPr>
          <w:t>https://pssfw.myskills.gov.au/media/1174/preparing-secondary-students-for-work-2014.pdf</w:t>
        </w:r>
      </w:hyperlink>
      <w:r>
        <w:rPr>
          <w:rFonts w:ascii="Tahoma" w:eastAsia="Tahoma" w:hAnsi="Tahoma"/>
          <w:color w:val="404042"/>
          <w:sz w:val="14"/>
        </w:rPr>
        <w:t>.</w:t>
      </w:r>
    </w:p>
    <w:p w14:paraId="397DEB15" w14:textId="77777777" w:rsidR="009757A9" w:rsidRDefault="00083242">
      <w:pPr>
        <w:spacing w:before="25" w:line="167" w:lineRule="exact"/>
        <w:ind w:left="792"/>
        <w:textAlignment w:val="baseline"/>
        <w:rPr>
          <w:rFonts w:ascii="Tahoma" w:eastAsia="Tahoma" w:hAnsi="Tahoma"/>
          <w:color w:val="404042"/>
          <w:spacing w:val="-3"/>
          <w:sz w:val="14"/>
        </w:rPr>
      </w:pPr>
      <w:r>
        <w:rPr>
          <w:rFonts w:ascii="Tahoma" w:eastAsia="Tahoma" w:hAnsi="Tahoma"/>
          <w:color w:val="404042"/>
          <w:spacing w:val="-3"/>
          <w:sz w:val="14"/>
        </w:rPr>
        <w:t xml:space="preserve">93 </w:t>
      </w:r>
      <w:r>
        <w:rPr>
          <w:rFonts w:ascii="Verdana" w:eastAsia="Verdana" w:hAnsi="Verdana"/>
          <w:color w:val="404042"/>
          <w:spacing w:val="-3"/>
          <w:sz w:val="14"/>
        </w:rPr>
        <w:t>Council of Australian Governments Education Council (2014), p. 9.</w:t>
      </w:r>
    </w:p>
    <w:p w14:paraId="2EB060CB" w14:textId="77777777" w:rsidR="009757A9" w:rsidRDefault="00083242">
      <w:pPr>
        <w:spacing w:before="34" w:line="172" w:lineRule="exact"/>
        <w:ind w:left="792"/>
        <w:textAlignment w:val="baseline"/>
        <w:rPr>
          <w:rFonts w:ascii="Tahoma" w:eastAsia="Tahoma" w:hAnsi="Tahoma"/>
          <w:color w:val="404042"/>
          <w:sz w:val="14"/>
        </w:rPr>
      </w:pPr>
      <w:r>
        <w:rPr>
          <w:rFonts w:ascii="Tahoma" w:eastAsia="Tahoma" w:hAnsi="Tahoma"/>
          <w:color w:val="404042"/>
          <w:sz w:val="14"/>
        </w:rPr>
        <w:t xml:space="preserve">94 Australian Industry Group (2019), </w:t>
      </w:r>
      <w:r>
        <w:rPr>
          <w:rFonts w:ascii="Arial" w:eastAsia="Arial" w:hAnsi="Arial"/>
          <w:i/>
          <w:color w:val="404042"/>
          <w:sz w:val="14"/>
        </w:rPr>
        <w:t>AiGroup Submission: Review of the Melbourne Declaration Response to the Discussion Paper</w:t>
      </w:r>
      <w:r>
        <w:rPr>
          <w:rFonts w:ascii="Verdana" w:eastAsia="Verdana" w:hAnsi="Verdana"/>
          <w:color w:val="404042"/>
          <w:sz w:val="14"/>
        </w:rPr>
        <w:t xml:space="preserve">, June 2019, p. 7, </w:t>
      </w:r>
      <w:hyperlink r:id="rId166">
        <w:r>
          <w:rPr>
            <w:rFonts w:ascii="Tahoma" w:eastAsia="Tahoma" w:hAnsi="Tahoma"/>
            <w:color w:val="0000FF"/>
            <w:sz w:val="14"/>
            <w:u w:val="single"/>
          </w:rPr>
          <w:t>https://</w:t>
        </w:r>
      </w:hyperlink>
      <w:r>
        <w:rPr>
          <w:rFonts w:ascii="Tahoma" w:eastAsia="Tahoma" w:hAnsi="Tahoma"/>
          <w:color w:val="404042"/>
          <w:sz w:val="14"/>
        </w:rPr>
        <w:t xml:space="preserve"> </w:t>
      </w:r>
    </w:p>
    <w:p w14:paraId="196FB104" w14:textId="09ECD5EA" w:rsidR="000B186B" w:rsidRPr="008D5CB6" w:rsidRDefault="00837BFF" w:rsidP="008D5CB6">
      <w:pPr>
        <w:spacing w:before="33" w:line="169" w:lineRule="exact"/>
        <w:ind w:left="1080"/>
        <w:textAlignment w:val="baseline"/>
        <w:rPr>
          <w:rFonts w:ascii="Tahoma" w:eastAsia="Tahoma" w:hAnsi="Tahoma"/>
          <w:color w:val="404042"/>
          <w:spacing w:val="6"/>
          <w:sz w:val="14"/>
        </w:rPr>
      </w:pPr>
      <w:hyperlink r:id="rId167">
        <w:r w:rsidR="00083242">
          <w:rPr>
            <w:rFonts w:ascii="Tahoma" w:eastAsia="Tahoma" w:hAnsi="Tahoma"/>
            <w:color w:val="0000FF"/>
            <w:spacing w:val="6"/>
            <w:sz w:val="14"/>
            <w:u w:val="single"/>
          </w:rPr>
          <w:t>cdn.aigroup.com.au/Submissions/Education_and_Training/2019/Review_of_the_Melbourne_Declaration_-_Ai_Group_Response_June_2019.pdf</w:t>
        </w:r>
      </w:hyperlink>
      <w:r w:rsidR="00083242">
        <w:rPr>
          <w:rFonts w:ascii="Tahoma" w:eastAsia="Tahoma" w:hAnsi="Tahoma"/>
          <w:color w:val="404042"/>
          <w:spacing w:val="6"/>
          <w:sz w:val="14"/>
        </w:rPr>
        <w:t>.</w:t>
      </w:r>
    </w:p>
    <w:p w14:paraId="6C928A3A" w14:textId="15792F08" w:rsidR="009757A9" w:rsidRPr="008D5CB6" w:rsidRDefault="000B186B" w:rsidP="008D5CB6">
      <w:pPr>
        <w:tabs>
          <w:tab w:val="left" w:pos="1368"/>
        </w:tabs>
        <w:spacing w:before="652" w:after="636" w:line="200" w:lineRule="exact"/>
        <w:ind w:left="792"/>
        <w:textAlignment w:val="baseline"/>
        <w:rPr>
          <w:rFonts w:ascii="Arial" w:eastAsia="Arial" w:hAnsi="Arial"/>
          <w:b/>
          <w:color w:val="5556A1"/>
          <w:spacing w:val="1"/>
          <w:sz w:val="19"/>
        </w:rPr>
      </w:pPr>
      <w:r>
        <w:rPr>
          <w:noProof/>
          <w:lang w:val="en-AU" w:eastAsia="en-AU"/>
        </w:rPr>
        <w:drawing>
          <wp:anchor distT="0" distB="0" distL="114300" distR="114300" simplePos="0" relativeHeight="252064256" behindDoc="0" locked="0" layoutInCell="1" allowOverlap="1" wp14:anchorId="16DADEB6" wp14:editId="73D38A9A">
            <wp:simplePos x="0" y="0"/>
            <wp:positionH relativeFrom="margin">
              <wp:align>right</wp:align>
            </wp:positionH>
            <wp:positionV relativeFrom="paragraph">
              <wp:posOffset>970915</wp:posOffset>
            </wp:positionV>
            <wp:extent cx="7562215" cy="462915"/>
            <wp:effectExtent l="0" t="0" r="635" b="0"/>
            <wp:wrapThrough wrapText="bothSides">
              <wp:wrapPolygon edited="0">
                <wp:start x="0" y="0"/>
                <wp:lineTo x="0" y="20444"/>
                <wp:lineTo x="21547" y="20444"/>
                <wp:lineTo x="21547" y="0"/>
                <wp:lineTo x="0" y="0"/>
              </wp:wrapPolygon>
            </wp:wrapThrough>
            <wp:docPr id="127" name="Picture"/>
            <wp:cNvGraphicFramePr/>
            <a:graphic xmlns:a="http://schemas.openxmlformats.org/drawingml/2006/main">
              <a:graphicData uri="http://schemas.openxmlformats.org/drawingml/2006/picture">
                <pic:pic xmlns:pic="http://schemas.openxmlformats.org/drawingml/2006/picture">
                  <pic:nvPicPr>
                    <pic:cNvPr id="127" name="Picture"/>
                    <pic:cNvPicPr preferRelativeResize="0"/>
                  </pic:nvPicPr>
                  <pic:blipFill>
                    <a:blip r:embed="rId16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1"/>
          <w:sz w:val="19"/>
        </w:rPr>
        <w:t>78</w:t>
      </w:r>
      <w:r w:rsidR="00083242">
        <w:rPr>
          <w:rFonts w:ascii="Tahoma" w:eastAsia="Tahoma" w:hAnsi="Tahoma"/>
          <w:color w:val="404042"/>
          <w:spacing w:val="1"/>
          <w:sz w:val="14"/>
        </w:rPr>
        <w:tab/>
        <w:t>Looking to the future</w:t>
      </w:r>
    </w:p>
    <w:p w14:paraId="0DF5A45A" w14:textId="77777777" w:rsidR="009757A9" w:rsidRDefault="00083242">
      <w:pPr>
        <w:spacing w:line="240" w:lineRule="exact"/>
        <w:ind w:left="792" w:right="936"/>
        <w:textAlignment w:val="baseline"/>
        <w:rPr>
          <w:rFonts w:ascii="Tahoma" w:eastAsia="Tahoma" w:hAnsi="Tahoma"/>
          <w:color w:val="404042"/>
          <w:spacing w:val="6"/>
          <w:sz w:val="18"/>
        </w:rPr>
      </w:pPr>
      <w:r>
        <w:rPr>
          <w:rFonts w:ascii="Tahoma" w:eastAsia="Tahoma" w:hAnsi="Tahoma"/>
          <w:color w:val="404042"/>
          <w:spacing w:val="6"/>
          <w:sz w:val="18"/>
        </w:rPr>
        <w:lastRenderedPageBreak/>
        <w:t>In addition to career education and work exploration, there are considerable positive benefits for students who combine school and paid work. It provides them with a stronger sense of the skills and capabilities required in the workplace and how they are relevant to the attributes that can be included in a Learner Profile. It can assist them to find part-time and casual work while at school, helping them financially but also enabling them to develop and practice employability skills and enjoy the satisfaction of earning their own money.</w:t>
      </w:r>
    </w:p>
    <w:p w14:paraId="23AEC67F" w14:textId="77777777" w:rsidR="009757A9" w:rsidRDefault="00083242">
      <w:pPr>
        <w:spacing w:before="163" w:after="600" w:line="241" w:lineRule="exact"/>
        <w:ind w:left="792" w:right="1008"/>
        <w:textAlignment w:val="baseline"/>
        <w:rPr>
          <w:rFonts w:ascii="Tahoma" w:eastAsia="Tahoma" w:hAnsi="Tahoma"/>
          <w:color w:val="404042"/>
          <w:spacing w:val="5"/>
          <w:sz w:val="18"/>
        </w:rPr>
      </w:pPr>
      <w:r>
        <w:rPr>
          <w:rFonts w:ascii="Tahoma" w:eastAsia="Tahoma" w:hAnsi="Tahoma"/>
          <w:color w:val="404042"/>
          <w:spacing w:val="5"/>
          <w:sz w:val="18"/>
        </w:rPr>
        <w:t>Those students who find the right balance are not only rewarded with a range of social and economic benefits, but improve their chances of undertaking a successful transition into further education, training or work.</w:t>
      </w:r>
      <w:r>
        <w:rPr>
          <w:rFonts w:ascii="Tahoma" w:eastAsia="Tahoma" w:hAnsi="Tahoma"/>
          <w:color w:val="404042"/>
          <w:spacing w:val="5"/>
          <w:sz w:val="18"/>
          <w:vertAlign w:val="superscript"/>
        </w:rPr>
        <w:t>95</w:t>
      </w:r>
      <w:r>
        <w:rPr>
          <w:rFonts w:ascii="Tahoma" w:eastAsia="Tahoma" w:hAnsi="Tahoma"/>
          <w:color w:val="404042"/>
          <w:spacing w:val="5"/>
          <w:sz w:val="18"/>
        </w:rPr>
        <w:t xml:space="preserve"> By working 2,000 hours in a relevant job, a young person can accelerate their transition from full-time education to full-time work by 5 months. By working 5,000 hours, a young person can accelerate the transition by 12 months.</w:t>
      </w:r>
      <w:r>
        <w:rPr>
          <w:rFonts w:ascii="Tahoma" w:eastAsia="Tahoma" w:hAnsi="Tahoma"/>
          <w:color w:val="404042"/>
          <w:spacing w:val="5"/>
          <w:sz w:val="18"/>
          <w:vertAlign w:val="superscript"/>
        </w:rPr>
        <w:t>96</w:t>
      </w:r>
      <w:r>
        <w:rPr>
          <w:rFonts w:ascii="Tahoma" w:eastAsia="Tahoma" w:hAnsi="Tahoma"/>
          <w:color w:val="404042"/>
          <w:spacing w:val="5"/>
          <w:sz w:val="18"/>
        </w:rPr>
        <w:t xml:space="preserve"> Students who combine school and work also have reduced unemployment rates after secondary school.</w:t>
      </w:r>
      <w:r>
        <w:rPr>
          <w:rFonts w:ascii="Tahoma" w:eastAsia="Tahoma" w:hAnsi="Tahoma"/>
          <w:color w:val="404042"/>
          <w:spacing w:val="5"/>
          <w:sz w:val="18"/>
          <w:vertAlign w:val="superscript"/>
        </w:rPr>
        <w:t>97</w:t>
      </w:r>
      <w:r>
        <w:rPr>
          <w:rFonts w:ascii="Tahoma" w:eastAsia="Tahoma" w:hAnsi="Tahoma"/>
          <w:color w:val="404042"/>
          <w:spacing w:val="5"/>
          <w:sz w:val="10"/>
        </w:rPr>
        <w:t xml:space="preserve"> </w:t>
      </w:r>
    </w:p>
    <w:p w14:paraId="0301B9A7" w14:textId="77777777" w:rsidR="009757A9" w:rsidRDefault="000D2E34">
      <w:pPr>
        <w:spacing w:before="107" w:line="299" w:lineRule="exact"/>
        <w:ind w:left="1296" w:right="1512"/>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895296" behindDoc="0" locked="0" layoutInCell="1" allowOverlap="1" wp14:anchorId="10354937" wp14:editId="6746787A">
                <wp:simplePos x="0" y="0"/>
                <wp:positionH relativeFrom="page">
                  <wp:posOffset>826135</wp:posOffset>
                </wp:positionH>
                <wp:positionV relativeFrom="page">
                  <wp:posOffset>2703830</wp:posOffset>
                </wp:positionV>
                <wp:extent cx="5907405" cy="0"/>
                <wp:effectExtent l="0" t="0" r="0" b="0"/>
                <wp:wrapNone/>
                <wp:docPr id="708"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0695" id="Line 429" o:spid="_x0000_s1026" style="position:absolute;z-index:2518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12.9pt" to="530.2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YH0QEAAIYDAAAOAAAAZHJzL2Uyb0RvYy54bWysU02PGjEMvVfqf4hyLzNQWMqIYQ/Q7YW2&#10;SLv9ASbJzETNxFESGPj3dcLHbttb1UvkxPbz87OzfDz1hh2VDxptzcejkjNlBUpt25r/eHn68Imz&#10;EMFKMGhVzc8q8MfV+3fLwVVqgh0aqTwjEBuqwdW8i9FVRRFEp3oII3TKkrNB30Okq28L6WEg9N4U&#10;k7J8KAb00nkUKgR63VycfJXxm0aJ+L1pgorM1Jy4xXz6fO7TWayWULUeXKfFlQb8A4setKWid6gN&#10;RGAHr/+C6rXwGLCJI4F9gU2jhco9UDfj8o9unjtwKvdC4gR3lyn8P1jx7bjzTMuaz0salYWehrTV&#10;VrHpZJHUGVyoKGhtdz71J0722W1R/AzM4roD26rM8uXsKHGcMorfUtIlOKqxH76ipBg4RMxSnRrf&#10;J0gSgZ3yRM73iahTZIIeZ4tyPi1nnImbr4Dqluh8iF8U9iwZNTfEOgPDcRtiIgLVLSTVsfikjckD&#10;N5YNNX/4OCtzQkCjZXKmsODb/dp4doS0MuV8sZjmrsjzNiwhbyB0l7jsuiyTx4OVuUqnQH6+2hG0&#10;udjEytirSkmYi8R7lOedv6lHw870r4uZtuntPWe/fp/VLwAAAP//AwBQSwMEFAAGAAgAAAAhAGDq&#10;i0XcAAAADAEAAA8AAABkcnMvZG93bnJldi54bWxMj0FLw0AQhe+C/2EZwZvdbW2LxGyKVHrqRVvB&#10;6zQ7JtHsbMhu0/TfOwXBHt+bjzfv5avRt2qgPjaBLUwnBhRxGVzDlYWP/ebhCVRMyA7bwGThTBFW&#10;xe1NjpkLJ36nYZcqJSEcM7RQp9RlWseyJo9xEjpiuX2F3mMS2Vfa9XiScN/qmTFL7bFh+VBjR+ua&#10;yp/d0VvYoNm/ue02fMfPxXmNSbtXGqy9vxtfnkElGtM/DJf6Uh0K6XQIR3ZRtaIfzVRQC/PZQjZc&#10;CLM0c1CHP0sXub4eUfwCAAD//wMAUEsBAi0AFAAGAAgAAAAhALaDOJL+AAAA4QEAABMAAAAAAAAA&#10;AAAAAAAAAAAAAFtDb250ZW50X1R5cGVzXS54bWxQSwECLQAUAAYACAAAACEAOP0h/9YAAACUAQAA&#10;CwAAAAAAAAAAAAAAAAAvAQAAX3JlbHMvLnJlbHNQSwECLQAUAAYACAAAACEALWmmB9EBAACGAwAA&#10;DgAAAAAAAAAAAAAAAAAuAgAAZHJzL2Uyb0RvYy54bWxQSwECLQAUAAYACAAAACEAYOqLR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“Part-time jobs while studying are fundamental parts of young people’s lives, and often their school-day jobs continue well into their post-school careers. Little value is ascribed to these jobs by key players.”</w:t>
      </w:r>
    </w:p>
    <w:p w14:paraId="743BE207" w14:textId="77777777" w:rsidR="009757A9" w:rsidRDefault="00083242">
      <w:pPr>
        <w:spacing w:before="51" w:after="220" w:line="247" w:lineRule="exact"/>
        <w:ind w:left="6264"/>
        <w:textAlignment w:val="baseline"/>
        <w:rPr>
          <w:rFonts w:ascii="Tahoma" w:eastAsia="Tahoma" w:hAnsi="Tahoma"/>
          <w:i/>
          <w:color w:val="007994"/>
          <w:spacing w:val="2"/>
          <w:sz w:val="21"/>
        </w:rPr>
      </w:pPr>
      <w:r>
        <w:rPr>
          <w:rFonts w:ascii="Tahoma" w:eastAsia="Tahoma" w:hAnsi="Tahoma"/>
          <w:i/>
          <w:color w:val="007994"/>
          <w:spacing w:val="2"/>
          <w:sz w:val="21"/>
        </w:rPr>
        <w:t>Erica Smith, Federation University submission</w:t>
      </w:r>
    </w:p>
    <w:p w14:paraId="385B26C0" w14:textId="77777777" w:rsidR="009757A9" w:rsidRDefault="000D2E34">
      <w:pPr>
        <w:spacing w:before="459" w:after="4386" w:line="241" w:lineRule="exact"/>
        <w:ind w:left="792" w:right="1080"/>
        <w:textAlignment w:val="baseline"/>
        <w:rPr>
          <w:rFonts w:ascii="Tahoma" w:eastAsia="Tahoma" w:hAnsi="Tahoma"/>
          <w:color w:val="404042"/>
          <w:spacing w:val="6"/>
          <w:sz w:val="18"/>
        </w:rPr>
      </w:pPr>
      <w:r>
        <w:rPr>
          <w:noProof/>
          <w:lang w:val="en-AU" w:eastAsia="en-AU"/>
        </w:rPr>
        <mc:AlternateContent>
          <mc:Choice Requires="wps">
            <w:drawing>
              <wp:anchor distT="0" distB="0" distL="114300" distR="114300" simplePos="0" relativeHeight="251896320" behindDoc="0" locked="0" layoutInCell="1" allowOverlap="1" wp14:anchorId="1588D4B0" wp14:editId="3D541AC9">
                <wp:simplePos x="0" y="0"/>
                <wp:positionH relativeFrom="page">
                  <wp:posOffset>826135</wp:posOffset>
                </wp:positionH>
                <wp:positionV relativeFrom="page">
                  <wp:posOffset>3676015</wp:posOffset>
                </wp:positionV>
                <wp:extent cx="5907405" cy="0"/>
                <wp:effectExtent l="0" t="0" r="0" b="0"/>
                <wp:wrapNone/>
                <wp:docPr id="707"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DF4BA" id="Line 428" o:spid="_x0000_s1026" style="position:absolute;z-index:25189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89.45pt" to="530.2pt,2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Df0QEAAIYDAAAOAAAAZHJzL2Uyb0RvYy54bWysU8GO2yAQvVfqPyDujZ002WysOHtIur2k&#10;baTdfsAEsI0KDAISO39fwEm6bW9VL2hgZt68eTOsnwatyFk4L9HUdDopKRGGIZemren31+cPj5T4&#10;AIaDQiNqehGePm3ev1v3thIz7FBx4UgEMb7qbU27EGxVFJ51QoOfoBUmOht0GkK8urbgDvqIrlUx&#10;K8uHokfHrUMmvI+vu9FJNxm/aQQL35rGi0BUTSO3kE+Xz2M6i80aqtaB7SS70oB/YKFBmlj0DrWD&#10;AOTk5F9QWjKHHpswYagLbBrJRO4hdjMt/+jmpQMrci9RHG/vMvn/B8u+ng+OSF7TZbmkxICOQ9pL&#10;I8h89pjU6a2vYtDWHFzqjw3mxe6R/fDE4LYD04rM8vViY+I0ZRS/paSLt7HGsf+CPMbAKWCWamic&#10;TpBRBDLkiVzuExFDICw+Llblcl4uKGE3XwHVLdE6Hz4L1CQZNVWRdQaG896HRASqW0iqY/BZKpUH&#10;rgzpa/rwcVHmBI9K8uRMYd61x61y5AxpZcrlajXPXUXP27CEvAPfjXHZNS6Tw5PhuUongH+62gGk&#10;Gu3ISpmrSkmYUeIj8svB3dSLw870r4uZtuntPWf/+j6bnwAAAP//AwBQSwMEFAAGAAgAAAAhAGxH&#10;bhLcAAAADAEAAA8AAABkcnMvZG93bnJldi54bWxMj8FOwzAMhu9IvENkJG4sGbAxStMJDe20C2xI&#10;XL3GtIXGqZqs694eT0KC429/+v05X46+VQP1sQlsYToxoIjL4BquLLzv1jcLUDEhO2wDk4UTRVgW&#10;lxc5Zi4c+Y2GbaqUlHDM0EKdUpdpHcuaPMZJ6Ihl9xl6j0liX2nX41HKfatvjZlrjw3LhRo7WtVU&#10;fm8P3sIaze7VbTbhK37MTitM2r3QYO311fj8BCrRmP5gOOuLOhTitA8HdlG1ku/MVFALs4fFI6gz&#10;YebmHtT+d6SLXP9/ovgBAAD//wMAUEsBAi0AFAAGAAgAAAAhALaDOJL+AAAA4QEAABMAAAAAAAAA&#10;AAAAAAAAAAAAAFtDb250ZW50X1R5cGVzXS54bWxQSwECLQAUAAYACAAAACEAOP0h/9YAAACUAQAA&#10;CwAAAAAAAAAAAAAAAAAvAQAAX3JlbHMvLnJlbHNQSwECLQAUAAYACAAAACEAMLiA39EBAACGAwAA&#10;DgAAAAAAAAAAAAAAAAAuAgAAZHJzL2Uyb0RvYy54bWxQSwECLQAUAAYACAAAACEAbEduEt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6"/>
          <w:sz w:val="18"/>
        </w:rPr>
        <w:t>The workplace is a powerful learning environment. Technical skills can be learned from expert practitioners using real-life equipment, while also acquiring capabilities such as teamwork, communication, risk management, customer service and problem-solving. Work-based learning assists students to transition from school to work, while for employers it offers a means of recruitment.</w:t>
      </w:r>
      <w:r w:rsidR="00083242">
        <w:rPr>
          <w:rFonts w:ascii="Tahoma" w:eastAsia="Tahoma" w:hAnsi="Tahoma"/>
          <w:color w:val="404042"/>
          <w:spacing w:val="6"/>
          <w:sz w:val="18"/>
          <w:vertAlign w:val="superscript"/>
        </w:rPr>
        <w:t>98</w:t>
      </w:r>
      <w:r w:rsidR="00083242">
        <w:rPr>
          <w:rFonts w:ascii="Tahoma" w:eastAsia="Tahoma" w:hAnsi="Tahoma"/>
          <w:color w:val="404042"/>
          <w:spacing w:val="6"/>
          <w:sz w:val="18"/>
        </w:rPr>
        <w:t xml:space="preserve"> Volunteer work in a community-based organisation can provide similar benefits but also help inspire students about the value of contributing to social purpose. Work can be particularly motivating for students who are less academically inclined and might feel discouraged by the narrowly theoretical approaches of some general education subjects.</w:t>
      </w:r>
      <w:r w:rsidR="00083242">
        <w:rPr>
          <w:rFonts w:ascii="Tahoma" w:eastAsia="Tahoma" w:hAnsi="Tahoma"/>
          <w:color w:val="404042"/>
          <w:spacing w:val="6"/>
          <w:sz w:val="18"/>
          <w:vertAlign w:val="superscript"/>
        </w:rPr>
        <w:t>99</w:t>
      </w:r>
      <w:r w:rsidR="00083242">
        <w:rPr>
          <w:rFonts w:ascii="Tahoma" w:eastAsia="Tahoma" w:hAnsi="Tahoma"/>
          <w:color w:val="404042"/>
          <w:spacing w:val="6"/>
          <w:sz w:val="18"/>
        </w:rPr>
        <w:t xml:space="preserve"> It provides them with skills that can complement the capabilities developed within school.</w:t>
      </w:r>
    </w:p>
    <w:p w14:paraId="1BEA5610" w14:textId="77777777" w:rsidR="009757A9" w:rsidRDefault="009757A9">
      <w:pPr>
        <w:spacing w:before="459" w:after="4386" w:line="241" w:lineRule="exact"/>
        <w:sectPr w:rsidR="009757A9">
          <w:pgSz w:w="11909" w:h="16838"/>
          <w:pgMar w:top="1080" w:right="0" w:bottom="0" w:left="0" w:header="720" w:footer="720" w:gutter="0"/>
          <w:cols w:space="720"/>
        </w:sectPr>
      </w:pPr>
    </w:p>
    <w:p w14:paraId="07F47424" w14:textId="77777777" w:rsidR="009757A9" w:rsidRDefault="000D2E34">
      <w:pPr>
        <w:spacing w:before="50" w:line="200" w:lineRule="exact"/>
        <w:ind w:left="1080" w:right="1152" w:hanging="288"/>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897344" behindDoc="0" locked="0" layoutInCell="1" allowOverlap="1" wp14:anchorId="5E94695C" wp14:editId="7E9ACE2D">
                <wp:simplePos x="0" y="0"/>
                <wp:positionH relativeFrom="page">
                  <wp:posOffset>539750</wp:posOffset>
                </wp:positionH>
                <wp:positionV relativeFrom="page">
                  <wp:posOffset>7982585</wp:posOffset>
                </wp:positionV>
                <wp:extent cx="917575" cy="0"/>
                <wp:effectExtent l="0" t="0" r="0" b="0"/>
                <wp:wrapNone/>
                <wp:docPr id="706"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64F91" id="Line 427" o:spid="_x0000_s1026" style="position:absolute;z-index:25189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28.55pt" to="114.75pt,6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1PdzgEAAIYDAAAOAAAAZHJzL2Uyb0RvYy54bWysU8uO2zAMvBfoPwi6N3aCJmmNOHtIur2k&#10;bYDdfgAjybZQWRQkJXb+vpTy6La9LdYHQRTJ4XBIrx7G3rCT8kGjrfl0UnKmrECpbVvzn8+PHz5x&#10;FiJYCQatqvlZBf6wfv9uNbhKzbBDI5VnBGJDNbiadzG6qiiC6FQPYYJOWXI26HuIZPq2kB4GQu9N&#10;MSvLRTGgl86jUCHQ6/bi5OuM3zRKxB9NE1RkpubELebT5/OQzmK9gqr14DotrjTgFSx60JaK3qG2&#10;EIEdvf4PqtfCY8AmTgT2BTaNFir3QN1My3+6eerAqdwLiRPcXabwdrDi+2nvmZY1X5YLziz0NKSd&#10;top9nC2TOoMLFQVt7N6n/sRon9wOxa/ALG46sK3KLJ/PjhKnKaP4KyUZwVGNw/ANJcXAMWKWamx8&#10;nyBJBDbmiZzvE1FjZIIeP0+X8+WcM3FzFVDd8pwP8avCnqVLzQ2Rzrhw2oWYeEB1C0llLD5qY/K8&#10;jWUDkZ2Vi3nOCGi0TN4UF3x72BjPTpBWJn+5K/K8DEvQWwjdJS67Lsvk8WhlLtMpkF+u9wjaXO5E&#10;y9irSkmYi8QHlOe9v6lHw878r4uZtumlnbP//D7r3wAAAP//AwBQSwMEFAAGAAgAAAAhAEVvPIXg&#10;AAAADAEAAA8AAABkcnMvZG93bnJldi54bWxMj8FOwzAQRO9I/IO1SFxQ6zRqaEjjVKgS3EClBdGj&#10;G2+TiHgdxW4T/p7lgOhxZ0czb/LVaFtxxt43jhTMphEIpNKZhioF77unSQrCB01Gt45QwTd6WBXX&#10;V7nOjBvoDc/bUAkOIZ9pBXUIXSalL2u02k9dh8S/o+utDnz2lTS9HjjctjKOontpdUPcUOsO1zWW&#10;X9uTVSBllM7Hj8/hZX7n02a/rvbPrxulbm/GxyWIgGP4N8MvPqNDwUwHdyLjRasgTXhKYD1OFjMQ&#10;7IjjhwTE4U+SRS4vRxQ/AAAA//8DAFBLAQItABQABgAIAAAAIQC2gziS/gAAAOEBAAATAAAAAAAA&#10;AAAAAAAAAAAAAABbQ29udGVudF9UeXBlc10ueG1sUEsBAi0AFAAGAAgAAAAhADj9If/WAAAAlAEA&#10;AAsAAAAAAAAAAAAAAAAALwEAAF9yZWxzLy5yZWxzUEsBAi0AFAAGAAgAAAAhAFlnU93OAQAAhgMA&#10;AA4AAAAAAAAAAAAAAAAALgIAAGRycy9lMm9Eb2MueG1sUEsBAi0AFAAGAAgAAAAhAEVvPIXgAAAA&#10;DAEAAA8AAAAAAAAAAAAAAAAAKAQAAGRycy9kb3ducmV2LnhtbFBLBQYAAAAABAAEAPMAAAA1BQAA&#10;AAA=&#10;" strokeweight=".95pt">
                <w10:wrap anchorx="page" anchory="page"/>
              </v:line>
            </w:pict>
          </mc:Fallback>
        </mc:AlternateContent>
      </w:r>
      <w:r w:rsidR="00083242">
        <w:rPr>
          <w:rFonts w:ascii="Tahoma" w:eastAsia="Tahoma" w:hAnsi="Tahoma"/>
          <w:color w:val="404042"/>
          <w:sz w:val="14"/>
        </w:rPr>
        <w:t xml:space="preserve">95 House of Representatives Standing Committee on Education and Training (2009), </w:t>
      </w:r>
      <w:r w:rsidR="00083242">
        <w:rPr>
          <w:rFonts w:ascii="Arial" w:eastAsia="Arial" w:hAnsi="Arial"/>
          <w:i/>
          <w:color w:val="404042"/>
          <w:sz w:val="14"/>
        </w:rPr>
        <w:t xml:space="preserve">Adolescent Overload? Report of the inquiry into combining school and work: Supporting successful youth </w:t>
      </w:r>
      <w:r w:rsidR="00083242">
        <w:rPr>
          <w:rFonts w:ascii="Tahoma" w:eastAsia="Tahoma" w:hAnsi="Tahoma"/>
          <w:color w:val="404042"/>
          <w:sz w:val="14"/>
        </w:rPr>
        <w:t xml:space="preserve">transitions, October 2009, p. vii, </w:t>
      </w:r>
      <w:hyperlink r:id="rId169">
        <w:r w:rsidR="00083242">
          <w:rPr>
            <w:rFonts w:ascii="Tahoma" w:eastAsia="Tahoma" w:hAnsi="Tahoma"/>
            <w:color w:val="0000FF"/>
            <w:sz w:val="14"/>
            <w:u w:val="single"/>
          </w:rPr>
          <w:t>https://www.aph.gov.au/Parliamentary_Business/Committees/House_of_ Representatives_Committees?url=edt/schoolandwork/report.htm</w:t>
        </w:r>
      </w:hyperlink>
      <w:r w:rsidR="00083242">
        <w:rPr>
          <w:rFonts w:ascii="Tahoma" w:eastAsia="Tahoma" w:hAnsi="Tahoma"/>
          <w:color w:val="404042"/>
          <w:sz w:val="14"/>
        </w:rPr>
        <w:t>.</w:t>
      </w:r>
    </w:p>
    <w:p w14:paraId="481831C4" w14:textId="77777777" w:rsidR="009757A9" w:rsidRDefault="00083242">
      <w:pPr>
        <w:spacing w:line="199" w:lineRule="exact"/>
        <w:ind w:left="1080" w:right="864" w:hanging="288"/>
        <w:jc w:val="both"/>
        <w:textAlignment w:val="baseline"/>
        <w:rPr>
          <w:rFonts w:ascii="Tahoma" w:eastAsia="Tahoma" w:hAnsi="Tahoma"/>
          <w:color w:val="404042"/>
          <w:spacing w:val="6"/>
          <w:sz w:val="14"/>
        </w:rPr>
      </w:pPr>
      <w:r>
        <w:rPr>
          <w:rFonts w:ascii="Tahoma" w:eastAsia="Tahoma" w:hAnsi="Tahoma"/>
          <w:color w:val="404042"/>
          <w:spacing w:val="6"/>
          <w:sz w:val="14"/>
        </w:rPr>
        <w:t xml:space="preserve">96 Foundation for Young Australians (2018), </w:t>
      </w:r>
      <w:r>
        <w:rPr>
          <w:rFonts w:ascii="Arial" w:eastAsia="Arial" w:hAnsi="Arial"/>
          <w:i/>
          <w:color w:val="404042"/>
          <w:spacing w:val="6"/>
          <w:sz w:val="14"/>
        </w:rPr>
        <w:t>The New Work Reality</w:t>
      </w:r>
      <w:r>
        <w:rPr>
          <w:rFonts w:ascii="Tahoma" w:eastAsia="Tahoma" w:hAnsi="Tahoma"/>
          <w:color w:val="404042"/>
          <w:spacing w:val="6"/>
          <w:sz w:val="14"/>
        </w:rPr>
        <w:t xml:space="preserve">, p. 9, </w:t>
      </w:r>
      <w:hyperlink r:id="rId170">
        <w:r>
          <w:rPr>
            <w:rFonts w:ascii="Tahoma" w:eastAsia="Tahoma" w:hAnsi="Tahoma"/>
            <w:color w:val="0000FF"/>
            <w:spacing w:val="6"/>
            <w:sz w:val="14"/>
            <w:u w:val="single"/>
          </w:rPr>
          <w:t>https://www.fya.org.au/wp-content/uploads/2018/06/FYA_TheNewWorkReality_ sml.pdf</w:t>
        </w:r>
      </w:hyperlink>
      <w:r>
        <w:rPr>
          <w:rFonts w:ascii="Tahoma" w:eastAsia="Tahoma" w:hAnsi="Tahoma"/>
          <w:color w:val="404042"/>
          <w:spacing w:val="6"/>
          <w:sz w:val="14"/>
        </w:rPr>
        <w:t>.</w:t>
      </w:r>
    </w:p>
    <w:p w14:paraId="6339F7E1" w14:textId="77777777" w:rsidR="009757A9" w:rsidRDefault="00083242">
      <w:pPr>
        <w:spacing w:line="200" w:lineRule="exact"/>
        <w:ind w:left="1080" w:right="2232" w:hanging="288"/>
        <w:textAlignment w:val="baseline"/>
        <w:rPr>
          <w:rFonts w:ascii="Tahoma" w:eastAsia="Tahoma" w:hAnsi="Tahoma"/>
          <w:color w:val="404042"/>
          <w:sz w:val="14"/>
        </w:rPr>
      </w:pPr>
      <w:r>
        <w:rPr>
          <w:rFonts w:ascii="Tahoma" w:eastAsia="Tahoma" w:hAnsi="Tahoma"/>
          <w:color w:val="404042"/>
          <w:sz w:val="14"/>
        </w:rPr>
        <w:t xml:space="preserve">97 Musset, P. (2019), </w:t>
      </w:r>
      <w:r>
        <w:rPr>
          <w:rFonts w:ascii="Arial" w:eastAsia="Arial" w:hAnsi="Arial"/>
          <w:i/>
          <w:color w:val="404042"/>
          <w:sz w:val="14"/>
        </w:rPr>
        <w:t>Improving Work-based Learning in Schools</w:t>
      </w:r>
      <w:r>
        <w:rPr>
          <w:rFonts w:ascii="Tahoma" w:eastAsia="Tahoma" w:hAnsi="Tahoma"/>
          <w:color w:val="404042"/>
          <w:sz w:val="14"/>
        </w:rPr>
        <w:t xml:space="preserve">, OECD Social, Employment and Migration Working Paper No. 233, Organisation for Economic Co-operation and Development, 25 September 2019, p. 20, </w:t>
      </w:r>
      <w:hyperlink r:id="rId171">
        <w:r>
          <w:rPr>
            <w:rFonts w:ascii="Tahoma" w:eastAsia="Tahoma" w:hAnsi="Tahoma"/>
            <w:color w:val="0000FF"/>
            <w:sz w:val="14"/>
            <w:u w:val="single"/>
          </w:rPr>
          <w:t xml:space="preserve">http://www.oecd.org/officialdocuments/ </w:t>
        </w:r>
      </w:hyperlink>
      <w:r>
        <w:rPr>
          <w:rFonts w:ascii="Tahoma" w:eastAsia="Tahoma" w:hAnsi="Tahoma"/>
          <w:color w:val="0000FF"/>
          <w:sz w:val="14"/>
          <w:u w:val="single"/>
        </w:rPr>
        <w:t>publicdisplaydocumentpdf/?cote=DELSA/ELSA/WD/SEM(2019)12&amp;docLanguage=En</w:t>
      </w:r>
      <w:r>
        <w:rPr>
          <w:rFonts w:ascii="Tahoma" w:eastAsia="Tahoma" w:hAnsi="Tahoma"/>
          <w:color w:val="404042"/>
          <w:sz w:val="14"/>
        </w:rPr>
        <w:t>.</w:t>
      </w:r>
    </w:p>
    <w:p w14:paraId="41E75E1C" w14:textId="77777777" w:rsidR="009757A9" w:rsidRDefault="00083242">
      <w:pPr>
        <w:spacing w:before="30" w:line="172" w:lineRule="exact"/>
        <w:ind w:left="792"/>
        <w:textAlignment w:val="baseline"/>
        <w:rPr>
          <w:rFonts w:ascii="Tahoma" w:eastAsia="Tahoma" w:hAnsi="Tahoma"/>
          <w:color w:val="404042"/>
          <w:spacing w:val="2"/>
          <w:sz w:val="14"/>
        </w:rPr>
      </w:pPr>
      <w:r>
        <w:rPr>
          <w:rFonts w:ascii="Tahoma" w:eastAsia="Tahoma" w:hAnsi="Tahoma"/>
          <w:color w:val="404042"/>
          <w:spacing w:val="2"/>
          <w:sz w:val="14"/>
        </w:rPr>
        <w:t>98 Musset (2019), p. 3.</w:t>
      </w:r>
    </w:p>
    <w:p w14:paraId="64123D2C" w14:textId="77777777" w:rsidR="009757A9" w:rsidRDefault="00083242">
      <w:pPr>
        <w:spacing w:before="30" w:line="171" w:lineRule="exact"/>
        <w:ind w:left="792"/>
        <w:textAlignment w:val="baseline"/>
        <w:rPr>
          <w:rFonts w:ascii="Tahoma" w:eastAsia="Tahoma" w:hAnsi="Tahoma"/>
          <w:color w:val="404042"/>
          <w:spacing w:val="1"/>
          <w:sz w:val="14"/>
        </w:rPr>
      </w:pPr>
      <w:r>
        <w:rPr>
          <w:rFonts w:ascii="Tahoma" w:eastAsia="Tahoma" w:hAnsi="Tahoma"/>
          <w:color w:val="404042"/>
          <w:spacing w:val="1"/>
          <w:sz w:val="14"/>
        </w:rPr>
        <w:t>99 Ibid., p. 19.</w:t>
      </w:r>
    </w:p>
    <w:p w14:paraId="2AC1BB7E" w14:textId="77777777" w:rsidR="009757A9" w:rsidRDefault="00083242">
      <w:pPr>
        <w:tabs>
          <w:tab w:val="left" w:pos="10872"/>
        </w:tabs>
        <w:spacing w:before="650" w:after="638" w:line="200" w:lineRule="exact"/>
        <w:ind w:left="8064"/>
        <w:textAlignment w:val="baseline"/>
        <w:rPr>
          <w:rFonts w:ascii="Tahoma" w:eastAsia="Tahoma" w:hAnsi="Tahoma"/>
          <w:color w:val="404042"/>
          <w:sz w:val="14"/>
        </w:rPr>
      </w:pPr>
      <w:r>
        <w:rPr>
          <w:rFonts w:ascii="Tahoma" w:eastAsia="Tahoma" w:hAnsi="Tahoma"/>
          <w:color w:val="404042"/>
          <w:sz w:val="14"/>
        </w:rPr>
        <w:t>Chapter 3: VET and the world of work</w:t>
      </w:r>
      <w:r>
        <w:rPr>
          <w:rFonts w:ascii="Arial" w:eastAsia="Arial" w:hAnsi="Arial"/>
          <w:b/>
          <w:color w:val="5556A1"/>
          <w:sz w:val="19"/>
        </w:rPr>
        <w:tab/>
        <w:t>79</w:t>
      </w:r>
    </w:p>
    <w:p w14:paraId="6542A9F0" w14:textId="77777777" w:rsidR="009757A9" w:rsidRDefault="00083242">
      <w:pPr>
        <w:textAlignment w:val="baseline"/>
      </w:pPr>
      <w:r>
        <w:rPr>
          <w:noProof/>
          <w:lang w:val="en-AU" w:eastAsia="en-AU"/>
        </w:rPr>
        <w:drawing>
          <wp:inline distT="0" distB="0" distL="0" distR="0" wp14:anchorId="13E499CC" wp14:editId="43ECEDEB">
            <wp:extent cx="7562215" cy="462915"/>
            <wp:effectExtent l="0" t="0" r="0" b="0"/>
            <wp:docPr id="128" name="Picture"/>
            <wp:cNvGraphicFramePr/>
            <a:graphic xmlns:a="http://schemas.openxmlformats.org/drawingml/2006/main">
              <a:graphicData uri="http://schemas.openxmlformats.org/drawingml/2006/picture">
                <pic:pic xmlns:pic="http://schemas.openxmlformats.org/drawingml/2006/picture">
                  <pic:nvPicPr>
                    <pic:cNvPr id="128" name="Picture"/>
                    <pic:cNvPicPr preferRelativeResize="0"/>
                  </pic:nvPicPr>
                  <pic:blipFill>
                    <a:blip r:embed="rId107"/>
                    <a:stretch>
                      <a:fillRect/>
                    </a:stretch>
                  </pic:blipFill>
                  <pic:spPr>
                    <a:xfrm>
                      <a:off x="0" y="0"/>
                      <a:ext cx="7562215" cy="462915"/>
                    </a:xfrm>
                    <a:prstGeom prst="rect">
                      <a:avLst/>
                    </a:prstGeom>
                  </pic:spPr>
                </pic:pic>
              </a:graphicData>
            </a:graphic>
          </wp:inline>
        </w:drawing>
      </w:r>
    </w:p>
    <w:p w14:paraId="497E3BDF" w14:textId="77777777" w:rsidR="009757A9" w:rsidRDefault="009757A9">
      <w:pPr>
        <w:sectPr w:rsidR="009757A9">
          <w:type w:val="continuous"/>
          <w:pgSz w:w="11909" w:h="16838"/>
          <w:pgMar w:top="1080" w:right="0" w:bottom="0" w:left="0" w:header="720" w:footer="720" w:gutter="0"/>
          <w:cols w:space="720"/>
        </w:sectPr>
      </w:pPr>
    </w:p>
    <w:p w14:paraId="0ACBB222" w14:textId="08B1E05A"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w:lastRenderedPageBreak/>
        <mc:AlternateContent>
          <mc:Choice Requires="wps">
            <w:drawing>
              <wp:anchor distT="0" distB="314325" distL="545465" distR="536575" simplePos="0" relativeHeight="251484672" behindDoc="1" locked="0" layoutInCell="1" allowOverlap="1" wp14:anchorId="73701CCC" wp14:editId="327EF11E">
                <wp:simplePos x="0" y="0"/>
                <wp:positionH relativeFrom="margin">
                  <wp:align>center</wp:align>
                </wp:positionH>
                <wp:positionV relativeFrom="page">
                  <wp:posOffset>709295</wp:posOffset>
                </wp:positionV>
                <wp:extent cx="6480175" cy="1262380"/>
                <wp:effectExtent l="0" t="0" r="15875" b="13970"/>
                <wp:wrapSquare wrapText="bothSides"/>
                <wp:docPr id="70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262380"/>
                        </a:xfrm>
                        <a:prstGeom prst="rect">
                          <a:avLst/>
                        </a:prstGeom>
                        <a:solidFill>
                          <a:srgbClr val="DFE6EB"/>
                        </a:solidFill>
                        <a:ln w="9525">
                          <a:solidFill>
                            <a:srgbClr val="000000"/>
                          </a:solidFill>
                          <a:miter lim="800000"/>
                          <a:headEnd/>
                          <a:tailEnd/>
                        </a:ln>
                      </wps:spPr>
                      <wps:txbx>
                        <w:txbxContent>
                          <w:p w14:paraId="7D4386C1"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01CCC" id="_x0000_s1167" type="#_x0000_t202" style="position:absolute;left:0;text-align:left;margin-left:0;margin-top:55.85pt;width:510.25pt;height:99.4pt;z-index:-251831808;visibility:visible;mso-wrap-style:square;mso-width-percent:0;mso-height-percent:0;mso-wrap-distance-left:42.95pt;mso-wrap-distance-top:0;mso-wrap-distance-right:42.25pt;mso-wrap-distance-bottom:24.75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y6LQIAAE4EAAAOAAAAZHJzL2Uyb0RvYy54bWysVMtu2zAQvBfoPxC815JV23EFy0HiR1Eg&#10;fQBJP4CiKIkoxWVJ2lL69VlSthOk7aWoD8RSXA5nZ3a9uh46RY7COgm6oNNJSonQHCqpm4J+f9i/&#10;W1LiPNMVU6BFQR+Fo9frt29WvclFBi2oSliCINrlvSlo673Jk8TxVnTMTcAIjYc12I553NomqSzr&#10;Eb1TSZami6QHWxkLXDiHX7fjIV1H/LoW3H+tayc8UQVFbj6uNq5lWJP1iuWNZaaV/ESD/QOLjkmN&#10;j16gtswzcrDyN6hOcgsOaj/h0CVQ15KLWANWM01fVXPfMiNiLSiOMxeZ3P+D5V+O3yyRVUGv0jkl&#10;mnVo0oMYPLmFgcyyRVCoNy7HxHuDqX7AA3Q6VuvMHfAfjmjYtEw34sZa6FvBKmQ4DTeTF1dHHBdA&#10;yv4zVPgQO3iIQENtuyAfCkIQHZ16vLgTyHD8uJgt0+kVkuR4Ns0W2ftl9C9h+fm6sc5/FNCREBTU&#10;ov0Rnh3vnA90WH5OCa85ULLaS6XixjblRllyZNgq2/1usbuNFbxKU5r0Bf0wz+ajAn+FSOPvTxCd&#10;9NjzSnYFXV6SWB502+kqdqRnUo0xUlb6JGTQblTRD+UQXZvOos5B5hKqR9TWwtjkOJQYtGB/UdJj&#10;gxfU/TwwKyhRnzT6E6bhHNhzUJ4DpjleLainZAw3fpyag7GyaRF57AANN+hhLaO6zyxOhLFpo+in&#10;AQtT8XIfs57/BtZPAAAA//8DAFBLAwQUAAYACAAAACEAeQzmd94AAAAJAQAADwAAAGRycy9kb3du&#10;cmV2LnhtbEyPQU/DMAyF70j8h8hI3FiSoo2pNJ0mBBKIEwMO3NLGa6s1TtVkXfn3eCd2s/3s5+8V&#10;m9n3YsIxdoEM6IUCgVQH11Fj4Ovz5W4NIiZLzvaB0MAvRtiU11eFzV040QdOu9QINqGYWwNtSkMu&#10;Zaxb9DYuwoDE2j6M3iZux0a60Z7Y3PcyU2olve2IP7R2wKcW68Pu6Bkjm/bPzWFr31+XKz28fXfV&#10;+qcz5vZm3j6CSDin/2U44/MNlMxUhSO5KHoDHCTxVOsHEGdZZWoJojJwr7mQZSEvE5R/AAAA//8D&#10;AFBLAQItABQABgAIAAAAIQC2gziS/gAAAOEBAAATAAAAAAAAAAAAAAAAAAAAAABbQ29udGVudF9U&#10;eXBlc10ueG1sUEsBAi0AFAAGAAgAAAAhADj9If/WAAAAlAEAAAsAAAAAAAAAAAAAAAAALwEAAF9y&#10;ZWxzLy5yZWxzUEsBAi0AFAAGAAgAAAAhANaMjLotAgAATgQAAA4AAAAAAAAAAAAAAAAALgIAAGRy&#10;cy9lMm9Eb2MueG1sUEsBAi0AFAAGAAgAAAAhAHkM5nfeAAAACQEAAA8AAAAAAAAAAAAAAAAAhwQA&#10;AGRycy9kb3ducmV2LnhtbFBLBQYAAAAABAAEAPMAAACSBQAAAAA=&#10;" fillcolor="#dfe6eb">
                <v:textbox inset="0,0,0,0">
                  <w:txbxContent>
                    <w:p w14:paraId="7D4386C1" w14:textId="77777777" w:rsidR="00490F33" w:rsidRDefault="00490F33"/>
                  </w:txbxContent>
                </v:textbox>
                <w10:wrap type="square" anchorx="margin" anchory="page"/>
              </v:shape>
            </w:pict>
          </mc:Fallback>
        </mc:AlternateContent>
      </w:r>
      <w:r>
        <w:rPr>
          <w:noProof/>
          <w:lang w:val="en-AU" w:eastAsia="en-AU"/>
        </w:rPr>
        <mc:AlternateContent>
          <mc:Choice Requires="wps">
            <w:drawing>
              <wp:anchor distT="0" distB="0" distL="0" distR="0" simplePos="0" relativeHeight="251486720" behindDoc="1" locked="0" layoutInCell="1" allowOverlap="1" wp14:anchorId="3D7251A0" wp14:editId="1818D328">
                <wp:simplePos x="0" y="0"/>
                <wp:positionH relativeFrom="page">
                  <wp:posOffset>597535</wp:posOffset>
                </wp:positionH>
                <wp:positionV relativeFrom="page">
                  <wp:posOffset>965835</wp:posOffset>
                </wp:positionV>
                <wp:extent cx="6428105" cy="862965"/>
                <wp:effectExtent l="0" t="0" r="0" b="0"/>
                <wp:wrapSquare wrapText="bothSides"/>
                <wp:docPr id="703"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F60D1"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7</w:t>
                            </w:r>
                          </w:p>
                          <w:p w14:paraId="71F1F835" w14:textId="77777777" w:rsidR="00490F33" w:rsidRDefault="00490F33">
                            <w:pPr>
                              <w:spacing w:before="160" w:after="192" w:line="240" w:lineRule="exact"/>
                              <w:ind w:left="504" w:right="1296"/>
                              <w:jc w:val="both"/>
                              <w:textAlignment w:val="baseline"/>
                              <w:rPr>
                                <w:rFonts w:ascii="Tahoma" w:eastAsia="Tahoma" w:hAnsi="Tahoma"/>
                                <w:color w:val="404042"/>
                                <w:sz w:val="18"/>
                              </w:rPr>
                            </w:pPr>
                            <w:r>
                              <w:rPr>
                                <w:rFonts w:ascii="Tahoma" w:eastAsia="Tahoma" w:hAnsi="Tahoma"/>
                                <w:color w:val="404042"/>
                                <w:sz w:val="18"/>
                              </w:rPr>
                              <w:t>All students – including those seeking university entry – should be supported to undertake career education and work exploration at school, through workplace learning, work skills courses, and/or undertaking applied subjects such as design and technology.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251A0" id="Text Box 424" o:spid="_x0000_s1168" type="#_x0000_t202" style="position:absolute;left:0;text-align:left;margin-left:47.05pt;margin-top:76.05pt;width:506.15pt;height:67.95pt;z-index:-251829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YM8gEAAMMDAAAOAAAAZHJzL2Uyb0RvYy54bWysU9tu2zAMfR+wfxD0vviyNMuMOEXXosOA&#10;7gK0+wBZlm1htqhRSuzs60fJcdZtb8NeBIqkDg8Pqd31NPTsqNBpMCXPVilnykiotWlL/vXp/tWW&#10;M+eFqUUPRpX8pBy/3r98sRttoXLooK8VMgIxrhhtyTvvbZEkTnZqEG4FVhkKNoCD8HTFNqlRjIQ+&#10;9EmepptkBKwtglTOkfduDvJ9xG8aJf3npnHKs77kxM3HE+NZhTPZ70TRorCdlmca4h9YDEIbKnqB&#10;uhNesAPqv6AGLREcNH4lYUigabRUsQfqJkv/6OaxE1bFXkgcZy8yuf8HKz8dvyDTdcnfpK85M2Kg&#10;IT2pybN3MLF1vg4KjdYVlPhoKdVPFKBJx26dfQD5zTEDt50wrbpBhLFToiaGWXiZPHs647gAUo0f&#10;oaZC4uAhAk0NDkE+EoQROk3qdJlOICPJuVnn2yy94kxSbLvJ326uYglRLK8tOv9ewcCCUXKk6Ud0&#10;cXxwPrARxZISihm4130fN6A3vzkoMXgi+0B4pu6naopSZet8kaWC+kQNIcybRT+BjA7wB2cjbVXJ&#10;3feDQMVZ/8GQKGEFFwMXo1oMYSQ9LbnnbDZv/byqB4u67Qh5lt3ADQnX6NhTUHhmcSZMmxJbPW91&#10;WMXn95j16+/tfwIAAP//AwBQSwMEFAAGAAgAAAAhAF94FGXfAAAACwEAAA8AAABkcnMvZG93bnJl&#10;di54bWxMjz1PwzAQhnck/oN1SGzUTlSiNMSpKgQTEiINA6MTu4nV+Bxitw3/nusE2308eu+5cru4&#10;kZ3NHKxHCclKADPYeW2xl/DZvD7kwEJUqNXo0Uj4MQG21e1NqQrtL1ib8z72jEIwFErCEONUcB66&#10;wTgVVn4ySLuDn52K1M4917O6ULgbeSpExp2ySBcGNZnnwXTH/clJ2H1h/WK/39uP+lDbptkIfMuO&#10;Ut7fLbsnYNEs8Q+Gqz6pQ0VOrT+hDmyUsFknRNL8MaXiCiQiWwNrJaR5LoBXJf//Q/ULAAD//wMA&#10;UEsBAi0AFAAGAAgAAAAhALaDOJL+AAAA4QEAABMAAAAAAAAAAAAAAAAAAAAAAFtDb250ZW50X1R5&#10;cGVzXS54bWxQSwECLQAUAAYACAAAACEAOP0h/9YAAACUAQAACwAAAAAAAAAAAAAAAAAvAQAAX3Jl&#10;bHMvLnJlbHNQSwECLQAUAAYACAAAACEAtSBWDPIBAADDAwAADgAAAAAAAAAAAAAAAAAuAgAAZHJz&#10;L2Uyb0RvYy54bWxQSwECLQAUAAYACAAAACEAX3gUZd8AAAALAQAADwAAAAAAAAAAAAAAAABMBAAA&#10;ZHJzL2Rvd25yZXYueG1sUEsFBgAAAAAEAAQA8wAAAFgFAAAAAA==&#10;" filled="f" stroked="f">
                <v:textbox inset="0,0,0,0">
                  <w:txbxContent>
                    <w:p w14:paraId="3DBF60D1"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7</w:t>
                      </w:r>
                    </w:p>
                    <w:p w14:paraId="71F1F835" w14:textId="77777777" w:rsidR="00490F33" w:rsidRDefault="00490F33">
                      <w:pPr>
                        <w:spacing w:before="160" w:after="192" w:line="240" w:lineRule="exact"/>
                        <w:ind w:left="504" w:right="1296"/>
                        <w:jc w:val="both"/>
                        <w:textAlignment w:val="baseline"/>
                        <w:rPr>
                          <w:rFonts w:ascii="Tahoma" w:eastAsia="Tahoma" w:hAnsi="Tahoma"/>
                          <w:color w:val="404042"/>
                          <w:sz w:val="18"/>
                        </w:rPr>
                      </w:pPr>
                      <w:r>
                        <w:rPr>
                          <w:rFonts w:ascii="Tahoma" w:eastAsia="Tahoma" w:hAnsi="Tahoma"/>
                          <w:color w:val="404042"/>
                          <w:sz w:val="18"/>
                        </w:rPr>
                        <w:t>All students – including those seeking university entry – should be supported to undertake career education and work exploration at school, through workplace learning, work skills courses, and/or undertaking applied subjects such as design and technology.</w:t>
                      </w:r>
                    </w:p>
                  </w:txbxContent>
                </v:textbox>
                <w10:wrap type="square" anchorx="page" anchory="page"/>
              </v:shape>
            </w:pict>
          </mc:Fallback>
        </mc:AlternateContent>
      </w:r>
      <w:r w:rsidR="00083242">
        <w:rPr>
          <w:rFonts w:ascii="Arial" w:eastAsia="Arial" w:hAnsi="Arial"/>
          <w:i/>
          <w:color w:val="007896"/>
          <w:spacing w:val="1"/>
          <w:sz w:val="18"/>
        </w:rPr>
        <w:t>Implementation guidance</w:t>
      </w:r>
    </w:p>
    <w:p w14:paraId="437D66D7" w14:textId="77777777" w:rsidR="009757A9" w:rsidRDefault="00083242">
      <w:pPr>
        <w:spacing w:before="167"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Work-based learning and classroom-based learning should not be seen as separate and distinct activities. They should be treated as part of a complete package. Classroom activities complement and add to learning in the workplace; learning at work complements instruction in the classroom.</w:t>
      </w:r>
      <w:r>
        <w:rPr>
          <w:rFonts w:ascii="Tahoma" w:eastAsia="Tahoma" w:hAnsi="Tahoma"/>
          <w:color w:val="404042"/>
          <w:spacing w:val="4"/>
          <w:sz w:val="18"/>
          <w:vertAlign w:val="superscript"/>
        </w:rPr>
        <w:t>100</w:t>
      </w:r>
      <w:r>
        <w:rPr>
          <w:rFonts w:ascii="Tahoma" w:eastAsia="Tahoma" w:hAnsi="Tahoma"/>
          <w:color w:val="404042"/>
          <w:spacing w:val="4"/>
          <w:sz w:val="18"/>
        </w:rPr>
        <w:t xml:space="preserve"> Work placements tend to work best when students can receive credit for their efforts in the SSCE, so that work-based and school-based learning effectively complement each other.</w:t>
      </w:r>
      <w:r>
        <w:rPr>
          <w:rFonts w:ascii="Tahoma" w:eastAsia="Tahoma" w:hAnsi="Tahoma"/>
          <w:color w:val="404042"/>
          <w:spacing w:val="4"/>
          <w:sz w:val="18"/>
          <w:vertAlign w:val="superscript"/>
        </w:rPr>
        <w:t>101</w:t>
      </w:r>
      <w:r>
        <w:rPr>
          <w:rFonts w:ascii="Tahoma" w:eastAsia="Tahoma" w:hAnsi="Tahoma"/>
          <w:color w:val="404042"/>
          <w:spacing w:val="4"/>
          <w:sz w:val="18"/>
        </w:rPr>
        <w:t xml:space="preserve"> While most states and territories offer work exploration short courses that can be completed as part of the SSCE, in some jurisdictions these courses are considered ‘recreational’ and are not counted towards the SSCE.</w:t>
      </w:r>
      <w:r>
        <w:rPr>
          <w:rFonts w:ascii="Tahoma" w:eastAsia="Tahoma" w:hAnsi="Tahoma"/>
          <w:color w:val="404042"/>
          <w:spacing w:val="4"/>
          <w:sz w:val="18"/>
          <w:vertAlign w:val="superscript"/>
        </w:rPr>
        <w:t>102</w:t>
      </w:r>
      <w:r>
        <w:rPr>
          <w:rFonts w:ascii="Tahoma" w:eastAsia="Tahoma" w:hAnsi="Tahoma"/>
          <w:color w:val="404042"/>
          <w:spacing w:val="4"/>
          <w:sz w:val="10"/>
        </w:rPr>
        <w:t xml:space="preserve"> </w:t>
      </w:r>
    </w:p>
    <w:p w14:paraId="3CDF318E" w14:textId="77777777" w:rsidR="009757A9" w:rsidRDefault="00083242">
      <w:pPr>
        <w:spacing w:before="168"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Students who are struggling to remain engaged with schooling should be directed to career education and work exploration and other more engaging, applied school-based offerings. It is a key to keeping them involved in schooling, rather than attempting to undertake a formal Australian Qualifications Framework qualification that is not aligned with their interests and aspirations.</w:t>
      </w:r>
    </w:p>
    <w:p w14:paraId="597CDA31" w14:textId="77777777" w:rsidR="009757A9" w:rsidRDefault="00083242">
      <w:pPr>
        <w:spacing w:before="168" w:after="5827"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Alternatively, some students are more likely to thrive and continue their learning outside of a traditional school setting such as at TAFE or through an alternative program such as a flexi-school (see Toowoomba Flexi-School case study on page 124). For a small number of students, the opportunities to leave school, start work but continue to access training (including on-the-job training) may be an appropriate outcome. These students should be supported to do this in a planned way.</w:t>
      </w:r>
    </w:p>
    <w:p w14:paraId="25CB8030" w14:textId="77777777" w:rsidR="009757A9" w:rsidRDefault="009757A9">
      <w:pPr>
        <w:spacing w:before="168" w:after="5827" w:line="240" w:lineRule="exact"/>
        <w:sectPr w:rsidR="009757A9">
          <w:pgSz w:w="11909" w:h="16838"/>
          <w:pgMar w:top="3605" w:right="0" w:bottom="0" w:left="0" w:header="720" w:footer="720" w:gutter="0"/>
          <w:cols w:space="720"/>
        </w:sectPr>
      </w:pPr>
    </w:p>
    <w:p w14:paraId="0B018AFB" w14:textId="77777777" w:rsidR="009757A9" w:rsidRDefault="000D2E34">
      <w:pPr>
        <w:spacing w:before="80" w:line="171" w:lineRule="exact"/>
        <w:ind w:left="792"/>
        <w:textAlignment w:val="baseline"/>
        <w:rPr>
          <w:rFonts w:ascii="Tahoma" w:eastAsia="Tahoma" w:hAnsi="Tahoma"/>
          <w:color w:val="404042"/>
          <w:spacing w:val="2"/>
          <w:sz w:val="14"/>
        </w:rPr>
      </w:pPr>
      <w:r>
        <w:rPr>
          <w:noProof/>
          <w:lang w:val="en-AU" w:eastAsia="en-AU"/>
        </w:rPr>
        <mc:AlternateContent>
          <mc:Choice Requires="wps">
            <w:drawing>
              <wp:anchor distT="0" distB="0" distL="114300" distR="114300" simplePos="0" relativeHeight="251901440" behindDoc="0" locked="0" layoutInCell="1" allowOverlap="1" wp14:anchorId="08A3C0EA" wp14:editId="0D2C896F">
                <wp:simplePos x="0" y="0"/>
                <wp:positionH relativeFrom="page">
                  <wp:posOffset>539750</wp:posOffset>
                </wp:positionH>
                <wp:positionV relativeFrom="page">
                  <wp:posOffset>8744585</wp:posOffset>
                </wp:positionV>
                <wp:extent cx="917575" cy="0"/>
                <wp:effectExtent l="0" t="0" r="0" b="0"/>
                <wp:wrapNone/>
                <wp:docPr id="698"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6932B" id="Line 419" o:spid="_x0000_s1026" style="position:absolute;z-index:25190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88.55pt" to="114.75pt,6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cRpzQEAAIYDAAAOAAAAZHJzL2Uyb0RvYy54bWysU8GO2jAQvVfqP1i+lwAqbIkIe4BuL7RF&#10;2u0HDLaTWHU8lm1I+PuOHWC37a1qDpbHM/PmzZvJ+nHoDDsrHzTais8mU86UFSi1bSr+4+XpwyfO&#10;QgQrwaBVFb+owB8379+te1eqObZopPKMQGwoe1fxNkZXFkUQreogTNApS84afQeRTN8U0kNP6J0p&#10;5tPpsujRS+dRqBDodTc6+Sbj17US8XtdBxWZqThxi/n0+Tyms9isoWw8uFaLKw34BxYdaEtF71A7&#10;iMBOXv8F1WnhMWAdJwK7AutaC5V7oG5m0z+6eW7BqdwLiRPcXabw/2DFt/PBMy0rvlzRqCx0NKS9&#10;top9nK2SOr0LJQVt7cGn/sRgn90exc/ALG5bsI3KLF8ujhJnKaP4LSUZwVGNY/8VJcXAKWKWaqh9&#10;lyBJBDbkiVzuE1FDZIIeV7OHxcOCM3FzFVDe8pwP8YvCjqVLxQ2Rzrhw3oeYeEB5C0llLD5pY/K8&#10;jWU9kZ1Pl4ucEdBombwpLvjmuDWenSGtTP5yV+R5G5agdxDaMS67xmXyeLIyl2kVyM/XewRtxjvR&#10;MvaqUhJmlPiI8nLwN/Vo2Jn/dTHTNr21c/br77P5BQAA//8DAFBLAwQUAAYACAAAACEAlrg/G+AA&#10;AAAMAQAADwAAAGRycy9kb3ducmV2LnhtbEyPzU7DMBCE70i8g7VIXFDrNPQnpHEqVAluVLQF0aMb&#10;b5OIeB3FbhPenuWA4Lizo5lvstVgG3HBzteOFEzGEQikwpmaSgVv+6dRAsIHTUY3jlDBF3pY5ddX&#10;mU6N62mLl10oBYeQT7WCKoQ2ldIXFVrtx65F4t/JdVYHPrtSmk73HG4bGUfRXFpdEzdUusV1hcXn&#10;7mwVSBkl0+H9o3+Z3vmkPqzLw/PmVanbm+FxCSLgEP7M8IPP6JAz09GdyXjRKEhmPCWwfr9YTECw&#10;I44fZiCOv5LMM/l/RP4NAAD//wMAUEsBAi0AFAAGAAgAAAAhALaDOJL+AAAA4QEAABMAAAAAAAAA&#10;AAAAAAAAAAAAAFtDb250ZW50X1R5cGVzXS54bWxQSwECLQAUAAYACAAAACEAOP0h/9YAAACUAQAA&#10;CwAAAAAAAAAAAAAAAAAvAQAAX3JlbHMvLnJlbHNQSwECLQAUAAYACAAAACEAmNXEac0BAACGAwAA&#10;DgAAAAAAAAAAAAAAAAAuAgAAZHJzL2Uyb0RvYy54bWxQSwECLQAUAAYACAAAACEAlrg/G+AAAAAM&#10;AQAADwAAAAAAAAAAAAAAAAAnBAAAZHJzL2Rvd25yZXYueG1sUEsFBgAAAAAEAAQA8wAAADQFAAAA&#10;AA==&#10;" strokeweight=".95pt">
                <w10:wrap anchorx="page" anchory="page"/>
              </v:line>
            </w:pict>
          </mc:Fallback>
        </mc:AlternateContent>
      </w:r>
      <w:r w:rsidR="00083242">
        <w:rPr>
          <w:rFonts w:ascii="Tahoma" w:eastAsia="Tahoma" w:hAnsi="Tahoma"/>
          <w:color w:val="404042"/>
          <w:spacing w:val="2"/>
          <w:sz w:val="14"/>
        </w:rPr>
        <w:t>100 Ibid., p. 55.</w:t>
      </w:r>
    </w:p>
    <w:p w14:paraId="553D74FB" w14:textId="77777777" w:rsidR="009757A9" w:rsidRDefault="00083242">
      <w:pPr>
        <w:spacing w:before="26" w:line="171" w:lineRule="exact"/>
        <w:ind w:left="792"/>
        <w:textAlignment w:val="baseline"/>
        <w:rPr>
          <w:rFonts w:ascii="Tahoma" w:eastAsia="Tahoma" w:hAnsi="Tahoma"/>
          <w:color w:val="404042"/>
          <w:spacing w:val="2"/>
          <w:sz w:val="14"/>
        </w:rPr>
      </w:pPr>
      <w:r>
        <w:rPr>
          <w:rFonts w:ascii="Tahoma" w:eastAsia="Tahoma" w:hAnsi="Tahoma"/>
          <w:color w:val="404042"/>
          <w:spacing w:val="2"/>
          <w:sz w:val="14"/>
        </w:rPr>
        <w:t>101 Ibid., pp. 32–33.</w:t>
      </w:r>
    </w:p>
    <w:p w14:paraId="31BDAB0F" w14:textId="77777777" w:rsidR="009757A9" w:rsidRDefault="00083242">
      <w:pPr>
        <w:spacing w:before="5" w:line="199" w:lineRule="exact"/>
        <w:ind w:left="1080" w:right="1584" w:hanging="288"/>
        <w:textAlignment w:val="baseline"/>
        <w:rPr>
          <w:rFonts w:ascii="Tahoma" w:eastAsia="Tahoma" w:hAnsi="Tahoma"/>
          <w:color w:val="404042"/>
          <w:sz w:val="14"/>
        </w:rPr>
      </w:pPr>
      <w:r>
        <w:rPr>
          <w:rFonts w:ascii="Tahoma" w:eastAsia="Tahoma" w:hAnsi="Tahoma"/>
          <w:color w:val="404042"/>
          <w:sz w:val="14"/>
        </w:rPr>
        <w:t xml:space="preserve">102 See Australasian Curriculum, Assessment and Certification Authorities (2018), </w:t>
      </w:r>
      <w:r>
        <w:rPr>
          <w:rFonts w:ascii="Tahoma" w:eastAsia="Tahoma" w:hAnsi="Tahoma"/>
          <w:i/>
          <w:color w:val="404042"/>
          <w:sz w:val="14"/>
        </w:rPr>
        <w:t>VET in Senior Secondary Certificates of Education</w:t>
      </w:r>
      <w:r>
        <w:rPr>
          <w:rFonts w:ascii="Tahoma" w:eastAsia="Tahoma" w:hAnsi="Tahoma"/>
          <w:color w:val="404042"/>
          <w:sz w:val="14"/>
        </w:rPr>
        <w:t xml:space="preserve">, April 2018, </w:t>
      </w:r>
      <w:hyperlink r:id="rId172">
        <w:r>
          <w:rPr>
            <w:rFonts w:ascii="Tahoma" w:eastAsia="Tahoma" w:hAnsi="Tahoma"/>
            <w:color w:val="0000FF"/>
            <w:sz w:val="14"/>
            <w:u w:val="single"/>
          </w:rPr>
          <w:t>http://www.acaca.edu.au/?wpfb_dl=1279</w:t>
        </w:r>
      </w:hyperlink>
      <w:r>
        <w:rPr>
          <w:rFonts w:ascii="Tahoma" w:eastAsia="Tahoma" w:hAnsi="Tahoma"/>
          <w:color w:val="404042"/>
          <w:sz w:val="14"/>
        </w:rPr>
        <w:t>.</w:t>
      </w:r>
    </w:p>
    <w:p w14:paraId="54582B2D" w14:textId="77777777" w:rsidR="009757A9" w:rsidRDefault="00083242">
      <w:pPr>
        <w:tabs>
          <w:tab w:val="left" w:pos="1368"/>
        </w:tabs>
        <w:spacing w:before="643" w:after="636" w:line="209" w:lineRule="exact"/>
        <w:ind w:left="792"/>
        <w:textAlignment w:val="baseline"/>
        <w:rPr>
          <w:rFonts w:ascii="Arial" w:eastAsia="Arial" w:hAnsi="Arial"/>
          <w:b/>
          <w:color w:val="5556A1"/>
          <w:spacing w:val="1"/>
          <w:sz w:val="19"/>
        </w:rPr>
      </w:pPr>
      <w:r>
        <w:rPr>
          <w:rFonts w:ascii="Arial" w:eastAsia="Arial" w:hAnsi="Arial"/>
          <w:b/>
          <w:color w:val="5556A1"/>
          <w:spacing w:val="1"/>
          <w:sz w:val="19"/>
        </w:rPr>
        <w:t>80</w:t>
      </w:r>
      <w:r>
        <w:rPr>
          <w:rFonts w:ascii="Tahoma" w:eastAsia="Tahoma" w:hAnsi="Tahoma"/>
          <w:color w:val="404042"/>
          <w:spacing w:val="1"/>
          <w:sz w:val="14"/>
        </w:rPr>
        <w:tab/>
        <w:t>Looking to the future</w:t>
      </w:r>
    </w:p>
    <w:p w14:paraId="557D3730" w14:textId="77777777" w:rsidR="009757A9" w:rsidRDefault="00083242">
      <w:pPr>
        <w:textAlignment w:val="baseline"/>
      </w:pPr>
      <w:r>
        <w:rPr>
          <w:noProof/>
          <w:lang w:val="en-AU" w:eastAsia="en-AU"/>
        </w:rPr>
        <w:drawing>
          <wp:inline distT="0" distB="0" distL="0" distR="0" wp14:anchorId="00A11230" wp14:editId="3E436B04">
            <wp:extent cx="7562215" cy="462915"/>
            <wp:effectExtent l="0" t="0" r="0" b="0"/>
            <wp:docPr id="131" name="Picture"/>
            <wp:cNvGraphicFramePr/>
            <a:graphic xmlns:a="http://schemas.openxmlformats.org/drawingml/2006/main">
              <a:graphicData uri="http://schemas.openxmlformats.org/drawingml/2006/picture">
                <pic:pic xmlns:pic="http://schemas.openxmlformats.org/drawingml/2006/picture">
                  <pic:nvPicPr>
                    <pic:cNvPr id="131" name="Picture"/>
                    <pic:cNvPicPr preferRelativeResize="0"/>
                  </pic:nvPicPr>
                  <pic:blipFill>
                    <a:blip r:embed="rId157"/>
                    <a:stretch>
                      <a:fillRect/>
                    </a:stretch>
                  </pic:blipFill>
                  <pic:spPr>
                    <a:xfrm>
                      <a:off x="0" y="0"/>
                      <a:ext cx="7562215" cy="462915"/>
                    </a:xfrm>
                    <a:prstGeom prst="rect">
                      <a:avLst/>
                    </a:prstGeom>
                  </pic:spPr>
                </pic:pic>
              </a:graphicData>
            </a:graphic>
          </wp:inline>
        </w:drawing>
      </w:r>
    </w:p>
    <w:p w14:paraId="3FBAFE1C" w14:textId="77777777" w:rsidR="009757A9" w:rsidRDefault="009757A9">
      <w:pPr>
        <w:sectPr w:rsidR="009757A9">
          <w:type w:val="continuous"/>
          <w:pgSz w:w="11909" w:h="16838"/>
          <w:pgMar w:top="3605" w:right="0" w:bottom="0" w:left="0" w:header="720" w:footer="720" w:gutter="0"/>
          <w:cols w:space="720"/>
        </w:sectPr>
      </w:pPr>
    </w:p>
    <w:p w14:paraId="03B35191"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488768" behindDoc="1" locked="0" layoutInCell="1" allowOverlap="1" wp14:anchorId="3B6D5F68" wp14:editId="6DF1EDBF">
                <wp:simplePos x="0" y="0"/>
                <wp:positionH relativeFrom="page">
                  <wp:posOffset>0</wp:posOffset>
                </wp:positionH>
                <wp:positionV relativeFrom="page">
                  <wp:posOffset>0</wp:posOffset>
                </wp:positionV>
                <wp:extent cx="7562215" cy="10692130"/>
                <wp:effectExtent l="0" t="0" r="0" b="0"/>
                <wp:wrapSquare wrapText="bothSides"/>
                <wp:docPr id="697"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97C2A" w14:textId="77777777" w:rsidR="00490F33" w:rsidRDefault="00490F33">
                            <w:pPr>
                              <w:textAlignment w:val="baseline"/>
                            </w:pPr>
                            <w:r>
                              <w:rPr>
                                <w:noProof/>
                                <w:lang w:val="en-AU" w:eastAsia="en-AU"/>
                              </w:rPr>
                              <w:drawing>
                                <wp:inline distT="0" distB="0" distL="0" distR="0" wp14:anchorId="28D11179" wp14:editId="13A1CBA6">
                                  <wp:extent cx="7562215" cy="10692130"/>
                                  <wp:effectExtent l="0" t="0" r="0" b="0"/>
                                  <wp:docPr id="132" name="Picture" descr="Image one: Parkes radio telescope&#10;Image two: CSIRO astronomy educator Rob Hollow shown on a laptop screen supervising a student.&#10;"/>
                                  <wp:cNvGraphicFramePr/>
                                  <a:graphic xmlns:a="http://schemas.openxmlformats.org/drawingml/2006/main">
                                    <a:graphicData uri="http://schemas.openxmlformats.org/drawingml/2006/picture">
                                      <pic:pic xmlns:pic="http://schemas.openxmlformats.org/drawingml/2006/picture">
                                        <pic:nvPicPr>
                                          <pic:cNvPr id="132" name="Picture" descr="Image one: Parkes radio telescope&#10;Image two: CSIRO astronomy educator Rob Hollow shown on a laptop screen supervising a student.&#10;"/>
                                          <pic:cNvPicPr preferRelativeResize="0"/>
                                        </pic:nvPicPr>
                                        <pic:blipFill>
                                          <a:blip r:embed="rId173"/>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D5F68" id="Text Box 418" o:spid="_x0000_s1169" type="#_x0000_t202" style="position:absolute;margin-left:0;margin-top:0;width:595.45pt;height:841.9pt;z-index:-251827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Dm9AEAAMUDAAAOAAAAZHJzL2Uyb0RvYy54bWysU9tu2zAMfR+wfxD0vjhO27Q14hRdiw4D&#10;um5Auw9gZDkWZosapcTOvn6UHGfd9jbsRaB4OTo8pFY3Q9eKvSZv0JYyn82l0FZhZey2lF9fHt5d&#10;SeED2ApatLqUB+3lzfrtm1XvCr3ABttKk2AQ64velbIJwRVZ5lWjO/AzdNpysEbqIPCVtllF0DN6&#10;12aL+XyZ9UiVI1Tae/bej0G5Tvh1rVX4XNdeB9GWkrmFdFI6N/HM1isotgSuMepIA/6BRQfG8qMn&#10;qHsIIHZk/oLqjCL0WIeZwi7DujZKpx64m3z+RzfPDTidemFxvDvJ5P8frHrafyFhqlIury+lsNDx&#10;kF70EMR7HMR5fhUV6p0vOPHZcWoYOMCTTt1694jqmxcW7xqwW31LhH2joWKGeazMXpWOOD6CbPpP&#10;WPFDsAuYgIaauigfCyIYnSd1OE0nklHsvLxYLhb5hRSKY/l8eb3Iz9IAMyimekc+fNDYiWiUknj+&#10;CR/2jz5EPlBMKfE5iw+mbdMOtPY3BydGT+IfKY/kw7AZklj5+dkkzAarA7dEOO4W/wU2GqQfUvS8&#10;V6X033dAWor2o2VZ4hJOBk3GZjLAKi4tZZBiNO/CuKw7R2bbMPIovMVblq42qaeo8cjiSJh3JbV6&#10;3Ou4jK/vKevX71v/BAAA//8DAFBLAwQUAAYACAAAACEAeyLJIt0AAAAHAQAADwAAAGRycy9kb3du&#10;cmV2LnhtbEyPwU7DMBBE70j8g7VI3KhdkKIkxKmqip4qIdJw4OjE28RqvE5jtw1/j8sFLqtZzWrm&#10;bbGa7cAuOHnjSMJyIYAhtU4b6iR81tunFJgPirQaHKGEb/SwKu/vCpVrd6UKL/vQsRhCPlcS+hDG&#10;nHPf9miVX7gRKXoHN1kV4jp1XE/qGsPtwJ+FSLhVhmJDr0bc9Nge92crYf1F1Zs5vTcf1aEydZ0J&#10;2iVHKR8f5vUrsIBz+DuGG35EhzIyNe5M2rNBQnwk/M6bt8xEBqyJKklfUuBlwf/zlz8AAAD//wMA&#10;UEsBAi0AFAAGAAgAAAAhALaDOJL+AAAA4QEAABMAAAAAAAAAAAAAAAAAAAAAAFtDb250ZW50X1R5&#10;cGVzXS54bWxQSwECLQAUAAYACAAAACEAOP0h/9YAAACUAQAACwAAAAAAAAAAAAAAAAAvAQAAX3Jl&#10;bHMvLnJlbHNQSwECLQAUAAYACAAAACEAinDQ5vQBAADFAwAADgAAAAAAAAAAAAAAAAAuAgAAZHJz&#10;L2Uyb0RvYy54bWxQSwECLQAUAAYACAAAACEAeyLJIt0AAAAHAQAADwAAAAAAAAAAAAAAAABOBAAA&#10;ZHJzL2Rvd25yZXYueG1sUEsFBgAAAAAEAAQA8wAAAFgFAAAAAA==&#10;" filled="f" stroked="f">
                <v:textbox inset="0,0,0,0">
                  <w:txbxContent>
                    <w:p w14:paraId="70797C2A" w14:textId="77777777" w:rsidR="00490F33" w:rsidRDefault="00490F33">
                      <w:pPr>
                        <w:textAlignment w:val="baseline"/>
                      </w:pPr>
                      <w:r>
                        <w:rPr>
                          <w:noProof/>
                          <w:lang w:val="en-AU" w:eastAsia="en-AU"/>
                        </w:rPr>
                        <w:drawing>
                          <wp:inline distT="0" distB="0" distL="0" distR="0" wp14:anchorId="28D11179" wp14:editId="13A1CBA6">
                            <wp:extent cx="7562215" cy="10692130"/>
                            <wp:effectExtent l="0" t="0" r="0" b="0"/>
                            <wp:docPr id="132" name="Picture" descr="Image one: Parkes radio telescope&#10;Image two: CSIRO astronomy educator Rob Hollow shown on a laptop screen supervising a student.&#10;"/>
                            <wp:cNvGraphicFramePr/>
                            <a:graphic xmlns:a="http://schemas.openxmlformats.org/drawingml/2006/main">
                              <a:graphicData uri="http://schemas.openxmlformats.org/drawingml/2006/picture">
                                <pic:pic xmlns:pic="http://schemas.openxmlformats.org/drawingml/2006/picture">
                                  <pic:nvPicPr>
                                    <pic:cNvPr id="132" name="Picture" descr="Image one: Parkes radio telescope&#10;Image two: CSIRO astronomy educator Rob Hollow shown on a laptop screen supervising a student.&#10;"/>
                                    <pic:cNvPicPr preferRelativeResize="0"/>
                                  </pic:nvPicPr>
                                  <pic:blipFill>
                                    <a:blip r:embed="rId173"/>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89792" behindDoc="1" locked="0" layoutInCell="1" allowOverlap="1" wp14:anchorId="753AB7D6" wp14:editId="68AB8BE5">
                <wp:simplePos x="0" y="0"/>
                <wp:positionH relativeFrom="page">
                  <wp:posOffset>847090</wp:posOffset>
                </wp:positionH>
                <wp:positionV relativeFrom="page">
                  <wp:posOffset>982980</wp:posOffset>
                </wp:positionV>
                <wp:extent cx="2624455" cy="858520"/>
                <wp:effectExtent l="0" t="0" r="0" b="0"/>
                <wp:wrapSquare wrapText="bothSides"/>
                <wp:docPr id="696"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EADB8"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727B4DC6" w14:textId="77777777" w:rsidR="00490F33" w:rsidRDefault="00490F33">
                            <w:pPr>
                              <w:spacing w:line="450" w:lineRule="exact"/>
                              <w:textAlignment w:val="baseline"/>
                              <w:rPr>
                                <w:rFonts w:ascii="Tahoma" w:eastAsia="Tahoma" w:hAnsi="Tahoma"/>
                                <w:color w:val="BF5B1F"/>
                                <w:spacing w:val="11"/>
                                <w:w w:val="95"/>
                                <w:sz w:val="38"/>
                              </w:rPr>
                            </w:pPr>
                            <w:r>
                              <w:rPr>
                                <w:rFonts w:ascii="Tahoma" w:eastAsia="Tahoma" w:hAnsi="Tahoma"/>
                                <w:color w:val="BF5B1F"/>
                                <w:spacing w:val="11"/>
                                <w:w w:val="95"/>
                                <w:sz w:val="38"/>
                              </w:rPr>
                              <w:t>CSIRO VIRTUAL WORK</w:t>
                            </w:r>
                          </w:p>
                          <w:p w14:paraId="7F638E46" w14:textId="77777777" w:rsidR="00490F33" w:rsidRDefault="00490F33">
                            <w:pPr>
                              <w:spacing w:before="4" w:line="450" w:lineRule="exact"/>
                              <w:textAlignment w:val="baseline"/>
                              <w:rPr>
                                <w:rFonts w:ascii="Tahoma" w:eastAsia="Tahoma" w:hAnsi="Tahoma"/>
                                <w:color w:val="BF5B1F"/>
                                <w:spacing w:val="11"/>
                                <w:w w:val="95"/>
                                <w:sz w:val="38"/>
                              </w:rPr>
                            </w:pPr>
                            <w:r>
                              <w:rPr>
                                <w:rFonts w:ascii="Tahoma" w:eastAsia="Tahoma" w:hAnsi="Tahoma"/>
                                <w:color w:val="BF5B1F"/>
                                <w:spacing w:val="11"/>
                                <w:w w:val="95"/>
                                <w:sz w:val="38"/>
                              </w:rPr>
                              <w:t>EXPERIENCE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AB7D6" id="Text Box 417" o:spid="_x0000_s1170" type="#_x0000_t202" style="position:absolute;margin-left:66.7pt;margin-top:77.4pt;width:206.65pt;height:67.6pt;z-index:-251826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fH8gEAAMMDAAAOAAAAZHJzL2Uyb0RvYy54bWysU9tu2zAMfR+wfxD0vjgJkiwz4hRdiw4D&#10;unVAuw9gZDkWZosapcTOvn6UHGfd+lbsRaB4OTo8pDZXfduIoyZv0BZyNplKoa3C0th9Ib8/3b1b&#10;S+ED2BIatLqQJ+3l1fbtm03ncj3HGptSk2AQ6/POFbIOweVZ5lWtW/ATdNpysEJqIfCV9llJ0DF6&#10;22Tz6XSVdUilI1Tae/beDkG5TfhVpVV4qCqvg2gKydxCOimdu3hm2w3kewJXG3WmAa9g0YKx/OgF&#10;6hYCiAOZF1CtUYQeqzBR2GZYVUbp1AN3M5v+081jDU6nXlgc7y4y+f8Hq74ev5EwZSFXH1ZSWGh5&#10;SE+6D+Ij9mIxex8V6pzPOfHRcWroOcCTTt16d4/qhxcWb2qwe31NhF2toWSGs1iZPSsdcHwE2XVf&#10;sOSH4BAwAfUVtVE+FkQwOk/qdJlOJKPYOV/NF4vlUgrFsfVyvZyn8WWQj9WOfPiksRXRKCTx9BM6&#10;HO99iGwgH1PiYxbvTNOkDWjsXw5OjJ7EPhIeqId+1yepZovFKMsOyxM3RDhsFv8ENmqkX1J0vFWF&#10;9D8PQFqK5rNlUeIKjgaNxm40wCouLWSQYjBvwrCqB0dmXzPyILvFaxauMqmnqPDA4kyYNyW1et7q&#10;uIrP7ynrz9/b/gYAAP//AwBQSwMEFAAGAAgAAAAhAJDZ88vgAAAACwEAAA8AAABkcnMvZG93bnJl&#10;di54bWxMjz1PwzAQhnck/oN1SGzUpk1Dm8apKgQTEmoaBkYndhOr8TnEbhv+PccE2726R+9Hvp1c&#10;zy5mDNajhMeZAGaw8dpiK+Gjen1YAQtRoVa9RyPh2wTYFrc3ucq0v2JpLofYMjLBkCkJXYxDxnlo&#10;OuNUmPnBIP2OfnQqkhxbrkd1JXPX87kQKXfKIiV0ajDPnWlOh7OTsPvE8sV+vdf78ljaqloLfEtP&#10;Ut7fTbsNsGim+AfDb32qDgV1qv0ZdWA96cUiIZSOZUIbiFgm6ROwWsJ8LQTwIuf/NxQ/AAAA//8D&#10;AFBLAQItABQABgAIAAAAIQC2gziS/gAAAOEBAAATAAAAAAAAAAAAAAAAAAAAAABbQ29udGVudF9U&#10;eXBlc10ueG1sUEsBAi0AFAAGAAgAAAAhADj9If/WAAAAlAEAAAsAAAAAAAAAAAAAAAAALwEAAF9y&#10;ZWxzLy5yZWxzUEsBAi0AFAAGAAgAAAAhAOHJl8fyAQAAwwMAAA4AAAAAAAAAAAAAAAAALgIAAGRy&#10;cy9lMm9Eb2MueG1sUEsBAi0AFAAGAAgAAAAhAJDZ88vgAAAACwEAAA8AAAAAAAAAAAAAAAAATAQA&#10;AGRycy9kb3ducmV2LnhtbFBLBQYAAAAABAAEAPMAAABZBQAAAAA=&#10;" filled="f" stroked="f">
                <v:textbox inset="0,0,0,0">
                  <w:txbxContent>
                    <w:p w14:paraId="509EADB8"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727B4DC6" w14:textId="77777777" w:rsidR="00490F33" w:rsidRDefault="00490F33">
                      <w:pPr>
                        <w:spacing w:line="450" w:lineRule="exact"/>
                        <w:textAlignment w:val="baseline"/>
                        <w:rPr>
                          <w:rFonts w:ascii="Tahoma" w:eastAsia="Tahoma" w:hAnsi="Tahoma"/>
                          <w:color w:val="BF5B1F"/>
                          <w:spacing w:val="11"/>
                          <w:w w:val="95"/>
                          <w:sz w:val="38"/>
                        </w:rPr>
                      </w:pPr>
                      <w:r>
                        <w:rPr>
                          <w:rFonts w:ascii="Tahoma" w:eastAsia="Tahoma" w:hAnsi="Tahoma"/>
                          <w:color w:val="BF5B1F"/>
                          <w:spacing w:val="11"/>
                          <w:w w:val="95"/>
                          <w:sz w:val="38"/>
                        </w:rPr>
                        <w:t>CSIRO VIRTUAL WORK</w:t>
                      </w:r>
                    </w:p>
                    <w:p w14:paraId="7F638E46" w14:textId="77777777" w:rsidR="00490F33" w:rsidRDefault="00490F33">
                      <w:pPr>
                        <w:spacing w:before="4" w:line="450" w:lineRule="exact"/>
                        <w:textAlignment w:val="baseline"/>
                        <w:rPr>
                          <w:rFonts w:ascii="Tahoma" w:eastAsia="Tahoma" w:hAnsi="Tahoma"/>
                          <w:color w:val="BF5B1F"/>
                          <w:spacing w:val="11"/>
                          <w:w w:val="95"/>
                          <w:sz w:val="38"/>
                        </w:rPr>
                      </w:pPr>
                      <w:r>
                        <w:rPr>
                          <w:rFonts w:ascii="Tahoma" w:eastAsia="Tahoma" w:hAnsi="Tahoma"/>
                          <w:color w:val="BF5B1F"/>
                          <w:spacing w:val="11"/>
                          <w:w w:val="95"/>
                          <w:sz w:val="38"/>
                        </w:rPr>
                        <w:t>EXPERIENCE PROGRAM</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0816" behindDoc="1" locked="0" layoutInCell="1" allowOverlap="1" wp14:anchorId="1822B379" wp14:editId="064BF649">
                <wp:simplePos x="0" y="0"/>
                <wp:positionH relativeFrom="page">
                  <wp:posOffset>905510</wp:posOffset>
                </wp:positionH>
                <wp:positionV relativeFrom="page">
                  <wp:posOffset>2002790</wp:posOffset>
                </wp:positionV>
                <wp:extent cx="2301240" cy="1064260"/>
                <wp:effectExtent l="0" t="0" r="0" b="0"/>
                <wp:wrapSquare wrapText="bothSides"/>
                <wp:docPr id="69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06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AE5BB" w14:textId="77777777" w:rsidR="00490F33" w:rsidRDefault="00490F33">
                            <w:pPr>
                              <w:spacing w:line="238" w:lineRule="exact"/>
                              <w:textAlignment w:val="baseline"/>
                              <w:rPr>
                                <w:rFonts w:ascii="Tahoma" w:eastAsia="Tahoma" w:hAnsi="Tahoma"/>
                                <w:color w:val="424042"/>
                                <w:sz w:val="18"/>
                              </w:rPr>
                            </w:pPr>
                            <w:r>
                              <w:rPr>
                                <w:rFonts w:ascii="Tahoma" w:eastAsia="Tahoma" w:hAnsi="Tahoma"/>
                                <w:color w:val="424042"/>
                                <w:sz w:val="18"/>
                              </w:rPr>
                              <w:t>As part of the National Career Education Strategy, CSIRO and the Commonwealth Department of Employment, Skills, Small and Family Business collaborated to pilot the delivery of innovative work experience for high school students using online collaboration tools.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2B379" id="Text Box 416" o:spid="_x0000_s1171" type="#_x0000_t202" style="position:absolute;margin-left:71.3pt;margin-top:157.7pt;width:181.2pt;height:83.8pt;z-index:-251825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mh8QEAAMQDAAAOAAAAZHJzL2Uyb0RvYy54bWysU9uO0zAQfUfiHyy/0ySlW0HUdLXsahHS&#10;cpF2+YCp4zQWiceM3Sbl6xk7TVngDfFijedyfObMeHM99p04avIGbSWLRS6FtgprY/eV/Pp0/+qN&#10;FD6AraFDqyt50l5eb1++2Ayu1Etssas1CQaxvhxcJdsQXJllXrW6B79Apy0HG6QeAl9pn9UEA6P3&#10;XbbM83U2INWOUGnv2Xs3BeU24TeNVuFz03gdRFdJ5hbSSencxTPbbqDcE7jWqDMN+AcWPRjLj16g&#10;7iCAOJD5C6o3itBjExYK+wybxiideuBuivyPbh5bcDr1wuJ4d5HJ/z9Y9en4hYSpK7l+eyWFhZ6H&#10;9KTHIN7hKFbFOio0OF9y4qPj1DBygCeduvXuAdU3LyzetmD3+oYIh1ZDzQyLWJk9K51wfATZDR+x&#10;5ofgEDABjQ31UT4WRDA6T+p0mU4ko9i5fJ0XyxWHFMeKfL1artP8Mijnckc+vNfYi2hUknj8CR6O&#10;Dz5EOlDOKfE1i/em69IKdPY3BydGT6IfGU/cw7gbk1bF6mrWZYf1iTsinFaLvwIbLdIPKQZeq0r6&#10;7wcgLUX3wbIqcQdng2ZjNxtgFZdWMkgxmbdh2tWDI7NvGXnS3eINK9eY1FOUeGJxJsyrklo9r3Xc&#10;xef3lPXr821/AgAA//8DAFBLAwQUAAYACAAAACEABe/cpOAAAAALAQAADwAAAGRycy9kb3ducmV2&#10;LnhtbEyPwU7DMBBE70j8g7VI3KjdNolKiFNVCE5IiDQcODqxm1iN1yF22/D3LKdyHO3T7JtiO7uB&#10;nc0UrEcJy4UAZrD12mIn4bN+fdgAC1GhVoNHI+HHBNiWtzeFyrW/YGXO+9gxKsGQKwl9jGPOeWh7&#10;41RY+NEg3Q5+cipSnDquJ3WhcjfwlRAZd8oifejVaJ570x73Jydh94XVi/1+bz6qQ2Xr+lHgW3aU&#10;8v5u3j0Bi2aOVxj+9EkdSnJq/Al1YAPlZJURKmG9TBNgRKQipXWNhGSzFsDLgv/fUP4CAAD//wMA&#10;UEsBAi0AFAAGAAgAAAAhALaDOJL+AAAA4QEAABMAAAAAAAAAAAAAAAAAAAAAAFtDb250ZW50X1R5&#10;cGVzXS54bWxQSwECLQAUAAYACAAAACEAOP0h/9YAAACUAQAACwAAAAAAAAAAAAAAAAAvAQAAX3Jl&#10;bHMvLnJlbHNQSwECLQAUAAYACAAAACEAWIz5ofEBAADEAwAADgAAAAAAAAAAAAAAAAAuAgAAZHJz&#10;L2Uyb0RvYy54bWxQSwECLQAUAAYACAAAACEABe/cpOAAAAALAQAADwAAAAAAAAAAAAAAAABLBAAA&#10;ZHJzL2Rvd25yZXYueG1sUEsFBgAAAAAEAAQA8wAAAFgFAAAAAA==&#10;" filled="f" stroked="f">
                <v:textbox inset="0,0,0,0">
                  <w:txbxContent>
                    <w:p w14:paraId="687AE5BB" w14:textId="77777777" w:rsidR="00490F33" w:rsidRDefault="00490F33">
                      <w:pPr>
                        <w:spacing w:line="238" w:lineRule="exact"/>
                        <w:textAlignment w:val="baseline"/>
                        <w:rPr>
                          <w:rFonts w:ascii="Tahoma" w:eastAsia="Tahoma" w:hAnsi="Tahoma"/>
                          <w:color w:val="424042"/>
                          <w:sz w:val="18"/>
                        </w:rPr>
                      </w:pPr>
                      <w:r>
                        <w:rPr>
                          <w:rFonts w:ascii="Tahoma" w:eastAsia="Tahoma" w:hAnsi="Tahoma"/>
                          <w:color w:val="424042"/>
                          <w:sz w:val="18"/>
                        </w:rPr>
                        <w:t>As part of the National Career Education Strategy, CSIRO and the Commonwealth Department of Employment, Skills, Small and Family Business collaborated to pilot the delivery of innovative work experience for high school students using online collaboration tools.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1840" behindDoc="1" locked="0" layoutInCell="1" allowOverlap="1" wp14:anchorId="2B341361" wp14:editId="07D8474F">
                <wp:simplePos x="0" y="0"/>
                <wp:positionH relativeFrom="page">
                  <wp:posOffset>4182110</wp:posOffset>
                </wp:positionH>
                <wp:positionV relativeFrom="page">
                  <wp:posOffset>953770</wp:posOffset>
                </wp:positionV>
                <wp:extent cx="2444115" cy="1524000"/>
                <wp:effectExtent l="0" t="0" r="0" b="0"/>
                <wp:wrapSquare wrapText="bothSides"/>
                <wp:docPr id="694"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D4036" w14:textId="77777777" w:rsidR="00490F33" w:rsidRDefault="00490F33">
                            <w:pPr>
                              <w:spacing w:line="238" w:lineRule="exact"/>
                              <w:textAlignment w:val="baseline"/>
                              <w:rPr>
                                <w:rFonts w:ascii="Tahoma" w:eastAsia="Tahoma" w:hAnsi="Tahoma"/>
                                <w:color w:val="424042"/>
                                <w:spacing w:val="4"/>
                                <w:sz w:val="18"/>
                              </w:rPr>
                            </w:pPr>
                            <w:r>
                              <w:rPr>
                                <w:rFonts w:ascii="Tahoma" w:eastAsia="Tahoma" w:hAnsi="Tahoma"/>
                                <w:color w:val="424042"/>
                                <w:spacing w:val="4"/>
                                <w:sz w:val="18"/>
                              </w:rPr>
                              <w:t xml:space="preserve">A rigorous evaluation process was completed as part of the program pilot. Students reported a mean satisfaction score of 4.2 out of 5, and believed they increased their life skills across the domains of teamwork, communication, negotiation and resilience. Participation in this program provided students with an insight into STEM skills and </w:t>
                            </w:r>
                            <w:r>
                              <w:rPr>
                                <w:rFonts w:ascii="Verdana" w:eastAsia="Verdana" w:hAnsi="Verdana"/>
                                <w:color w:val="424042"/>
                                <w:spacing w:val="4"/>
                                <w:sz w:val="17"/>
                              </w:rPr>
                              <w:t>careers, influenced subject selection and confirmed career pathway choices.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41361" id="Text Box 415" o:spid="_x0000_s1172" type="#_x0000_t202" style="position:absolute;margin-left:329.3pt;margin-top:75.1pt;width:192.45pt;height:120pt;z-index:-251824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vVj8QEAAMQDAAAOAAAAZHJzL2Uyb0RvYy54bWysU9uO0zAQfUfiHyy/0yRVtoKo6WrZ1SKk&#10;BVba5QMcx24sEo8Zu03K1zN2mrLAG+LFGs/l+MyZ8fZ6Gnp2VOgN2JoXq5wzZSW0xu5r/vX5/s1b&#10;znwQthU9WFXzk/L8evf61XZ0lVpDB32rkBGI9dXoat6F4Kos87JTg/ArcMpSUAMOItAV91mLYiT0&#10;oc/Web7JRsDWIUjlPXnv5iDfJXytlQxftPYqsL7mxC2kE9PZxDPbbUW1R+E6I880xD+wGISx9OgF&#10;6k4EwQ5o/oIajETwoMNKwpCB1kaq1AN1U+R/dPPUCadSLySOdxeZ/P+DlZ+Pj8hMW/PNu5IzKwYa&#10;0rOaAnsPEyuLq6jQ6HxFiU+OUsNEAZp06ta7B5DfPLNw2wm7VzeIMHZKtMSwiJXZi9IZx0eQZvwE&#10;LT0kDgES0KRxiPKRIIzQaVKny3QiGUnOdVmWBRFikmLF1brM8zS/TFRLuUMfPigYWDRqjjT+BC+O&#10;Dz5EOqJaUuJrFu5N36cV6O1vDkqMnkQ/Mp65h6mZklZFuVl0aaA9UUcI82rRVyCjA/zB2UhrVXP/&#10;/SBQcdZ/tKRK3MHFwMVoFkNYSaU1D5zN5m2Yd/Xg0Ow7Qp51t3BDymmTeooSzyzOhGlVUqvntY67&#10;+PKesn59vt1PAAAA//8DAFBLAwQUAAYACAAAACEAEDbQ0OAAAAAMAQAADwAAAGRycy9kb3ducmV2&#10;LnhtbEyPwU7DMAyG70i8Q+RJ3FiyjVZbaTpNCE5IiK4cOKaN10ZrnNJkW3l7stM42v+n35/z7WR7&#10;dsbRG0cSFnMBDKlx2lAr4at6e1wD80GRVr0jlPCLHrbF/V2uMu0uVOJ5H1oWS8hnSkIXwpBx7psO&#10;rfJzNyDF7OBGq0Icx5brUV1iue35UoiUW2UoXujUgC8dNsf9yUrYfVP5an4+6s/yUJqq2gh6T49S&#10;Psym3TOwgFO4wXDVj+pQRKfanUh71ktIk3Ua0RgkYgnsSoinVQKslrDaxBUvcv7/ieIPAAD//wMA&#10;UEsBAi0AFAAGAAgAAAAhALaDOJL+AAAA4QEAABMAAAAAAAAAAAAAAAAAAAAAAFtDb250ZW50X1R5&#10;cGVzXS54bWxQSwECLQAUAAYACAAAACEAOP0h/9YAAACUAQAACwAAAAAAAAAAAAAAAAAvAQAAX3Jl&#10;bHMvLnJlbHNQSwECLQAUAAYACAAAACEASeb1Y/EBAADEAwAADgAAAAAAAAAAAAAAAAAuAgAAZHJz&#10;L2Uyb0RvYy54bWxQSwECLQAUAAYACAAAACEAEDbQ0OAAAAAMAQAADwAAAAAAAAAAAAAAAABLBAAA&#10;ZHJzL2Rvd25yZXYueG1sUEsFBgAAAAAEAAQA8wAAAFgFAAAAAA==&#10;" filled="f" stroked="f">
                <v:textbox inset="0,0,0,0">
                  <w:txbxContent>
                    <w:p w14:paraId="2C9D4036" w14:textId="77777777" w:rsidR="00490F33" w:rsidRDefault="00490F33">
                      <w:pPr>
                        <w:spacing w:line="238" w:lineRule="exact"/>
                        <w:textAlignment w:val="baseline"/>
                        <w:rPr>
                          <w:rFonts w:ascii="Tahoma" w:eastAsia="Tahoma" w:hAnsi="Tahoma"/>
                          <w:color w:val="424042"/>
                          <w:spacing w:val="4"/>
                          <w:sz w:val="18"/>
                        </w:rPr>
                      </w:pPr>
                      <w:r>
                        <w:rPr>
                          <w:rFonts w:ascii="Tahoma" w:eastAsia="Tahoma" w:hAnsi="Tahoma"/>
                          <w:color w:val="424042"/>
                          <w:spacing w:val="4"/>
                          <w:sz w:val="18"/>
                        </w:rPr>
                        <w:t xml:space="preserve">A rigorous evaluation process was completed as part of the program pilot. Students reported a mean satisfaction score of 4.2 out of 5, and believed they increased their life skills across the domains of teamwork, communication, negotiation and resilience. Participation in this program provided students with an insight into STEM skills and </w:t>
                      </w:r>
                      <w:r>
                        <w:rPr>
                          <w:rFonts w:ascii="Verdana" w:eastAsia="Verdana" w:hAnsi="Verdana"/>
                          <w:color w:val="424042"/>
                          <w:spacing w:val="4"/>
                          <w:sz w:val="17"/>
                        </w:rPr>
                        <w:t>careers, influenced subject selection and confirmed career pathway choices.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2864" behindDoc="1" locked="0" layoutInCell="1" allowOverlap="1" wp14:anchorId="0F3457BA" wp14:editId="66162C9F">
                <wp:simplePos x="0" y="0"/>
                <wp:positionH relativeFrom="page">
                  <wp:posOffset>905510</wp:posOffset>
                </wp:positionH>
                <wp:positionV relativeFrom="page">
                  <wp:posOffset>3176270</wp:posOffset>
                </wp:positionV>
                <wp:extent cx="2413635" cy="1371600"/>
                <wp:effectExtent l="0" t="0" r="0" b="0"/>
                <wp:wrapSquare wrapText="bothSides"/>
                <wp:docPr id="693"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36A3" w14:textId="77777777" w:rsidR="00490F33" w:rsidRDefault="00490F33">
                            <w:pPr>
                              <w:spacing w:line="239" w:lineRule="exact"/>
                              <w:textAlignment w:val="baseline"/>
                              <w:rPr>
                                <w:rFonts w:ascii="Tahoma" w:eastAsia="Tahoma" w:hAnsi="Tahoma"/>
                                <w:color w:val="424042"/>
                                <w:spacing w:val="7"/>
                                <w:sz w:val="18"/>
                              </w:rPr>
                            </w:pPr>
                            <w:r>
                              <w:rPr>
                                <w:rFonts w:ascii="Tahoma" w:eastAsia="Tahoma" w:hAnsi="Tahoma"/>
                                <w:color w:val="424042"/>
                                <w:spacing w:val="7"/>
                                <w:sz w:val="18"/>
                              </w:rPr>
                              <w:t xml:space="preserve">The program brought students from across Australia together virtually (particularly in regional and remote areas) to undertake collaborative group projects linked to real-world research and industry challenges. While most supervisors were CSIRO employees, several Bureau of Meteorology </w:t>
                            </w:r>
                            <w:r>
                              <w:rPr>
                                <w:rFonts w:ascii="Verdana" w:eastAsia="Verdana" w:hAnsi="Verdana"/>
                                <w:color w:val="424042"/>
                                <w:spacing w:val="7"/>
                                <w:sz w:val="17"/>
                              </w:rPr>
                              <w:t xml:space="preserve">staff also supervised virtual work </w:t>
                            </w:r>
                            <w:r>
                              <w:rPr>
                                <w:rFonts w:ascii="Tahoma" w:eastAsia="Tahoma" w:hAnsi="Tahoma"/>
                                <w:color w:val="424042"/>
                                <w:spacing w:val="7"/>
                                <w:sz w:val="18"/>
                              </w:rPr>
                              <w:t>experience groups.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457BA" id="Text Box 414" o:spid="_x0000_s1173" type="#_x0000_t202" style="position:absolute;margin-left:71.3pt;margin-top:250.1pt;width:190.05pt;height:108pt;z-index:-251823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mo8gEAAMQDAAAOAAAAZHJzL2Uyb0RvYy54bWysU9uO0zAQfUfiHyy/0zRt6ULUdLXsahHS&#10;cpF2+YCp4zQWiceM3Sbl6xk7TVngDfFijedyfObMeHM9dK04avIGbSnz2VwKbRVWxu5L+fXp/tUb&#10;KXwAW0GLVpfypL283r58seldoRfYYFtpEgxifdG7UjYhuCLLvGp0B36GTlsO1kgdBL7SPqsIekbv&#10;2mwxn6+zHqlyhEp7z967MSi3Cb+utQqf69rrINpSMreQTkrnLp7ZdgPFnsA1Rp1pwD+w6MBYfvQC&#10;dQcBxIHMX1CdUYQe6zBT2GVY10bp1AN3k8//6OaxAadTLyyOdxeZ/P+DVZ+OX0iYqpTrt0spLHQ8&#10;pCc9BPEOB7HKV1Gh3vmCEx8dp4aBAzzp1K13D6i+eWHxtgG71zdE2DcaKmaYx8rsWemI4yPIrv+I&#10;FT8Eh4AJaKipi/KxIILReVKny3QiGcXOxSpfrpevpVAcy5dX+Xqe5pdBMZU78uG9xk5Eo5TE40/w&#10;cHzwIdKBYkqJr1m8N22bVqC1vzk4MXoS/ch45B6G3ZC0yldXky47rE7cEeG4WvwV2GiQfkjR81qV&#10;0n8/AGkp2g+WVYk7OBk0GbvJAKu4tJRBitG8DeOuHhyZfcPIo+4Wb1i52qSeosQjizNhXpXU6nmt&#10;4y4+v6esX59v+xMAAP//AwBQSwMEFAAGAAgAAAAhAG02Fo/gAAAACwEAAA8AAABkcnMvZG93bnJl&#10;di54bWxMj8FOwzAQRO9I/IO1SNyoXYumEOJUFYITEiINB45O7CZW43WI3Tb8PcupHEf7NPO22Mx+&#10;YCc7RRdQwXIhgFlsg3HYKfisX+8egMWk0eghoFXwYyNsyuurQucmnLGyp13qGJVgzLWCPqUx5zy2&#10;vfU6LsJokW77MHmdKE4dN5M+U7kfuBQi4147pIVej/a5t+1hd/QKtl9Yvbjv9+aj2leurh8FvmUH&#10;pW5v5u0TsGTndIHhT5/UoSSnJhzRRDZQvpcZoQpWQkhgRKykXANrFKyXmQReFvz/D+UvAAAA//8D&#10;AFBLAQItABQABgAIAAAAIQC2gziS/gAAAOEBAAATAAAAAAAAAAAAAAAAAAAAAABbQ29udGVudF9U&#10;eXBlc10ueG1sUEsBAi0AFAAGAAgAAAAhADj9If/WAAAAlAEAAAsAAAAAAAAAAAAAAAAALwEAAF9y&#10;ZWxzLy5yZWxzUEsBAi0AFAAGAAgAAAAhAJ6xWajyAQAAxAMAAA4AAAAAAAAAAAAAAAAALgIAAGRy&#10;cy9lMm9Eb2MueG1sUEsBAi0AFAAGAAgAAAAhAG02Fo/gAAAACwEAAA8AAAAAAAAAAAAAAAAATAQA&#10;AGRycy9kb3ducmV2LnhtbFBLBQYAAAAABAAEAPMAAABZBQAAAAA=&#10;" filled="f" stroked="f">
                <v:textbox inset="0,0,0,0">
                  <w:txbxContent>
                    <w:p w14:paraId="691836A3" w14:textId="77777777" w:rsidR="00490F33" w:rsidRDefault="00490F33">
                      <w:pPr>
                        <w:spacing w:line="239" w:lineRule="exact"/>
                        <w:textAlignment w:val="baseline"/>
                        <w:rPr>
                          <w:rFonts w:ascii="Tahoma" w:eastAsia="Tahoma" w:hAnsi="Tahoma"/>
                          <w:color w:val="424042"/>
                          <w:spacing w:val="7"/>
                          <w:sz w:val="18"/>
                        </w:rPr>
                      </w:pPr>
                      <w:r>
                        <w:rPr>
                          <w:rFonts w:ascii="Tahoma" w:eastAsia="Tahoma" w:hAnsi="Tahoma"/>
                          <w:color w:val="424042"/>
                          <w:spacing w:val="7"/>
                          <w:sz w:val="18"/>
                        </w:rPr>
                        <w:t xml:space="preserve">The program brought students from across Australia together virtually (particularly in regional and remote areas) to undertake collaborative group projects linked to real-world research and industry challenges. While most supervisors were CSIRO employees, several Bureau of Meteorology </w:t>
                      </w:r>
                      <w:r>
                        <w:rPr>
                          <w:rFonts w:ascii="Verdana" w:eastAsia="Verdana" w:hAnsi="Verdana"/>
                          <w:color w:val="424042"/>
                          <w:spacing w:val="7"/>
                          <w:sz w:val="17"/>
                        </w:rPr>
                        <w:t xml:space="preserve">staff also supervised virtual work </w:t>
                      </w:r>
                      <w:r>
                        <w:rPr>
                          <w:rFonts w:ascii="Tahoma" w:eastAsia="Tahoma" w:hAnsi="Tahoma"/>
                          <w:color w:val="424042"/>
                          <w:spacing w:val="7"/>
                          <w:sz w:val="18"/>
                        </w:rPr>
                        <w:t>experience groups.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3888" behindDoc="1" locked="0" layoutInCell="1" allowOverlap="1" wp14:anchorId="7BBAB67C" wp14:editId="44F7B460">
                <wp:simplePos x="0" y="0"/>
                <wp:positionH relativeFrom="page">
                  <wp:posOffset>4182110</wp:posOffset>
                </wp:positionH>
                <wp:positionV relativeFrom="page">
                  <wp:posOffset>2597785</wp:posOffset>
                </wp:positionV>
                <wp:extent cx="2450465" cy="1812925"/>
                <wp:effectExtent l="0" t="0" r="0" b="0"/>
                <wp:wrapSquare wrapText="bothSides"/>
                <wp:docPr id="692"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81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A079" w14:textId="77777777" w:rsidR="00490F33" w:rsidRDefault="00490F33">
                            <w:pPr>
                              <w:spacing w:line="237" w:lineRule="exact"/>
                              <w:textAlignment w:val="baseline"/>
                              <w:rPr>
                                <w:rFonts w:ascii="Verdana" w:eastAsia="Verdana" w:hAnsi="Verdana"/>
                                <w:color w:val="424042"/>
                                <w:spacing w:val="5"/>
                                <w:sz w:val="17"/>
                              </w:rPr>
                            </w:pPr>
                            <w:r>
                              <w:rPr>
                                <w:rFonts w:ascii="Verdana" w:eastAsia="Verdana" w:hAnsi="Verdana"/>
                                <w:color w:val="424042"/>
                                <w:spacing w:val="5"/>
                                <w:sz w:val="17"/>
                              </w:rPr>
                              <w:t xml:space="preserve">Had this program not been offered, only 42 </w:t>
                            </w:r>
                            <w:r>
                              <w:rPr>
                                <w:rFonts w:ascii="Tahoma" w:eastAsia="Tahoma" w:hAnsi="Tahoma"/>
                                <w:color w:val="424042"/>
                                <w:spacing w:val="5"/>
                                <w:sz w:val="18"/>
                              </w:rPr>
                              <w:t xml:space="preserve">per cent of the students overall would have pursued STEM-related work experience elsewhere. The remainder of the students, in equal numbers, would have either undertaken work experience in a non-STEM </w:t>
                            </w:r>
                            <w:r>
                              <w:rPr>
                                <w:rFonts w:ascii="Verdana" w:eastAsia="Verdana" w:hAnsi="Verdana"/>
                                <w:color w:val="424042"/>
                                <w:spacing w:val="5"/>
                                <w:sz w:val="17"/>
                              </w:rPr>
                              <w:t xml:space="preserve">field, or not undertaken work experience </w:t>
                            </w:r>
                            <w:r>
                              <w:rPr>
                                <w:rFonts w:ascii="Tahoma" w:eastAsia="Tahoma" w:hAnsi="Tahoma"/>
                                <w:color w:val="424042"/>
                                <w:spacing w:val="5"/>
                                <w:sz w:val="18"/>
                              </w:rPr>
                              <w:t>at all. This was accentuated for students in regional and remote settings, where 63 per cent of students would not have been able to do any STEM-related work experience were it not for this virtual model.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AB67C" id="Text Box 413" o:spid="_x0000_s1174" type="#_x0000_t202" style="position:absolute;margin-left:329.3pt;margin-top:204.55pt;width:192.95pt;height:142.75pt;z-index:-251822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r8wEAAMQDAAAOAAAAZHJzL2Uyb0RvYy54bWysU9tu2zAMfR+wfxD0vjj2kiA14hRdiw4D&#10;ugvQ7gNkWbaF2aJGKbGzrx8lx1m3vhV7ESiSOjw8pHbXY9+xo0KnwRQ8XSw5U0ZCpU1T8O9P9++2&#10;nDkvTCU6MKrgJ+X49f7tm91gc5VBC12lkBGIcflgC956b/MkcbJVvXALsMpQsAbshacrNkmFYiD0&#10;vkuy5XKTDICVRZDKOfLeTUG+j/h1raT/WtdOedYVnLj5eGI8y3Am+53IGxS21fJMQ7yCRS+0oaIX&#10;qDvhBTugfgHVa4ngoPYLCX0Cda2lij1QN+nyn24eW2FV7IXEcfYik/t/sPLL8RsyXRV8c5VxZkRP&#10;Q3pSo2cfYGSr9H1QaLAup8RHS6l+pABNOnbr7APIH44ZuG2FadQNIgytEhUxTMPL5NnTCccFkHL4&#10;DBUVEgcPEWissQ/ykSCM0GlSp8t0AhlJzmy1Xq42a84kxdJtml1l61hD5PNzi85/VNCzYBQcafwR&#10;XhwfnA90RD6nhGoG7nXXxRXozF8OSgyeSD8wnrj7sRyjVulqO+tSQnWijhCm1aKvQEYL+Iuzgdaq&#10;4O7nQaDirPtkSJWwg7OBs1HOhjCSnhbcczaZt37a1YNF3bSEPOlu4IaUq3XsKUg8sTgTplWJrZ7X&#10;Ouzi83vM+vP59r8BAAD//wMAUEsDBBQABgAIAAAAIQCsfW5V4AAAAAwBAAAPAAAAZHJzL2Rvd25y&#10;ZXYueG1sTI/BTsMwEETvSP0Haytxo3ZRGjUhTlUhOCEh0nDg6MTbxGq8DrHbhr/HPcFxNU8zb4vd&#10;bAd2wckbRxLWKwEMqXXaUCfhs3592ALzQZFWgyOU8IMeduXirlC5dleq8HIIHYsl5HMloQ9hzDn3&#10;bY9W+ZUbkWJ2dJNVIZ5Tx/WkrrHcDvxRiJRbZSgu9GrE5x7b0+FsJey/qHox3+/NR3WsTF1ngt7S&#10;k5T3y3n/BCzgHP5guOlHdSijU+POpD0bJKSbbRpRCYnI1sBuhEiSDbAmZlmSAi8L/v+J8hcAAP//&#10;AwBQSwECLQAUAAYACAAAACEAtoM4kv4AAADhAQAAEwAAAAAAAAAAAAAAAAAAAAAAW0NvbnRlbnRf&#10;VHlwZXNdLnhtbFBLAQItABQABgAIAAAAIQA4/SH/1gAAAJQBAAALAAAAAAAAAAAAAAAAAC8BAABf&#10;cmVscy8ucmVsc1BLAQItABQABgAIAAAAIQC+KPvr8wEAAMQDAAAOAAAAAAAAAAAAAAAAAC4CAABk&#10;cnMvZTJvRG9jLnhtbFBLAQItABQABgAIAAAAIQCsfW5V4AAAAAwBAAAPAAAAAAAAAAAAAAAAAE0E&#10;AABkcnMvZG93bnJldi54bWxQSwUGAAAAAAQABADzAAAAWgUAAAAA&#10;" filled="f" stroked="f">
                <v:textbox inset="0,0,0,0">
                  <w:txbxContent>
                    <w:p w14:paraId="3062A079" w14:textId="77777777" w:rsidR="00490F33" w:rsidRDefault="00490F33">
                      <w:pPr>
                        <w:spacing w:line="237" w:lineRule="exact"/>
                        <w:textAlignment w:val="baseline"/>
                        <w:rPr>
                          <w:rFonts w:ascii="Verdana" w:eastAsia="Verdana" w:hAnsi="Verdana"/>
                          <w:color w:val="424042"/>
                          <w:spacing w:val="5"/>
                          <w:sz w:val="17"/>
                        </w:rPr>
                      </w:pPr>
                      <w:r>
                        <w:rPr>
                          <w:rFonts w:ascii="Verdana" w:eastAsia="Verdana" w:hAnsi="Verdana"/>
                          <w:color w:val="424042"/>
                          <w:spacing w:val="5"/>
                          <w:sz w:val="17"/>
                        </w:rPr>
                        <w:t xml:space="preserve">Had this program not been offered, only 42 </w:t>
                      </w:r>
                      <w:r>
                        <w:rPr>
                          <w:rFonts w:ascii="Tahoma" w:eastAsia="Tahoma" w:hAnsi="Tahoma"/>
                          <w:color w:val="424042"/>
                          <w:spacing w:val="5"/>
                          <w:sz w:val="18"/>
                        </w:rPr>
                        <w:t xml:space="preserve">per cent of the students overall would have pursued STEM-related work experience elsewhere. The remainder of the students, in equal numbers, would have either undertaken work experience in a non-STEM </w:t>
                      </w:r>
                      <w:r>
                        <w:rPr>
                          <w:rFonts w:ascii="Verdana" w:eastAsia="Verdana" w:hAnsi="Verdana"/>
                          <w:color w:val="424042"/>
                          <w:spacing w:val="5"/>
                          <w:sz w:val="17"/>
                        </w:rPr>
                        <w:t xml:space="preserve">field, or not undertaken work experience </w:t>
                      </w:r>
                      <w:r>
                        <w:rPr>
                          <w:rFonts w:ascii="Tahoma" w:eastAsia="Tahoma" w:hAnsi="Tahoma"/>
                          <w:color w:val="424042"/>
                          <w:spacing w:val="5"/>
                          <w:sz w:val="18"/>
                        </w:rPr>
                        <w:t>at all. This was accentuated for students in regional and remote settings, where 63 per cent of students would not have been able to do any STEM-related work experience were it not for this virtual model.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4912" behindDoc="1" locked="0" layoutInCell="1" allowOverlap="1" wp14:anchorId="6DCF8E21" wp14:editId="4E8C7E39">
                <wp:simplePos x="0" y="0"/>
                <wp:positionH relativeFrom="page">
                  <wp:posOffset>905510</wp:posOffset>
                </wp:positionH>
                <wp:positionV relativeFrom="page">
                  <wp:posOffset>4657090</wp:posOffset>
                </wp:positionV>
                <wp:extent cx="2471420" cy="1371600"/>
                <wp:effectExtent l="0" t="0" r="0" b="0"/>
                <wp:wrapSquare wrapText="bothSides"/>
                <wp:docPr id="691"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8BFA8" w14:textId="77777777" w:rsidR="00490F33" w:rsidRDefault="00490F33">
                            <w:pPr>
                              <w:spacing w:line="239" w:lineRule="exact"/>
                              <w:textAlignment w:val="baseline"/>
                              <w:rPr>
                                <w:rFonts w:ascii="Tahoma" w:eastAsia="Tahoma" w:hAnsi="Tahoma"/>
                                <w:color w:val="424042"/>
                                <w:sz w:val="18"/>
                              </w:rPr>
                            </w:pPr>
                            <w:r>
                              <w:rPr>
                                <w:rFonts w:ascii="Tahoma" w:eastAsia="Tahoma" w:hAnsi="Tahoma"/>
                                <w:color w:val="424042"/>
                                <w:sz w:val="18"/>
                              </w:rPr>
                              <w:t xml:space="preserve">In 2019, 57 Virtual Work Experience Program students from across Australia (26 per cent from major capital cities, 60 per cent from regional areas, and 14 per cent from remote areas) aged between 14 and 17 were brought together virtually to work in small groups </w:t>
                            </w:r>
                            <w:r>
                              <w:rPr>
                                <w:rFonts w:ascii="Verdana" w:eastAsia="Verdana" w:hAnsi="Verdana"/>
                                <w:color w:val="424042"/>
                                <w:sz w:val="17"/>
                              </w:rPr>
                              <w:t xml:space="preserve">with an industry supervisor (a highly qualified </w:t>
                            </w:r>
                            <w:r>
                              <w:rPr>
                                <w:rFonts w:ascii="Tahoma" w:eastAsia="Tahoma" w:hAnsi="Tahoma"/>
                                <w:color w:val="424042"/>
                                <w:sz w:val="18"/>
                              </w:rPr>
                              <w:t>science, technology, engineering and mathematics (STEM) professional).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F8E21" id="Text Box 412" o:spid="_x0000_s1175" type="#_x0000_t202" style="position:absolute;margin-left:71.3pt;margin-top:366.7pt;width:194.6pt;height:108pt;z-index:-251821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k8gEAAMQDAAAOAAAAZHJzL2Uyb0RvYy54bWysU9tu2zAMfR+wfxD0vjjOgnQ14hRdiw4D&#10;unVAuw9gZDkWZosapcTOvn6UHGfd9lb0RaB4OTo8pNZXQ9eKgyZv0JYyn82l0FZhZeyulN+f7t59&#10;kMIHsBW0aHUpj9rLq83bN+veFXqBDbaVJsEg1he9K2UTgiuyzKtGd+Bn6LTlYI3UQeAr7bKKoGf0&#10;rs0W8/kq65EqR6i09+y9HYNyk/DrWqvwUNdeB9GWkrmFdFI6t/HMNmsodgSuMepEA17AogNj+dEz&#10;1C0EEHsy/0F1RhF6rMNMYZdhXRulUw/cTT7/p5vHBpxOvbA43p1l8q8Hq74evpEwVSlXl7kUFjoe&#10;0pMegviIg1jmi6hQ73zBiY+OU8PAAZ506ta7e1Q/vLB404Dd6Wsi7BsNFTPMY2X2rHTE8RFk23/B&#10;ih+CfcAENNTURflYEMHoPKnjeTqRjGLnYnmRLxccUhzL31/kq3maXwbFVO7Ih08aOxGNUhKPP8HD&#10;4d6HSAeKKSW+ZvHOtG1agdb+5eDE6En0I+ORexi2Q9IqX15OumyxOnJHhONq8Vdgo0H6JUXPa1VK&#10;/3MPpKVoP1tWJe7gZNBkbCcDrOLSUgYpRvMmjLu6d2R2DSOPulu8ZuVqk3qKEo8sToR5VVKrp7WO&#10;u/j8nrL+fL7NbwAAAP//AwBQSwMEFAAGAAgAAAAhALZlQxfhAAAACwEAAA8AAABkcnMvZG93bnJl&#10;di54bWxMj8FOwzAQRO9I/IO1SNyo0yaEJo1TVQhOSKhpOHB0YjexGq9D7Lbh71lOcBzt0+ybYjvb&#10;gV305I1DActFBExj65TBTsBH/fqwBuaDRCUHh1rAt/awLW9vCpkrd8VKXw6hY1SCPpcC+hDGnHPf&#10;9tpKv3CjRrod3WRloDh1XE3ySuV24KsoSrmVBulDL0f93Ov2dDhbAbtPrF7M13uzr46Vqesswrf0&#10;JMT93bzbAAt6Dn8w/OqTOpTk1LgzKs8GyskqJVTAUxwnwIh4jJc0phGQJVkCvCz4/w3lDwAAAP//&#10;AwBQSwECLQAUAAYACAAAACEAtoM4kv4AAADhAQAAEwAAAAAAAAAAAAAAAAAAAAAAW0NvbnRlbnRf&#10;VHlwZXNdLnhtbFBLAQItABQABgAIAAAAIQA4/SH/1gAAAJQBAAALAAAAAAAAAAAAAAAAAC8BAABf&#10;cmVscy8ucmVsc1BLAQItABQABgAIAAAAIQAMqq+k8gEAAMQDAAAOAAAAAAAAAAAAAAAAAC4CAABk&#10;cnMvZTJvRG9jLnhtbFBLAQItABQABgAIAAAAIQC2ZUMX4QAAAAsBAAAPAAAAAAAAAAAAAAAAAEwE&#10;AABkcnMvZG93bnJldi54bWxQSwUGAAAAAAQABADzAAAAWgUAAAAA&#10;" filled="f" stroked="f">
                <v:textbox inset="0,0,0,0">
                  <w:txbxContent>
                    <w:p w14:paraId="3858BFA8" w14:textId="77777777" w:rsidR="00490F33" w:rsidRDefault="00490F33">
                      <w:pPr>
                        <w:spacing w:line="239" w:lineRule="exact"/>
                        <w:textAlignment w:val="baseline"/>
                        <w:rPr>
                          <w:rFonts w:ascii="Tahoma" w:eastAsia="Tahoma" w:hAnsi="Tahoma"/>
                          <w:color w:val="424042"/>
                          <w:sz w:val="18"/>
                        </w:rPr>
                      </w:pPr>
                      <w:r>
                        <w:rPr>
                          <w:rFonts w:ascii="Tahoma" w:eastAsia="Tahoma" w:hAnsi="Tahoma"/>
                          <w:color w:val="424042"/>
                          <w:sz w:val="18"/>
                        </w:rPr>
                        <w:t xml:space="preserve">In 2019, 57 Virtual Work Experience Program students from across Australia (26 per cent from major capital cities, 60 per cent from regional areas, and 14 per cent from remote areas) aged between 14 and 17 were brought together virtually to work in small groups </w:t>
                      </w:r>
                      <w:r>
                        <w:rPr>
                          <w:rFonts w:ascii="Verdana" w:eastAsia="Verdana" w:hAnsi="Verdana"/>
                          <w:color w:val="424042"/>
                          <w:sz w:val="17"/>
                        </w:rPr>
                        <w:t xml:space="preserve">with an industry supervisor (a highly qualified </w:t>
                      </w:r>
                      <w:r>
                        <w:rPr>
                          <w:rFonts w:ascii="Tahoma" w:eastAsia="Tahoma" w:hAnsi="Tahoma"/>
                          <w:color w:val="424042"/>
                          <w:sz w:val="18"/>
                        </w:rPr>
                        <w:t>science, technology, engineering and mathematics (STEM) professional).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5936" behindDoc="1" locked="0" layoutInCell="1" allowOverlap="1" wp14:anchorId="7ED342D2" wp14:editId="09B764A2">
                <wp:simplePos x="0" y="0"/>
                <wp:positionH relativeFrom="page">
                  <wp:posOffset>905510</wp:posOffset>
                </wp:positionH>
                <wp:positionV relativeFrom="page">
                  <wp:posOffset>6142990</wp:posOffset>
                </wp:positionV>
                <wp:extent cx="2480945" cy="1973580"/>
                <wp:effectExtent l="0" t="0" r="0" b="0"/>
                <wp:wrapSquare wrapText="bothSides"/>
                <wp:docPr id="690"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1973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77039" w14:textId="77777777" w:rsidR="00490F33" w:rsidRDefault="00490F33">
                            <w:pPr>
                              <w:spacing w:line="238" w:lineRule="exact"/>
                              <w:textAlignment w:val="baseline"/>
                              <w:rPr>
                                <w:rFonts w:ascii="Tahoma" w:eastAsia="Tahoma" w:hAnsi="Tahoma"/>
                                <w:color w:val="424042"/>
                                <w:spacing w:val="2"/>
                                <w:sz w:val="18"/>
                              </w:rPr>
                            </w:pPr>
                            <w:r>
                              <w:rPr>
                                <w:rFonts w:ascii="Tahoma" w:eastAsia="Tahoma" w:hAnsi="Tahoma"/>
                                <w:color w:val="424042"/>
                                <w:spacing w:val="2"/>
                                <w:sz w:val="18"/>
                              </w:rPr>
                              <w:t xml:space="preserve">Replicating the way CSIRO and Bureau of </w:t>
                            </w:r>
                            <w:r>
                              <w:rPr>
                                <w:rFonts w:ascii="Verdana" w:eastAsia="Verdana" w:hAnsi="Verdana"/>
                                <w:color w:val="424042"/>
                                <w:spacing w:val="2"/>
                                <w:sz w:val="17"/>
                              </w:rPr>
                              <w:t xml:space="preserve">Meteorology staff work every day, each </w:t>
                            </w:r>
                            <w:r>
                              <w:rPr>
                                <w:rFonts w:ascii="Tahoma" w:eastAsia="Tahoma" w:hAnsi="Tahoma"/>
                                <w:color w:val="424042"/>
                                <w:spacing w:val="2"/>
                                <w:sz w:val="18"/>
                              </w:rPr>
                              <w:t xml:space="preserve">team used online collaboration tools and videoconferencing to complete STEM projects in one of 15 disciplines of interest, including agriculture, astronomy, energy, health, manufacturing, meteorology, oceanography and computer science. The program tested </w:t>
                            </w:r>
                            <w:r>
                              <w:rPr>
                                <w:rFonts w:ascii="Verdana" w:eastAsia="Verdana" w:hAnsi="Verdana"/>
                                <w:color w:val="424042"/>
                                <w:spacing w:val="2"/>
                                <w:sz w:val="17"/>
                              </w:rPr>
                              <w:t xml:space="preserve">two different contact working models: every </w:t>
                            </w:r>
                            <w:r>
                              <w:rPr>
                                <w:rFonts w:ascii="Tahoma" w:eastAsia="Tahoma" w:hAnsi="Tahoma"/>
                                <w:color w:val="424042"/>
                                <w:spacing w:val="2"/>
                                <w:sz w:val="18"/>
                              </w:rPr>
                              <w:t xml:space="preserve">day over a one-week block (70 per cent), or </w:t>
                            </w:r>
                            <w:r>
                              <w:rPr>
                                <w:rFonts w:ascii="Verdana" w:eastAsia="Verdana" w:hAnsi="Verdana"/>
                                <w:color w:val="424042"/>
                                <w:spacing w:val="2"/>
                                <w:sz w:val="17"/>
                              </w:rPr>
                              <w:t xml:space="preserve">one day a week for five weeks (30 per cent). </w:t>
                            </w:r>
                            <w:r>
                              <w:rPr>
                                <w:rFonts w:ascii="Tahoma" w:eastAsia="Tahoma" w:hAnsi="Tahoma"/>
                                <w:color w:val="424042"/>
                                <w:spacing w:val="2"/>
                                <w:sz w:val="18"/>
                              </w:rPr>
                              <w:t>Regardless of the model, no student had face-to-face contact with their supervisor.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342D2" id="Text Box 411" o:spid="_x0000_s1176" type="#_x0000_t202" style="position:absolute;margin-left:71.3pt;margin-top:483.7pt;width:195.35pt;height:155.4pt;z-index:-251820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aE8QEAAMQDAAAOAAAAZHJzL2Uyb0RvYy54bWysU8tu2zAQvBfoPxC815JcO7UFy0GaIEWB&#10;9AEk/QCKoiSiEpdd0pbcr++Sspy0vRW9EEtyOTszu9xdj33HjgqdBlPwbJFypoyESpum4N+e7t9s&#10;OHNemEp0YFTBT8rx6/3rV7vB5moJLXSVQkYgxuWDLXjrvc2TxMlW9cItwCpDlzVgLzxtsUkqFAOh&#10;912yTNOrZACsLIJUztHp3XTJ9xG/rpX0X+raKc+6ghM3H1eMaxnWZL8TeYPCtlqeaYh/YNELbajo&#10;BepOeMEOqP+C6rVEcFD7hYQ+gbrWUkUNpCZL/1Dz2AqrohYyx9mLTe7/wcrPx6/IdFXwqy35Y0RP&#10;TXpSo2fvYWSrLAsODdbllPhoKdWPdEGdjmqdfQD53TEDt60wjbpBhKFVoiKG8WXy4umE4wJIOXyC&#10;igqJg4cINNbYB/vIEEboxOR06U4gI+lwudqk29WaM0l32fbd2/Um9i8R+fzcovMfFPQsBAVHan+E&#10;F8cH50kIpc4poZqBe911cQQ689sBJYaTSD8wnrj7sRyjV9k6Vg7iSqhOpAhhGi36ChS0gD85G2is&#10;Cu5+HAQqzrqPhlwJMzgHOAflHAgj6WnBPWdTeOunWT1Y1E1LyJPvBm7IuVpHTc8szoRpVKLU81iH&#10;WXy5j1nPn2//CwAA//8DAFBLAwQUAAYACAAAACEA+O1Q4eEAAAAMAQAADwAAAGRycy9kb3ducmV2&#10;LnhtbEyPQU+DQBCF7yb+h82YeLOLUGmLLE1j9GRipHjwuLBTIGVnkd22+O8dT3p8eV/efJNvZzuI&#10;M06+d6TgfhGBQGqc6alV8FG93K1B+KDJ6MERKvhGD9vi+irXmXEXKvG8D63gEfKZVtCFMGZS+qZD&#10;q/3CjUjcHdxkdeA4tdJM+sLjdpBxFKXS6p74QqdHfOqwOe5PVsHuk8rn/uutfi8PZV9Vm4he06NS&#10;tzfz7hFEwDn8wfCrz+pQsFPtTmS8GDgv45RRBZt0tQTBxEOSJCBqruLVOgZZ5PL/E8UPAAAA//8D&#10;AFBLAQItABQABgAIAAAAIQC2gziS/gAAAOEBAAATAAAAAAAAAAAAAAAAAAAAAABbQ29udGVudF9U&#10;eXBlc10ueG1sUEsBAi0AFAAGAAgAAAAhADj9If/WAAAAlAEAAAsAAAAAAAAAAAAAAAAALwEAAF9y&#10;ZWxzLy5yZWxzUEsBAi0AFAAGAAgAAAAhALBJ5oTxAQAAxAMAAA4AAAAAAAAAAAAAAAAALgIAAGRy&#10;cy9lMm9Eb2MueG1sUEsBAi0AFAAGAAgAAAAhAPjtUOHhAAAADAEAAA8AAAAAAAAAAAAAAAAASwQA&#10;AGRycy9kb3ducmV2LnhtbFBLBQYAAAAABAAEAPMAAABZBQAAAAA=&#10;" filled="f" stroked="f">
                <v:textbox inset="0,0,0,0">
                  <w:txbxContent>
                    <w:p w14:paraId="62177039" w14:textId="77777777" w:rsidR="00490F33" w:rsidRDefault="00490F33">
                      <w:pPr>
                        <w:spacing w:line="238" w:lineRule="exact"/>
                        <w:textAlignment w:val="baseline"/>
                        <w:rPr>
                          <w:rFonts w:ascii="Tahoma" w:eastAsia="Tahoma" w:hAnsi="Tahoma"/>
                          <w:color w:val="424042"/>
                          <w:spacing w:val="2"/>
                          <w:sz w:val="18"/>
                        </w:rPr>
                      </w:pPr>
                      <w:r>
                        <w:rPr>
                          <w:rFonts w:ascii="Tahoma" w:eastAsia="Tahoma" w:hAnsi="Tahoma"/>
                          <w:color w:val="424042"/>
                          <w:spacing w:val="2"/>
                          <w:sz w:val="18"/>
                        </w:rPr>
                        <w:t xml:space="preserve">Replicating the way CSIRO and Bureau of </w:t>
                      </w:r>
                      <w:r>
                        <w:rPr>
                          <w:rFonts w:ascii="Verdana" w:eastAsia="Verdana" w:hAnsi="Verdana"/>
                          <w:color w:val="424042"/>
                          <w:spacing w:val="2"/>
                          <w:sz w:val="17"/>
                        </w:rPr>
                        <w:t xml:space="preserve">Meteorology staff work every day, each </w:t>
                      </w:r>
                      <w:r>
                        <w:rPr>
                          <w:rFonts w:ascii="Tahoma" w:eastAsia="Tahoma" w:hAnsi="Tahoma"/>
                          <w:color w:val="424042"/>
                          <w:spacing w:val="2"/>
                          <w:sz w:val="18"/>
                        </w:rPr>
                        <w:t xml:space="preserve">team used online collaboration tools and videoconferencing to complete STEM projects in one of 15 disciplines of interest, including agriculture, astronomy, energy, health, manufacturing, meteorology, oceanography and computer science. The program tested </w:t>
                      </w:r>
                      <w:r>
                        <w:rPr>
                          <w:rFonts w:ascii="Verdana" w:eastAsia="Verdana" w:hAnsi="Verdana"/>
                          <w:color w:val="424042"/>
                          <w:spacing w:val="2"/>
                          <w:sz w:val="17"/>
                        </w:rPr>
                        <w:t xml:space="preserve">two different contact working models: every </w:t>
                      </w:r>
                      <w:r>
                        <w:rPr>
                          <w:rFonts w:ascii="Tahoma" w:eastAsia="Tahoma" w:hAnsi="Tahoma"/>
                          <w:color w:val="424042"/>
                          <w:spacing w:val="2"/>
                          <w:sz w:val="18"/>
                        </w:rPr>
                        <w:t xml:space="preserve">day over a one-week block (70 per cent), or </w:t>
                      </w:r>
                      <w:r>
                        <w:rPr>
                          <w:rFonts w:ascii="Verdana" w:eastAsia="Verdana" w:hAnsi="Verdana"/>
                          <w:color w:val="424042"/>
                          <w:spacing w:val="2"/>
                          <w:sz w:val="17"/>
                        </w:rPr>
                        <w:t xml:space="preserve">one day a week for five weeks (30 per cent). </w:t>
                      </w:r>
                      <w:r>
                        <w:rPr>
                          <w:rFonts w:ascii="Tahoma" w:eastAsia="Tahoma" w:hAnsi="Tahoma"/>
                          <w:color w:val="424042"/>
                          <w:spacing w:val="2"/>
                          <w:sz w:val="18"/>
                        </w:rPr>
                        <w:t>Regardless of the model, no student had face-to-face contact with their supervisor.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6960" behindDoc="1" locked="0" layoutInCell="1" allowOverlap="1" wp14:anchorId="5B9C5585" wp14:editId="1789B1C6">
                <wp:simplePos x="0" y="0"/>
                <wp:positionH relativeFrom="page">
                  <wp:posOffset>905510</wp:posOffset>
                </wp:positionH>
                <wp:positionV relativeFrom="page">
                  <wp:posOffset>8226425</wp:posOffset>
                </wp:positionV>
                <wp:extent cx="2389505" cy="1066800"/>
                <wp:effectExtent l="0" t="0" r="0" b="0"/>
                <wp:wrapSquare wrapText="bothSides"/>
                <wp:docPr id="689"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50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1D055" w14:textId="77777777" w:rsidR="00490F33" w:rsidRDefault="00490F33">
                            <w:pPr>
                              <w:spacing w:line="239" w:lineRule="exact"/>
                              <w:textAlignment w:val="baseline"/>
                              <w:rPr>
                                <w:rFonts w:ascii="Tahoma" w:eastAsia="Tahoma" w:hAnsi="Tahoma"/>
                                <w:color w:val="424042"/>
                                <w:spacing w:val="5"/>
                                <w:sz w:val="18"/>
                              </w:rPr>
                            </w:pPr>
                            <w:r>
                              <w:rPr>
                                <w:rFonts w:ascii="Tahoma" w:eastAsia="Tahoma" w:hAnsi="Tahoma"/>
                                <w:color w:val="424042"/>
                                <w:spacing w:val="5"/>
                                <w:sz w:val="18"/>
                              </w:rPr>
                              <w:t>CSIRO astronomy educator Rob Hollow (on screen) supervised six students across the nation on a project related to characterising pulsars. The students were able to remotely take control of the iconic Parkes radio telescope and capture astronomic data from pulsars.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C5585" id="Text Box 410" o:spid="_x0000_s1177" type="#_x0000_t202" style="position:absolute;margin-left:71.3pt;margin-top:647.75pt;width:188.15pt;height:84pt;z-index:-251819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7wM8gEAAMQDAAAOAAAAZHJzL2Uyb0RvYy54bWysU9tu2zAMfR+wfxD0vtjOliA14hRdiw4D&#10;ugvQ7gMYWY6F2aJGKbGzrx8lJ2m3vQ17ESiKOjrnkFpfj30nDpq8QVvJYpZLoa3C2thdJb893b9Z&#10;SeED2Bo6tLqSR+3l9eb1q/XgSj3HFrtak2AQ68vBVbINwZVZ5lWre/AzdNryYYPUQ+At7bKaYGD0&#10;vsvmeb7MBqTaESrtPWfvpkO5SfhNo1X40jReB9FVkrmFtFJat3HNNmsodwSuNepEA/6BRQ/G8qMX&#10;qDsIIPZk/oLqjSL02ISZwj7DpjFKJw2spsj/UPPYgtNJC5vj3cUm//9g1efDVxKmruRydSWFhZ6b&#10;9KTHIN7jKN4VyaHB+ZILHx2XhpEPuNNJrXcPqL57YfG2BbvTN0Q4tBpqZlhEb7MXV2NPfOkjyHb4&#10;hDU/BPuACWhsqI/2sSGC0blTx0t3IhnFyfnb1dUiX0ih+KzIl8tVnthlUJ6vO/Lhg8ZexKCSxO1P&#10;8HB48CHSgfJcEl+zeG+6Lo1AZ39LcGHMJPqR8cQ9jNsxeVUskrqoZ4v1kRURTqPFX4GDFumnFAOP&#10;VSX9jz2QlqL7aNmVOIPngM7B9hyAVXy1kkGKKbwN06zuHZldy8iT7xZv2LnGJE3PLE6EeVSS1NNY&#10;x1l8uU9Vz59v8wsAAP//AwBQSwMEFAAGAAgAAAAhAFNPlr7hAAAADQEAAA8AAABkcnMvZG93bnJl&#10;di54bWxMj8FOwzAQRO9I/QdrK3GjTgOJmhCnqhCckBBpOHB0YjexGq9D7Lbh79meym1H8zQ7U2xn&#10;O7CznrxxKGC9ioBpbJ0y2An4qt8eNsB8kKjk4FAL+NUetuXirpC5ches9HkfOkYh6HMpoA9hzDn3&#10;ba+t9Cs3aiTv4CYrA8mp42qSFwq3A4+jKOVWGqQPvRz1S6/b4/5kBey+sXo1Px/NZ3WoTF1nEb6n&#10;RyHul/PuGVjQc7jBcK1P1aGkTo07ofJsIP0Up4TSEWdJAoyQZL3JgDVXL31MgJcF/7+i/AMAAP//&#10;AwBQSwECLQAUAAYACAAAACEAtoM4kv4AAADhAQAAEwAAAAAAAAAAAAAAAAAAAAAAW0NvbnRlbnRf&#10;VHlwZXNdLnhtbFBLAQItABQABgAIAAAAIQA4/SH/1gAAAJQBAAALAAAAAAAAAAAAAAAAAC8BAABf&#10;cmVscy8ucmVsc1BLAQItABQABgAIAAAAIQAQ77wM8gEAAMQDAAAOAAAAAAAAAAAAAAAAAC4CAABk&#10;cnMvZTJvRG9jLnhtbFBLAQItABQABgAIAAAAIQBTT5a+4QAAAA0BAAAPAAAAAAAAAAAAAAAAAEwE&#10;AABkcnMvZG93bnJldi54bWxQSwUGAAAAAAQABADzAAAAWgUAAAAA&#10;" filled="f" stroked="f">
                <v:textbox inset="0,0,0,0">
                  <w:txbxContent>
                    <w:p w14:paraId="03A1D055" w14:textId="77777777" w:rsidR="00490F33" w:rsidRDefault="00490F33">
                      <w:pPr>
                        <w:spacing w:line="239" w:lineRule="exact"/>
                        <w:textAlignment w:val="baseline"/>
                        <w:rPr>
                          <w:rFonts w:ascii="Tahoma" w:eastAsia="Tahoma" w:hAnsi="Tahoma"/>
                          <w:color w:val="424042"/>
                          <w:spacing w:val="5"/>
                          <w:sz w:val="18"/>
                        </w:rPr>
                      </w:pPr>
                      <w:r>
                        <w:rPr>
                          <w:rFonts w:ascii="Tahoma" w:eastAsia="Tahoma" w:hAnsi="Tahoma"/>
                          <w:color w:val="424042"/>
                          <w:spacing w:val="5"/>
                          <w:sz w:val="18"/>
                        </w:rPr>
                        <w:t>CSIRO astronomy educator Rob Hollow (on screen) supervised six students across the nation on a project related to characterising pulsars. The students were able to remotely take control of the iconic Parkes radio telescope and capture astronomic data from pulsars.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7984" behindDoc="1" locked="0" layoutInCell="1" allowOverlap="1" wp14:anchorId="1875C655" wp14:editId="794676B4">
                <wp:simplePos x="0" y="0"/>
                <wp:positionH relativeFrom="page">
                  <wp:posOffset>4182110</wp:posOffset>
                </wp:positionH>
                <wp:positionV relativeFrom="page">
                  <wp:posOffset>8152765</wp:posOffset>
                </wp:positionV>
                <wp:extent cx="2541905" cy="1101090"/>
                <wp:effectExtent l="0" t="0" r="0" b="0"/>
                <wp:wrapSquare wrapText="bothSides"/>
                <wp:docPr id="688"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604D3" w14:textId="77777777" w:rsidR="00490F33" w:rsidRDefault="00490F33">
                            <w:pPr>
                              <w:spacing w:line="179" w:lineRule="exact"/>
                              <w:textAlignment w:val="baseline"/>
                              <w:rPr>
                                <w:rFonts w:ascii="Tahoma" w:eastAsia="Tahoma" w:hAnsi="Tahoma"/>
                                <w:color w:val="000000"/>
                                <w:sz w:val="14"/>
                              </w:rPr>
                            </w:pPr>
                            <w:r>
                              <w:rPr>
                                <w:rFonts w:ascii="Tahoma" w:eastAsia="Tahoma" w:hAnsi="Tahoma"/>
                                <w:color w:val="000000"/>
                                <w:sz w:val="14"/>
                              </w:rPr>
                              <w:t>CSIRO astronomy educator Rob Hollow (on screen) supervised six students across the nation on a project related to characterising pulsars. The students were able to remotely take control of the iconic Parkes radio telescope and capture astronomic data from pulsars.</w:t>
                            </w:r>
                          </w:p>
                          <w:p w14:paraId="6823E3F3" w14:textId="77777777" w:rsidR="00490F33" w:rsidRDefault="00490F33">
                            <w:pPr>
                              <w:spacing w:before="115" w:line="179" w:lineRule="exact"/>
                              <w:ind w:right="72"/>
                              <w:textAlignment w:val="baseline"/>
                              <w:rPr>
                                <w:rFonts w:ascii="Tahoma" w:eastAsia="Tahoma" w:hAnsi="Tahoma"/>
                                <w:color w:val="000000"/>
                                <w:sz w:val="14"/>
                              </w:rPr>
                            </w:pPr>
                            <w:r>
                              <w:rPr>
                                <w:rFonts w:ascii="Tahoma" w:eastAsia="Tahoma" w:hAnsi="Tahoma"/>
                                <w:color w:val="000000"/>
                                <w:sz w:val="14"/>
                              </w:rPr>
                              <w:t xml:space="preserve">Source: CSIRO, ‘Virtual Work Experience Pilot Program’, webpage (accessed 29 April 2020), </w:t>
                            </w:r>
                            <w:hyperlink r:id="rId174">
                              <w:r>
                                <w:rPr>
                                  <w:rFonts w:ascii="Tahoma" w:eastAsia="Tahoma" w:hAnsi="Tahoma"/>
                                  <w:color w:val="0000FF"/>
                                  <w:sz w:val="14"/>
                                  <w:u w:val="single"/>
                                </w:rPr>
                                <w:t>https://www.csiro.au/en/</w:t>
                              </w:r>
                            </w:hyperlink>
                            <w:r>
                              <w:rPr>
                                <w:rFonts w:ascii="Tahoma" w:eastAsia="Tahoma" w:hAnsi="Tahoma"/>
                                <w:color w:val="000000"/>
                                <w:sz w:val="14"/>
                              </w:rPr>
                              <w:t xml:space="preserve"> Education/Programs/Virtual-Work-Experience; and CSIRO program materials.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5C655" id="Text Box 409" o:spid="_x0000_s1178" type="#_x0000_t202" style="position:absolute;margin-left:329.3pt;margin-top:641.95pt;width:200.15pt;height:86.7pt;z-index:-251818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zs8QEAAMQDAAAOAAAAZHJzL2Uyb0RvYy54bWysU9tu2zAMfR+wfxD0vtgOmqI14hRdiw4D&#10;uq1Auw9gZDkWZosapcTOvn6UHGfd9jbsRaB4OTo8pNY3Y9+JgyZv0FayWORSaKuwNnZXya8vD++u&#10;pPABbA0dWl3Jo/byZvP2zXpwpV5ii12tSTCI9eXgKtmG4Mos86rVPfgFOm052CD1EPhKu6wmGBi9&#10;77Jlnl9mA1LtCJX2nr33U1BuEn7TaBW+NI3XQXSVZG4hnZTObTyzzRrKHYFrjTrRgH9g0YOx/OgZ&#10;6h4CiD2Zv6B6owg9NmGhsM+waYzSqQfupsj/6Oa5BadTLyyOd2eZ/P+DVZ8PTyRMXcnLKx6VhZ6H&#10;9KLHIN7jKC7y66jQ4HzJic+OU8PIAZ506ta7R1TfvLB414Ld6VsiHFoNNTMsYmX2qnTC8RFkO3zC&#10;mh+CfcAENDbUR/lYEMHoPKnjeTqRjGLncnVRXOcrKRTHioLluk7zy6Ccyx358EFjL6JRSeLxJ3g4&#10;PPoQ6UA5p8TXLD6Yrksr0NnfHJwYPYl+ZDxxD+N2TFoVq+WsyxbrI3dEOK0WfwU2WqQfUgy8VpX0&#10;3/dAWoruo2VV4g7OBs3GdjbAKi6tZJBiMu/CtKt7R2bXMvKku8VbVq4xqaco8cTiRJhXJbV6Wuu4&#10;i6/vKevX59v8BAAA//8DAFBLAwQUAAYACAAAACEAlGuNe+IAAAAOAQAADwAAAGRycy9kb3ducmV2&#10;LnhtbEyPwU7DMBBE70j8g7VI3KhNS0Ia4lQVghMSIg0Hjk7sJlbjdYjdNvw92xPcZjVPszPFZnYD&#10;O5kpWI8S7hcCmMHWa4udhM/69S4DFqJCrQaPRsKPCbApr68KlWt/xsqcdrFjFIIhVxL6GMec89D2&#10;xqmw8KNB8vZ+cirSOXVcT+pM4W7gSyFS7pRF+tCr0Tz3pj3sjk7C9gurF/v93nxU+8rW9VrgW3qQ&#10;8vZm3j4Bi2aOfzBc6lN1KKlT44+oAxskpEmWEkrGMlutgV0QkWSkGlIPyeMKeFnw/zPKXwAAAP//&#10;AwBQSwECLQAUAAYACAAAACEAtoM4kv4AAADhAQAAEwAAAAAAAAAAAAAAAAAAAAAAW0NvbnRlbnRf&#10;VHlwZXNdLnhtbFBLAQItABQABgAIAAAAIQA4/SH/1gAAAJQBAAALAAAAAAAAAAAAAAAAAC8BAABf&#10;cmVscy8ucmVsc1BLAQItABQABgAIAAAAIQB0I/zs8QEAAMQDAAAOAAAAAAAAAAAAAAAAAC4CAABk&#10;cnMvZTJvRG9jLnhtbFBLAQItABQABgAIAAAAIQCUa4174gAAAA4BAAAPAAAAAAAAAAAAAAAAAEsE&#10;AABkcnMvZG93bnJldi54bWxQSwUGAAAAAAQABADzAAAAWgUAAAAA&#10;" filled="f" stroked="f">
                <v:textbox inset="0,0,0,0">
                  <w:txbxContent>
                    <w:p w14:paraId="3BF604D3" w14:textId="77777777" w:rsidR="00490F33" w:rsidRDefault="00490F33">
                      <w:pPr>
                        <w:spacing w:line="179" w:lineRule="exact"/>
                        <w:textAlignment w:val="baseline"/>
                        <w:rPr>
                          <w:rFonts w:ascii="Tahoma" w:eastAsia="Tahoma" w:hAnsi="Tahoma"/>
                          <w:color w:val="000000"/>
                          <w:sz w:val="14"/>
                        </w:rPr>
                      </w:pPr>
                      <w:r>
                        <w:rPr>
                          <w:rFonts w:ascii="Tahoma" w:eastAsia="Tahoma" w:hAnsi="Tahoma"/>
                          <w:color w:val="000000"/>
                          <w:sz w:val="14"/>
                        </w:rPr>
                        <w:t>CSIRO astronomy educator Rob Hollow (on screen) supervised six students across the nation on a project related to characterising pulsars. The students were able to remotely take control of the iconic Parkes radio telescope and capture astronomic data from pulsars.</w:t>
                      </w:r>
                    </w:p>
                    <w:p w14:paraId="6823E3F3" w14:textId="77777777" w:rsidR="00490F33" w:rsidRDefault="00490F33">
                      <w:pPr>
                        <w:spacing w:before="115" w:line="179" w:lineRule="exact"/>
                        <w:ind w:right="72"/>
                        <w:textAlignment w:val="baseline"/>
                        <w:rPr>
                          <w:rFonts w:ascii="Tahoma" w:eastAsia="Tahoma" w:hAnsi="Tahoma"/>
                          <w:color w:val="000000"/>
                          <w:sz w:val="14"/>
                        </w:rPr>
                      </w:pPr>
                      <w:r>
                        <w:rPr>
                          <w:rFonts w:ascii="Tahoma" w:eastAsia="Tahoma" w:hAnsi="Tahoma"/>
                          <w:color w:val="000000"/>
                          <w:sz w:val="14"/>
                        </w:rPr>
                        <w:t xml:space="preserve">Source: CSIRO, ‘Virtual Work Experience Pilot Program’, webpage (accessed 29 April 2020), </w:t>
                      </w:r>
                      <w:hyperlink r:id="rId175">
                        <w:r>
                          <w:rPr>
                            <w:rFonts w:ascii="Tahoma" w:eastAsia="Tahoma" w:hAnsi="Tahoma"/>
                            <w:color w:val="0000FF"/>
                            <w:sz w:val="14"/>
                            <w:u w:val="single"/>
                          </w:rPr>
                          <w:t>https://www.csiro.au/en/</w:t>
                        </w:r>
                      </w:hyperlink>
                      <w:r>
                        <w:rPr>
                          <w:rFonts w:ascii="Tahoma" w:eastAsia="Tahoma" w:hAnsi="Tahoma"/>
                          <w:color w:val="000000"/>
                          <w:sz w:val="14"/>
                        </w:rPr>
                        <w:t xml:space="preserve"> Education/Programs/Virtual-Work-Experience; and CSIRO program materials.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499008" behindDoc="1" locked="0" layoutInCell="1" allowOverlap="1" wp14:anchorId="1F44D0B4" wp14:editId="2E073FDD">
                <wp:simplePos x="0" y="0"/>
                <wp:positionH relativeFrom="page">
                  <wp:posOffset>5114290</wp:posOffset>
                </wp:positionH>
                <wp:positionV relativeFrom="page">
                  <wp:posOffset>9686925</wp:posOffset>
                </wp:positionV>
                <wp:extent cx="1892935" cy="144780"/>
                <wp:effectExtent l="0" t="0" r="0" b="0"/>
                <wp:wrapSquare wrapText="bothSides"/>
                <wp:docPr id="687"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91A44" w14:textId="77777777" w:rsidR="00490F33" w:rsidRDefault="00490F33">
                            <w:pPr>
                              <w:tabs>
                                <w:tab w:val="right" w:pos="3024"/>
                              </w:tabs>
                              <w:spacing w:after="19" w:line="206" w:lineRule="exact"/>
                              <w:textAlignment w:val="baseline"/>
                              <w:rPr>
                                <w:rFonts w:ascii="Tahoma" w:eastAsia="Tahoma" w:hAnsi="Tahoma"/>
                                <w:color w:val="424042"/>
                                <w:sz w:val="14"/>
                              </w:rPr>
                            </w:pPr>
                            <w:r>
                              <w:rPr>
                                <w:rFonts w:ascii="Tahoma" w:eastAsia="Tahoma" w:hAnsi="Tahoma"/>
                                <w:color w:val="424042"/>
                                <w:sz w:val="14"/>
                              </w:rPr>
                              <w:t>Chapter 3: VET and the world of work</w:t>
                            </w:r>
                            <w:r>
                              <w:rPr>
                                <w:rFonts w:ascii="Arial" w:eastAsia="Arial" w:hAnsi="Arial"/>
                                <w:b/>
                                <w:color w:val="5556A1"/>
                                <w:sz w:val="19"/>
                              </w:rPr>
                              <w:tab/>
                              <w:t>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D0B4" id="Text Box 408" o:spid="_x0000_s1179" type="#_x0000_t202" style="position:absolute;margin-left:402.7pt;margin-top:762.75pt;width:149.05pt;height:11.4pt;z-index:-251817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BDE8gEAAMMDAAAOAAAAZHJzL2Uyb0RvYy54bWysU8Fu2zAMvQ/YPwi6L07StE2NOEXXosOA&#10;rhvQ9gMYWY6F2aJGKbGzrx8lx1m33oZdBEokHx8fqdV13zZir8kbtIWcTaZSaKuwNHZbyJfn+w9L&#10;KXwAW0KDVhfyoL28Xr9/t+pcrudYY1NqEgxifd65QtYhuDzLvKp1C36CTlt2VkgtBL7SNisJOkZv&#10;m2w+nV5kHVLpCJX2nl/vBqdcJ/yq0ip8rSqvg2gKydxCOimdm3hm6xXkWwJXG3WkAf/AogVjuegJ&#10;6g4CiB2ZN1CtUYQeqzBR2GZYVUbp1AN3M5v+1c1TDU6nXlgc704y+f8Hqx7330iYspAXy0spLLQ8&#10;pGfdB/ERe7GYLqNCnfM5Bz45Dg09O3jSqVvvHlB998LibQ12q2+IsKs1lMxwFjOzV6kDjo8gm+4L&#10;llwIdgETUF9RG+VjQQSj86QOp+lEMiqWXF7Nr87OpVDsmy0Wl8s0vgzyMduRD580tiIahSSefkKH&#10;/YMPkQ3kY0gsZvHeNE3agMb+8cCB8SWxj4QH6qHf9Emq2fnZKMsGywM3RDhsFv8ENmqkn1J0vFWF&#10;9D92QFqK5rNlUeIKjgaNxmY0wCpOLWSQYjBvw7CqO0dmWzPyILvFGxauMqmnqPDA4kiYNyW1etzq&#10;uIqv7ynq999b/wIAAP//AwBQSwMEFAAGAAgAAAAhAIA8yFHiAAAADgEAAA8AAABkcnMvZG93bnJl&#10;di54bWxMj81OwzAQhO9IvIO1SNyo3Z9UIcSpKgQnJEQaDhydeJtYjdchdtvw9jgnuO3ujGa/yXeT&#10;7dkFR28cSVguBDCkxmlDrYTP6vUhBeaDIq16RyjhBz3situbXGXaXanEyyG0LIaQz5SELoQh49w3&#10;HVrlF25AitrRjVaFuI4t16O6xnDb85UQW26VofihUwM+d9icDmcrYf9F5Yv5fq8/ymNpqupR0Nv2&#10;JOX93bR/AhZwCn9mmPEjOhSRqXZn0p71ElKRbKI1CskqSYDNlqVYx6meb5t0DbzI+f8axS8AAAD/&#10;/wMAUEsBAi0AFAAGAAgAAAAhALaDOJL+AAAA4QEAABMAAAAAAAAAAAAAAAAAAAAAAFtDb250ZW50&#10;X1R5cGVzXS54bWxQSwECLQAUAAYACAAAACEAOP0h/9YAAACUAQAACwAAAAAAAAAAAAAAAAAvAQAA&#10;X3JlbHMvLnJlbHNQSwECLQAUAAYACAAAACEASdQQxPIBAADDAwAADgAAAAAAAAAAAAAAAAAuAgAA&#10;ZHJzL2Uyb0RvYy54bWxQSwECLQAUAAYACAAAACEAgDzIUeIAAAAOAQAADwAAAAAAAAAAAAAAAABM&#10;BAAAZHJzL2Rvd25yZXYueG1sUEsFBgAAAAAEAAQA8wAAAFsFAAAAAA==&#10;" filled="f" stroked="f">
                <v:textbox inset="0,0,0,0">
                  <w:txbxContent>
                    <w:p w14:paraId="6C491A44" w14:textId="77777777" w:rsidR="00490F33" w:rsidRDefault="00490F33">
                      <w:pPr>
                        <w:tabs>
                          <w:tab w:val="right" w:pos="3024"/>
                        </w:tabs>
                        <w:spacing w:after="19" w:line="206" w:lineRule="exact"/>
                        <w:textAlignment w:val="baseline"/>
                        <w:rPr>
                          <w:rFonts w:ascii="Tahoma" w:eastAsia="Tahoma" w:hAnsi="Tahoma"/>
                          <w:color w:val="424042"/>
                          <w:sz w:val="14"/>
                        </w:rPr>
                      </w:pPr>
                      <w:r>
                        <w:rPr>
                          <w:rFonts w:ascii="Tahoma" w:eastAsia="Tahoma" w:hAnsi="Tahoma"/>
                          <w:color w:val="424042"/>
                          <w:sz w:val="14"/>
                        </w:rPr>
                        <w:t>Chapter 3: VET and the world of work</w:t>
                      </w:r>
                      <w:r>
                        <w:rPr>
                          <w:rFonts w:ascii="Arial" w:eastAsia="Arial" w:hAnsi="Arial"/>
                          <w:b/>
                          <w:color w:val="5556A1"/>
                          <w:sz w:val="19"/>
                        </w:rPr>
                        <w:tab/>
                        <w:t>81</w:t>
                      </w:r>
                    </w:p>
                  </w:txbxContent>
                </v:textbox>
                <w10:wrap type="square" anchorx="page" anchory="page"/>
              </v:shape>
            </w:pict>
          </mc:Fallback>
        </mc:AlternateContent>
      </w:r>
    </w:p>
    <w:p w14:paraId="114CCF8A" w14:textId="77777777" w:rsidR="009757A9" w:rsidRDefault="009757A9">
      <w:pPr>
        <w:sectPr w:rsidR="009757A9">
          <w:pgSz w:w="11909" w:h="16838"/>
          <w:pgMar w:top="0" w:right="1440" w:bottom="0" w:left="1440" w:header="720" w:footer="720" w:gutter="0"/>
          <w:cols w:space="720"/>
        </w:sectPr>
      </w:pPr>
    </w:p>
    <w:p w14:paraId="4AC2ACE3" w14:textId="77777777" w:rsidR="009757A9" w:rsidRDefault="00083242">
      <w:pPr>
        <w:spacing w:before="24" w:line="286" w:lineRule="exact"/>
        <w:ind w:left="864"/>
        <w:textAlignment w:val="baseline"/>
        <w:rPr>
          <w:rFonts w:ascii="Arial" w:eastAsia="Arial" w:hAnsi="Arial"/>
          <w:b/>
          <w:color w:val="00708E"/>
          <w:sz w:val="25"/>
        </w:rPr>
      </w:pPr>
      <w:r>
        <w:rPr>
          <w:rFonts w:ascii="Arial" w:eastAsia="Arial" w:hAnsi="Arial"/>
          <w:b/>
          <w:color w:val="00708E"/>
          <w:sz w:val="25"/>
        </w:rPr>
        <w:lastRenderedPageBreak/>
        <w:t>Vocational education and training</w:t>
      </w:r>
    </w:p>
    <w:p w14:paraId="296F4C72" w14:textId="77777777" w:rsidR="009757A9" w:rsidRDefault="00083242">
      <w:pPr>
        <w:spacing w:before="146" w:line="240" w:lineRule="exact"/>
        <w:ind w:left="864" w:right="1656"/>
        <w:textAlignment w:val="baseline"/>
        <w:rPr>
          <w:rFonts w:ascii="Tahoma" w:eastAsia="Tahoma" w:hAnsi="Tahoma"/>
          <w:color w:val="404042"/>
          <w:sz w:val="18"/>
        </w:rPr>
      </w:pPr>
      <w:r>
        <w:rPr>
          <w:rFonts w:ascii="Tahoma" w:eastAsia="Tahoma" w:hAnsi="Tahoma"/>
          <w:color w:val="404042"/>
          <w:sz w:val="18"/>
        </w:rPr>
        <w:t>VET can be pursued by students both as an in-school and a post-school pathway. Broadly, there are three ways students may choose to engage with VET:</w:t>
      </w:r>
    </w:p>
    <w:p w14:paraId="2DD46BEF" w14:textId="77777777" w:rsidR="009757A9" w:rsidRDefault="00083242">
      <w:pPr>
        <w:numPr>
          <w:ilvl w:val="0"/>
          <w:numId w:val="6"/>
        </w:numPr>
        <w:tabs>
          <w:tab w:val="clear" w:pos="216"/>
          <w:tab w:val="left" w:pos="1080"/>
        </w:tabs>
        <w:spacing w:before="86" w:line="240" w:lineRule="exact"/>
        <w:ind w:left="1080" w:right="1080" w:hanging="216"/>
        <w:textAlignment w:val="baseline"/>
        <w:rPr>
          <w:rFonts w:ascii="Tahoma" w:eastAsia="Tahoma" w:hAnsi="Tahoma"/>
          <w:color w:val="404042"/>
          <w:sz w:val="18"/>
        </w:rPr>
      </w:pPr>
      <w:r>
        <w:rPr>
          <w:rFonts w:ascii="Tahoma" w:eastAsia="Tahoma" w:hAnsi="Tahoma"/>
          <w:color w:val="404042"/>
          <w:sz w:val="18"/>
        </w:rPr>
        <w:t>Students may decide to participate in VET courses in Years 11 and 12 as a ‘taster’ in order to explore their interests or because they prefer applied learning. On the basis of that experience, some have their expectations confirmed. Others may decide they no longer wish to pursue post-school qualifications or work in the area they trialled.</w:t>
      </w:r>
    </w:p>
    <w:p w14:paraId="493D8458" w14:textId="77777777" w:rsidR="009757A9" w:rsidRDefault="00083242">
      <w:pPr>
        <w:numPr>
          <w:ilvl w:val="0"/>
          <w:numId w:val="6"/>
        </w:numPr>
        <w:tabs>
          <w:tab w:val="clear" w:pos="216"/>
          <w:tab w:val="left" w:pos="1080"/>
        </w:tabs>
        <w:spacing w:before="82" w:line="240" w:lineRule="exact"/>
        <w:ind w:left="1080" w:right="1368" w:hanging="216"/>
        <w:textAlignment w:val="baseline"/>
        <w:rPr>
          <w:rFonts w:ascii="Tahoma" w:eastAsia="Tahoma" w:hAnsi="Tahoma"/>
          <w:color w:val="404042"/>
          <w:sz w:val="18"/>
        </w:rPr>
      </w:pPr>
      <w:r>
        <w:rPr>
          <w:rFonts w:ascii="Tahoma" w:eastAsia="Tahoma" w:hAnsi="Tahoma"/>
          <w:color w:val="404042"/>
          <w:sz w:val="18"/>
        </w:rPr>
        <w:t>Students may choose to get a head start on a VET qualification by beginning it in school – either through a school-based apprenticeship or traineeship or through a certificate course. They should expect to finish school either with a certificated qualification or having made significant progress towards one.</w:t>
      </w:r>
    </w:p>
    <w:p w14:paraId="580AF99C" w14:textId="77777777" w:rsidR="009757A9" w:rsidRDefault="00083242">
      <w:pPr>
        <w:numPr>
          <w:ilvl w:val="0"/>
          <w:numId w:val="6"/>
        </w:numPr>
        <w:tabs>
          <w:tab w:val="clear" w:pos="216"/>
          <w:tab w:val="left" w:pos="1080"/>
        </w:tabs>
        <w:spacing w:before="86" w:line="240" w:lineRule="exact"/>
        <w:ind w:left="1080" w:right="1152" w:hanging="216"/>
        <w:textAlignment w:val="baseline"/>
        <w:rPr>
          <w:rFonts w:ascii="Tahoma" w:eastAsia="Tahoma" w:hAnsi="Tahoma"/>
          <w:color w:val="404042"/>
          <w:sz w:val="18"/>
        </w:rPr>
      </w:pPr>
      <w:r>
        <w:rPr>
          <w:rFonts w:ascii="Tahoma" w:eastAsia="Tahoma" w:hAnsi="Tahoma"/>
          <w:color w:val="404042"/>
          <w:sz w:val="18"/>
        </w:rPr>
        <w:t>Students may have taken more traditionally ‘academic’ subjects in Years 11 and 12, but nevertheless decide to pursue a post-school VET pathway – either as a stepping stone into university or as a qualification in its own right.</w:t>
      </w:r>
    </w:p>
    <w:p w14:paraId="3816C71D"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More than 90 per cent of schools offer VET in Years 11 and 12.</w:t>
      </w:r>
      <w:r>
        <w:rPr>
          <w:rFonts w:ascii="Tahoma" w:eastAsia="Tahoma" w:hAnsi="Tahoma"/>
          <w:color w:val="404042"/>
          <w:sz w:val="18"/>
          <w:vertAlign w:val="superscript"/>
        </w:rPr>
        <w:t>103</w:t>
      </w:r>
      <w:r>
        <w:rPr>
          <w:rFonts w:ascii="Tahoma" w:eastAsia="Tahoma" w:hAnsi="Tahoma"/>
          <w:color w:val="404042"/>
          <w:sz w:val="18"/>
        </w:rPr>
        <w:t xml:space="preserve"> In 2018, 27 per cent of 15- to 19-year-old students were undertaking some form of VET in secondary school. Unfortunately, interest appears to be waning: nationally, there has been a 6.7 per cent decrease between 2014 and 2018.</w:t>
      </w:r>
      <w:r>
        <w:rPr>
          <w:rFonts w:ascii="Tahoma" w:eastAsia="Tahoma" w:hAnsi="Tahoma"/>
          <w:color w:val="404042"/>
          <w:sz w:val="18"/>
          <w:vertAlign w:val="superscript"/>
        </w:rPr>
        <w:t>104</w:t>
      </w:r>
      <w:r>
        <w:rPr>
          <w:rFonts w:ascii="Tahoma" w:eastAsia="Tahoma" w:hAnsi="Tahoma"/>
          <w:color w:val="404042"/>
          <w:sz w:val="10"/>
        </w:rPr>
        <w:t xml:space="preserve"> </w:t>
      </w:r>
    </w:p>
    <w:p w14:paraId="5CE17D86"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Throughout the consultations, young people who were undertaking VET were generally positive about their outcomes. They spoke of the opportunities they had enjoyed for hands-on learning, connecting to the real world of work, identifying a pathway directly into employment once they finished school, and being able to earn while they learned.</w:t>
      </w:r>
    </w:p>
    <w:p w14:paraId="51995D4A"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VET delivered to secondary students</w:t>
      </w:r>
    </w:p>
    <w:p w14:paraId="039CB109" w14:textId="77777777" w:rsidR="009757A9" w:rsidRDefault="00083242">
      <w:pPr>
        <w:spacing w:before="156" w:line="240" w:lineRule="exact"/>
        <w:ind w:left="864" w:right="1008"/>
        <w:textAlignment w:val="baseline"/>
        <w:rPr>
          <w:rFonts w:ascii="Tahoma" w:eastAsia="Tahoma" w:hAnsi="Tahoma"/>
          <w:color w:val="404042"/>
          <w:sz w:val="18"/>
        </w:rPr>
      </w:pPr>
      <w:r>
        <w:rPr>
          <w:rFonts w:ascii="Tahoma" w:eastAsia="Tahoma" w:hAnsi="Tahoma"/>
          <w:color w:val="404042"/>
          <w:sz w:val="18"/>
        </w:rPr>
        <w:t>The 2019 Expert Review of Australia’s Vocational Education and Training System, led by Steven Joyce, identified significant concerns regarding the quality of VET delivered to secondary students. The review emphasised concerns about unclear secondary school pathways into the VET sector and the increasing dominance of university pathways.</w:t>
      </w:r>
      <w:r>
        <w:rPr>
          <w:rFonts w:ascii="Tahoma" w:eastAsia="Tahoma" w:hAnsi="Tahoma"/>
          <w:color w:val="404042"/>
          <w:sz w:val="18"/>
          <w:vertAlign w:val="superscript"/>
        </w:rPr>
        <w:t>105</w:t>
      </w:r>
      <w:r>
        <w:rPr>
          <w:rFonts w:ascii="Tahoma" w:eastAsia="Tahoma" w:hAnsi="Tahoma"/>
          <w:color w:val="404042"/>
          <w:sz w:val="10"/>
        </w:rPr>
        <w:t xml:space="preserve"> </w:t>
      </w:r>
    </w:p>
    <w:p w14:paraId="2D404EE2" w14:textId="77777777" w:rsidR="009757A9" w:rsidRDefault="00083242">
      <w:pPr>
        <w:spacing w:before="173"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VET can be undertaken by secondary students in a variety of ways. It can be delivered by a school as a registered training organisation (RTO), by an external RTO, or through an auspicing arrangement between a school and an RTO. Schools may deliver VET through cluster arrangements in which one school is the RTO. These arrangements vary across school systems to meet local circumstances. While the same national VET Quality Framework applies to all VET, the approach towards quality assurance varies in practice between states and territories, and different approaches are taken towards overseeing regulation.</w:t>
      </w:r>
    </w:p>
    <w:p w14:paraId="171EF8D0" w14:textId="77777777" w:rsidR="009757A9" w:rsidRDefault="00083242">
      <w:pPr>
        <w:spacing w:before="168" w:after="590" w:line="240" w:lineRule="exact"/>
        <w:ind w:left="864" w:right="1008"/>
        <w:textAlignment w:val="baseline"/>
        <w:rPr>
          <w:rFonts w:ascii="Tahoma" w:eastAsia="Tahoma" w:hAnsi="Tahoma"/>
          <w:color w:val="404042"/>
          <w:sz w:val="18"/>
        </w:rPr>
      </w:pPr>
      <w:r>
        <w:rPr>
          <w:rFonts w:ascii="Tahoma" w:eastAsia="Tahoma" w:hAnsi="Tahoma"/>
          <w:color w:val="404042"/>
          <w:sz w:val="18"/>
        </w:rPr>
        <w:t>Yet despite these differing models, VET delivered to secondary students is subject to the same regulatory frameworks and requirements as VET delivered in other settings. It must comply with national standards so that it is delivered, assessed and certified under the same set of conditions as VET undertaken by non-secondary students: ‘VET is VET’.</w:t>
      </w:r>
      <w:r>
        <w:rPr>
          <w:rFonts w:ascii="Tahoma" w:eastAsia="Tahoma" w:hAnsi="Tahoma"/>
          <w:color w:val="404042"/>
          <w:sz w:val="18"/>
          <w:vertAlign w:val="superscript"/>
        </w:rPr>
        <w:t>106</w:t>
      </w:r>
      <w:r>
        <w:rPr>
          <w:rFonts w:ascii="Tahoma" w:eastAsia="Tahoma" w:hAnsi="Tahoma"/>
          <w:color w:val="404042"/>
          <w:sz w:val="10"/>
        </w:rPr>
        <w:t xml:space="preserve"> </w:t>
      </w:r>
    </w:p>
    <w:p w14:paraId="1A3C0CB2" w14:textId="77777777" w:rsidR="009757A9" w:rsidRDefault="000D2E34">
      <w:pPr>
        <w:spacing w:before="157" w:line="247" w:lineRule="exact"/>
        <w:ind w:left="1296"/>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902464" behindDoc="0" locked="0" layoutInCell="1" allowOverlap="1" wp14:anchorId="6729DD25" wp14:editId="4C15C8CE">
                <wp:simplePos x="0" y="0"/>
                <wp:positionH relativeFrom="page">
                  <wp:posOffset>826135</wp:posOffset>
                </wp:positionH>
                <wp:positionV relativeFrom="page">
                  <wp:posOffset>6650990</wp:posOffset>
                </wp:positionV>
                <wp:extent cx="5907405" cy="0"/>
                <wp:effectExtent l="0" t="0" r="0" b="0"/>
                <wp:wrapNone/>
                <wp:docPr id="686"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99643" id="Line 407" o:spid="_x0000_s1026" style="position:absolute;z-index:25190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23.7pt" to="530.2pt,5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2+W0QEAAIYDAAAOAAAAZHJzL2Uyb0RvYy54bWysU8uO2zAMvBfoPwi6N3a2eWyMOHtIur2k&#10;bYDdfgAjybZQWRQkJU7+vpTy6La9Fb0IkkkOZ4b08unUG3ZUPmi0NR+PSs6UFSi1bWv+/fX5wyNn&#10;IYKVYNCqmp9V4E+r9++Wg6vUA3ZopPKMQGyoBlfzLkZXFUUQneohjNApS8EGfQ+Rnr4tpIeB0HtT&#10;PJTlrBjQS+dRqBDo6+YS5KuM3zRKxG9NE1RkpubELebT53OfzmK1hKr14DotrjTgH1j0oC01vUNt&#10;IAI7eP0XVK+Fx4BNHAnsC2waLVTWQGrG5R9qXjpwKmshc4K72xT+H6z4etx5pmXNZ48zziz0NKSt&#10;topNynlyZ3ChoqS13fmkT5zsi9ui+BGYxXUHtlWZ5evZUeE4VRS/laRHcNRjP3xBSTlwiJitOjW+&#10;T5BkAjvliZzvE1GnyAR9nC7K+aScciZusQKqW6HzIX5W2LN0qbkh1hkYjtsQExGobimpj8VnbUwe&#10;uLFsIMUfp2UuCGi0TMGUFny7XxvPjpBWppwvFpOsiiJv0xLyBkJ3ycuhyzJ5PFiZu3QK5KfrPYI2&#10;lzuxMvbqUjLmYvEe5Xnnb+7RsDP962KmbXr7ztW/fp/VTwAAAP//AwBQSwMEFAAGAAgAAAAhALmQ&#10;DK3cAAAADgEAAA8AAABkcnMvZG93bnJldi54bWxMj0FPwzAMhe9I/IfISNxYMhjbVJpOaGinXWBD&#10;4uo1pi00TtVkXffv8Q4Ibu/ZT8+f89XoWzVQH5vAFqYTA4q4DK7hysL7fnO3BBUTssM2MFk4U4RV&#10;cX2VY+bCid9o2KVKSQnHDC3UKXWZ1rGsyWOchI5Ydp+h95jE9pV2PZ6k3Lf63pi59tiwXKixo3VN&#10;5ffu6C1s0Oxf3XYbvuLH43mNSbsXGqy9vRmfn0AlGtNfGC74gg6FMB3CkV1UrfgHM5WoCDNbzEBd&#10;ImZuRB1+Z7rI9f83ih8AAAD//wMAUEsBAi0AFAAGAAgAAAAhALaDOJL+AAAA4QEAABMAAAAAAAAA&#10;AAAAAAAAAAAAAFtDb250ZW50X1R5cGVzXS54bWxQSwECLQAUAAYACAAAACEAOP0h/9YAAACUAQAA&#10;CwAAAAAAAAAAAAAAAAAvAQAAX3JlbHMvLnJlbHNQSwECLQAUAAYACAAAACEAfVNvltEBAACGAwAA&#10;DgAAAAAAAAAAAAAAAAAuAgAAZHJzL2Uyb0RvYy54bWxQSwECLQAUAAYACAAAACEAuZAMrdwAAAAO&#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pacing w:val="1"/>
          <w:sz w:val="21"/>
        </w:rPr>
        <w:t>“ASQA’s high standards mean that schools and school teachers are well equipped to provide entry</w:t>
      </w:r>
    </w:p>
    <w:p w14:paraId="0CBFC6EF" w14:textId="77777777" w:rsidR="009757A9" w:rsidRDefault="00083242">
      <w:pPr>
        <w:spacing w:before="51" w:line="247" w:lineRule="exact"/>
        <w:ind w:left="1296"/>
        <w:textAlignment w:val="baseline"/>
        <w:rPr>
          <w:rFonts w:ascii="Tahoma" w:eastAsia="Tahoma" w:hAnsi="Tahoma"/>
          <w:i/>
          <w:color w:val="007994"/>
          <w:sz w:val="21"/>
        </w:rPr>
      </w:pPr>
      <w:r>
        <w:rPr>
          <w:rFonts w:ascii="Tahoma" w:eastAsia="Tahoma" w:hAnsi="Tahoma"/>
          <w:i/>
          <w:color w:val="007994"/>
          <w:sz w:val="21"/>
        </w:rPr>
        <w:t>level training, to the standard of any other RTO.”</w:t>
      </w:r>
    </w:p>
    <w:p w14:paraId="343F7021" w14:textId="77777777" w:rsidR="009757A9" w:rsidRDefault="000D2E34">
      <w:pPr>
        <w:spacing w:before="55" w:after="220" w:line="247" w:lineRule="exact"/>
        <w:ind w:left="6984"/>
        <w:textAlignment w:val="baseline"/>
        <w:rPr>
          <w:rFonts w:ascii="Tahoma" w:eastAsia="Tahoma" w:hAnsi="Tahoma"/>
          <w:i/>
          <w:color w:val="007994"/>
          <w:spacing w:val="2"/>
          <w:sz w:val="21"/>
        </w:rPr>
      </w:pPr>
      <w:r>
        <w:rPr>
          <w:noProof/>
          <w:lang w:val="en-AU" w:eastAsia="en-AU"/>
        </w:rPr>
        <mc:AlternateContent>
          <mc:Choice Requires="wps">
            <w:drawing>
              <wp:anchor distT="0" distB="0" distL="114300" distR="114300" simplePos="0" relativeHeight="251903488" behindDoc="0" locked="0" layoutInCell="1" allowOverlap="1" wp14:anchorId="7AC5640B" wp14:editId="35974F92">
                <wp:simplePos x="0" y="0"/>
                <wp:positionH relativeFrom="margin">
                  <wp:align>center</wp:align>
                </wp:positionH>
                <wp:positionV relativeFrom="page">
                  <wp:posOffset>7335520</wp:posOffset>
                </wp:positionV>
                <wp:extent cx="5907405" cy="0"/>
                <wp:effectExtent l="0" t="0" r="0" b="0"/>
                <wp:wrapNone/>
                <wp:docPr id="685"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0BC25" id="Line 406" o:spid="_x0000_s1026" style="position:absolute;z-index:2519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577.6pt" to="465.15pt,5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w30QEAAIYDAAAOAAAAZHJzL2Uyb0RvYy54bWysU02PEzEMvSPxH6Lc6UyXfmxHne6hZbkU&#10;qLTLD3CTzExEJo6StNP+e5z0gwVuiEvkxPbz87OzfDr1hh2VDxptzcejkjNlBUpt25p/f33+8MhZ&#10;iGAlGLSq5mcV+NPq/bvl4Cr1gB0aqTwjEBuqwdW8i9FVRRFEp3oII3TKkrNB30Okq28L6WEg9N4U&#10;D2U5Kwb00nkUKgR63VycfJXxm0aJ+K1pgorM1Jy4xXz6fO7TWayWULUeXKfFlQb8A4setKWid6gN&#10;RGAHr/+C6rXwGLCJI4F9gU2jhco9UDfj8o9uXjpwKvdC4gR3lyn8P1jx9bjzTMuazx6nnFnoaUhb&#10;bRWblLOkzuBCRUFru/OpP3GyL26L4kdgFtcd2FZllq9nR4njlFH8lpIuwVGN/fAFJcXAIWKW6tT4&#10;PkGSCOyUJ3K+T0SdIhP0OF2U80lJxMTNV0B1S3Q+xM8Ke5aMmhtinYHhuA0xEYHqFpLqWHzWxuSB&#10;G8uGmn8cz6c5IaDRMjlTWPDtfm08O0JamXK+WExyV+R5G5aQNxC6S1x2XZbJ48HKXKVTID9d7Qja&#10;XGxiZexVpSTMReI9yvPO39SjYWf618VM2/T2nrN/fZ/VTwAAAP//AwBQSwMEFAAGAAgAAAAhAKDr&#10;+pHdAAAACgEAAA8AAABkcnMvZG93bnJldi54bWxMj8FOwzAQRO9I/IO1SNyo3VRBkMapAIkDp0Jb&#10;CfXmxksSEq+j2G3Sv2c5oHLcmdHsm3w1uU6ccAiNJw3zmQKBVHrbUKVht329ewARoiFrOk+o4YwB&#10;VsX1VW4y60f6wNMmVoJLKGRGQx1jn0kZyhqdCTPfI7H35QdnIp9DJe1gRi53nUyUupfONMQfatPj&#10;S41luzk6DS1WamzX2/P6M7x/p/3z3ia7N61vb6anJYiIU7yE4Ref0aFgpoM/kg2i08BDIqvzNE1A&#10;sP+4UAsQhz9JFrn8P6H4AQAA//8DAFBLAQItABQABgAIAAAAIQC2gziS/gAAAOEBAAATAAAAAAAA&#10;AAAAAAAAAAAAAABbQ29udGVudF9UeXBlc10ueG1sUEsBAi0AFAAGAAgAAAAhADj9If/WAAAAlAEA&#10;AAsAAAAAAAAAAAAAAAAALwEAAF9yZWxzLy5yZWxzUEsBAi0AFAAGAAgAAAAhALfLPDfRAQAAhgMA&#10;AA4AAAAAAAAAAAAAAAAALgIAAGRycy9lMm9Eb2MueG1sUEsBAi0AFAAGAAgAAAAhAKDr+pHdAAAA&#10;CgEAAA8AAAAAAAAAAAAAAAAAKwQAAGRycy9kb3ducmV2LnhtbFBLBQYAAAAABAAEAPMAAAA1BQAA&#10;AAA=&#10;" strokecolor="#007994" strokeweight=".25pt">
                <w10:wrap anchorx="margin" anchory="page"/>
              </v:line>
            </w:pict>
          </mc:Fallback>
        </mc:AlternateContent>
      </w:r>
      <w:r w:rsidR="00083242">
        <w:rPr>
          <w:rFonts w:ascii="Tahoma" w:eastAsia="Tahoma" w:hAnsi="Tahoma"/>
          <w:i/>
          <w:color w:val="007994"/>
          <w:spacing w:val="2"/>
          <w:sz w:val="21"/>
        </w:rPr>
        <w:t>Caroline Wilson, personal submission</w:t>
      </w:r>
    </w:p>
    <w:p w14:paraId="5512CA3E" w14:textId="77777777" w:rsidR="009865FD" w:rsidRDefault="009865FD">
      <w:pPr>
        <w:spacing w:before="1" w:line="199" w:lineRule="exact"/>
        <w:ind w:left="1080" w:right="864" w:hanging="216"/>
        <w:textAlignment w:val="baseline"/>
        <w:rPr>
          <w:rFonts w:ascii="Tahoma" w:eastAsia="Tahoma" w:hAnsi="Tahoma"/>
          <w:color w:val="404042"/>
          <w:sz w:val="14"/>
        </w:rPr>
      </w:pPr>
    </w:p>
    <w:p w14:paraId="1CCDAA8C" w14:textId="77777777" w:rsidR="009865FD" w:rsidRDefault="009865FD">
      <w:pPr>
        <w:spacing w:before="1" w:line="199" w:lineRule="exact"/>
        <w:ind w:left="1080" w:right="864" w:hanging="216"/>
        <w:textAlignment w:val="baseline"/>
        <w:rPr>
          <w:rFonts w:ascii="Tahoma" w:eastAsia="Tahoma" w:hAnsi="Tahoma"/>
          <w:color w:val="404042"/>
          <w:sz w:val="14"/>
        </w:rPr>
      </w:pPr>
    </w:p>
    <w:p w14:paraId="3F9C6B1F" w14:textId="77777777" w:rsidR="009865FD" w:rsidRDefault="009865FD">
      <w:pPr>
        <w:spacing w:before="1" w:line="199" w:lineRule="exact"/>
        <w:ind w:left="1080" w:right="864" w:hanging="216"/>
        <w:textAlignment w:val="baseline"/>
        <w:rPr>
          <w:rFonts w:ascii="Tahoma" w:eastAsia="Tahoma" w:hAnsi="Tahoma"/>
          <w:color w:val="404042"/>
          <w:sz w:val="14"/>
        </w:rPr>
      </w:pPr>
    </w:p>
    <w:p w14:paraId="4BE9938C" w14:textId="77777777" w:rsidR="009865FD" w:rsidRDefault="009865FD">
      <w:pPr>
        <w:spacing w:before="1" w:line="199" w:lineRule="exact"/>
        <w:ind w:left="1080" w:right="864" w:hanging="216"/>
        <w:textAlignment w:val="baseline"/>
        <w:rPr>
          <w:rFonts w:ascii="Tahoma" w:eastAsia="Tahoma" w:hAnsi="Tahoma"/>
          <w:color w:val="404042"/>
          <w:sz w:val="14"/>
        </w:rPr>
      </w:pPr>
    </w:p>
    <w:p w14:paraId="350E911D" w14:textId="77777777" w:rsidR="009865FD" w:rsidRDefault="009865FD">
      <w:pPr>
        <w:spacing w:before="1" w:line="199" w:lineRule="exact"/>
        <w:ind w:left="1080" w:right="864" w:hanging="216"/>
        <w:textAlignment w:val="baseline"/>
        <w:rPr>
          <w:rFonts w:ascii="Tahoma" w:eastAsia="Tahoma" w:hAnsi="Tahoma"/>
          <w:color w:val="404042"/>
          <w:sz w:val="14"/>
        </w:rPr>
      </w:pPr>
    </w:p>
    <w:p w14:paraId="15578228" w14:textId="77777777" w:rsidR="009865FD" w:rsidRDefault="009865FD">
      <w:pPr>
        <w:spacing w:before="1" w:line="199" w:lineRule="exact"/>
        <w:ind w:left="1080" w:right="864" w:hanging="216"/>
        <w:textAlignment w:val="baseline"/>
        <w:rPr>
          <w:rFonts w:ascii="Tahoma" w:eastAsia="Tahoma" w:hAnsi="Tahoma"/>
          <w:color w:val="404042"/>
          <w:sz w:val="14"/>
        </w:rPr>
      </w:pPr>
    </w:p>
    <w:p w14:paraId="10C7E7DA" w14:textId="77777777" w:rsidR="009865FD" w:rsidRDefault="009865FD">
      <w:pPr>
        <w:spacing w:before="1" w:line="199" w:lineRule="exact"/>
        <w:ind w:left="1080" w:right="864" w:hanging="216"/>
        <w:textAlignment w:val="baseline"/>
        <w:rPr>
          <w:rFonts w:ascii="Tahoma" w:eastAsia="Tahoma" w:hAnsi="Tahoma"/>
          <w:color w:val="404042"/>
          <w:sz w:val="14"/>
        </w:rPr>
      </w:pPr>
    </w:p>
    <w:p w14:paraId="03D2AEC3" w14:textId="77777777" w:rsidR="009865FD" w:rsidRDefault="009865FD">
      <w:pPr>
        <w:spacing w:before="1" w:line="199" w:lineRule="exact"/>
        <w:ind w:left="1080" w:right="864" w:hanging="216"/>
        <w:textAlignment w:val="baseline"/>
        <w:rPr>
          <w:rFonts w:ascii="Tahoma" w:eastAsia="Tahoma" w:hAnsi="Tahoma"/>
          <w:color w:val="404042"/>
          <w:sz w:val="14"/>
        </w:rPr>
      </w:pPr>
    </w:p>
    <w:p w14:paraId="00BD6966" w14:textId="2AA129F0" w:rsidR="009757A9" w:rsidRDefault="000D2E34">
      <w:pPr>
        <w:spacing w:before="1" w:line="199" w:lineRule="exact"/>
        <w:ind w:left="1080" w:right="864"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04512" behindDoc="0" locked="0" layoutInCell="1" allowOverlap="1" wp14:anchorId="57A0CADC" wp14:editId="4E933FFA">
                <wp:simplePos x="0" y="0"/>
                <wp:positionH relativeFrom="page">
                  <wp:posOffset>539750</wp:posOffset>
                </wp:positionH>
                <wp:positionV relativeFrom="page">
                  <wp:posOffset>8363585</wp:posOffset>
                </wp:positionV>
                <wp:extent cx="917575" cy="0"/>
                <wp:effectExtent l="0" t="0" r="0" b="0"/>
                <wp:wrapNone/>
                <wp:docPr id="684"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0AE7B" id="Line 405" o:spid="_x0000_s1026" style="position:absolute;z-index:2519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58.55pt" to="114.75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LYzgEAAIYDAAAOAAAAZHJzL2Uyb0RvYy54bWysU01v2zAMvQ/YfxB0X+wETdoZcXpI1l2y&#10;LUDbH8BIsi1MFgVJiZ1/P0r5WLfehvkgiCL5+PhILx/H3rCj8kGjrfl0UnKmrECpbVvz15enTw+c&#10;hQhWgkGran5SgT+uPn5YDq5SM+zQSOUZgdhQDa7mXYyuKoogOtVDmKBTlpwN+h4imb4tpIeB0HtT&#10;zMpyUQzopfMoVAj0ujk7+SrjN40S8UfTBBWZqTlxi/n0+dyns1gtoWo9uE6LCw34BxY9aEtFb1Ab&#10;iMAOXr+D6rXwGLCJE4F9gU2jhco9UDfT8q9unjtwKvdC4gR3kyn8P1jx/bjzTMuaLx7uOLPQ05C2&#10;2ip2V86TOoMLFQWt7c6n/sRon90Wxc/ALK47sK3KLF9OjhKnKaP4IyUZwVGN/fANJcXAIWKWamx8&#10;nyBJBDbmiZxuE1FjZIIeP0/v5/dzzsTVVUB1zXM+xK8Ke5YuNTdEOuPCcRti4gHVNSSVsfikjcnz&#10;NpYNRHZWLuY5I6DRMnlTXPDtfm08O0JamfzlrsjzNixBbyB057jsOi+Tx4OVuUynQH653CNoc74T&#10;LWMvKiVhzhLvUZ52/qoeDTvzvyxm2qa3ds7+/fusfgEAAP//AwBQSwMEFAAGAAgAAAAhAEDce7jg&#10;AAAADAEAAA8AAABkcnMvZG93bnJldi54bWxMj8FOwzAQRO9I/IO1SFwQdRJaSEOcClWCWxG0Re3R&#10;jZckIl5Hsdukf89yQHDc2dHMm3wx2lacsPeNIwXxJAKBVDrTUKVgu3m+TUH4oMno1hEqOKOHRXF5&#10;kevMuIHe8bQOleAQ8plWUIfQZVL6skar/cR1SPz7dL3Vgc++kqbXA4fbViZRdC+tbogbat3hssby&#10;a320CqSM0un4sRtW0xufNvtltX95fVPq+mp8egQRcAx/ZvjBZ3QomOngjmS8aBWkM54SWL+LH2IQ&#10;7EiS+QzE4VeSRS7/jyi+AQAA//8DAFBLAQItABQABgAIAAAAIQC2gziS/gAAAOEBAAATAAAAAAAA&#10;AAAAAAAAAAAAAABbQ29udGVudF9UeXBlc10ueG1sUEsBAi0AFAAGAAgAAAAhADj9If/WAAAAlAEA&#10;AAsAAAAAAAAAAAAAAAAALwEAAF9yZWxzLy5yZWxzUEsBAi0AFAAGAAgAAAAhABAQUtjOAQAAhgMA&#10;AA4AAAAAAAAAAAAAAAAALgIAAGRycy9lMm9Eb2MueG1sUEsBAi0AFAAGAAgAAAAhAEDce7jgAAAA&#10;DAEAAA8AAAAAAAAAAAAAAAAAKAQAAGRycy9kb3ducmV2LnhtbFBLBQYAAAAABAAEAPMAAAA1BQAA&#10;AAA=&#10;" strokeweight=".95pt">
                <w10:wrap anchorx="page" anchory="page"/>
              </v:line>
            </w:pict>
          </mc:Fallback>
        </mc:AlternateContent>
      </w:r>
      <w:r w:rsidR="00083242">
        <w:rPr>
          <w:rFonts w:ascii="Tahoma" w:eastAsia="Tahoma" w:hAnsi="Tahoma"/>
          <w:color w:val="404042"/>
          <w:sz w:val="14"/>
        </w:rPr>
        <w:t xml:space="preserve">103 Lamb, S. and Vickers, M. (2006), Variations in VET Provision across Australian Schools and Their Effects on Student Outcomes, Longitudinal Surveys of Australian Youth: Research Report 48, Australian Council for Educational Research, March 2006, p. vii, </w:t>
      </w:r>
      <w:hyperlink r:id="rId176">
        <w:r w:rsidR="00083242">
          <w:rPr>
            <w:rFonts w:ascii="Tahoma" w:eastAsia="Tahoma" w:hAnsi="Tahoma"/>
            <w:color w:val="0000FF"/>
            <w:sz w:val="14"/>
            <w:u w:val="single"/>
          </w:rPr>
          <w:t xml:space="preserve">https://www.ncver.edu.au/__data/assets/ </w:t>
        </w:r>
      </w:hyperlink>
      <w:r w:rsidR="00083242">
        <w:rPr>
          <w:rFonts w:ascii="Tahoma" w:eastAsia="Tahoma" w:hAnsi="Tahoma"/>
          <w:color w:val="0000FF"/>
          <w:sz w:val="14"/>
          <w:u w:val="single"/>
        </w:rPr>
        <w:t>file/0017/5930/lsay_lsay48.pdf</w:t>
      </w:r>
      <w:r w:rsidR="00083242">
        <w:rPr>
          <w:rFonts w:ascii="Tahoma" w:eastAsia="Tahoma" w:hAnsi="Tahoma"/>
          <w:color w:val="404042"/>
          <w:sz w:val="14"/>
        </w:rPr>
        <w:t>.</w:t>
      </w:r>
    </w:p>
    <w:p w14:paraId="7D812580" w14:textId="77777777" w:rsidR="009757A9" w:rsidRDefault="00083242">
      <w:pPr>
        <w:spacing w:line="199" w:lineRule="exact"/>
        <w:ind w:left="1080" w:right="1080" w:hanging="216"/>
        <w:textAlignment w:val="baseline"/>
        <w:rPr>
          <w:rFonts w:ascii="Tahoma" w:eastAsia="Tahoma" w:hAnsi="Tahoma"/>
          <w:color w:val="404042"/>
          <w:sz w:val="14"/>
        </w:rPr>
      </w:pPr>
      <w:r>
        <w:rPr>
          <w:rFonts w:ascii="Tahoma" w:eastAsia="Tahoma" w:hAnsi="Tahoma"/>
          <w:color w:val="404042"/>
          <w:sz w:val="14"/>
        </w:rPr>
        <w:t xml:space="preserve">104 National Centre for Vocational Education Research (2019b), ‘Australian vocational education and training statistics: VET in Schools 2018’, </w:t>
      </w:r>
      <w:hyperlink r:id="rId177">
        <w:r>
          <w:rPr>
            <w:rFonts w:ascii="Tahoma" w:eastAsia="Tahoma" w:hAnsi="Tahoma"/>
            <w:color w:val="0000FF"/>
            <w:sz w:val="14"/>
            <w:u w:val="single"/>
          </w:rPr>
          <w:t xml:space="preserve">https:// </w:t>
        </w:r>
      </w:hyperlink>
      <w:r>
        <w:rPr>
          <w:rFonts w:ascii="Tahoma" w:eastAsia="Tahoma" w:hAnsi="Tahoma"/>
          <w:color w:val="0000FF"/>
          <w:sz w:val="14"/>
          <w:u w:val="single"/>
        </w:rPr>
        <w:t>www.ncver.edu.au/__data/assets/pdf_file/0016/7120132/VET_in_Schools_2018_publication.pdf</w:t>
      </w:r>
      <w:r>
        <w:rPr>
          <w:rFonts w:ascii="Tahoma" w:eastAsia="Tahoma" w:hAnsi="Tahoma"/>
          <w:color w:val="404042"/>
          <w:sz w:val="14"/>
        </w:rPr>
        <w:t>.</w:t>
      </w:r>
    </w:p>
    <w:p w14:paraId="5E888939" w14:textId="77777777" w:rsidR="009757A9" w:rsidRDefault="00083242">
      <w:pPr>
        <w:spacing w:before="30" w:line="172" w:lineRule="exact"/>
        <w:ind w:left="864"/>
        <w:textAlignment w:val="baseline"/>
        <w:rPr>
          <w:rFonts w:ascii="Tahoma" w:eastAsia="Tahoma" w:hAnsi="Tahoma"/>
          <w:color w:val="404042"/>
          <w:spacing w:val="1"/>
          <w:sz w:val="14"/>
        </w:rPr>
      </w:pPr>
      <w:r>
        <w:rPr>
          <w:rFonts w:ascii="Tahoma" w:eastAsia="Tahoma" w:hAnsi="Tahoma"/>
          <w:color w:val="404042"/>
          <w:spacing w:val="1"/>
          <w:sz w:val="14"/>
        </w:rPr>
        <w:t>105 Joyce (2019), pp. 91–101.</w:t>
      </w:r>
    </w:p>
    <w:p w14:paraId="3705407A" w14:textId="77777777" w:rsidR="009757A9" w:rsidRDefault="00083242">
      <w:pPr>
        <w:spacing w:before="30" w:line="171" w:lineRule="exact"/>
        <w:ind w:left="864"/>
        <w:textAlignment w:val="baseline"/>
        <w:rPr>
          <w:rFonts w:ascii="Tahoma" w:eastAsia="Tahoma" w:hAnsi="Tahoma"/>
          <w:color w:val="404042"/>
          <w:spacing w:val="5"/>
          <w:sz w:val="14"/>
        </w:rPr>
      </w:pPr>
      <w:r>
        <w:rPr>
          <w:rFonts w:ascii="Tahoma" w:eastAsia="Tahoma" w:hAnsi="Tahoma"/>
          <w:color w:val="404042"/>
          <w:spacing w:val="5"/>
          <w:sz w:val="14"/>
        </w:rPr>
        <w:t>106 Australasian Curriculum, Assessment and Certification Authorities (2018), p. 11.</w:t>
      </w:r>
    </w:p>
    <w:p w14:paraId="5F8749F5" w14:textId="2CD4A1DB" w:rsidR="009757A9" w:rsidRDefault="009865FD">
      <w:pPr>
        <w:tabs>
          <w:tab w:val="left" w:pos="1368"/>
        </w:tabs>
        <w:spacing w:before="643" w:after="636" w:line="209"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065280" behindDoc="0" locked="0" layoutInCell="1" allowOverlap="1" wp14:anchorId="020A27E6" wp14:editId="745224F3">
            <wp:simplePos x="0" y="0"/>
            <wp:positionH relativeFrom="page">
              <wp:align>right</wp:align>
            </wp:positionH>
            <wp:positionV relativeFrom="paragraph">
              <wp:posOffset>890905</wp:posOffset>
            </wp:positionV>
            <wp:extent cx="7562215" cy="462915"/>
            <wp:effectExtent l="0" t="0" r="635" b="0"/>
            <wp:wrapThrough wrapText="bothSides">
              <wp:wrapPolygon edited="0">
                <wp:start x="0" y="0"/>
                <wp:lineTo x="0" y="20444"/>
                <wp:lineTo x="21547" y="20444"/>
                <wp:lineTo x="21547" y="0"/>
                <wp:lineTo x="0" y="0"/>
              </wp:wrapPolygon>
            </wp:wrapThrough>
            <wp:docPr id="133" name="Picture"/>
            <wp:cNvGraphicFramePr/>
            <a:graphic xmlns:a="http://schemas.openxmlformats.org/drawingml/2006/main">
              <a:graphicData uri="http://schemas.openxmlformats.org/drawingml/2006/picture">
                <pic:pic xmlns:pic="http://schemas.openxmlformats.org/drawingml/2006/picture">
                  <pic:nvPicPr>
                    <pic:cNvPr id="133" name="Picture"/>
                    <pic:cNvPicPr preferRelativeResize="0"/>
                  </pic:nvPicPr>
                  <pic:blipFill>
                    <a:blip r:embed="rId16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82</w:t>
      </w:r>
      <w:r w:rsidR="00083242">
        <w:rPr>
          <w:rFonts w:ascii="Tahoma" w:eastAsia="Tahoma" w:hAnsi="Tahoma"/>
          <w:color w:val="404042"/>
          <w:spacing w:val="4"/>
          <w:sz w:val="14"/>
        </w:rPr>
        <w:tab/>
        <w:t>Looking to the future</w:t>
      </w:r>
    </w:p>
    <w:p w14:paraId="642D1A56" w14:textId="3AB42AA4" w:rsidR="009757A9" w:rsidRDefault="009757A9">
      <w:pPr>
        <w:textAlignment w:val="baseline"/>
      </w:pPr>
    </w:p>
    <w:p w14:paraId="2303FCE9" w14:textId="77777777" w:rsidR="009757A9" w:rsidRDefault="00083242">
      <w:pPr>
        <w:spacing w:line="239" w:lineRule="exact"/>
        <w:ind w:left="864" w:right="1152"/>
        <w:textAlignment w:val="baseline"/>
        <w:rPr>
          <w:rFonts w:ascii="Tahoma" w:eastAsia="Tahoma" w:hAnsi="Tahoma"/>
          <w:color w:val="404042"/>
          <w:spacing w:val="4"/>
          <w:sz w:val="18"/>
        </w:rPr>
      </w:pPr>
      <w:r>
        <w:rPr>
          <w:rFonts w:ascii="Tahoma" w:eastAsia="Tahoma" w:hAnsi="Tahoma"/>
          <w:color w:val="404042"/>
          <w:spacing w:val="4"/>
          <w:sz w:val="18"/>
        </w:rPr>
        <w:t>It was also clear from the Panel’s consultations that many students find the system difficult to navigate, incoherent, and not well integrated. Disappointingly, reviews of VET delivered to secondary students suggest that very little has changed between the Carmichael report of 1992</w:t>
      </w:r>
      <w:r>
        <w:rPr>
          <w:rFonts w:ascii="Tahoma" w:eastAsia="Tahoma" w:hAnsi="Tahoma"/>
          <w:color w:val="404042"/>
          <w:spacing w:val="4"/>
          <w:sz w:val="18"/>
          <w:vertAlign w:val="superscript"/>
        </w:rPr>
        <w:t>107</w:t>
      </w:r>
      <w:r>
        <w:rPr>
          <w:rFonts w:ascii="Tahoma" w:eastAsia="Tahoma" w:hAnsi="Tahoma"/>
          <w:color w:val="404042"/>
          <w:spacing w:val="4"/>
          <w:sz w:val="18"/>
        </w:rPr>
        <w:t xml:space="preserve"> and the Joyce Review of 2019. Both reviews noted inconsistencies in quality assurance, training that was insufficiently responsive to industry needs, confusion on the purpose of VET delivered to secondary students, the domination of the senior secondary curriculum towards an academic pathway, and funding disparities that disadvantaged VET teaching. The more things have changed, the more they have stayed the same.</w:t>
      </w:r>
    </w:p>
    <w:p w14:paraId="6B0A34FC" w14:textId="77777777" w:rsidR="009757A9" w:rsidRDefault="00083242">
      <w:pPr>
        <w:spacing w:before="171" w:line="240" w:lineRule="exact"/>
        <w:ind w:left="864"/>
        <w:textAlignment w:val="baseline"/>
        <w:rPr>
          <w:rFonts w:ascii="Tahoma" w:eastAsia="Tahoma" w:hAnsi="Tahoma"/>
          <w:color w:val="404042"/>
          <w:spacing w:val="5"/>
          <w:sz w:val="18"/>
        </w:rPr>
      </w:pPr>
      <w:r>
        <w:rPr>
          <w:rFonts w:ascii="Tahoma" w:eastAsia="Tahoma" w:hAnsi="Tahoma"/>
          <w:color w:val="404042"/>
          <w:spacing w:val="5"/>
          <w:sz w:val="18"/>
        </w:rPr>
        <w:t>While there are excellent examples of VET delivered in schools across Australia, there are also many instances of poor</w:t>
      </w:r>
    </w:p>
    <w:p w14:paraId="019F862F" w14:textId="77777777" w:rsidR="009757A9" w:rsidRDefault="00083242">
      <w:pPr>
        <w:spacing w:line="240" w:lineRule="exact"/>
        <w:ind w:left="864"/>
        <w:textAlignment w:val="baseline"/>
        <w:rPr>
          <w:rFonts w:ascii="Tahoma" w:eastAsia="Tahoma" w:hAnsi="Tahoma"/>
          <w:color w:val="404042"/>
          <w:spacing w:val="4"/>
          <w:sz w:val="18"/>
        </w:rPr>
      </w:pPr>
      <w:r>
        <w:rPr>
          <w:rFonts w:ascii="Tahoma" w:eastAsia="Tahoma" w:hAnsi="Tahoma"/>
          <w:color w:val="404042"/>
          <w:spacing w:val="4"/>
          <w:sz w:val="18"/>
        </w:rPr>
        <w:t>practice. This variation has the the potential to damage employer confidence in VET delivered to secondary students.</w:t>
      </w:r>
      <w:r>
        <w:rPr>
          <w:rFonts w:ascii="Tahoma" w:eastAsia="Tahoma" w:hAnsi="Tahoma"/>
          <w:color w:val="404042"/>
          <w:spacing w:val="4"/>
          <w:sz w:val="18"/>
          <w:vertAlign w:val="superscript"/>
        </w:rPr>
        <w:t>108</w:t>
      </w:r>
      <w:r>
        <w:rPr>
          <w:rFonts w:ascii="Tahoma" w:eastAsia="Tahoma" w:hAnsi="Tahoma"/>
          <w:color w:val="404042"/>
          <w:spacing w:val="4"/>
          <w:sz w:val="10"/>
        </w:rPr>
        <w:t xml:space="preserve"> </w:t>
      </w:r>
    </w:p>
    <w:p w14:paraId="5FEB7C6F" w14:textId="77777777" w:rsidR="009757A9" w:rsidRDefault="00083242">
      <w:pPr>
        <w:spacing w:before="274" w:line="242" w:lineRule="exact"/>
        <w:ind w:left="864"/>
        <w:textAlignment w:val="baseline"/>
        <w:rPr>
          <w:rFonts w:ascii="Arial" w:eastAsia="Arial" w:hAnsi="Arial"/>
          <w:b/>
          <w:color w:val="000000"/>
          <w:spacing w:val="-2"/>
          <w:sz w:val="21"/>
        </w:rPr>
      </w:pPr>
      <w:r>
        <w:rPr>
          <w:rFonts w:ascii="Arial" w:eastAsia="Arial" w:hAnsi="Arial"/>
          <w:b/>
          <w:color w:val="000000"/>
          <w:spacing w:val="-2"/>
          <w:sz w:val="21"/>
        </w:rPr>
        <w:t>The status and purpose of VET</w:t>
      </w:r>
    </w:p>
    <w:p w14:paraId="6811937A" w14:textId="77777777" w:rsidR="009757A9" w:rsidRDefault="00083242">
      <w:pPr>
        <w:spacing w:before="161"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VET should be encouraged for students who have the interests, strengths and passions that align to the offerings of the VET sector. VET delivered to secondary students can assist students to progress into a higher VET qualification post school, and meet future skills needs by providing a valuable pathway into employment, and ensuring a pipeline of future workers for industry in areas of skills needs. Students need to be assured that success in VET is a good pathway even if they decide to proceed to university in the future. It has not been a waste of their time.</w:t>
      </w:r>
    </w:p>
    <w:p w14:paraId="05539CDF" w14:textId="77777777" w:rsidR="009757A9" w:rsidRDefault="00083242">
      <w:pPr>
        <w:spacing w:before="168"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t>Completion of VET qualifications at school allows young people to develop competencies that are valued in the workforce, giving students a head start in the world of work. An analysis of training package content taught to secondary students through VET found the training could teach communication, teamwork, problem-solving, initiative and enterprise, planning and organising, self-management, applied technology, and occupational safety skills.</w:t>
      </w:r>
      <w:r>
        <w:rPr>
          <w:rFonts w:ascii="Tahoma" w:eastAsia="Tahoma" w:hAnsi="Tahoma"/>
          <w:color w:val="404042"/>
          <w:spacing w:val="4"/>
          <w:sz w:val="18"/>
          <w:vertAlign w:val="superscript"/>
        </w:rPr>
        <w:t>109</w:t>
      </w:r>
      <w:r>
        <w:rPr>
          <w:rFonts w:ascii="Tahoma" w:eastAsia="Tahoma" w:hAnsi="Tahoma"/>
          <w:color w:val="404042"/>
          <w:spacing w:val="4"/>
          <w:sz w:val="10"/>
        </w:rPr>
        <w:t xml:space="preserve"> </w:t>
      </w:r>
    </w:p>
    <w:p w14:paraId="73B5B98D" w14:textId="3D4FF603" w:rsidR="009757A9" w:rsidRDefault="00083242">
      <w:pPr>
        <w:spacing w:before="173" w:after="590" w:line="240" w:lineRule="exact"/>
        <w:ind w:left="864" w:right="1152"/>
        <w:textAlignment w:val="baseline"/>
        <w:rPr>
          <w:rFonts w:ascii="Tahoma" w:eastAsia="Tahoma" w:hAnsi="Tahoma"/>
          <w:color w:val="404042"/>
          <w:sz w:val="18"/>
        </w:rPr>
      </w:pPr>
      <w:r>
        <w:rPr>
          <w:rFonts w:ascii="Tahoma" w:eastAsia="Tahoma" w:hAnsi="Tahoma"/>
          <w:color w:val="404042"/>
          <w:sz w:val="18"/>
        </w:rPr>
        <w:t>There is a persistent tendency for VET to be viewed as a much less prestigious and valuable pathway. The high road, it is imagined, is the one that leads directly to university. It was noted by students on a number of occasions that ATAR achievements are celebrated in the media but VET achievements rarely evoke interest. Some believed that this tendency also prevailed at their own schools. This fuelled the perception that VET is a lesser pathway.</w:t>
      </w:r>
    </w:p>
    <w:p w14:paraId="1D9C4C50" w14:textId="3F9DB57E" w:rsidR="009757A9" w:rsidRDefault="009865FD">
      <w:pPr>
        <w:spacing w:before="105" w:line="300" w:lineRule="exact"/>
        <w:ind w:left="1296" w:right="1656"/>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05536" behindDoc="0" locked="0" layoutInCell="1" allowOverlap="1" wp14:anchorId="2EE2F0BC" wp14:editId="3D2DEF44">
                <wp:simplePos x="0" y="0"/>
                <wp:positionH relativeFrom="margin">
                  <wp:align>center</wp:align>
                </wp:positionH>
                <wp:positionV relativeFrom="page">
                  <wp:align>center</wp:align>
                </wp:positionV>
                <wp:extent cx="5907405" cy="0"/>
                <wp:effectExtent l="0" t="0" r="0" b="0"/>
                <wp:wrapNone/>
                <wp:docPr id="683"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6971A" id="Line 404" o:spid="_x0000_s1026" style="position:absolute;z-index:25190553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 from="0,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Yq0AEAAIYDAAAOAAAAZHJzL2Uyb0RvYy54bWysU01v2zAMvQ/YfxB0X+y0SdsYcXpI1l2y&#10;LUC7H8BIcixMFgVJiZ1/P0r56Lrdil4ESiQfHx+p+ePQGXZQPmi0NR+PSs6UFSi13dX818vTlwfO&#10;QgQrwaBVNT+qwB8Xnz/Ne1epG2zRSOUZgdhQ9a7mbYyuKoogWtVBGKFTlpwN+g4iXf2ukB56Qu9M&#10;cVOWd0WPXjqPQoVAr6uTky8yftMoEX82TVCRmZoTt5hPn89tOovFHKqdB9dqcaYB72DRgbZU9Aq1&#10;gghs7/V/UJ0WHgM2cSSwK7BptFC5B+pmXP7TzXMLTuVeSJzgrjKFj4MVPw4bz7Ss+d3DLWcWOhrS&#10;WlvFJuUkqdO7UFHQ0m586k8M9tmtUfwOzOKyBbtTmeXL0VHiOGUUb1LSJTiqse2/o6QY2EfMUg2N&#10;7xIkicCGPJHjdSJqiEzQ43RW3k/KKWfi4iuguiQ6H+I3hR1LRs0Nsc7AcFiHmIhAdQlJdSw+aWPy&#10;wI1lPXV8Oy1zQkCjZXKmsOB326Xx7ABpZcr72SzrQGBvwhLyCkJ7isuu0zJ53FuZq7QK5NezHUGb&#10;k01Axp5VSsKcJN6iPG78RT0adqZ/Xsy0TX/fc/br91n8AQAA//8DAFBLAwQUAAYACAAAACEAyMOa&#10;INcAAAACAQAADwAAAGRycy9kb3ducmV2LnhtbEyPQU/CQBCF7yb8h82QeJNdJBqt3RKC4cRFwcTr&#10;0B3bane26S6l/HsHL3J5ycubvPdNvhx9qwbqYxPYwnxmQBGXwTVcWfjYb+6eQMWE7LANTBbOFGFZ&#10;TG5yzFw48TsNu1QpKeGYoYU6pS7TOpY1eYyz0BFL9hV6j0lsX2nX40nKfavvjXnUHhuWhRo7WtdU&#10;/uyO3sIGzf7NbbfhO34+nNeYtHulwdrb6bh6AZVoTP/HcMEXdCiE6RCO7KJqLcgj6U8le16YBajD&#10;xeoi19foxS8AAAD//wMAUEsBAi0AFAAGAAgAAAAhALaDOJL+AAAA4QEAABMAAAAAAAAAAAAAAAAA&#10;AAAAAFtDb250ZW50X1R5cGVzXS54bWxQSwECLQAUAAYACAAAACEAOP0h/9YAAACUAQAACwAAAAAA&#10;AAAAAAAAAAAvAQAAX3JlbHMvLnJlbHNQSwECLQAUAAYACAAAACEA1tWWKtABAACGAwAADgAAAAAA&#10;AAAAAAAAAAAuAgAAZHJzL2Uyb0RvYy54bWxQSwECLQAUAAYACAAAACEAyMOaINcAAAACAQAADwAA&#10;AAAAAAAAAAAAAAAqBAAAZHJzL2Rvd25yZXYueG1sUEsFBgAAAAAEAAQA8wAAAC4FAAAAAA==&#10;" strokecolor="#007994" strokeweight=".5pt">
                <w10:wrap anchorx="margin" anchory="page"/>
              </v:line>
            </w:pict>
          </mc:Fallback>
        </mc:AlternateContent>
      </w:r>
      <w:r w:rsidR="00083242">
        <w:rPr>
          <w:rFonts w:ascii="Tahoma" w:eastAsia="Tahoma" w:hAnsi="Tahoma"/>
          <w:i/>
          <w:color w:val="007994"/>
          <w:sz w:val="21"/>
        </w:rPr>
        <w:t>“Unfortunately, VET is still considered a consolation prize to university and does not receive the same level of attention from parents, career counsellors and the media. There is a lack of awareness regarding the employability of VET graduates, their career earnings and prospects.”</w:t>
      </w:r>
    </w:p>
    <w:p w14:paraId="102856BB" w14:textId="26FF1161" w:rsidR="009757A9" w:rsidRDefault="009865FD">
      <w:pPr>
        <w:spacing w:before="55" w:after="211" w:line="247" w:lineRule="exact"/>
        <w:ind w:left="6264"/>
        <w:textAlignment w:val="baseline"/>
        <w:rPr>
          <w:rFonts w:ascii="Tahoma" w:eastAsia="Tahoma" w:hAnsi="Tahoma"/>
          <w:i/>
          <w:color w:val="007994"/>
          <w:spacing w:val="2"/>
          <w:sz w:val="21"/>
        </w:rPr>
      </w:pPr>
      <w:r>
        <w:rPr>
          <w:noProof/>
          <w:lang w:val="en-AU" w:eastAsia="en-AU"/>
        </w:rPr>
        <mc:AlternateContent>
          <mc:Choice Requires="wps">
            <w:drawing>
              <wp:anchor distT="0" distB="0" distL="114300" distR="114300" simplePos="0" relativeHeight="251906560" behindDoc="0" locked="0" layoutInCell="1" allowOverlap="1" wp14:anchorId="79DFDE08" wp14:editId="224A7C00">
                <wp:simplePos x="0" y="0"/>
                <wp:positionH relativeFrom="margin">
                  <wp:align>center</wp:align>
                </wp:positionH>
                <wp:positionV relativeFrom="page">
                  <wp:posOffset>6243320</wp:posOffset>
                </wp:positionV>
                <wp:extent cx="5907405" cy="0"/>
                <wp:effectExtent l="0" t="0" r="0" b="0"/>
                <wp:wrapNone/>
                <wp:docPr id="682"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5536D" id="Line 403" o:spid="_x0000_s1026" style="position:absolute;z-index:251906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91.6pt" to="465.15pt,4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dT0QEAAIYDAAAOAAAAZHJzL2Uyb0RvYy54bWysU01v2zAMvQ/YfxB0X+ykSdsYcXpI1l2y&#10;LUC7H8BIsi1MFgVJiZN/P0r5aLfdhl0EySQf33ukF0/H3rCD8kGjrfl4VHKmrECpbVvzH6/Pnx45&#10;CxGsBINW1fykAn9afvywGFylJtihkcozArGhGlzNuxhdVRRBdKqHMEKnLAUb9D1Eevq2kB4GQu9N&#10;MSnL+2JAL51HoUKgr+tzkC8zftMoEb83TVCRmZoTt5hPn89dOovlAqrWg+u0uNCAf2DRg7bU9Aa1&#10;hghs7/VfUL0WHgM2cSSwL7BptFBZA6kZl3+oeenAqayFzAnuZlP4f7Di22HrmZY1v3+ccGahpyFt&#10;tFVsWt4ldwYXKkpa2a1P+sTRvrgNip+BWVx1YFuVWb6eHBWOU0XxW0l6BEc9dsNXlJQD+4jZqmPj&#10;+wRJJrBjnsjpNhF1jEzQx9m8fJiWM87ENVZAdS10PsQvCnuWLjU3xDoDw2ETYiIC1TUl9bH4rI3J&#10;AzeWDaT4blbmgoBGyxRMacG3u5Xx7ABpZcqH+XyaVVHkfVpCXkPoznk5dF4mj3src5dOgfx8uUfQ&#10;5nwnVsZeXErGnC3eoTxt/dU9Gnamf1nMtE3v37n67fdZ/gIAAP//AwBQSwMEFAAGAAgAAAAhAN1V&#10;9NjaAAAACAEAAA8AAABkcnMvZG93bnJldi54bWxMj0FLw0AQhe+C/2EZwZvdtUFpYzZFKj31oq3g&#10;dZodk2h2NmS3afrvHUGwxzdveO97xWrynRppiG1gC/czA4q4Cq7l2sL7fnO3ABUTssMuMFk4U4RV&#10;eX1VYO7Cid9o3KVaSQjHHC00KfW51rFqyGOchZ5YvM8weEwih1q7AU8S7js9N+ZRe2xZGhrsad1Q&#10;9b07egsbNPtXt92Gr/jxcF5j0u6FRmtvb6bnJ1CJpvT/DL/4gg6lMB3CkV1UnQUZkiwsF9kclNjL&#10;zGSgDn8XXRb6ckD5AwAA//8DAFBLAQItABQABgAIAAAAIQC2gziS/gAAAOEBAAATAAAAAAAAAAAA&#10;AAAAAAAAAABbQ29udGVudF9UeXBlc10ueG1sUEsBAi0AFAAGAAgAAAAhADj9If/WAAAAlAEAAAsA&#10;AAAAAAAAAAAAAAAALwEAAF9yZWxzLy5yZWxzUEsBAi0AFAAGAAgAAAAhALWVB1PRAQAAhgMAAA4A&#10;AAAAAAAAAAAAAAAALgIAAGRycy9lMm9Eb2MueG1sUEsBAi0AFAAGAAgAAAAhAN1V9NjaAAAACAEA&#10;AA8AAAAAAAAAAAAAAAAAKwQAAGRycy9kb3ducmV2LnhtbFBLBQYAAAAABAAEAPMAAAAyBQAAAAA=&#10;" strokecolor="#007994" strokeweight=".5pt">
                <w10:wrap anchorx="margin" anchory="page"/>
              </v:line>
            </w:pict>
          </mc:Fallback>
        </mc:AlternateContent>
      </w:r>
      <w:r w:rsidR="00083242">
        <w:rPr>
          <w:rFonts w:ascii="Tahoma" w:eastAsia="Tahoma" w:hAnsi="Tahoma"/>
          <w:i/>
          <w:color w:val="007994"/>
          <w:spacing w:val="2"/>
          <w:sz w:val="21"/>
        </w:rPr>
        <w:t>Restaurant and Catering Australia submission</w:t>
      </w:r>
    </w:p>
    <w:p w14:paraId="76940A37" w14:textId="1FF0B905" w:rsidR="009757A9" w:rsidRDefault="00083242">
      <w:pPr>
        <w:spacing w:before="466" w:after="2318"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One clear message was delivered to the Panel by students, teachers and employers: that VET delivered to secondary students is too often perceived primarily as a way to keep non-academically minded students engaged in schooling, rather than having intrinsic value. This has the deleterious effect of reducing the prestige of VET pathways to students while devaluing the reputation of the quality of qualifications delivered to them.</w:t>
      </w:r>
    </w:p>
    <w:p w14:paraId="2858C85B" w14:textId="70F6B0FB" w:rsidR="009757A9" w:rsidRDefault="009865FD">
      <w:pPr>
        <w:spacing w:before="51" w:line="201" w:lineRule="exact"/>
        <w:ind w:left="1080" w:right="864" w:hanging="216"/>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07584" behindDoc="0" locked="0" layoutInCell="1" allowOverlap="1" wp14:anchorId="2462B9C0" wp14:editId="209B0A3B">
                <wp:simplePos x="0" y="0"/>
                <wp:positionH relativeFrom="page">
                  <wp:posOffset>530225</wp:posOffset>
                </wp:positionH>
                <wp:positionV relativeFrom="page">
                  <wp:posOffset>8664575</wp:posOffset>
                </wp:positionV>
                <wp:extent cx="917575" cy="0"/>
                <wp:effectExtent l="0" t="0" r="0" b="0"/>
                <wp:wrapNone/>
                <wp:docPr id="681"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4697C" id="Line 402" o:spid="_x0000_s1026" style="position:absolute;z-index:25190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5pt,682.25pt" to="114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aizgEAAIYDAAAOAAAAZHJzL2Uyb0RvYy54bWysU8Fu2zAMvQ/YPwi6L3aCJe2MOD0k6y7Z&#10;FqDdBzCSbAuVRUFS4uTvR8lJ2m23oT4Iokg+Pj7Sy4dTb9hR+aDR1nw6KTlTVqDUtq35r+fHT/ec&#10;hQhWgkGran5WgT+sPn5YDq5SM+zQSOUZgdhQDa7mXYyuKoogOtVDmKBTlpwN+h4imb4tpIeB0HtT&#10;zMpyUQzopfMoVAj0uhmdfJXxm0aJ+LNpgorM1Jy4xXz6fO7TWayWULUeXKfFhQb8B4setKWiN6gN&#10;RGAHr/+B6rXwGLCJE4F9gU2jhco9UDfT8q9unjpwKvdC4gR3kym8H6z4cdx5pmXNF/dTziz0NKSt&#10;top9LmdJncGFioLWdudTf+Jkn9wWxUtgFtcd2FZlls9nR4nTlFH8kZKM4KjGfviOkmLgEDFLdWp8&#10;nyBJBHbKEznfJqJOkQl6/DK9m9/NORNXVwHVNc/5EL8p7Fm61NwQ6YwLx22IiQdU15BUxuKjNibP&#10;21g2ENlZuZjnjIBGy+RNccG3+7Xx7AhpZfKXuyLP27AEvYHQjXHZNS6Tx4OVuUynQH693CNoM96J&#10;lrEXlZIwo8R7lOedv6pHw878L4uZtumtnbNff5/VbwAAAP//AwBQSwMEFAAGAAgAAAAhAG7hBrPf&#10;AAAADAEAAA8AAABkcnMvZG93bnJldi54bWxMj0FPwzAMhe9I+w+RJ3FBLKXrpqg0ndAkuIFgA7Fj&#10;1pi2onGqJlvLv8ccENzs56fn7xWbyXXijENoPWm4WSQgkCpvW6o1vO7vrxWIEA1Z03lCDV8YYFPO&#10;LgqTWz/SC553sRYcQiE3GpoY+1zKUDXoTFj4HolvH35wJvI61NIOZuRw18k0SdbSmZb4Q2N63DZY&#10;fe5OToOUicqmt/fxMbsKqj1s68PD07PWl/Pp7hZExCn+meEHn9GhZKajP5ENotOglit2sr5cZzyx&#10;I00Vtzv+SrIs5P8S5TcAAAD//wMAUEsBAi0AFAAGAAgAAAAhALaDOJL+AAAA4QEAABMAAAAAAAAA&#10;AAAAAAAAAAAAAFtDb250ZW50X1R5cGVzXS54bWxQSwECLQAUAAYACAAAACEAOP0h/9YAAACUAQAA&#10;CwAAAAAAAAAAAAAAAAAvAQAAX3JlbHMvLnJlbHNQSwECLQAUAAYACAAAACEAGsr2os4BAACGAwAA&#10;DgAAAAAAAAAAAAAAAAAuAgAAZHJzL2Uyb0RvYy54bWxQSwECLQAUAAYACAAAACEAbuEGs98AAAAM&#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 xml:space="preserve">107 Employment and Skills Formation Council (1992), </w:t>
      </w:r>
      <w:r w:rsidR="00083242">
        <w:rPr>
          <w:rFonts w:ascii="Tahoma" w:eastAsia="Tahoma" w:hAnsi="Tahoma"/>
          <w:i/>
          <w:color w:val="404042"/>
          <w:sz w:val="14"/>
        </w:rPr>
        <w:t>The Australian Vocational Certificate Training System</w:t>
      </w:r>
      <w:r w:rsidR="00083242">
        <w:rPr>
          <w:rFonts w:ascii="Tahoma" w:eastAsia="Tahoma" w:hAnsi="Tahoma"/>
          <w:color w:val="404042"/>
          <w:sz w:val="14"/>
        </w:rPr>
        <w:t xml:space="preserve">, National Board of Employment, Education and Training, March 1992, </w:t>
      </w:r>
      <w:hyperlink r:id="rId178">
        <w:r w:rsidR="00083242">
          <w:rPr>
            <w:rFonts w:ascii="Tahoma" w:eastAsia="Tahoma" w:hAnsi="Tahoma"/>
            <w:color w:val="0000FF"/>
            <w:sz w:val="14"/>
            <w:u w:val="single"/>
          </w:rPr>
          <w:t>https://www.voced.edu.au/content/ngv%3A34192</w:t>
        </w:r>
      </w:hyperlink>
      <w:r w:rsidR="00083242">
        <w:rPr>
          <w:rFonts w:ascii="Tahoma" w:eastAsia="Tahoma" w:hAnsi="Tahoma"/>
          <w:color w:val="404042"/>
          <w:sz w:val="14"/>
        </w:rPr>
        <w:t>.</w:t>
      </w:r>
    </w:p>
    <w:p w14:paraId="710B25F2" w14:textId="77777777" w:rsidR="009757A9" w:rsidRDefault="00083242">
      <w:pPr>
        <w:spacing w:before="25" w:line="172" w:lineRule="exact"/>
        <w:ind w:left="864"/>
        <w:textAlignment w:val="baseline"/>
        <w:rPr>
          <w:rFonts w:ascii="Tahoma" w:eastAsia="Tahoma" w:hAnsi="Tahoma"/>
          <w:color w:val="404042"/>
          <w:sz w:val="14"/>
        </w:rPr>
      </w:pPr>
      <w:r>
        <w:rPr>
          <w:rFonts w:ascii="Tahoma" w:eastAsia="Tahoma" w:hAnsi="Tahoma"/>
          <w:color w:val="404042"/>
          <w:sz w:val="14"/>
        </w:rPr>
        <w:t>108 Joyce (2019), p. 93.</w:t>
      </w:r>
    </w:p>
    <w:p w14:paraId="53BB9B6A" w14:textId="77777777" w:rsidR="009757A9" w:rsidRDefault="00083242">
      <w:pPr>
        <w:spacing w:before="3" w:line="199" w:lineRule="exact"/>
        <w:ind w:left="1080" w:right="864" w:hanging="216"/>
        <w:textAlignment w:val="baseline"/>
        <w:rPr>
          <w:rFonts w:ascii="Tahoma" w:eastAsia="Tahoma" w:hAnsi="Tahoma"/>
          <w:color w:val="404042"/>
          <w:sz w:val="14"/>
        </w:rPr>
      </w:pPr>
      <w:r>
        <w:rPr>
          <w:rFonts w:ascii="Tahoma" w:eastAsia="Tahoma" w:hAnsi="Tahoma"/>
          <w:color w:val="404042"/>
          <w:sz w:val="14"/>
        </w:rPr>
        <w:t xml:space="preserve">109 Misko, J., Korbel, P. and Blomberg, D. (2017), </w:t>
      </w:r>
      <w:r>
        <w:rPr>
          <w:rFonts w:ascii="Arial" w:eastAsia="Arial" w:hAnsi="Arial"/>
          <w:i/>
          <w:color w:val="404042"/>
          <w:sz w:val="14"/>
        </w:rPr>
        <w:t>VET in Schools Students: Characteristics and post-school employment and training experiences</w:t>
      </w:r>
      <w:r>
        <w:rPr>
          <w:rFonts w:ascii="Tahoma" w:eastAsia="Tahoma" w:hAnsi="Tahoma"/>
          <w:color w:val="404042"/>
          <w:sz w:val="14"/>
        </w:rPr>
        <w:t xml:space="preserve">, National Centre for Vocational Education Research, pp. 3–4, </w:t>
      </w:r>
      <w:hyperlink r:id="rId179">
        <w:r>
          <w:rPr>
            <w:rFonts w:ascii="Tahoma" w:eastAsia="Tahoma" w:hAnsi="Tahoma"/>
            <w:color w:val="0000FF"/>
            <w:sz w:val="14"/>
            <w:u w:val="single"/>
          </w:rPr>
          <w:t>https://www.ncver.edu.au/__data/assets/pdf_file/0037/887716/VET</w:t>
        </w:r>
      </w:hyperlink>
      <w:r>
        <w:rPr>
          <w:rFonts w:ascii="Tahoma" w:eastAsia="Tahoma" w:hAnsi="Tahoma"/>
          <w:color w:val="0000FF"/>
          <w:sz w:val="14"/>
          <w:u w:val="single"/>
        </w:rPr>
        <w:t>-in-Schools-students-charact eristics-and-post-school-employment-and-training-experiences.pdf</w:t>
      </w:r>
      <w:r>
        <w:rPr>
          <w:rFonts w:ascii="Tahoma" w:eastAsia="Tahoma" w:hAnsi="Tahoma"/>
          <w:color w:val="404042"/>
          <w:sz w:val="14"/>
        </w:rPr>
        <w:t>.</w:t>
      </w:r>
    </w:p>
    <w:p w14:paraId="5F461DED" w14:textId="1E5CF0B7" w:rsidR="009757A9" w:rsidRDefault="009865FD">
      <w:pPr>
        <w:tabs>
          <w:tab w:val="left" w:pos="10872"/>
        </w:tabs>
        <w:spacing w:before="578" w:after="638" w:line="209" w:lineRule="exact"/>
        <w:ind w:left="8064"/>
        <w:textAlignment w:val="baseline"/>
        <w:rPr>
          <w:rFonts w:ascii="Tahoma" w:eastAsia="Tahoma" w:hAnsi="Tahoma"/>
          <w:color w:val="404042"/>
          <w:sz w:val="14"/>
        </w:rPr>
      </w:pPr>
      <w:r>
        <w:rPr>
          <w:noProof/>
          <w:lang w:val="en-AU" w:eastAsia="en-AU"/>
        </w:rPr>
        <w:drawing>
          <wp:anchor distT="0" distB="0" distL="114300" distR="114300" simplePos="0" relativeHeight="252066304" behindDoc="0" locked="0" layoutInCell="1" allowOverlap="1" wp14:anchorId="207627BB" wp14:editId="6E8B5DAA">
            <wp:simplePos x="0" y="0"/>
            <wp:positionH relativeFrom="margin">
              <wp:align>right</wp:align>
            </wp:positionH>
            <wp:positionV relativeFrom="paragraph">
              <wp:posOffset>751205</wp:posOffset>
            </wp:positionV>
            <wp:extent cx="7562215" cy="462915"/>
            <wp:effectExtent l="0" t="0" r="635" b="0"/>
            <wp:wrapThrough wrapText="bothSides">
              <wp:wrapPolygon edited="0">
                <wp:start x="0" y="0"/>
                <wp:lineTo x="0" y="20444"/>
                <wp:lineTo x="21547" y="20444"/>
                <wp:lineTo x="21547" y="0"/>
                <wp:lineTo x="0" y="0"/>
              </wp:wrapPolygon>
            </wp:wrapThrough>
            <wp:docPr id="134" name="Picture"/>
            <wp:cNvGraphicFramePr/>
            <a:graphic xmlns:a="http://schemas.openxmlformats.org/drawingml/2006/main">
              <a:graphicData uri="http://schemas.openxmlformats.org/drawingml/2006/picture">
                <pic:pic xmlns:pic="http://schemas.openxmlformats.org/drawingml/2006/picture">
                  <pic:nvPicPr>
                    <pic:cNvPr id="134" name="Picture"/>
                    <pic:cNvPicPr preferRelativeResize="0"/>
                  </pic:nvPicPr>
                  <pic:blipFill>
                    <a:blip r:embed="rId10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3: VET and the world of work</w:t>
      </w:r>
      <w:r w:rsidR="00083242">
        <w:rPr>
          <w:rFonts w:ascii="Arial" w:eastAsia="Arial" w:hAnsi="Arial"/>
          <w:b/>
          <w:color w:val="5556A1"/>
          <w:sz w:val="19"/>
        </w:rPr>
        <w:tab/>
        <w:t>83</w:t>
      </w:r>
    </w:p>
    <w:p w14:paraId="1FF706EF" w14:textId="523A3701" w:rsidR="009757A9" w:rsidRDefault="009757A9">
      <w:pPr>
        <w:textAlignment w:val="baseline"/>
      </w:pPr>
    </w:p>
    <w:p w14:paraId="23B1AEA0" w14:textId="77777777" w:rsidR="009757A9" w:rsidRDefault="00083242">
      <w:pPr>
        <w:spacing w:line="240" w:lineRule="exact"/>
        <w:ind w:left="864" w:right="1224"/>
        <w:textAlignment w:val="baseline"/>
        <w:rPr>
          <w:rFonts w:ascii="Tahoma" w:eastAsia="Tahoma" w:hAnsi="Tahoma"/>
          <w:color w:val="404042"/>
          <w:spacing w:val="5"/>
          <w:sz w:val="18"/>
        </w:rPr>
      </w:pPr>
      <w:r>
        <w:rPr>
          <w:rFonts w:ascii="Tahoma" w:eastAsia="Tahoma" w:hAnsi="Tahoma"/>
          <w:color w:val="404042"/>
          <w:spacing w:val="5"/>
          <w:sz w:val="18"/>
        </w:rPr>
        <w:t>While students may decide to undertake VET study in Years 11 and 12 as a taster to explore the world of work and discover the occupations in which they might be interested, the most important purpose of delivering VET to school students should be to provide students with strong pathways to work. Given the continuing value of VET graduates to Australia’s economy, the priority skills occupation lists developed by states and territories should exert greater influence on the qualifications offered to secondary students. The qualifications undertaken by senior secondary students should offer clear employment pathways.</w:t>
      </w:r>
    </w:p>
    <w:p w14:paraId="728504DE"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Perceptions of VET delivered to secondary students</w:t>
      </w:r>
    </w:p>
    <w:p w14:paraId="7418A332" w14:textId="77777777" w:rsidR="009757A9" w:rsidRDefault="00083242">
      <w:pPr>
        <w:spacing w:before="156"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The issue of the quality of VET in schools is contested. While some employers raised the quality of VET in schools as a concern, there is a lack of hard data to support the claims. While VET delivered to secondary students is often regarded as ‘second rate’ by industry, the fact is that schools are required to meet the same regulatory requirements that apply to all VET providers. Meeting the needs and expectations of employers can be challenging, particularly as they vary across industries and locations. Concerns were expressed about the level of industry experience that is able to be attained through VET delivered to secondary students. This was particularly an issue where students were undertaking higher-level certificate or even diploma-level courses as part of their schooling.</w:t>
      </w:r>
    </w:p>
    <w:p w14:paraId="70399A64" w14:textId="77777777" w:rsidR="009757A9" w:rsidRDefault="00083242">
      <w:pPr>
        <w:spacing w:before="173"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Regardless of the challenges facing schools, employers make the ultimate assessment of quality when deciding whether to offer jobs to young people. The proportion of low-skilled entry-level jobs is falling, and employers are looking for skilled and flexible workers. Many employers expect school leavers to have had some practical experience, enabling them to quickly become productive in a new job.</w:t>
      </w:r>
      <w:r>
        <w:rPr>
          <w:rFonts w:ascii="Tahoma" w:eastAsia="Tahoma" w:hAnsi="Tahoma"/>
          <w:color w:val="404042"/>
          <w:spacing w:val="4"/>
          <w:sz w:val="18"/>
          <w:vertAlign w:val="superscript"/>
        </w:rPr>
        <w:t>110</w:t>
      </w:r>
      <w:r>
        <w:rPr>
          <w:rFonts w:ascii="Tahoma" w:eastAsia="Tahoma" w:hAnsi="Tahoma"/>
          <w:color w:val="404042"/>
          <w:spacing w:val="4"/>
          <w:sz w:val="9"/>
        </w:rPr>
        <w:t xml:space="preserve"> </w:t>
      </w:r>
    </w:p>
    <w:p w14:paraId="6CE4D773" w14:textId="77777777" w:rsidR="009757A9" w:rsidRDefault="00083242">
      <w:pPr>
        <w:spacing w:before="168" w:line="240" w:lineRule="exact"/>
        <w:ind w:left="864" w:right="1080"/>
        <w:textAlignment w:val="baseline"/>
        <w:rPr>
          <w:rFonts w:ascii="Tahoma" w:eastAsia="Tahoma" w:hAnsi="Tahoma"/>
          <w:color w:val="404042"/>
          <w:spacing w:val="4"/>
          <w:sz w:val="18"/>
        </w:rPr>
      </w:pPr>
      <w:r>
        <w:rPr>
          <w:rFonts w:ascii="Tahoma" w:eastAsia="Tahoma" w:hAnsi="Tahoma"/>
          <w:color w:val="404042"/>
          <w:spacing w:val="4"/>
          <w:sz w:val="18"/>
        </w:rPr>
        <w:t>The Joyce Review identified a ‘catch 22’ for students as a result of perceptions that school-based certificated qualifications were unreliable. It found that employers are reluctant to take on an apprentice who already has a VET certificate from school (such as a Certificate II obtained through a preapprenticeship). The problem is that industrial relations arrangements require them to pay the apprentice more than a school leaver without any qualifications, but the employer is unconvinced that they have the skills or work experience required for that level.</w:t>
      </w:r>
      <w:r>
        <w:rPr>
          <w:rFonts w:ascii="Tahoma" w:eastAsia="Tahoma" w:hAnsi="Tahoma"/>
          <w:color w:val="404042"/>
          <w:spacing w:val="4"/>
          <w:sz w:val="18"/>
          <w:vertAlign w:val="superscript"/>
        </w:rPr>
        <w:t>111</w:t>
      </w:r>
      <w:r>
        <w:rPr>
          <w:rFonts w:ascii="Tahoma" w:eastAsia="Tahoma" w:hAnsi="Tahoma"/>
          <w:color w:val="404042"/>
          <w:spacing w:val="4"/>
          <w:sz w:val="9"/>
        </w:rPr>
        <w:t xml:space="preserve"> </w:t>
      </w:r>
    </w:p>
    <w:p w14:paraId="222A50FD" w14:textId="77777777" w:rsidR="009757A9" w:rsidRDefault="00083242">
      <w:pPr>
        <w:spacing w:before="171"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Overcoming these perceptions of VET in schools is essential. Senior secondary students should complete courses that will be widely recognised by industry when they enter the labour market, without exhausting their entitlement to subsidised VET.</w:t>
      </w:r>
    </w:p>
    <w:p w14:paraId="4C71B747" w14:textId="77777777" w:rsidR="009757A9" w:rsidRDefault="00083242">
      <w:pPr>
        <w:spacing w:before="170" w:line="240" w:lineRule="exact"/>
        <w:ind w:left="864" w:right="1224"/>
        <w:textAlignment w:val="baseline"/>
        <w:rPr>
          <w:rFonts w:ascii="Tahoma" w:eastAsia="Tahoma" w:hAnsi="Tahoma"/>
          <w:color w:val="404042"/>
          <w:spacing w:val="5"/>
          <w:sz w:val="18"/>
        </w:rPr>
      </w:pPr>
      <w:r>
        <w:rPr>
          <w:rFonts w:ascii="Tahoma" w:eastAsia="Tahoma" w:hAnsi="Tahoma"/>
          <w:color w:val="404042"/>
          <w:spacing w:val="5"/>
          <w:sz w:val="18"/>
        </w:rPr>
        <w:t>These issues of quality can only be addressed by education authorities and industry bodies working together. They need to take joint responsibility for their role in the system and working together to fix it. Employers cannot expect school leavers to graduate with the skills they need if they play no part in the student gaining them. Through partnerships, employers can significantly increase the relevance and quality of VET by participating in design and delivery, providing local knowledge, and making facilities and equipment available. Most critically, employers need to have the opportunity to directly engage with students, and particularly provide them with sufficient workplace experience opportunities and structured work placements that will be useful in the local community.</w:t>
      </w:r>
      <w:r>
        <w:rPr>
          <w:rFonts w:ascii="Tahoma" w:eastAsia="Tahoma" w:hAnsi="Tahoma"/>
          <w:color w:val="404042"/>
          <w:spacing w:val="5"/>
          <w:sz w:val="18"/>
          <w:vertAlign w:val="superscript"/>
        </w:rPr>
        <w:t>112</w:t>
      </w:r>
      <w:r>
        <w:rPr>
          <w:rFonts w:ascii="Tahoma" w:eastAsia="Tahoma" w:hAnsi="Tahoma"/>
          <w:color w:val="404042"/>
          <w:spacing w:val="5"/>
          <w:sz w:val="9"/>
        </w:rPr>
        <w:t xml:space="preserve"> </w:t>
      </w:r>
    </w:p>
    <w:p w14:paraId="4190EF91" w14:textId="1E189DE3" w:rsidR="009757A9" w:rsidRDefault="00083242">
      <w:pPr>
        <w:spacing w:before="172" w:after="2266"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“Employers have more confidence in VET delivered to secondary students when it gives students access to industry-standard equipment, is supported by people with relevant and current industry experience, meets expectations regarding volumes of learning, and includes time in actual workplaces.”</w:t>
      </w:r>
      <w:r>
        <w:rPr>
          <w:rFonts w:ascii="Tahoma" w:eastAsia="Tahoma" w:hAnsi="Tahoma"/>
          <w:color w:val="404042"/>
          <w:spacing w:val="6"/>
          <w:sz w:val="18"/>
          <w:vertAlign w:val="superscript"/>
        </w:rPr>
        <w:t>113</w:t>
      </w:r>
      <w:r>
        <w:rPr>
          <w:rFonts w:ascii="Tahoma" w:eastAsia="Tahoma" w:hAnsi="Tahoma"/>
          <w:color w:val="404042"/>
          <w:spacing w:val="6"/>
          <w:sz w:val="18"/>
        </w:rPr>
        <w:t xml:space="preserve"> The Panel has witnessed some excellent instances of schools that deliver high-quality VET and have deep engagement with industry, and it is these approaches that need to be more widely adopted.</w:t>
      </w:r>
    </w:p>
    <w:p w14:paraId="7043602B" w14:textId="316DDB64" w:rsidR="009757A9" w:rsidRDefault="005D4D6A">
      <w:pPr>
        <w:spacing w:before="80" w:line="171" w:lineRule="exact"/>
        <w:ind w:left="864"/>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1908608" behindDoc="0" locked="0" layoutInCell="1" allowOverlap="1" wp14:anchorId="56858F73" wp14:editId="6378D217">
                <wp:simplePos x="0" y="0"/>
                <wp:positionH relativeFrom="page">
                  <wp:posOffset>530225</wp:posOffset>
                </wp:positionH>
                <wp:positionV relativeFrom="page">
                  <wp:posOffset>8906510</wp:posOffset>
                </wp:positionV>
                <wp:extent cx="917575" cy="0"/>
                <wp:effectExtent l="0" t="0" r="0" b="0"/>
                <wp:wrapNone/>
                <wp:docPr id="680"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643A1" id="Line 401" o:spid="_x0000_s1026" style="position:absolute;z-index:2519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75pt,701.3pt" to="114pt,7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odzgEAAIYDAAAOAAAAZHJzL2Uyb0RvYy54bWysU01v2zAMvQ/YfxB0X+wES9oZcXpI1l2y&#10;LUC7H8BIsi1MFgVJiZ1/P0r5aLvdhvogiOLjI/lILx/G3rCj8kGjrfl0UnKmrECpbVvzX8+Pn+45&#10;CxGsBINW1fykAn9YffywHFylZtihkcozIrGhGlzNuxhdVRRBdKqHMEGnLDkb9D1EMn1bSA8Dsfem&#10;mJXlohjQS+dRqBDodXN28lXmbxol4s+mCSoyU3OqLebT53OfzmK1hKr14DotLmXAf1TRg7aU9Ea1&#10;gQjs4PU/VL0WHgM2cSKwL7BptFC5B+pmWv7VzVMHTuVeSJzgbjKF96MVP447z7Ss+eKe9LHQ05C2&#10;2ir2uZwmdQYXKgKt7c6n/sRon9wWxe/ALK47sK3KVT6fHAXmiOJNSDKCoxz74TtKwsAhYpZqbHyf&#10;KEkENuaJnG4TUWNkgh6/TO/md3POxNVVQHWNcz7Ebwp7li41N1R05oXjNkSqnKBXSEpj8VEbk+dt&#10;LBuo2Fm5mOeIgEbL5E244Nv92nh2hLQy+Us6ENsbWKLeQOjOuOw6L5PHg5U5TadAfr3cI2hzvhOR&#10;scR3FeYs8R7laedTnvROw84ZL4uZtum1nVEvv8/qDwAAAP//AwBQSwMEFAAGAAgAAAAhAPBmtJbd&#10;AAAADAEAAA8AAABkcnMvZG93bnJldi54bWxMj01LxDAQhu+C/yGM4EXcxFqXUJsusqA3xV0V95ht&#10;xrbYTEqT3dZ/73gQPc47D+9HuZp9L444xi6QgauFAoFUB9dRY+D15f5Sg4jJkrN9IDTwhRFW1elJ&#10;aQsXJtrgcZsawSYUC2ugTWkopIx1i97GRRiQ+PcRRm8Tn2Mj3WgnNve9zJRaSm874oTWDrhusf7c&#10;HrwBKZXO57f36TG/iLrbrZvdw9OzMedn890tiIRz+oPhpz5Xh4o77cOBXBS9AX19wyTrucqWIJjI&#10;Ms3r9r+SrEr5f0T1DQAA//8DAFBLAQItABQABgAIAAAAIQC2gziS/gAAAOEBAAATAAAAAAAAAAAA&#10;AAAAAAAAAABbQ29udGVudF9UeXBlc10ueG1sUEsBAi0AFAAGAAgAAAAhADj9If/WAAAAlAEAAAsA&#10;AAAAAAAAAAAAAAAALwEAAF9yZWxzLy5yZWxzUEsBAi0AFAAGAAgAAAAhANjWOh3OAQAAhgMAAA4A&#10;AAAAAAAAAAAAAAAALgIAAGRycy9lMm9Eb2MueG1sUEsBAi0AFAAGAAgAAAAhAPBmtJbdAAAADAEA&#10;AA8AAAAAAAAAAAAAAAAAKAQAAGRycy9kb3ducmV2LnhtbFBLBQYAAAAABAAEAPMAAAAyBQAAAAA=&#10;" strokeweight=".95pt">
                <w10:wrap anchorx="page" anchory="page"/>
              </v:line>
            </w:pict>
          </mc:Fallback>
        </mc:AlternateContent>
      </w:r>
      <w:r w:rsidR="00083242">
        <w:rPr>
          <w:rFonts w:ascii="Tahoma" w:eastAsia="Tahoma" w:hAnsi="Tahoma"/>
          <w:color w:val="404042"/>
          <w:spacing w:val="4"/>
          <w:sz w:val="14"/>
        </w:rPr>
        <w:t>110 Council of Australian Governments Education Council (2014), p. 2.</w:t>
      </w:r>
    </w:p>
    <w:p w14:paraId="63CD514C" w14:textId="77777777" w:rsidR="009757A9" w:rsidRDefault="00083242">
      <w:pPr>
        <w:spacing w:before="26" w:line="171" w:lineRule="exact"/>
        <w:ind w:left="864"/>
        <w:textAlignment w:val="baseline"/>
        <w:rPr>
          <w:rFonts w:ascii="Tahoma" w:eastAsia="Tahoma" w:hAnsi="Tahoma"/>
          <w:color w:val="404042"/>
          <w:sz w:val="14"/>
        </w:rPr>
      </w:pPr>
      <w:r>
        <w:rPr>
          <w:rFonts w:ascii="Tahoma" w:eastAsia="Tahoma" w:hAnsi="Tahoma"/>
          <w:color w:val="404042"/>
          <w:sz w:val="14"/>
        </w:rPr>
        <w:t>111 Joyce (2019), p. 95.</w:t>
      </w:r>
    </w:p>
    <w:p w14:paraId="56B4BE3A" w14:textId="77777777" w:rsidR="009757A9" w:rsidRDefault="00083242">
      <w:pPr>
        <w:spacing w:before="30" w:line="172" w:lineRule="exact"/>
        <w:ind w:left="864"/>
        <w:textAlignment w:val="baseline"/>
        <w:rPr>
          <w:rFonts w:ascii="Tahoma" w:eastAsia="Tahoma" w:hAnsi="Tahoma"/>
          <w:color w:val="404042"/>
          <w:spacing w:val="4"/>
          <w:sz w:val="14"/>
        </w:rPr>
      </w:pPr>
      <w:r>
        <w:rPr>
          <w:rFonts w:ascii="Tahoma" w:eastAsia="Tahoma" w:hAnsi="Tahoma"/>
          <w:color w:val="404042"/>
          <w:spacing w:val="4"/>
          <w:sz w:val="14"/>
        </w:rPr>
        <w:t>112 Council of Australian Governments Education Council (2014), pp. 9, 13.</w:t>
      </w:r>
    </w:p>
    <w:p w14:paraId="6EF2AD4E" w14:textId="77777777" w:rsidR="009757A9" w:rsidRDefault="00083242">
      <w:pPr>
        <w:spacing w:before="30" w:line="171" w:lineRule="exact"/>
        <w:ind w:left="864"/>
        <w:textAlignment w:val="baseline"/>
        <w:rPr>
          <w:rFonts w:ascii="Tahoma" w:eastAsia="Tahoma" w:hAnsi="Tahoma"/>
          <w:color w:val="404042"/>
          <w:sz w:val="14"/>
        </w:rPr>
      </w:pPr>
      <w:r>
        <w:rPr>
          <w:rFonts w:ascii="Tahoma" w:eastAsia="Tahoma" w:hAnsi="Tahoma"/>
          <w:color w:val="404042"/>
          <w:sz w:val="14"/>
        </w:rPr>
        <w:t>113 Ibid., p. 13.</w:t>
      </w:r>
    </w:p>
    <w:p w14:paraId="6EEF7B4D" w14:textId="16878DDF" w:rsidR="009757A9" w:rsidRDefault="005D4D6A">
      <w:pPr>
        <w:tabs>
          <w:tab w:val="left" w:pos="1368"/>
        </w:tabs>
        <w:spacing w:before="645" w:after="638" w:line="205" w:lineRule="exact"/>
        <w:ind w:left="864"/>
        <w:textAlignment w:val="baseline"/>
        <w:rPr>
          <w:rFonts w:ascii="Arial" w:eastAsia="Arial" w:hAnsi="Arial"/>
          <w:b/>
          <w:color w:val="5556A1"/>
          <w:spacing w:val="4"/>
          <w:sz w:val="18"/>
        </w:rPr>
      </w:pPr>
      <w:r>
        <w:rPr>
          <w:noProof/>
          <w:lang w:val="en-AU" w:eastAsia="en-AU"/>
        </w:rPr>
        <w:drawing>
          <wp:anchor distT="0" distB="0" distL="114300" distR="114300" simplePos="0" relativeHeight="252067328" behindDoc="0" locked="0" layoutInCell="1" allowOverlap="1" wp14:anchorId="2AD93672" wp14:editId="695A4EA5">
            <wp:simplePos x="0" y="0"/>
            <wp:positionH relativeFrom="margin">
              <wp:align>right</wp:align>
            </wp:positionH>
            <wp:positionV relativeFrom="paragraph">
              <wp:posOffset>792480</wp:posOffset>
            </wp:positionV>
            <wp:extent cx="7562215" cy="462915"/>
            <wp:effectExtent l="0" t="0" r="635" b="0"/>
            <wp:wrapThrough wrapText="bothSides">
              <wp:wrapPolygon edited="0">
                <wp:start x="0" y="0"/>
                <wp:lineTo x="0" y="20444"/>
                <wp:lineTo x="21547" y="20444"/>
                <wp:lineTo x="21547" y="0"/>
                <wp:lineTo x="0" y="0"/>
              </wp:wrapPolygon>
            </wp:wrapThrough>
            <wp:docPr id="135" name="Picture"/>
            <wp:cNvGraphicFramePr/>
            <a:graphic xmlns:a="http://schemas.openxmlformats.org/drawingml/2006/main">
              <a:graphicData uri="http://schemas.openxmlformats.org/drawingml/2006/picture">
                <pic:pic xmlns:pic="http://schemas.openxmlformats.org/drawingml/2006/picture">
                  <pic:nvPicPr>
                    <pic:cNvPr id="135" name="Picture"/>
                    <pic:cNvPicPr preferRelativeResize="0"/>
                  </pic:nvPicPr>
                  <pic:blipFill>
                    <a:blip r:embed="rId3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8"/>
        </w:rPr>
        <w:t>84</w:t>
      </w:r>
      <w:r w:rsidR="00083242">
        <w:rPr>
          <w:rFonts w:ascii="Tahoma" w:eastAsia="Tahoma" w:hAnsi="Tahoma"/>
          <w:color w:val="404042"/>
          <w:spacing w:val="4"/>
          <w:sz w:val="14"/>
        </w:rPr>
        <w:tab/>
        <w:t>Looking to the future</w:t>
      </w:r>
    </w:p>
    <w:p w14:paraId="745A1D73" w14:textId="5C85DD4C" w:rsidR="009757A9" w:rsidRDefault="009757A9">
      <w:pPr>
        <w:textAlignment w:val="baseline"/>
      </w:pPr>
    </w:p>
    <w:p w14:paraId="74B27E9A" w14:textId="77777777" w:rsidR="009757A9" w:rsidRDefault="00083242">
      <w:pPr>
        <w:spacing w:before="24" w:line="237" w:lineRule="exact"/>
        <w:ind w:left="864"/>
        <w:textAlignment w:val="baseline"/>
        <w:rPr>
          <w:rFonts w:ascii="Arial" w:eastAsia="Arial" w:hAnsi="Arial"/>
          <w:b/>
          <w:color w:val="000000"/>
          <w:sz w:val="21"/>
        </w:rPr>
      </w:pPr>
      <w:r>
        <w:rPr>
          <w:rFonts w:ascii="Arial" w:eastAsia="Arial" w:hAnsi="Arial"/>
          <w:b/>
          <w:color w:val="000000"/>
          <w:sz w:val="21"/>
        </w:rPr>
        <w:t>In-school delivery</w:t>
      </w:r>
    </w:p>
    <w:p w14:paraId="7EAFE037" w14:textId="77777777" w:rsidR="009757A9" w:rsidRDefault="00083242">
      <w:pPr>
        <w:spacing w:before="161"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Vocational education and training is complex. There are multiple variations in the way it is packaged, delivered, </w:t>
      </w:r>
      <w:r>
        <w:rPr>
          <w:rFonts w:ascii="Verdana" w:eastAsia="Verdana" w:hAnsi="Verdana"/>
          <w:color w:val="404042"/>
          <w:sz w:val="18"/>
        </w:rPr>
        <w:t xml:space="preserve">assessed, certified and credited. It is confusing and difficult for students and parents to navigate. States and territories have made considerable effort to integrate VET within the school curriculum, and ensure that they provide students </w:t>
      </w:r>
      <w:r>
        <w:rPr>
          <w:rFonts w:ascii="Tahoma" w:eastAsia="Tahoma" w:hAnsi="Tahoma"/>
          <w:color w:val="404042"/>
          <w:sz w:val="18"/>
        </w:rPr>
        <w:t>with a wide range of learning options to meet their needs and interests, but there is much more to do.</w:t>
      </w:r>
    </w:p>
    <w:p w14:paraId="3C398B00" w14:textId="77777777" w:rsidR="009757A9" w:rsidRDefault="00083242">
      <w:pPr>
        <w:spacing w:before="182"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Schools navigate the complexities of delivery, resourcing and access to employers to deliver VET to their students. Schools do this by integrating industry-designed units of competency, developed to meet employer needs, into a school </w:t>
      </w:r>
      <w:r>
        <w:rPr>
          <w:rFonts w:ascii="Verdana" w:eastAsia="Verdana" w:hAnsi="Verdana"/>
          <w:color w:val="404042"/>
          <w:sz w:val="18"/>
        </w:rPr>
        <w:t xml:space="preserve">curriculum. They have to oversight different regulatory requirements for the delivery of school education; manage </w:t>
      </w:r>
      <w:r>
        <w:rPr>
          <w:rFonts w:ascii="Tahoma" w:eastAsia="Tahoma" w:hAnsi="Tahoma"/>
          <w:color w:val="404042"/>
          <w:sz w:val="18"/>
        </w:rPr>
        <w:t xml:space="preserve">timetables, including time needed for work placements; and secure access to employers for work placements or </w:t>
      </w:r>
      <w:r>
        <w:rPr>
          <w:rFonts w:ascii="Verdana" w:eastAsia="Verdana" w:hAnsi="Verdana"/>
          <w:color w:val="404042"/>
          <w:sz w:val="18"/>
        </w:rPr>
        <w:t xml:space="preserve">third-party training providers to deliver courses that the school itself cannot offer. For many schools, it is a challenge to </w:t>
      </w:r>
      <w:r>
        <w:rPr>
          <w:rFonts w:ascii="Tahoma" w:eastAsia="Tahoma" w:hAnsi="Tahoma"/>
          <w:color w:val="404042"/>
          <w:sz w:val="18"/>
        </w:rPr>
        <w:t>balance limited resources between the delivery of VET and the school curriculum.</w:t>
      </w:r>
      <w:r>
        <w:rPr>
          <w:rFonts w:ascii="Tahoma" w:eastAsia="Tahoma" w:hAnsi="Tahoma"/>
          <w:color w:val="404042"/>
          <w:sz w:val="18"/>
          <w:vertAlign w:val="superscript"/>
        </w:rPr>
        <w:t>114</w:t>
      </w:r>
      <w:r>
        <w:rPr>
          <w:rFonts w:ascii="Verdana" w:eastAsia="Verdana" w:hAnsi="Verdana"/>
          <w:color w:val="404042"/>
          <w:sz w:val="18"/>
        </w:rPr>
        <w:t xml:space="preserve"> It can also be difficult for teachers to maintain their industry currency to remain qualified to deliver VET.</w:t>
      </w:r>
      <w:r>
        <w:rPr>
          <w:rFonts w:ascii="Tahoma" w:eastAsia="Tahoma" w:hAnsi="Tahoma"/>
          <w:color w:val="404042"/>
          <w:sz w:val="18"/>
          <w:vertAlign w:val="superscript"/>
        </w:rPr>
        <w:t>115</w:t>
      </w:r>
      <w:r>
        <w:rPr>
          <w:rFonts w:ascii="Tahoma" w:eastAsia="Tahoma" w:hAnsi="Tahoma"/>
          <w:color w:val="404042"/>
          <w:sz w:val="9"/>
        </w:rPr>
        <w:t xml:space="preserve"> </w:t>
      </w:r>
    </w:p>
    <w:p w14:paraId="069663EF" w14:textId="77777777" w:rsidR="009757A9" w:rsidRDefault="00083242">
      <w:pPr>
        <w:spacing w:before="157" w:line="240" w:lineRule="exact"/>
        <w:ind w:left="864" w:right="1152"/>
        <w:textAlignment w:val="baseline"/>
        <w:rPr>
          <w:rFonts w:ascii="Verdana" w:eastAsia="Verdana" w:hAnsi="Verdana"/>
          <w:color w:val="404042"/>
          <w:spacing w:val="-2"/>
          <w:sz w:val="18"/>
        </w:rPr>
      </w:pPr>
      <w:r>
        <w:rPr>
          <w:rFonts w:ascii="Verdana" w:eastAsia="Verdana" w:hAnsi="Verdana"/>
          <w:color w:val="404042"/>
          <w:spacing w:val="-2"/>
          <w:sz w:val="18"/>
        </w:rPr>
        <w:t xml:space="preserve">Under the VET regulatory framework, in the absence of a full qualification, students are awarded a statement of </w:t>
      </w:r>
      <w:r>
        <w:rPr>
          <w:rFonts w:ascii="Tahoma" w:eastAsia="Tahoma" w:hAnsi="Tahoma"/>
          <w:color w:val="404042"/>
          <w:spacing w:val="-2"/>
          <w:sz w:val="18"/>
        </w:rPr>
        <w:t xml:space="preserve">attainment for successfully completed units of competence. Some states, however, require the full completion of the </w:t>
      </w:r>
      <w:r>
        <w:rPr>
          <w:rFonts w:ascii="Verdana" w:eastAsia="Verdana" w:hAnsi="Verdana"/>
          <w:color w:val="404042"/>
          <w:spacing w:val="-2"/>
          <w:sz w:val="18"/>
        </w:rPr>
        <w:t xml:space="preserve">course for it to count to the SSCE, and completion of the certificate can sometimes determine whether or not they </w:t>
      </w:r>
      <w:r>
        <w:rPr>
          <w:rFonts w:ascii="Tahoma" w:eastAsia="Tahoma" w:hAnsi="Tahoma"/>
          <w:color w:val="404042"/>
          <w:spacing w:val="-2"/>
          <w:sz w:val="18"/>
        </w:rPr>
        <w:t>receive an SSCE.</w:t>
      </w:r>
    </w:p>
    <w:p w14:paraId="52846EA3" w14:textId="77777777" w:rsidR="009757A9" w:rsidRDefault="00083242">
      <w:pPr>
        <w:spacing w:before="170" w:line="240" w:lineRule="exact"/>
        <w:ind w:left="864" w:right="1296"/>
        <w:textAlignment w:val="baseline"/>
        <w:rPr>
          <w:rFonts w:ascii="Verdana" w:eastAsia="Verdana" w:hAnsi="Verdana"/>
          <w:color w:val="404042"/>
          <w:sz w:val="18"/>
        </w:rPr>
      </w:pPr>
      <w:r>
        <w:rPr>
          <w:rFonts w:ascii="Verdana" w:eastAsia="Verdana" w:hAnsi="Verdana"/>
          <w:color w:val="404042"/>
          <w:sz w:val="18"/>
        </w:rPr>
        <w:t xml:space="preserve">VET courses do not fit neatly into the school system due to the nature of delivery and assessment. Much VET is </w:t>
      </w:r>
      <w:r>
        <w:rPr>
          <w:rFonts w:ascii="Tahoma" w:eastAsia="Tahoma" w:hAnsi="Tahoma"/>
          <w:color w:val="404042"/>
          <w:sz w:val="18"/>
        </w:rPr>
        <w:t>designed to be delivered by industry trainers and the school curriculum is designed to be delivered by teachers of education. In addition, VET assessment is competency based and curriculum assessment is school graded.</w:t>
      </w:r>
    </w:p>
    <w:p w14:paraId="3D954080" w14:textId="77777777" w:rsidR="009757A9" w:rsidRDefault="00083242">
      <w:pPr>
        <w:spacing w:before="192" w:line="216" w:lineRule="exact"/>
        <w:ind w:left="864"/>
        <w:textAlignment w:val="baseline"/>
        <w:rPr>
          <w:rFonts w:ascii="Verdana" w:eastAsia="Verdana" w:hAnsi="Verdana"/>
          <w:color w:val="404042"/>
          <w:spacing w:val="-5"/>
          <w:sz w:val="18"/>
        </w:rPr>
      </w:pPr>
      <w:r>
        <w:rPr>
          <w:rFonts w:ascii="Verdana" w:eastAsia="Verdana" w:hAnsi="Verdana"/>
          <w:color w:val="404042"/>
          <w:spacing w:val="-5"/>
          <w:sz w:val="18"/>
        </w:rPr>
        <w:t>Despite these challenges, Panel members identified a number of secondary schools specialising in providing</w:t>
      </w:r>
    </w:p>
    <w:p w14:paraId="21D84DD0" w14:textId="77777777" w:rsidR="009757A9" w:rsidRDefault="00083242">
      <w:pPr>
        <w:spacing w:before="25" w:line="215" w:lineRule="exact"/>
        <w:ind w:left="864"/>
        <w:textAlignment w:val="baseline"/>
        <w:rPr>
          <w:rFonts w:ascii="Tahoma" w:eastAsia="Tahoma" w:hAnsi="Tahoma"/>
          <w:color w:val="404042"/>
          <w:spacing w:val="4"/>
          <w:sz w:val="18"/>
        </w:rPr>
      </w:pPr>
      <w:r>
        <w:rPr>
          <w:rFonts w:ascii="Tahoma" w:eastAsia="Tahoma" w:hAnsi="Tahoma"/>
          <w:color w:val="404042"/>
          <w:spacing w:val="4"/>
          <w:sz w:val="18"/>
        </w:rPr>
        <w:t>VET education, such as technical colleges, P-TECHs and trade training centres. These centres have strong</w:t>
      </w:r>
    </w:p>
    <w:p w14:paraId="022DD9D7" w14:textId="77777777" w:rsidR="009757A9" w:rsidRDefault="00083242">
      <w:pPr>
        <w:spacing w:line="240" w:lineRule="exact"/>
        <w:ind w:left="864" w:right="864"/>
        <w:textAlignment w:val="baseline"/>
        <w:rPr>
          <w:rFonts w:ascii="Verdana" w:eastAsia="Verdana" w:hAnsi="Verdana"/>
          <w:color w:val="404042"/>
          <w:sz w:val="18"/>
        </w:rPr>
      </w:pPr>
      <w:r>
        <w:rPr>
          <w:rFonts w:ascii="Verdana" w:eastAsia="Verdana" w:hAnsi="Verdana"/>
          <w:color w:val="404042"/>
          <w:sz w:val="18"/>
        </w:rPr>
        <w:t xml:space="preserve">industry engagement, greater independence, and oversee student-driven projects. These schools generally offer </w:t>
      </w:r>
      <w:r>
        <w:rPr>
          <w:rFonts w:ascii="Tahoma" w:eastAsia="Tahoma" w:hAnsi="Tahoma"/>
          <w:color w:val="404042"/>
          <w:sz w:val="18"/>
        </w:rPr>
        <w:t xml:space="preserve">apprenticeships and traineeships using industry-standard equipment. Students undertake English and mathematics while being provided training in a range of careers. Timetabling is built around on-the-job learning to maximise student </w:t>
      </w:r>
      <w:r>
        <w:rPr>
          <w:rFonts w:ascii="Verdana" w:eastAsia="Verdana" w:hAnsi="Verdana"/>
          <w:color w:val="404042"/>
          <w:sz w:val="18"/>
        </w:rPr>
        <w:t xml:space="preserve">opportunities and skills development. In some instances, students are able to finish a traineeship or complete the first </w:t>
      </w:r>
      <w:r>
        <w:rPr>
          <w:rFonts w:ascii="Tahoma" w:eastAsia="Tahoma" w:hAnsi="Tahoma"/>
          <w:color w:val="404042"/>
          <w:sz w:val="18"/>
        </w:rPr>
        <w:t>year of a full apprenticeship.</w:t>
      </w:r>
    </w:p>
    <w:p w14:paraId="340AC634" w14:textId="77777777" w:rsidR="009757A9" w:rsidRDefault="00083242">
      <w:pPr>
        <w:spacing w:before="173" w:line="240" w:lineRule="exact"/>
        <w:ind w:left="864" w:right="1296"/>
        <w:textAlignment w:val="baseline"/>
        <w:rPr>
          <w:rFonts w:ascii="Verdana" w:eastAsia="Verdana" w:hAnsi="Verdana"/>
          <w:color w:val="404042"/>
          <w:sz w:val="18"/>
        </w:rPr>
      </w:pPr>
      <w:r>
        <w:rPr>
          <w:rFonts w:ascii="Verdana" w:eastAsia="Verdana" w:hAnsi="Verdana"/>
          <w:color w:val="404042"/>
          <w:sz w:val="18"/>
        </w:rPr>
        <w:t xml:space="preserve">While these schools are highly effective models of delivering VET to secondary students, they are, by their nature, </w:t>
      </w:r>
      <w:r>
        <w:rPr>
          <w:rFonts w:ascii="Tahoma" w:eastAsia="Tahoma" w:hAnsi="Tahoma"/>
          <w:color w:val="404042"/>
          <w:sz w:val="18"/>
        </w:rPr>
        <w:t>limited in their reach. The Panel supports their further extension where possible. The major challenge is to ensure that non-specialist schools can learn from that experience and adopt some of the successful strategies of these high-performing schools delivering VET.</w:t>
      </w:r>
    </w:p>
    <w:p w14:paraId="1C627C1B" w14:textId="77777777" w:rsidR="009757A9" w:rsidRDefault="00083242">
      <w:pPr>
        <w:spacing w:before="279" w:line="237" w:lineRule="exact"/>
        <w:ind w:left="864"/>
        <w:textAlignment w:val="baseline"/>
        <w:rPr>
          <w:rFonts w:ascii="Arial" w:eastAsia="Arial" w:hAnsi="Arial"/>
          <w:b/>
          <w:color w:val="000000"/>
          <w:spacing w:val="-3"/>
          <w:sz w:val="21"/>
        </w:rPr>
      </w:pPr>
      <w:r>
        <w:rPr>
          <w:rFonts w:ascii="Arial" w:eastAsia="Arial" w:hAnsi="Arial"/>
          <w:b/>
          <w:color w:val="000000"/>
          <w:spacing w:val="-3"/>
          <w:sz w:val="21"/>
        </w:rPr>
        <w:t>Funding</w:t>
      </w:r>
    </w:p>
    <w:p w14:paraId="093FDFAB" w14:textId="77777777" w:rsidR="009757A9" w:rsidRDefault="00083242">
      <w:pPr>
        <w:spacing w:before="168" w:after="2392" w:line="240" w:lineRule="exact"/>
        <w:ind w:left="864" w:right="936"/>
        <w:textAlignment w:val="baseline"/>
        <w:rPr>
          <w:rFonts w:ascii="Tahoma" w:eastAsia="Tahoma" w:hAnsi="Tahoma"/>
          <w:color w:val="404042"/>
          <w:sz w:val="18"/>
        </w:rPr>
      </w:pPr>
      <w:r>
        <w:rPr>
          <w:rFonts w:ascii="Tahoma" w:eastAsia="Tahoma" w:hAnsi="Tahoma"/>
          <w:color w:val="404042"/>
          <w:sz w:val="18"/>
        </w:rPr>
        <w:t>Funding arrangements for VET are complex. Each jurisdiction is responsible for determining its own funding policies, including how and where to prioritise funding and funding levels. Some states provide dedicated funding to support schools to deliver VET programs from school budgets, while other schools may have access to funding subsidies or are obliged to charge additional fees to students.</w:t>
      </w:r>
      <w:r>
        <w:rPr>
          <w:rFonts w:ascii="Tahoma" w:eastAsia="Tahoma" w:hAnsi="Tahoma"/>
          <w:color w:val="404042"/>
          <w:sz w:val="18"/>
          <w:vertAlign w:val="superscript"/>
        </w:rPr>
        <w:t>116</w:t>
      </w:r>
      <w:r>
        <w:rPr>
          <w:rFonts w:ascii="Tahoma" w:eastAsia="Tahoma" w:hAnsi="Tahoma"/>
          <w:color w:val="404042"/>
          <w:sz w:val="9"/>
        </w:rPr>
        <w:t xml:space="preserve"> </w:t>
      </w:r>
    </w:p>
    <w:p w14:paraId="72745E03" w14:textId="77777777" w:rsidR="009757A9" w:rsidRDefault="000D2E34">
      <w:pPr>
        <w:spacing w:before="41" w:line="201" w:lineRule="exact"/>
        <w:ind w:left="1080" w:right="1152"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09632" behindDoc="0" locked="0" layoutInCell="1" allowOverlap="1" wp14:anchorId="2F89A2ED" wp14:editId="4E3C3C6F">
                <wp:simplePos x="0" y="0"/>
                <wp:positionH relativeFrom="page">
                  <wp:posOffset>539750</wp:posOffset>
                </wp:positionH>
                <wp:positionV relativeFrom="page">
                  <wp:posOffset>8491855</wp:posOffset>
                </wp:positionV>
                <wp:extent cx="917575" cy="0"/>
                <wp:effectExtent l="0" t="0" r="0" b="0"/>
                <wp:wrapNone/>
                <wp:docPr id="679"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54554" id="Line 400" o:spid="_x0000_s1026" style="position:absolute;z-index:2519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68.65pt" to="114.75pt,6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iMzwEAAIYDAAAOAAAAZHJzL2Uyb0RvYy54bWysU8uO2zAMvBfoPwi6N3aCJukacfaQdHtJ&#10;2wC7/QBGkm2hsiiISuz8fSXlsdv2VtQHQRTJ4XBIrx7H3rCT8qTR1nw6KTlTVqDUtq35j5enD584&#10;owBWgkGran5WxB/X79+tBlepGXZopPIsgliqBlfzLgRXFQWJTvVAE3TKRmeDvocQTd8W0sMQ0XtT&#10;zMpyUQzopfMoFFF83V6cfJ3xm0aJ8L1pSAVmah65hXz6fB7SWaxXULUeXKfFlQb8A4setI1F71Bb&#10;CMCOXv8F1WvhkbAJE4F9gU2jhco9xG6m5R/dPHfgVO4likPuLhP9P1jx7bT3TMuaL5YPnFno45B2&#10;2ir2sczqDI6qGLSxe5/6E6N9djsUP4lZ3HRgW5VZvpxdTJwmPYvfUpJBLtY4DF9Rxhg4BsxSjY3v&#10;E2QUgY15Iuf7RNQYmIiPD9PlfDnnTNxcBVS3POcpfFHYs3SpuYmkMy6cdhQSD6huIamMxSdtTJ63&#10;sWyIZGflYp4zCI2WyZviyLeHjfHsBGll8pe7ip63YQl6C9Rd4rLrskwej1bmMp0C+fl6D6DN5R5p&#10;GXtVKQmTVpWqA8rz3t/Ui8PO/K+LmbbprZ2zX3+f9S8AAAD//wMAUEsDBBQABgAIAAAAIQCGBJNt&#10;4AAAAAwBAAAPAAAAZHJzL2Rvd25yZXYueG1sTI/NTsMwEITvSLyDtUhcEHVIWkhDnApVghuof6g9&#10;uvGSRMTrKHab8PYsBwTHnR3NfJMvRtuKM/a+caTgbhKBQCqdaahSsNs+36YgfNBkdOsIFXyhh0Vx&#10;eZHrzLiB1njehEpwCPlMK6hD6DIpfVmj1X7iOiT+fbje6sBnX0nT64HDbSvjKLqXVjfEDbXucFlj&#10;+bk5WQVSRul0fN8Pr9MbnzaHZXV4eVspdX01Pj2CCDiGPzP84DM6FMx0dCcyXrQK0hlPCawnyUMC&#10;gh1xPJ+BOP5Kssjl/xHFNwAAAP//AwBQSwECLQAUAAYACAAAACEAtoM4kv4AAADhAQAAEwAAAAAA&#10;AAAAAAAAAAAAAAAAW0NvbnRlbnRfVHlwZXNdLnhtbFBLAQItABQABgAIAAAAIQA4/SH/1gAAAJQB&#10;AAALAAAAAAAAAAAAAAAAAC8BAABfcmVscy8ucmVsc1BLAQItABQABgAIAAAAIQAY6SiMzwEAAIYD&#10;AAAOAAAAAAAAAAAAAAAAAC4CAABkcnMvZTJvRG9jLnhtbFBLAQItABQABgAIAAAAIQCGBJNt4AAA&#10;AAwBAAAPAAAAAAAAAAAAAAAAACkEAABkcnMvZG93bnJldi54bWxQSwUGAAAAAAQABADzAAAANgUA&#10;AAAA&#10;" strokeweight=".95pt">
                <w10:wrap anchorx="page" anchory="page"/>
              </v:line>
            </w:pict>
          </mc:Fallback>
        </mc:AlternateContent>
      </w:r>
      <w:r w:rsidR="00083242">
        <w:rPr>
          <w:rFonts w:ascii="Tahoma" w:eastAsia="Tahoma" w:hAnsi="Tahoma"/>
          <w:color w:val="404042"/>
          <w:sz w:val="14"/>
        </w:rPr>
        <w:t xml:space="preserve">114 South Australian Government (2019), </w:t>
      </w:r>
      <w:r w:rsidR="00083242">
        <w:rPr>
          <w:rFonts w:ascii="Arial" w:eastAsia="Arial" w:hAnsi="Arial"/>
          <w:i/>
          <w:color w:val="404042"/>
          <w:sz w:val="14"/>
        </w:rPr>
        <w:t>A Review of VET for School Students: Repositioning VET within secondary education in South Australia</w:t>
      </w:r>
      <w:r w:rsidR="00083242">
        <w:rPr>
          <w:rFonts w:ascii="Verdana" w:eastAsia="Verdana" w:hAnsi="Verdana"/>
          <w:color w:val="404042"/>
          <w:sz w:val="13"/>
        </w:rPr>
        <w:t xml:space="preserve">, pp. 8, 12, </w:t>
      </w:r>
      <w:hyperlink r:id="rId180">
        <w:r w:rsidR="00083242">
          <w:rPr>
            <w:rFonts w:ascii="Verdana" w:eastAsia="Verdana" w:hAnsi="Verdana"/>
            <w:color w:val="0000FF"/>
            <w:sz w:val="13"/>
            <w:u w:val="single"/>
          </w:rPr>
          <w:t>https://www.education.sa.gov.au/sites/default/files/vet</w:t>
        </w:r>
      </w:hyperlink>
      <w:r w:rsidR="00083242">
        <w:rPr>
          <w:rFonts w:ascii="Tahoma" w:eastAsia="Tahoma" w:hAnsi="Tahoma"/>
          <w:color w:val="0000FF"/>
          <w:sz w:val="14"/>
          <w:u w:val="single"/>
        </w:rPr>
        <w:t>-for-school-students.pdf</w:t>
      </w:r>
      <w:r w:rsidR="00083242">
        <w:rPr>
          <w:rFonts w:ascii="Tahoma" w:eastAsia="Tahoma" w:hAnsi="Tahoma"/>
          <w:color w:val="404042"/>
          <w:sz w:val="14"/>
        </w:rPr>
        <w:t>.</w:t>
      </w:r>
    </w:p>
    <w:p w14:paraId="75479073" w14:textId="77777777" w:rsidR="009757A9" w:rsidRDefault="00083242">
      <w:pPr>
        <w:spacing w:line="200" w:lineRule="exact"/>
        <w:ind w:left="1080" w:right="936" w:hanging="216"/>
        <w:textAlignment w:val="baseline"/>
        <w:rPr>
          <w:rFonts w:ascii="Tahoma" w:eastAsia="Tahoma" w:hAnsi="Tahoma"/>
          <w:color w:val="404042"/>
          <w:spacing w:val="6"/>
          <w:sz w:val="14"/>
        </w:rPr>
      </w:pPr>
      <w:r>
        <w:rPr>
          <w:rFonts w:ascii="Tahoma" w:eastAsia="Tahoma" w:hAnsi="Tahoma"/>
          <w:color w:val="404042"/>
          <w:spacing w:val="6"/>
          <w:sz w:val="14"/>
        </w:rPr>
        <w:t xml:space="preserve">115 Australian Institute for Teaching and School Leadership (2018), </w:t>
      </w:r>
      <w:r>
        <w:rPr>
          <w:rFonts w:ascii="Arial" w:eastAsia="Arial" w:hAnsi="Arial"/>
          <w:i/>
          <w:color w:val="404042"/>
          <w:spacing w:val="6"/>
          <w:sz w:val="14"/>
        </w:rPr>
        <w:t>One Teaching Profession: Teacher registration in Australia</w:t>
      </w:r>
      <w:r>
        <w:rPr>
          <w:rFonts w:ascii="Verdana" w:eastAsia="Verdana" w:hAnsi="Verdana"/>
          <w:color w:val="404042"/>
          <w:spacing w:val="6"/>
          <w:sz w:val="13"/>
        </w:rPr>
        <w:t xml:space="preserve">, September 2018, p. 49, </w:t>
      </w:r>
      <w:hyperlink r:id="rId181">
        <w:r>
          <w:rPr>
            <w:rFonts w:ascii="Tahoma" w:eastAsia="Tahoma" w:hAnsi="Tahoma"/>
            <w:color w:val="0000FF"/>
            <w:spacing w:val="6"/>
            <w:sz w:val="14"/>
            <w:u w:val="single"/>
          </w:rPr>
          <w:t>https://www.aitsl.edu.au/docs/default-source/national-review-of-teacher-registration/report/one-teaching-profession---teacher-registration-in-au stralia.pdf</w:t>
        </w:r>
      </w:hyperlink>
      <w:r>
        <w:rPr>
          <w:rFonts w:ascii="Tahoma" w:eastAsia="Tahoma" w:hAnsi="Tahoma"/>
          <w:color w:val="404042"/>
          <w:spacing w:val="6"/>
          <w:sz w:val="14"/>
        </w:rPr>
        <w:t>.</w:t>
      </w:r>
    </w:p>
    <w:p w14:paraId="557D7341" w14:textId="42C0CD0D" w:rsidR="009757A9" w:rsidRDefault="00083242">
      <w:pPr>
        <w:spacing w:before="36" w:line="165" w:lineRule="exact"/>
        <w:ind w:left="864"/>
        <w:textAlignment w:val="baseline"/>
        <w:rPr>
          <w:rFonts w:ascii="Verdana" w:eastAsia="Verdana" w:hAnsi="Verdana"/>
          <w:color w:val="404042"/>
          <w:spacing w:val="-4"/>
          <w:sz w:val="13"/>
        </w:rPr>
      </w:pPr>
      <w:r>
        <w:rPr>
          <w:rFonts w:ascii="Verdana" w:eastAsia="Verdana" w:hAnsi="Verdana"/>
          <w:color w:val="404042"/>
          <w:spacing w:val="-4"/>
          <w:sz w:val="13"/>
        </w:rPr>
        <w:t>116 Joyce (2019), p. 93.</w:t>
      </w:r>
    </w:p>
    <w:p w14:paraId="48BB589C" w14:textId="79873440" w:rsidR="009757A9" w:rsidRDefault="00466255">
      <w:pPr>
        <w:tabs>
          <w:tab w:val="left" w:pos="10872"/>
        </w:tabs>
        <w:spacing w:before="652" w:after="640" w:line="201" w:lineRule="exact"/>
        <w:ind w:left="8064"/>
        <w:textAlignment w:val="baseline"/>
        <w:rPr>
          <w:rFonts w:ascii="Tahoma" w:eastAsia="Tahoma" w:hAnsi="Tahoma"/>
          <w:color w:val="404042"/>
          <w:sz w:val="14"/>
        </w:rPr>
      </w:pPr>
      <w:r>
        <w:rPr>
          <w:noProof/>
          <w:lang w:val="en-AU" w:eastAsia="en-AU"/>
        </w:rPr>
        <w:drawing>
          <wp:anchor distT="0" distB="0" distL="114300" distR="114300" simplePos="0" relativeHeight="252068352" behindDoc="1" locked="0" layoutInCell="1" allowOverlap="1" wp14:anchorId="77E73C19" wp14:editId="3266CE51">
            <wp:simplePos x="0" y="0"/>
            <wp:positionH relativeFrom="margin">
              <wp:align>right</wp:align>
            </wp:positionH>
            <wp:positionV relativeFrom="paragraph">
              <wp:posOffset>770890</wp:posOffset>
            </wp:positionV>
            <wp:extent cx="7562215" cy="462915"/>
            <wp:effectExtent l="0" t="0" r="635" b="0"/>
            <wp:wrapTight wrapText="bothSides">
              <wp:wrapPolygon edited="0">
                <wp:start x="0" y="0"/>
                <wp:lineTo x="0" y="20444"/>
                <wp:lineTo x="21547" y="20444"/>
                <wp:lineTo x="21547" y="0"/>
                <wp:lineTo x="0" y="0"/>
              </wp:wrapPolygon>
            </wp:wrapTight>
            <wp:docPr id="136" name="Picture"/>
            <wp:cNvGraphicFramePr/>
            <a:graphic xmlns:a="http://schemas.openxmlformats.org/drawingml/2006/main">
              <a:graphicData uri="http://schemas.openxmlformats.org/drawingml/2006/picture">
                <pic:pic xmlns:pic="http://schemas.openxmlformats.org/drawingml/2006/picture">
                  <pic:nvPicPr>
                    <pic:cNvPr id="136" name="Picture"/>
                    <pic:cNvPicPr preferRelativeResize="0"/>
                  </pic:nvPicPr>
                  <pic:blipFill>
                    <a:blip r:embed="rId2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z w:val="14"/>
        </w:rPr>
        <w:t>Chapter 3: VET and the world of work</w:t>
      </w:r>
      <w:r w:rsidR="00083242">
        <w:rPr>
          <w:rFonts w:ascii="Arial" w:eastAsia="Arial" w:hAnsi="Arial"/>
          <w:b/>
          <w:color w:val="5556A1"/>
          <w:sz w:val="18"/>
        </w:rPr>
        <w:tab/>
        <w:t>85</w:t>
      </w:r>
    </w:p>
    <w:p w14:paraId="6BFC440C" w14:textId="77777777" w:rsidR="009757A9" w:rsidRDefault="00083242" w:rsidP="00466255">
      <w:pPr>
        <w:spacing w:line="240" w:lineRule="exact"/>
        <w:ind w:left="792" w:right="1152"/>
        <w:textAlignment w:val="baseline"/>
        <w:rPr>
          <w:rFonts w:ascii="Tahoma" w:eastAsia="Tahoma" w:hAnsi="Tahoma"/>
          <w:color w:val="404042"/>
          <w:sz w:val="18"/>
        </w:rPr>
      </w:pPr>
      <w:r>
        <w:rPr>
          <w:rFonts w:ascii="Tahoma" w:eastAsia="Tahoma" w:hAnsi="Tahoma"/>
          <w:color w:val="404042"/>
          <w:sz w:val="18"/>
        </w:rPr>
        <w:lastRenderedPageBreak/>
        <w:t>Availability of funding for VET has a direct impact on the range of course offerings. Affordability considerations often determine whether schools deliver the training themselves, or purchase enrolments through an external registered training organisation.</w:t>
      </w:r>
      <w:r>
        <w:rPr>
          <w:rFonts w:ascii="Tahoma" w:eastAsia="Tahoma" w:hAnsi="Tahoma"/>
          <w:color w:val="404042"/>
          <w:sz w:val="18"/>
          <w:vertAlign w:val="superscript"/>
        </w:rPr>
        <w:t>117</w:t>
      </w:r>
      <w:r>
        <w:rPr>
          <w:rFonts w:ascii="Tahoma" w:eastAsia="Tahoma" w:hAnsi="Tahoma"/>
          <w:color w:val="404042"/>
          <w:sz w:val="18"/>
        </w:rPr>
        <w:t xml:space="preserve"> As a result, schools are often forced either to charge higher student fees, which exacerbates inequalities based on income, or not to offer the course at all.</w:t>
      </w:r>
      <w:r>
        <w:rPr>
          <w:rFonts w:ascii="Tahoma" w:eastAsia="Tahoma" w:hAnsi="Tahoma"/>
          <w:color w:val="404042"/>
          <w:sz w:val="18"/>
          <w:vertAlign w:val="superscript"/>
        </w:rPr>
        <w:t>118</w:t>
      </w:r>
      <w:r>
        <w:rPr>
          <w:rFonts w:ascii="Tahoma" w:eastAsia="Tahoma" w:hAnsi="Tahoma"/>
          <w:color w:val="404042"/>
          <w:sz w:val="9"/>
        </w:rPr>
        <w:t xml:space="preserve"> </w:t>
      </w:r>
    </w:p>
    <w:p w14:paraId="47CB789E" w14:textId="77777777" w:rsidR="009757A9" w:rsidRDefault="00083242">
      <w:pPr>
        <w:spacing w:before="157" w:after="1369" w:line="240" w:lineRule="exact"/>
        <w:ind w:left="792" w:right="936"/>
        <w:textAlignment w:val="baseline"/>
        <w:rPr>
          <w:rFonts w:ascii="Tahoma" w:eastAsia="Tahoma" w:hAnsi="Tahoma"/>
          <w:color w:val="404042"/>
          <w:spacing w:val="6"/>
          <w:sz w:val="18"/>
        </w:rPr>
      </w:pPr>
      <w:r>
        <w:rPr>
          <w:rFonts w:ascii="Tahoma" w:eastAsia="Tahoma" w:hAnsi="Tahoma"/>
          <w:color w:val="404042"/>
          <w:spacing w:val="6"/>
          <w:sz w:val="18"/>
        </w:rPr>
        <w:t>Many of the consultations conducted and submissions received by the Panel identified funding arrangements for VET delivered to secondary school students as a significant driver of behaviour. It is the strong view of the Panel that there should be no financial disincentive for schools or students in circumstances in which students wish to undertake VET at external RTOs. Decisions on whether students study inside or outside school should not be based on financial incentives or administrative convenience, but on what is in the best interest of students.</w:t>
      </w:r>
    </w:p>
    <w:p w14:paraId="63DF33C4" w14:textId="77777777" w:rsidR="009757A9" w:rsidRDefault="00083242">
      <w:pPr>
        <w:spacing w:after="1549"/>
        <w:ind w:right="2117"/>
        <w:textAlignment w:val="baseline"/>
      </w:pPr>
      <w:r>
        <w:rPr>
          <w:noProof/>
          <w:lang w:val="en-AU" w:eastAsia="en-AU"/>
        </w:rPr>
        <w:drawing>
          <wp:inline distT="0" distB="0" distL="0" distR="0" wp14:anchorId="09C09F88" wp14:editId="3DB4E3B9">
            <wp:extent cx="6217920" cy="4724400"/>
            <wp:effectExtent l="0" t="0" r="0" b="0"/>
            <wp:docPr id="137" name="Picture"/>
            <wp:cNvGraphicFramePr/>
            <a:graphic xmlns:a="http://schemas.openxmlformats.org/drawingml/2006/main">
              <a:graphicData uri="http://schemas.openxmlformats.org/drawingml/2006/picture">
                <pic:pic xmlns:pic="http://schemas.openxmlformats.org/drawingml/2006/picture">
                  <pic:nvPicPr>
                    <pic:cNvPr id="137" name="Picture"/>
                    <pic:cNvPicPr preferRelativeResize="0"/>
                  </pic:nvPicPr>
                  <pic:blipFill>
                    <a:blip r:embed="rId182"/>
                    <a:stretch>
                      <a:fillRect/>
                    </a:stretch>
                  </pic:blipFill>
                  <pic:spPr>
                    <a:xfrm>
                      <a:off x="0" y="0"/>
                      <a:ext cx="6217920" cy="4724400"/>
                    </a:xfrm>
                    <a:prstGeom prst="rect">
                      <a:avLst/>
                    </a:prstGeom>
                  </pic:spPr>
                </pic:pic>
              </a:graphicData>
            </a:graphic>
          </wp:inline>
        </w:drawing>
      </w:r>
    </w:p>
    <w:p w14:paraId="04D1D567" w14:textId="77777777" w:rsidR="009757A9" w:rsidRDefault="000D2E34">
      <w:pPr>
        <w:spacing w:before="80" w:line="171" w:lineRule="exact"/>
        <w:ind w:left="792"/>
        <w:textAlignment w:val="baseline"/>
        <w:rPr>
          <w:rFonts w:ascii="Tahoma" w:eastAsia="Tahoma" w:hAnsi="Tahoma"/>
          <w:color w:val="404042"/>
          <w:spacing w:val="1"/>
          <w:sz w:val="14"/>
        </w:rPr>
      </w:pPr>
      <w:r>
        <w:rPr>
          <w:noProof/>
          <w:lang w:val="en-AU" w:eastAsia="en-AU"/>
        </w:rPr>
        <mc:AlternateContent>
          <mc:Choice Requires="wps">
            <w:drawing>
              <wp:anchor distT="0" distB="0" distL="114300" distR="114300" simplePos="0" relativeHeight="251910656" behindDoc="0" locked="0" layoutInCell="1" allowOverlap="1" wp14:anchorId="5F90F657" wp14:editId="5747420B">
                <wp:simplePos x="0" y="0"/>
                <wp:positionH relativeFrom="page">
                  <wp:posOffset>539750</wp:posOffset>
                </wp:positionH>
                <wp:positionV relativeFrom="page">
                  <wp:posOffset>8744585</wp:posOffset>
                </wp:positionV>
                <wp:extent cx="917575" cy="0"/>
                <wp:effectExtent l="0" t="0" r="0" b="0"/>
                <wp:wrapNone/>
                <wp:docPr id="678"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8C56F" id="Line 399" o:spid="_x0000_s1026" style="position:absolute;z-index:2519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88.55pt" to="114.75pt,6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PRzgEAAIYDAAAOAAAAZHJzL2Uyb0RvYy54bWysU01v2zAMvQ/YfxB0X5ykSLIYcXpI1l2y&#10;LUC7H8BIsi1UFgVJiZ1/P0r5aLfdhvkgiCL5+PhIrx6HzrCT8kGjrfhkNOZMWYFS26biP1+ePn3m&#10;LESwEgxaVfGzCvxx/fHDqnelmmKLRirPCMSGsncVb2N0ZVEE0aoOwgidsuSs0XcQyfRNIT30hN6Z&#10;Yjoez4sevXQehQqBXrcXJ19n/LpWIv6o66AiMxUnbjGfPp+HdBbrFZSNB9dqcaUB/8CiA22p6B1q&#10;CxHY0eu/oDotPAas40hgV2Bda6FyD9TNZPxHN88tOJV7IXGCu8sU/h+s+H7ae6ZlxecLGpWFjoa0&#10;01axh+UyqdO7UFLQxu596k8M9tntULwGZnHTgm1UZvlydpQ4SRnFbynJCI5qHPpvKCkGjhGzVEPt&#10;uwRJIrAhT+R8n4gaIhP0uJwsZosZZ+LmKqC85Tkf4leFHUuXihsinXHhtAsx8YDyFpLKWHzSxuR5&#10;G8t6Ijsdz2c5I6DRMnlTXPDNYWM8O0FamfzlrsjzPixBbyG0l7jsuiyTx6OVuUyrQH653iNoc7kT&#10;LWOvKiVhLhIfUJ73/qYeDTvzvy5m2qb3ds5++33WvwAAAP//AwBQSwMEFAAGAAgAAAAhAJa4Pxvg&#10;AAAADAEAAA8AAABkcnMvZG93bnJldi54bWxMj81OwzAQhO9IvIO1SFxQ6zT0J6RxKlQJblS0BdGj&#10;G2+TiHgdxW4T3p7lgOC4s6OZb7LVYBtxwc7XjhRMxhEIpMKZmkoFb/unUQLCB01GN45QwRd6WOXX&#10;V5lOjetpi5ddKAWHkE+1giqENpXSFxVa7ceuReLfyXVWBz67UppO9xxuGxlH0VxaXRM3VLrFdYXF&#10;5+5sFUgZJdPh/aN/md75pD6sy8Pz5lWp25vhcQki4BD+zPCDz+iQM9PRncl40ShIZjwlsH6/WExA&#10;sCOOH2Ygjr+SzDP5f0T+DQAA//8DAFBLAQItABQABgAIAAAAIQC2gziS/gAAAOEBAAATAAAAAAAA&#10;AAAAAAAAAAAAAABbQ29udGVudF9UeXBlc10ueG1sUEsBAi0AFAAGAAgAAAAhADj9If/WAAAAlAEA&#10;AAsAAAAAAAAAAAAAAAAALwEAAF9yZWxzLy5yZWxzUEsBAi0AFAAGAAgAAAAhAJGm89HOAQAAhgMA&#10;AA4AAAAAAAAAAAAAAAAALgIAAGRycy9lMm9Eb2MueG1sUEsBAi0AFAAGAAgAAAAhAJa4PxvgAAAA&#10;DAEAAA8AAAAAAAAAAAAAAAAAKAQAAGRycy9kb3ducmV2LnhtbFBLBQYAAAAABAAEAPMAAAA1BQAA&#10;AAA=&#10;" strokeweight=".95pt">
                <w10:wrap anchorx="page" anchory="page"/>
              </v:line>
            </w:pict>
          </mc:Fallback>
        </mc:AlternateContent>
      </w:r>
      <w:r w:rsidR="00083242">
        <w:rPr>
          <w:rFonts w:ascii="Tahoma" w:eastAsia="Tahoma" w:hAnsi="Tahoma"/>
          <w:color w:val="404042"/>
          <w:spacing w:val="1"/>
          <w:sz w:val="14"/>
        </w:rPr>
        <w:t>117 Ibid., p. 99.</w:t>
      </w:r>
    </w:p>
    <w:p w14:paraId="00F472D0" w14:textId="77777777" w:rsidR="009757A9" w:rsidRDefault="00083242">
      <w:pPr>
        <w:spacing w:line="200" w:lineRule="exact"/>
        <w:ind w:left="1080" w:right="864" w:hanging="288"/>
        <w:textAlignment w:val="baseline"/>
        <w:rPr>
          <w:rFonts w:ascii="Tahoma" w:eastAsia="Tahoma" w:hAnsi="Tahoma"/>
          <w:color w:val="404042"/>
          <w:spacing w:val="3"/>
          <w:sz w:val="14"/>
        </w:rPr>
      </w:pPr>
      <w:r>
        <w:rPr>
          <w:rFonts w:ascii="Tahoma" w:eastAsia="Tahoma" w:hAnsi="Tahoma"/>
          <w:color w:val="404042"/>
          <w:spacing w:val="3"/>
          <w:sz w:val="14"/>
        </w:rPr>
        <w:t xml:space="preserve">118 Van Dyke, N. and Jackson, J. (2019), </w:t>
      </w:r>
      <w:r>
        <w:rPr>
          <w:rFonts w:ascii="Arial" w:eastAsia="Arial" w:hAnsi="Arial"/>
          <w:i/>
          <w:color w:val="404042"/>
          <w:spacing w:val="3"/>
          <w:sz w:val="14"/>
        </w:rPr>
        <w:t>Unlocking the Value of VET for School Students: Submission to the Review of VET for School Students in South Australia</w:t>
      </w:r>
      <w:r>
        <w:rPr>
          <w:rFonts w:ascii="Tahoma" w:eastAsia="Tahoma" w:hAnsi="Tahoma"/>
          <w:color w:val="404042"/>
          <w:spacing w:val="3"/>
          <w:sz w:val="14"/>
        </w:rPr>
        <w:t xml:space="preserve">, Mitchell Institute: Victoria University, p. 7, </w:t>
      </w:r>
      <w:hyperlink r:id="rId183">
        <w:r>
          <w:rPr>
            <w:rFonts w:ascii="Tahoma" w:eastAsia="Tahoma" w:hAnsi="Tahoma"/>
            <w:color w:val="0000FF"/>
            <w:spacing w:val="3"/>
            <w:sz w:val="14"/>
            <w:u w:val="single"/>
          </w:rPr>
          <w:t>http://www.mitchellinstitute.org.au/wp-content/uploads/2019/09/Submission-to-SA-VET-in-Schools-Revi ew.pdf</w:t>
        </w:r>
      </w:hyperlink>
      <w:r>
        <w:rPr>
          <w:rFonts w:ascii="Tahoma" w:eastAsia="Tahoma" w:hAnsi="Tahoma"/>
          <w:color w:val="404042"/>
          <w:spacing w:val="3"/>
          <w:sz w:val="14"/>
        </w:rPr>
        <w:t>.</w:t>
      </w:r>
    </w:p>
    <w:p w14:paraId="3CE5575A" w14:textId="77777777" w:rsidR="009757A9" w:rsidRDefault="00083242">
      <w:pPr>
        <w:tabs>
          <w:tab w:val="left" w:pos="1368"/>
        </w:tabs>
        <w:spacing w:before="643" w:after="636" w:line="209" w:lineRule="exact"/>
        <w:ind w:left="792"/>
        <w:textAlignment w:val="baseline"/>
        <w:rPr>
          <w:rFonts w:ascii="Arial" w:eastAsia="Arial" w:hAnsi="Arial"/>
          <w:b/>
          <w:color w:val="5556A1"/>
          <w:spacing w:val="1"/>
          <w:sz w:val="19"/>
        </w:rPr>
      </w:pPr>
      <w:r>
        <w:rPr>
          <w:rFonts w:ascii="Arial" w:eastAsia="Arial" w:hAnsi="Arial"/>
          <w:b/>
          <w:color w:val="5556A1"/>
          <w:spacing w:val="1"/>
          <w:sz w:val="19"/>
        </w:rPr>
        <w:t>86</w:t>
      </w:r>
      <w:r>
        <w:rPr>
          <w:rFonts w:ascii="Tahoma" w:eastAsia="Tahoma" w:hAnsi="Tahoma"/>
          <w:color w:val="404042"/>
          <w:spacing w:val="1"/>
          <w:sz w:val="14"/>
        </w:rPr>
        <w:tab/>
        <w:t>Looking to the future</w:t>
      </w:r>
    </w:p>
    <w:p w14:paraId="4554DD9B" w14:textId="77777777" w:rsidR="009757A9" w:rsidRDefault="00083242">
      <w:pPr>
        <w:textAlignment w:val="baseline"/>
      </w:pPr>
      <w:r>
        <w:rPr>
          <w:noProof/>
          <w:lang w:val="en-AU" w:eastAsia="en-AU"/>
        </w:rPr>
        <w:drawing>
          <wp:inline distT="0" distB="0" distL="0" distR="0" wp14:anchorId="63BD830D" wp14:editId="78596881">
            <wp:extent cx="7562215" cy="462915"/>
            <wp:effectExtent l="0" t="0" r="0" b="0"/>
            <wp:docPr id="138" name="Picture"/>
            <wp:cNvGraphicFramePr/>
            <a:graphic xmlns:a="http://schemas.openxmlformats.org/drawingml/2006/main">
              <a:graphicData uri="http://schemas.openxmlformats.org/drawingml/2006/picture">
                <pic:pic xmlns:pic="http://schemas.openxmlformats.org/drawingml/2006/picture">
                  <pic:nvPicPr>
                    <pic:cNvPr id="138" name="Picture"/>
                    <pic:cNvPicPr preferRelativeResize="0"/>
                  </pic:nvPicPr>
                  <pic:blipFill>
                    <a:blip r:embed="rId184"/>
                    <a:stretch>
                      <a:fillRect/>
                    </a:stretch>
                  </pic:blipFill>
                  <pic:spPr>
                    <a:xfrm>
                      <a:off x="0" y="0"/>
                      <a:ext cx="7562215" cy="462915"/>
                    </a:xfrm>
                    <a:prstGeom prst="rect">
                      <a:avLst/>
                    </a:prstGeom>
                  </pic:spPr>
                </pic:pic>
              </a:graphicData>
            </a:graphic>
          </wp:inline>
        </w:drawing>
      </w:r>
    </w:p>
    <w:p w14:paraId="63C6544E" w14:textId="77777777" w:rsidR="009757A9" w:rsidRDefault="009757A9">
      <w:pPr>
        <w:sectPr w:rsidR="009757A9">
          <w:pgSz w:w="11909" w:h="16838"/>
          <w:pgMar w:top="1080" w:right="0" w:bottom="0" w:left="0" w:header="720" w:footer="720" w:gutter="0"/>
          <w:cols w:space="720"/>
        </w:sectPr>
      </w:pPr>
    </w:p>
    <w:p w14:paraId="4A9D1BBD"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00032" behindDoc="1" locked="0" layoutInCell="1" allowOverlap="1" wp14:anchorId="190B1474" wp14:editId="591C55B8">
                <wp:simplePos x="0" y="0"/>
                <wp:positionH relativeFrom="page">
                  <wp:posOffset>0</wp:posOffset>
                </wp:positionH>
                <wp:positionV relativeFrom="page">
                  <wp:posOffset>0</wp:posOffset>
                </wp:positionV>
                <wp:extent cx="7562215" cy="10692130"/>
                <wp:effectExtent l="0" t="0" r="0" b="0"/>
                <wp:wrapSquare wrapText="bothSides"/>
                <wp:docPr id="677"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F2BA6" w14:textId="77777777" w:rsidR="00490F33" w:rsidRDefault="00490F33">
                            <w:pPr>
                              <w:textAlignment w:val="baseline"/>
                            </w:pPr>
                            <w:r>
                              <w:rPr>
                                <w:noProof/>
                                <w:lang w:val="en-AU" w:eastAsia="en-AU"/>
                              </w:rPr>
                              <w:drawing>
                                <wp:inline distT="0" distB="0" distL="0" distR="0" wp14:anchorId="1EE9DF41" wp14:editId="4C6A2716">
                                  <wp:extent cx="7562215" cy="10692130"/>
                                  <wp:effectExtent l="0" t="0" r="0" b="0"/>
                                  <wp:docPr id="139" name="Picture" descr="Image 1: ST Patricks Logo.&#10;&#10;image 2: Picture of St Patricks at night.&#10;&#10;"/>
                                  <wp:cNvGraphicFramePr/>
                                  <a:graphic xmlns:a="http://schemas.openxmlformats.org/drawingml/2006/main">
                                    <a:graphicData uri="http://schemas.openxmlformats.org/drawingml/2006/picture">
                                      <pic:pic xmlns:pic="http://schemas.openxmlformats.org/drawingml/2006/picture">
                                        <pic:nvPicPr>
                                          <pic:cNvPr id="139" name="Picture" descr="Image 1: ST Patricks Logo.&#10;&#10;image 2: Picture of St Patricks at night.&#10;&#10;"/>
                                          <pic:cNvPicPr preferRelativeResize="0"/>
                                        </pic:nvPicPr>
                                        <pic:blipFill>
                                          <a:blip r:embed="rId185"/>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B1474" id="Text Box 398" o:spid="_x0000_s1180" type="#_x0000_t202" style="position:absolute;margin-left:0;margin-top:0;width:595.45pt;height:841.9pt;z-index:-251816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Yp9AEAAMUDAAAOAAAAZHJzL2Uyb0RvYy54bWysU9tu2zAMfR+wfxD0vjhOl7Q14hRdiw4D&#10;ugvQ7gMYWY6F2aJGKbGzrx8lx1m3vQ17EShejg4PqfXN0LXioMkbtKXMZ3MptFVYGbsr5dfnhzdX&#10;UvgAtoIWrS7lUXt5s3n9at27Qi+wwbbSJBjE+qJ3pWxCcEWWedXoDvwMnbYcrJE6CHylXVYR9Ize&#10;tdliPl9lPVLlCJX2nr33Y1BuEn5daxU+17XXQbSlZG4hnZTObTyzzRqKHYFrjDrRgH9g0YGx/OgZ&#10;6h4CiD2Zv6A6owg91mGmsMuwro3SqQfuJp//0c1TA06nXlgc784y+f8Hqz4dvpAwVSlXl5dSWOh4&#10;SM96COIdDuLi+ioq1DtfcOKT49QwcIAnnbr17hHVNy8s3jVgd/qWCPtGQ8UM81iZvSgdcXwE2fYf&#10;seKHYB8wAQ01dVE+FkQwOk/qeJ5OJKPYeblcLRb5UgrFsXy+ul7kF2mAGRRTvSMf3mvsRDRKSTz/&#10;hA+HRx8iHyimlPicxQfTtmkHWvubgxOjJ/GPlEfyYdgOSax8+XYSZovVkVsiHHeL/wIbDdIPKXre&#10;q1L673sgLUX7wbIscQkngyZjOxlgFZeWMkgxmndhXNa9I7NrGHkU3uItS1eb1FPUeGRxIsy7klo9&#10;7XVcxpf3lPXr921+AgAA//8DAFBLAwQUAAYACAAAACEAeyLJIt0AAAAHAQAADwAAAGRycy9kb3du&#10;cmV2LnhtbEyPwU7DMBBE70j8g7VI3KhdkKIkxKmqip4qIdJw4OjE28RqvE5jtw1/j8sFLqtZzWrm&#10;bbGa7cAuOHnjSMJyIYAhtU4b6iR81tunFJgPirQaHKGEb/SwKu/vCpVrd6UKL/vQsRhCPlcS+hDG&#10;nHPf9miVX7gRKXoHN1kV4jp1XE/qGsPtwJ+FSLhVhmJDr0bc9Nge92crYf1F1Zs5vTcf1aEydZ0J&#10;2iVHKR8f5vUrsIBz+DuGG35EhzIyNe5M2rNBQnwk/M6bt8xEBqyJKklfUuBlwf/zlz8AAAD//wMA&#10;UEsBAi0AFAAGAAgAAAAhALaDOJL+AAAA4QEAABMAAAAAAAAAAAAAAAAAAAAAAFtDb250ZW50X1R5&#10;cGVzXS54bWxQSwECLQAUAAYACAAAACEAOP0h/9YAAACUAQAACwAAAAAAAAAAAAAAAAAvAQAAX3Jl&#10;bHMvLnJlbHNQSwECLQAUAAYACAAAACEAOwyGKfQBAADFAwAADgAAAAAAAAAAAAAAAAAuAgAAZHJz&#10;L2Uyb0RvYy54bWxQSwECLQAUAAYACAAAACEAeyLJIt0AAAAHAQAADwAAAAAAAAAAAAAAAABOBAAA&#10;ZHJzL2Rvd25yZXYueG1sUEsFBgAAAAAEAAQA8wAAAFgFAAAAAA==&#10;" filled="f" stroked="f">
                <v:textbox inset="0,0,0,0">
                  <w:txbxContent>
                    <w:p w14:paraId="44EF2BA6" w14:textId="77777777" w:rsidR="00490F33" w:rsidRDefault="00490F33">
                      <w:pPr>
                        <w:textAlignment w:val="baseline"/>
                      </w:pPr>
                      <w:r>
                        <w:rPr>
                          <w:noProof/>
                          <w:lang w:val="en-AU" w:eastAsia="en-AU"/>
                        </w:rPr>
                        <w:drawing>
                          <wp:inline distT="0" distB="0" distL="0" distR="0" wp14:anchorId="1EE9DF41" wp14:editId="4C6A2716">
                            <wp:extent cx="7562215" cy="10692130"/>
                            <wp:effectExtent l="0" t="0" r="0" b="0"/>
                            <wp:docPr id="139" name="Picture" descr="Image 1: ST Patricks Logo.&#10;&#10;image 2: Picture of St Patricks at night.&#10;&#10;"/>
                            <wp:cNvGraphicFramePr/>
                            <a:graphic xmlns:a="http://schemas.openxmlformats.org/drawingml/2006/main">
                              <a:graphicData uri="http://schemas.openxmlformats.org/drawingml/2006/picture">
                                <pic:pic xmlns:pic="http://schemas.openxmlformats.org/drawingml/2006/picture">
                                  <pic:nvPicPr>
                                    <pic:cNvPr id="139" name="Picture" descr="Image 1: ST Patricks Logo.&#10;&#10;image 2: Picture of St Patricks at night.&#10;&#10;"/>
                                    <pic:cNvPicPr preferRelativeResize="0"/>
                                  </pic:nvPicPr>
                                  <pic:blipFill>
                                    <a:blip r:embed="rId185"/>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1056" behindDoc="1" locked="0" layoutInCell="1" allowOverlap="1" wp14:anchorId="2F115ACC" wp14:editId="47D50D9D">
                <wp:simplePos x="0" y="0"/>
                <wp:positionH relativeFrom="page">
                  <wp:posOffset>4182110</wp:posOffset>
                </wp:positionH>
                <wp:positionV relativeFrom="page">
                  <wp:posOffset>953770</wp:posOffset>
                </wp:positionV>
                <wp:extent cx="2392680" cy="914400"/>
                <wp:effectExtent l="0" t="0" r="0" b="0"/>
                <wp:wrapSquare wrapText="bothSides"/>
                <wp:docPr id="676"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0C2B9" w14:textId="77777777" w:rsidR="00490F33" w:rsidRDefault="00490F33">
                            <w:pPr>
                              <w:spacing w:line="239" w:lineRule="exact"/>
                              <w:textAlignment w:val="baseline"/>
                              <w:rPr>
                                <w:rFonts w:ascii="Tahoma" w:eastAsia="Tahoma" w:hAnsi="Tahoma"/>
                                <w:color w:val="424041"/>
                                <w:sz w:val="18"/>
                              </w:rPr>
                            </w:pPr>
                            <w:r>
                              <w:rPr>
                                <w:rFonts w:ascii="Tahoma" w:eastAsia="Tahoma" w:hAnsi="Tahoma"/>
                                <w:color w:val="424041"/>
                                <w:sz w:val="18"/>
                              </w:rPr>
                              <w:t>one seamless educational experience. Additionally, work-ready skills are central across all programs, assisting students to develop vital interview, resume-writing, goal-setting, teamwork, communication and employability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15ACC" id="Text Box 397" o:spid="_x0000_s1181" type="#_x0000_t202" style="position:absolute;margin-left:329.3pt;margin-top:75.1pt;width:188.4pt;height:1in;z-index:-251815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4a8gEAAMMDAAAOAAAAZHJzL2Uyb0RvYy54bWysU9tu2zAMfR+wfxD0vjhJ27Qx4hRdiw4D&#10;um5A2w9gZDkWZosapcTOvn6UHGfd+jbsRaB4OTo8pFbXfduIvSZv0BZyNplKoa3C0thtIV+e7z9c&#10;SeED2BIatLqQB+3l9fr9u1Xncj3HGptSk2AQ6/POFbIOweVZ5lWtW/ATdNpysEJqIfCVtllJ0DF6&#10;22Tz6XSRdUilI1Tae/beDUG5TvhVpVX4WlVeB9EUkrmFdFI6N/HM1ivItwSuNupIA/6BRQvG8qMn&#10;qDsIIHZk3kC1RhF6rMJEYZthVRmlUw/czWz6VzdPNTidemFxvDvJ5P8frHrcfyNhykIuLhdSWGh5&#10;SM+6D+Ij9uJseRkV6pzPOfHJcWroOcCTTt1694DquxcWb2uwW31DhF2toWSGs1iZvSodcHwE2XRf&#10;sOSHYBcwAfUVtVE+FkQwOk/qcJpOJKPYOT9bzhdXHFIcW87Oz6dpfBnkY7UjHz5pbEU0Ckk8/YQO&#10;+wcfIhvIx5T4mMV70zRpAxr7h4MToyexj4QH6qHf9Emq2cXFKMsGywM3RDhsFv8ENmqkn1J0vFWF&#10;9D92QFqK5rNlUeIKjgaNxmY0wCouLWSQYjBvw7CqO0dmWzPyILvFGxauMqmnqPDA4kiYNyW1etzq&#10;uIqv7ynr999b/wIAAP//AwBQSwMEFAAGAAgAAAAhADU946zhAAAADAEAAA8AAABkcnMvZG93bnJl&#10;di54bWxMj8FOwzAQRO9I/IO1SNyoTWiiNsSpKgQnJEQaDhydeJtYjdchdtvw97inclzN08zbYjPb&#10;gZ1w8saRhMeFAIbUOm2ok/BVvz2sgPmgSKvBEUr4RQ+b8vamULl2Z6rwtAsdiyXkcyWhD2HMOfdt&#10;j1b5hRuRYrZ3k1UhnlPH9aTOsdwOPBEi41YZigu9GvGlx/awO1oJ22+qXs3PR/NZ7StT12tB79lB&#10;yvu7efsMLOAcrjBc9KM6lNGpcUfSng0SsnSVRTQGqUiAXQjxlC6BNRKS9TIBXhb8/xPlHwAAAP//&#10;AwBQSwECLQAUAAYACAAAACEAtoM4kv4AAADhAQAAEwAAAAAAAAAAAAAAAAAAAAAAW0NvbnRlbnRf&#10;VHlwZXNdLnhtbFBLAQItABQABgAIAAAAIQA4/SH/1gAAAJQBAAALAAAAAAAAAAAAAAAAAC8BAABf&#10;cmVscy8ucmVsc1BLAQItABQABgAIAAAAIQCsUm4a8gEAAMMDAAAOAAAAAAAAAAAAAAAAAC4CAABk&#10;cnMvZTJvRG9jLnhtbFBLAQItABQABgAIAAAAIQA1PeOs4QAAAAwBAAAPAAAAAAAAAAAAAAAAAEwE&#10;AABkcnMvZG93bnJldi54bWxQSwUGAAAAAAQABADzAAAAWgUAAAAA&#10;" filled="f" stroked="f">
                <v:textbox inset="0,0,0,0">
                  <w:txbxContent>
                    <w:p w14:paraId="5A40C2B9" w14:textId="77777777" w:rsidR="00490F33" w:rsidRDefault="00490F33">
                      <w:pPr>
                        <w:spacing w:line="239" w:lineRule="exact"/>
                        <w:textAlignment w:val="baseline"/>
                        <w:rPr>
                          <w:rFonts w:ascii="Tahoma" w:eastAsia="Tahoma" w:hAnsi="Tahoma"/>
                          <w:color w:val="424041"/>
                          <w:sz w:val="18"/>
                        </w:rPr>
                      </w:pPr>
                      <w:r>
                        <w:rPr>
                          <w:rFonts w:ascii="Tahoma" w:eastAsia="Tahoma" w:hAnsi="Tahoma"/>
                          <w:color w:val="424041"/>
                          <w:sz w:val="18"/>
                        </w:rPr>
                        <w:t>one seamless educational experience. Additionally, work-ready skills are central across all programs, assisting students to develop vital interview, resume-writing, goal-setting, teamwork, communication and employability skills.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2080" behindDoc="1" locked="0" layoutInCell="1" allowOverlap="1" wp14:anchorId="53782124" wp14:editId="429C4B81">
                <wp:simplePos x="0" y="0"/>
                <wp:positionH relativeFrom="page">
                  <wp:posOffset>835025</wp:posOffset>
                </wp:positionH>
                <wp:positionV relativeFrom="page">
                  <wp:posOffset>982980</wp:posOffset>
                </wp:positionV>
                <wp:extent cx="2712720" cy="1151255"/>
                <wp:effectExtent l="0" t="0" r="0" b="0"/>
                <wp:wrapSquare wrapText="bothSides"/>
                <wp:docPr id="67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15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E2973"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0AE915D2" w14:textId="77777777" w:rsidR="00490F33" w:rsidRDefault="00490F33">
                            <w:pPr>
                              <w:spacing w:line="450" w:lineRule="exact"/>
                              <w:textAlignment w:val="baseline"/>
                              <w:rPr>
                                <w:rFonts w:ascii="Tahoma" w:eastAsia="Tahoma" w:hAnsi="Tahoma"/>
                                <w:color w:val="BF5B1F"/>
                                <w:spacing w:val="3"/>
                                <w:w w:val="95"/>
                                <w:sz w:val="38"/>
                              </w:rPr>
                            </w:pPr>
                            <w:r>
                              <w:rPr>
                                <w:rFonts w:ascii="Tahoma" w:eastAsia="Tahoma" w:hAnsi="Tahoma"/>
                                <w:color w:val="BF5B1F"/>
                                <w:spacing w:val="3"/>
                                <w:w w:val="95"/>
                                <w:sz w:val="38"/>
                              </w:rPr>
                              <w:t>ST PATRICK’S</w:t>
                            </w:r>
                          </w:p>
                          <w:p w14:paraId="2AF6CD97" w14:textId="77777777" w:rsidR="00490F33" w:rsidRDefault="00490F33">
                            <w:pPr>
                              <w:spacing w:line="46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TECHNICAL COLLEGE IN</w:t>
                            </w:r>
                          </w:p>
                          <w:p w14:paraId="5939EB73" w14:textId="77777777" w:rsidR="00490F33" w:rsidRDefault="00490F33">
                            <w:pPr>
                              <w:spacing w:before="1" w:line="454" w:lineRule="exact"/>
                              <w:textAlignment w:val="baseline"/>
                              <w:rPr>
                                <w:rFonts w:ascii="Tahoma" w:eastAsia="Tahoma" w:hAnsi="Tahoma"/>
                                <w:color w:val="BF5B1F"/>
                                <w:spacing w:val="19"/>
                                <w:w w:val="95"/>
                                <w:sz w:val="38"/>
                              </w:rPr>
                            </w:pPr>
                            <w:r>
                              <w:rPr>
                                <w:rFonts w:ascii="Tahoma" w:eastAsia="Tahoma" w:hAnsi="Tahoma"/>
                                <w:color w:val="BF5B1F"/>
                                <w:spacing w:val="19"/>
                                <w:w w:val="95"/>
                                <w:sz w:val="38"/>
                              </w:rPr>
                              <w:t>SOUTH AUSTRALIA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82124" id="Text Box 396" o:spid="_x0000_s1182" type="#_x0000_t202" style="position:absolute;margin-left:65.75pt;margin-top:77.4pt;width:213.6pt;height:90.65pt;z-index:-251814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qu48QEAAMQDAAAOAAAAZHJzL2Uyb0RvYy54bWysU9tu2zAMfR+wfxD0vjj2kGQz4hRdiw4D&#10;ugvQ7gMYWY6F2aJGKbGzrx8lJ1m3vRV9ESiSOjw8pNZXY9+JgyZv0FYyn82l0FZhbeyukt8f7968&#10;k8IHsDV0aHUlj9rLq83rV+vBlbrAFrtak2AQ68vBVbINwZVZ5lWre/AzdNpysEHqIfCVdllNMDB6&#10;32XFfL7MBqTaESrtPXtvp6DcJPym0Sp8bRqvg+gqydxCOimd23hmmzWUOwLXGnWiAc9g0YOxXPQC&#10;dQsBxJ7Mf1C9UYQemzBT2GfYNEbp1AN3k8//6eahBadTLyyOdxeZ/MvBqi+HbyRMXcnlaiGFhZ6H&#10;9KjHID7gKN6+X0aFBudLTnxwnBpGDvCkU7fe3aP64YXFmxbsTl8T4dBqqJlhHl9mT55OOD6CbIfP&#10;WHMh2AdMQGNDfZSPBRGMzpM6XqYTySh2Fqu8WBUcUhzL80VeLBapBpTn5458+KixF9GoJPH4Ezwc&#10;7n2IdKA8p8RqFu9M16UV6OxfDk6MnkQ/Mp64h3E7Jq3yxUWXLdZH7ohwWi3+Cmy0SL+kGHitKul/&#10;7oG0FN0ny6rEHTwbdDa2ZwOs4qeVDFJM5k2YdnXvyOxaRp50t3jNyjUm9RQlnlicCPOqpFZPax13&#10;8ek9Zf35fJvfAAAA//8DAFBLAwQUAAYACAAAACEAvNPK4N8AAAALAQAADwAAAGRycy9kb3ducmV2&#10;LnhtbEyPTU+DQBCG7yb+h82YeLMLIliRpWmMnkyMFA8eF3YKpOwsstsW/73jSW/zZp68H8VmsaM4&#10;4ewHRwriVQQCqXVmoE7BR/1yswbhgyajR0eo4Bs9bMrLi0Lnxp2pwtMudIJNyOdaQR/ClEvp2x6t&#10;9is3IfFv72arA8u5k2bWZza3o7yNokxaPRAn9HrCpx7bw+5oFWw/qXoevt6a92pfDXX9ENFrdlDq&#10;+mrZPoIIuIQ/GH7rc3UouVPjjmS8GFknccooH+kdb2AiTdf3IBoFSZLFIMtC/t9Q/gAAAP//AwBQ&#10;SwECLQAUAAYACAAAACEAtoM4kv4AAADhAQAAEwAAAAAAAAAAAAAAAAAAAAAAW0NvbnRlbnRfVHlw&#10;ZXNdLnhtbFBLAQItABQABgAIAAAAIQA4/SH/1gAAAJQBAAALAAAAAAAAAAAAAAAAAC8BAABfcmVs&#10;cy8ucmVsc1BLAQItABQABgAIAAAAIQBR8qu48QEAAMQDAAAOAAAAAAAAAAAAAAAAAC4CAABkcnMv&#10;ZTJvRG9jLnhtbFBLAQItABQABgAIAAAAIQC808rg3wAAAAsBAAAPAAAAAAAAAAAAAAAAAEsEAABk&#10;cnMvZG93bnJldi54bWxQSwUGAAAAAAQABADzAAAAVwUAAAAA&#10;" filled="f" stroked="f">
                <v:textbox inset="0,0,0,0">
                  <w:txbxContent>
                    <w:p w14:paraId="69DE2973"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0AE915D2" w14:textId="77777777" w:rsidR="00490F33" w:rsidRDefault="00490F33">
                      <w:pPr>
                        <w:spacing w:line="450" w:lineRule="exact"/>
                        <w:textAlignment w:val="baseline"/>
                        <w:rPr>
                          <w:rFonts w:ascii="Tahoma" w:eastAsia="Tahoma" w:hAnsi="Tahoma"/>
                          <w:color w:val="BF5B1F"/>
                          <w:spacing w:val="3"/>
                          <w:w w:val="95"/>
                          <w:sz w:val="38"/>
                        </w:rPr>
                      </w:pPr>
                      <w:r>
                        <w:rPr>
                          <w:rFonts w:ascii="Tahoma" w:eastAsia="Tahoma" w:hAnsi="Tahoma"/>
                          <w:color w:val="BF5B1F"/>
                          <w:spacing w:val="3"/>
                          <w:w w:val="95"/>
                          <w:sz w:val="38"/>
                        </w:rPr>
                        <w:t>ST PATRICK’S</w:t>
                      </w:r>
                    </w:p>
                    <w:p w14:paraId="2AF6CD97" w14:textId="77777777" w:rsidR="00490F33" w:rsidRDefault="00490F33">
                      <w:pPr>
                        <w:spacing w:line="46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TECHNICAL COLLEGE IN</w:t>
                      </w:r>
                    </w:p>
                    <w:p w14:paraId="5939EB73" w14:textId="77777777" w:rsidR="00490F33" w:rsidRDefault="00490F33">
                      <w:pPr>
                        <w:spacing w:before="1" w:line="454" w:lineRule="exact"/>
                        <w:textAlignment w:val="baseline"/>
                        <w:rPr>
                          <w:rFonts w:ascii="Tahoma" w:eastAsia="Tahoma" w:hAnsi="Tahoma"/>
                          <w:color w:val="BF5B1F"/>
                          <w:spacing w:val="19"/>
                          <w:w w:val="95"/>
                          <w:sz w:val="38"/>
                        </w:rPr>
                      </w:pPr>
                      <w:r>
                        <w:rPr>
                          <w:rFonts w:ascii="Tahoma" w:eastAsia="Tahoma" w:hAnsi="Tahoma"/>
                          <w:color w:val="BF5B1F"/>
                          <w:spacing w:val="19"/>
                          <w:w w:val="95"/>
                          <w:sz w:val="38"/>
                        </w:rPr>
                        <w:t>SOUTH AUSTRALIA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3104" behindDoc="1" locked="0" layoutInCell="1" allowOverlap="1" wp14:anchorId="01095D26" wp14:editId="5F4720A4">
                <wp:simplePos x="0" y="0"/>
                <wp:positionH relativeFrom="page">
                  <wp:posOffset>4184650</wp:posOffset>
                </wp:positionH>
                <wp:positionV relativeFrom="page">
                  <wp:posOffset>1982470</wp:posOffset>
                </wp:positionV>
                <wp:extent cx="2338070" cy="1059180"/>
                <wp:effectExtent l="0" t="0" r="0" b="0"/>
                <wp:wrapSquare wrapText="bothSides"/>
                <wp:docPr id="674"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105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BCDA9" w14:textId="77777777" w:rsidR="00490F33" w:rsidRDefault="00490F33">
                            <w:pPr>
                              <w:spacing w:line="236" w:lineRule="exact"/>
                              <w:textAlignment w:val="baseline"/>
                              <w:rPr>
                                <w:rFonts w:ascii="Tahoma" w:eastAsia="Tahoma" w:hAnsi="Tahoma"/>
                                <w:color w:val="424041"/>
                                <w:spacing w:val="6"/>
                                <w:sz w:val="18"/>
                              </w:rPr>
                            </w:pPr>
                            <w:r>
                              <w:rPr>
                                <w:rFonts w:ascii="Tahoma" w:eastAsia="Tahoma" w:hAnsi="Tahoma"/>
                                <w:color w:val="424041"/>
                                <w:spacing w:val="6"/>
                                <w:sz w:val="18"/>
                              </w:rPr>
                              <w:t>St Patrick’s Technical College is structured across three sub-schools, offering eight pre-vocational courses: Automotive, Electrotechnology, Metals and Engineering, Information Technology, Food and Hospitality, Hair and Beauty, Construction, and Plumbing.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95D26" id="Text Box 395" o:spid="_x0000_s1183" type="#_x0000_t202" style="position:absolute;margin-left:329.5pt;margin-top:156.1pt;width:184.1pt;height:83.4pt;z-index:-251813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ET8wEAAMQDAAAOAAAAZHJzL2Uyb0RvYy54bWysU9tu2zAMfR+wfxD0vthOliY14hRdiw4D&#10;ugvQ7gNkWbaF2aJGKbGzrx8lx1m3vQ17EShejg4Pqd3N2HfsqNBpMAXPFilnykiotGkK/vX54c2W&#10;M+eFqUQHRhX8pBy/2b9+tRtsrpbQQlcpZARiXD7Ygrfe2zxJnGxVL9wCrDIUrAF74emKTVKhGAi9&#10;75Jlml4lA2BlEaRyjrz3U5DvI35dK+k/17VTnnUFJ24+nhjPMpzJfifyBoVttTzTEP/Aohfa0KMX&#10;qHvhBTug/guq1xLBQe0XEvoE6lpLFXugbrL0j26eWmFV7IXEcfYik/t/sPLT8QsyXRX8avOWMyN6&#10;GtKzGj17ByNbXa+DQoN1OSU+WUr1IwVo0rFbZx9BfnPMwF0rTKNuEWFolaiIYRYqkxelE44LIOXw&#10;ESp6SBw8RKCxxj7IR4IwQqdJnS7TCWQkOZer1TbdUEhSLEvX19k2zi8R+Vxu0fn3CnoWjIIjjT/C&#10;i+Oj84GOyOeU8JqBB911cQU685uDEoMn0g+MJ+5+LMeoVbbezLqUUJ2oI4RptegrkNEC/uBsoLUq&#10;uPt+EKg46z4YUiXs4GzgbJSzIYyk0oJ7zibzzk+7erCom5aQJ90N3JJytY49BYknFmfCtCqx1fNa&#10;h118eY9Zvz7f/icAAAD//wMAUEsDBBQABgAIAAAAIQAalvDn4QAAAAwBAAAPAAAAZHJzL2Rvd25y&#10;ZXYueG1sTI/BTsMwEETvSPyDtUjcqN0AaZvGqSoEJyREGg4cndhNrMbrELtt+Hu2p3Lb0Yxm3+Sb&#10;yfXsZMZgPUqYzwQwg43XFlsJX9XbwxJYiAq16j0aCb8mwKa4vclVpv0ZS3PaxZZRCYZMSehiHDLO&#10;Q9MZp8LMDwbJ2/vRqUhybLke1ZnKXc8TIVLulEX60KnBvHSmOeyOTsL2G8tX+/NRf5b70lbVSuB7&#10;epDy/m7aroFFM8VrGC74hA4FMdX+iDqwXkL6vKItUcLjPEmAXRIiWdBVS3hakMeLnP8fUfwBAAD/&#10;/wMAUEsBAi0AFAAGAAgAAAAhALaDOJL+AAAA4QEAABMAAAAAAAAAAAAAAAAAAAAAAFtDb250ZW50&#10;X1R5cGVzXS54bWxQSwECLQAUAAYACAAAACEAOP0h/9YAAACUAQAACwAAAAAAAAAAAAAAAAAvAQAA&#10;X3JlbHMvLnJlbHNQSwECLQAUAAYACAAAACEAk7FxE/MBAADEAwAADgAAAAAAAAAAAAAAAAAuAgAA&#10;ZHJzL2Uyb0RvYy54bWxQSwECLQAUAAYACAAAACEAGpbw5+EAAAAMAQAADwAAAAAAAAAAAAAAAABN&#10;BAAAZHJzL2Rvd25yZXYueG1sUEsFBgAAAAAEAAQA8wAAAFsFAAAAAA==&#10;" filled="f" stroked="f">
                <v:textbox inset="0,0,0,0">
                  <w:txbxContent>
                    <w:p w14:paraId="16CBCDA9" w14:textId="77777777" w:rsidR="00490F33" w:rsidRDefault="00490F33">
                      <w:pPr>
                        <w:spacing w:line="236" w:lineRule="exact"/>
                        <w:textAlignment w:val="baseline"/>
                        <w:rPr>
                          <w:rFonts w:ascii="Tahoma" w:eastAsia="Tahoma" w:hAnsi="Tahoma"/>
                          <w:color w:val="424041"/>
                          <w:spacing w:val="6"/>
                          <w:sz w:val="18"/>
                        </w:rPr>
                      </w:pPr>
                      <w:r>
                        <w:rPr>
                          <w:rFonts w:ascii="Tahoma" w:eastAsia="Tahoma" w:hAnsi="Tahoma"/>
                          <w:color w:val="424041"/>
                          <w:spacing w:val="6"/>
                          <w:sz w:val="18"/>
                        </w:rPr>
                        <w:t>St Patrick’s Technical College is structured across three sub-schools, offering eight pre-vocational courses: Automotive, Electrotechnology, Metals and Engineering, Information Technology, Food and Hospitality, Hair and Beauty, Construction, and Plumbing.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4128" behindDoc="1" locked="0" layoutInCell="1" allowOverlap="1" wp14:anchorId="46BC295E" wp14:editId="3B8BCEC5">
                <wp:simplePos x="0" y="0"/>
                <wp:positionH relativeFrom="page">
                  <wp:posOffset>905510</wp:posOffset>
                </wp:positionH>
                <wp:positionV relativeFrom="page">
                  <wp:posOffset>2294890</wp:posOffset>
                </wp:positionV>
                <wp:extent cx="2438400" cy="1219200"/>
                <wp:effectExtent l="0" t="0" r="0" b="0"/>
                <wp:wrapSquare wrapText="bothSides"/>
                <wp:docPr id="673"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4566D" w14:textId="77777777" w:rsidR="00490F33" w:rsidRDefault="00490F33">
                            <w:pPr>
                              <w:spacing w:line="239" w:lineRule="exact"/>
                              <w:textAlignment w:val="baseline"/>
                              <w:rPr>
                                <w:rFonts w:ascii="Tahoma" w:eastAsia="Tahoma" w:hAnsi="Tahoma"/>
                                <w:color w:val="424041"/>
                                <w:spacing w:val="4"/>
                                <w:sz w:val="18"/>
                              </w:rPr>
                            </w:pPr>
                            <w:r>
                              <w:rPr>
                                <w:rFonts w:ascii="Tahoma" w:eastAsia="Tahoma" w:hAnsi="Tahoma"/>
                                <w:color w:val="424041"/>
                                <w:spacing w:val="4"/>
                                <w:sz w:val="18"/>
                              </w:rPr>
                              <w:t>St Patrick’s Technical College is challenging the perception that vocational education and training (VET) pathways are somehow ‘less than’ university pathways and, as a result, is changing the lives of its students. St Patrick’s is a specialist trade training school offering education, training and apprenticeship pathways to Year 11 and 12 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C295E" id="Text Box 394" o:spid="_x0000_s1184" type="#_x0000_t202" style="position:absolute;margin-left:71.3pt;margin-top:180.7pt;width:192pt;height:96pt;z-index:-251812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Hv8gEAAMQDAAAOAAAAZHJzL2Uyb0RvYy54bWysU8Fu2zAMvQ/YPwi6L46TrEuNOEXXosOA&#10;rhvQ7gMYWY6F2aJGKbG7rx8lx1m33YZdBIqkHh8fqc3V0LXiqMkbtKXMZ3MptFVYGbsv5denuzdr&#10;KXwAW0GLVpfyWXt5tX39atO7Qi+wwbbSJBjE+qJ3pWxCcEWWedXoDvwMnbYcrJE6CHylfVYR9Ize&#10;tdliPr/IeqTKESrtPXtvx6DcJvy61ip8rmuvg2hLydxCOimdu3hm2w0UewLXGHWiAf/AogNjuegZ&#10;6hYCiAOZv6A6owg91mGmsMuwro3SqQfuJp//0c1jA06nXlgc784y+f8Hqx6OX0iYqpQX75ZSWOh4&#10;SE96COI9DmJ5uYoK9c4XnPjoODUMHOBJp269u0f1zQuLNw3Yvb4mwr7RUDHDPL7MXjwdcXwE2fWf&#10;sOJCcAiYgIaauigfCyIYnSf1fJ5OJKPYuVgt16s5hxTH8kV+yfNPNaCYnjvy4YPGTkSjlMTjT/Bw&#10;vPch0oFiSonVLN6Ztk0r0NrfHJwYPYl+ZDxyD8NuSFrlb9eTLjusnrkjwnG1+Cuw0SD9kKLntSql&#10;/34A0lK0Hy2rEndwMmgydpMBVvHTUgYpRvMmjLt6cGT2DSOPulu8ZuVqk3qKEo8sToR5VVKrp7WO&#10;u/jynrJ+fb7tTwAAAP//AwBQSwMEFAAGAAgAAAAhABNiRkPgAAAACwEAAA8AAABkcnMvZG93bnJl&#10;di54bWxMj8FOwzAQRO9I/IO1SNyo0zS1aIhTVQhOSIg0HHp0YjexGq9D7Lbh71lOcNvZHc2+Kbaz&#10;G9jFTMF6lLBcJMAMtl5b7CR81q8Pj8BCVKjV4NFI+DYBtuXtTaFy7a9Ymcs+doxCMORKQh/jmHMe&#10;2t44FRZ+NEi3o5+ciiSnjutJXSncDTxNEsGdskgfejWa5960p/3ZSdgdsHqxX+/NR3WsbF1vEnwT&#10;Jynv7+bdE7Bo5vhnhl98QoeSmBp/Rh3YQDpLBVklrMQyA0aOdSpo09CwXmXAy4L/71D+AAAA//8D&#10;AFBLAQItABQABgAIAAAAIQC2gziS/gAAAOEBAAATAAAAAAAAAAAAAAAAAAAAAABbQ29udGVudF9U&#10;eXBlc10ueG1sUEsBAi0AFAAGAAgAAAAhADj9If/WAAAAlAEAAAsAAAAAAAAAAAAAAAAALwEAAF9y&#10;ZWxzLy5yZWxzUEsBAi0AFAAGAAgAAAAhAKqIke/yAQAAxAMAAA4AAAAAAAAAAAAAAAAALgIAAGRy&#10;cy9lMm9Eb2MueG1sUEsBAi0AFAAGAAgAAAAhABNiRkPgAAAACwEAAA8AAAAAAAAAAAAAAAAATAQA&#10;AGRycy9kb3ducmV2LnhtbFBLBQYAAAAABAAEAPMAAABZBQAAAAA=&#10;" filled="f" stroked="f">
                <v:textbox inset="0,0,0,0">
                  <w:txbxContent>
                    <w:p w14:paraId="6FD4566D" w14:textId="77777777" w:rsidR="00490F33" w:rsidRDefault="00490F33">
                      <w:pPr>
                        <w:spacing w:line="239" w:lineRule="exact"/>
                        <w:textAlignment w:val="baseline"/>
                        <w:rPr>
                          <w:rFonts w:ascii="Tahoma" w:eastAsia="Tahoma" w:hAnsi="Tahoma"/>
                          <w:color w:val="424041"/>
                          <w:spacing w:val="4"/>
                          <w:sz w:val="18"/>
                        </w:rPr>
                      </w:pPr>
                      <w:r>
                        <w:rPr>
                          <w:rFonts w:ascii="Tahoma" w:eastAsia="Tahoma" w:hAnsi="Tahoma"/>
                          <w:color w:val="424041"/>
                          <w:spacing w:val="4"/>
                          <w:sz w:val="18"/>
                        </w:rPr>
                        <w:t>St Patrick’s Technical College is challenging the perception that vocational education and training (VET) pathways are somehow ‘less than’ university pathways and, as a result, is changing the lives of its students. St Patrick’s is a specialist trade training school offering education, training and apprenticeship pathways to Year 11 and 12 students.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5152" behindDoc="1" locked="0" layoutInCell="1" allowOverlap="1" wp14:anchorId="7D882A50" wp14:editId="6BCC3B97">
                <wp:simplePos x="0" y="0"/>
                <wp:positionH relativeFrom="page">
                  <wp:posOffset>4182110</wp:posOffset>
                </wp:positionH>
                <wp:positionV relativeFrom="page">
                  <wp:posOffset>3148330</wp:posOffset>
                </wp:positionV>
                <wp:extent cx="2340610" cy="1371600"/>
                <wp:effectExtent l="0" t="0" r="0" b="0"/>
                <wp:wrapSquare wrapText="bothSides"/>
                <wp:docPr id="672"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BE3A4" w14:textId="77777777" w:rsidR="00490F33" w:rsidRDefault="00490F33">
                            <w:pPr>
                              <w:spacing w:line="239" w:lineRule="exact"/>
                              <w:textAlignment w:val="baseline"/>
                              <w:rPr>
                                <w:rFonts w:ascii="Tahoma" w:eastAsia="Tahoma" w:hAnsi="Tahoma"/>
                                <w:color w:val="424041"/>
                                <w:spacing w:val="7"/>
                                <w:sz w:val="18"/>
                              </w:rPr>
                            </w:pPr>
                            <w:r>
                              <w:rPr>
                                <w:rFonts w:ascii="Tahoma" w:eastAsia="Tahoma" w:hAnsi="Tahoma"/>
                                <w:color w:val="424041"/>
                                <w:spacing w:val="7"/>
                                <w:sz w:val="18"/>
                              </w:rPr>
                              <w:t>The school regularly hosts industry leaders and employers to provide mentoring and project development to students and staff. Over Years 11 and 12, students must complete a minimum of 11 weeks of work experience, during term time, which provides a chance to explore career decisions, upskilling opportunities and employment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2A50" id="Text Box 393" o:spid="_x0000_s1185" type="#_x0000_t202" style="position:absolute;margin-left:329.3pt;margin-top:247.9pt;width:184.3pt;height:108pt;z-index:-251811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D8gEAAMQDAAAOAAAAZHJzL2Uyb0RvYy54bWysU9tu2zAMfR+wfxD0vthOtnQ14hRdiw4D&#10;ugvQ7gMYWY6F2aJGKbG7rx8lx1m3vQ17EShejg4Pqc3V2HfiqMkbtJUsFrkU2iqsjd1X8uvj3au3&#10;UvgAtoYOra7kk/byavvyxWZwpV5ii12tSTCI9eXgKtmG4Mos86rVPfgFOm052CD1EPhK+6wmGBi9&#10;77Jlnq+zAal2hEp7z97bKSi3Cb9ptAqfm8brILpKMreQTkrnLp7ZdgPlnsC1Rp1owD+w6MFYfvQM&#10;dQsBxIHMX1C9UYQem7BQ2GfYNEbp1AN3U+R/dPPQgtOpFxbHu7NM/v/Bqk/HLyRMXcn1xVIKCz0P&#10;6VGPQbzDUawuV1GhwfmSEx8cp4aRAzzp1K1396i+eWHxpgW719dEOLQaamZYxMrsWemE4yPIbviI&#10;NT8Eh4AJaGyoj/KxIILReVJP5+lEMoqdy9XrfF1wSHGsWF0U6zzNL4NyLnfkw3uNvYhGJYnHn+Dh&#10;eO9DpAPlnBJfs3hnui6tQGd/c3Bi9CT6kfHEPYy7MWlVvLmcddlh/cQdEU6rxV+BjRbphxQDr1Ul&#10;/fcDkJai+2BZlbiDs0GzsZsNsIpLKxmkmMybMO3qwZHZt4w86W7xmpVrTOopSjyxOBHmVUmtntY6&#10;7uLze8r69fm2PwEAAP//AwBQSwMEFAAGAAgAAAAhAD5vUOfiAAAADAEAAA8AAABkcnMvZG93bnJl&#10;di54bWxMj8FOwzAQRO9I/IO1lbhRJxFN0zSbqkJwQkKk4cDRid3EarwOsduGv8c9wXG1TzNvit1s&#10;BnZRk9OWEOJlBExRa6WmDuGzfn3MgDkvSIrBkkL4UQ525f1dIXJpr1Spy8F3LISQywVC7/2Yc+7a&#10;XhnhlnZUFH5HOxnhwzl1XE7iGsLNwJMoSrkRmkJDL0b13Kv2dDgbhP0XVS/6+735qI6VrutNRG/p&#10;CfFhMe+3wLya/R8MN/2gDmVwauyZpGMDQrrK0oAiPG1WYcONiJJ1AqxBWMdxBrws+P8R5S8AAAD/&#10;/wMAUEsBAi0AFAAGAAgAAAAhALaDOJL+AAAA4QEAABMAAAAAAAAAAAAAAAAAAAAAAFtDb250ZW50&#10;X1R5cGVzXS54bWxQSwECLQAUAAYACAAAACEAOP0h/9YAAACUAQAACwAAAAAAAAAAAAAAAAAvAQAA&#10;X3JlbHMvLnJlbHNQSwECLQAUAAYACAAAACEAUPoKQ/IBAADEAwAADgAAAAAAAAAAAAAAAAAuAgAA&#10;ZHJzL2Uyb0RvYy54bWxQSwECLQAUAAYACAAAACEAPm9Q5+IAAAAMAQAADwAAAAAAAAAAAAAAAABM&#10;BAAAZHJzL2Rvd25yZXYueG1sUEsFBgAAAAAEAAQA8wAAAFsFAAAAAA==&#10;" filled="f" stroked="f">
                <v:textbox inset="0,0,0,0">
                  <w:txbxContent>
                    <w:p w14:paraId="090BE3A4" w14:textId="77777777" w:rsidR="00490F33" w:rsidRDefault="00490F33">
                      <w:pPr>
                        <w:spacing w:line="239" w:lineRule="exact"/>
                        <w:textAlignment w:val="baseline"/>
                        <w:rPr>
                          <w:rFonts w:ascii="Tahoma" w:eastAsia="Tahoma" w:hAnsi="Tahoma"/>
                          <w:color w:val="424041"/>
                          <w:spacing w:val="7"/>
                          <w:sz w:val="18"/>
                        </w:rPr>
                      </w:pPr>
                      <w:r>
                        <w:rPr>
                          <w:rFonts w:ascii="Tahoma" w:eastAsia="Tahoma" w:hAnsi="Tahoma"/>
                          <w:color w:val="424041"/>
                          <w:spacing w:val="7"/>
                          <w:sz w:val="18"/>
                        </w:rPr>
                        <w:t>The school regularly hosts industry leaders and employers to provide mentoring and project development to students and staff. Over Years 11 and 12, students must complete a minimum of 11 weeks of work experience, during term time, which provides a chance to explore career decisions, upskilling opportunities and employment outcomes.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6176" behindDoc="1" locked="0" layoutInCell="1" allowOverlap="1" wp14:anchorId="15170BDD" wp14:editId="302EE871">
                <wp:simplePos x="0" y="0"/>
                <wp:positionH relativeFrom="page">
                  <wp:posOffset>905510</wp:posOffset>
                </wp:positionH>
                <wp:positionV relativeFrom="page">
                  <wp:posOffset>3620770</wp:posOffset>
                </wp:positionV>
                <wp:extent cx="2450465" cy="1217295"/>
                <wp:effectExtent l="0" t="0" r="0" b="0"/>
                <wp:wrapSquare wrapText="bothSides"/>
                <wp:docPr id="67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2799C" w14:textId="77777777" w:rsidR="00490F33" w:rsidRDefault="00490F33">
                            <w:pPr>
                              <w:spacing w:line="239" w:lineRule="exact"/>
                              <w:textAlignment w:val="baseline"/>
                              <w:rPr>
                                <w:rFonts w:ascii="Tahoma" w:eastAsia="Tahoma" w:hAnsi="Tahoma"/>
                                <w:color w:val="424041"/>
                                <w:spacing w:val="6"/>
                                <w:sz w:val="18"/>
                              </w:rPr>
                            </w:pPr>
                            <w:r>
                              <w:rPr>
                                <w:rFonts w:ascii="Tahoma" w:eastAsia="Tahoma" w:hAnsi="Tahoma"/>
                                <w:color w:val="424041"/>
                                <w:spacing w:val="6"/>
                                <w:sz w:val="18"/>
                              </w:rPr>
                              <w:t>The school is a proud contributor to breaking the cycle of intergenerational unemployment and helping young people re-engage with education. Since opening its doors in 2007, the college has sourced and supported over 1,000 apprenticeship/traineeship commencements across a wide array of trades and industries.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0BDD" id="Text Box 392" o:spid="_x0000_s1186" type="#_x0000_t202" style="position:absolute;margin-left:71.3pt;margin-top:285.1pt;width:192.95pt;height:95.85pt;z-index:-251810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Cl8wEAAMQDAAAOAAAAZHJzL2Uyb0RvYy54bWysU8tu2zAQvBfoPxC817LU2GkEy0GaIEWB&#10;9AEk/YA1RVlEJS67pC25X98lZTtpeyt6IVbkcjgzO1pdj30n9pq8QVvJfDaXQluFtbHbSn57un/z&#10;TgofwNbQodWVPGgvr9evX60GV+oCW+xqTYJBrC8HV8k2BFdmmVet7sHP0GnLhw1SD4E/aZvVBAOj&#10;911WzOfLbECqHaHS3vPu3XQo1wm/abQKX5rG6yC6SjK3kFZK6yau2XoF5ZbAtUYdacA/sOjBWH70&#10;DHUHAcSOzF9QvVGEHpswU9hn2DRG6aSB1eTzP9Q8tuB00sLmeHe2yf8/WPV5/5WEqSu5vMylsNDz&#10;kJ70GMR7HMXbqyI6NDhfcuOj49Yw8gFPOqn17gHVdy8s3rZgt/qGCIdWQ80M83gze3F1wvERZDN8&#10;wpofgl3ABDQ21Ef72BDB6Dypw3k6kYzizeJiMb9YLqRQfJYX+WVxtUhvQHm67siHDxp7EYtKEo8/&#10;wcP+wYdIB8pTS3zN4r3puhSBzv62wY1xJ9GPjCfuYdyMyat8mZITxW2wPrAiwila/Ctw0SL9lGLg&#10;WFXS/9gBaSm6j5ZdiRk8FXQqNqcCrOKrlQxSTOVtmLK6c2S2LSNPvlu8YecakzQ9szgS5qgkqcdY&#10;xyy+/E5dzz/f+hcAAAD//wMAUEsDBBQABgAIAAAAIQBENDT04AAAAAsBAAAPAAAAZHJzL2Rvd25y&#10;ZXYueG1sTI/BTsMwEETvSPyDtUjcqN2IpG2IU1UITkiINBw4OrGbWI3XIXbb8Pcsp3Ic7dPM22I7&#10;u4GdzRSsRwnLhQBmsPXaYifhs359WAMLUaFWg0cj4ccE2Ja3N4XKtb9gZc772DEqwZArCX2MY855&#10;aHvjVFj40SDdDn5yKlKcOq4ndaFyN/BEiIw7ZZEWejWa5960x/3JSdh9YfViv9+bj+pQ2breCHzL&#10;jlLe3827J2DRzPEKw58+qUNJTo0/oQ5soPyYZIRKSFciAUZEmqxTYI2EVbbcAC8L/v+H8hcAAP//&#10;AwBQSwECLQAUAAYACAAAACEAtoM4kv4AAADhAQAAEwAAAAAAAAAAAAAAAAAAAAAAW0NvbnRlbnRf&#10;VHlwZXNdLnhtbFBLAQItABQABgAIAAAAIQA4/SH/1gAAAJQBAAALAAAAAAAAAAAAAAAAAC8BAABf&#10;cmVscy8ucmVsc1BLAQItABQABgAIAAAAIQBDcfCl8wEAAMQDAAAOAAAAAAAAAAAAAAAAAC4CAABk&#10;cnMvZTJvRG9jLnhtbFBLAQItABQABgAIAAAAIQBENDT04AAAAAsBAAAPAAAAAAAAAAAAAAAAAE0E&#10;AABkcnMvZG93bnJldi54bWxQSwUGAAAAAAQABADzAAAAWgUAAAAA&#10;" filled="f" stroked="f">
                <v:textbox inset="0,0,0,0">
                  <w:txbxContent>
                    <w:p w14:paraId="4012799C" w14:textId="77777777" w:rsidR="00490F33" w:rsidRDefault="00490F33">
                      <w:pPr>
                        <w:spacing w:line="239" w:lineRule="exact"/>
                        <w:textAlignment w:val="baseline"/>
                        <w:rPr>
                          <w:rFonts w:ascii="Tahoma" w:eastAsia="Tahoma" w:hAnsi="Tahoma"/>
                          <w:color w:val="424041"/>
                          <w:spacing w:val="6"/>
                          <w:sz w:val="18"/>
                        </w:rPr>
                      </w:pPr>
                      <w:r>
                        <w:rPr>
                          <w:rFonts w:ascii="Tahoma" w:eastAsia="Tahoma" w:hAnsi="Tahoma"/>
                          <w:color w:val="424041"/>
                          <w:spacing w:val="6"/>
                          <w:sz w:val="18"/>
                        </w:rPr>
                        <w:t>The school is a proud contributor to breaking the cycle of intergenerational unemployment and helping young people re-engage with education. Since opening its doors in 2007, the college has sourced and supported over 1,000 apprenticeship/traineeship commencements across a wide array of trades and industries.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7200" behindDoc="1" locked="0" layoutInCell="1" allowOverlap="1" wp14:anchorId="1297F1A6" wp14:editId="6A1E226D">
                <wp:simplePos x="0" y="0"/>
                <wp:positionH relativeFrom="page">
                  <wp:posOffset>4182110</wp:posOffset>
                </wp:positionH>
                <wp:positionV relativeFrom="page">
                  <wp:posOffset>4637405</wp:posOffset>
                </wp:positionV>
                <wp:extent cx="2423160" cy="1668780"/>
                <wp:effectExtent l="0" t="0" r="0" b="0"/>
                <wp:wrapSquare wrapText="bothSides"/>
                <wp:docPr id="67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F62C" w14:textId="77777777" w:rsidR="00490F33" w:rsidRDefault="00490F33">
                            <w:pPr>
                              <w:spacing w:line="238" w:lineRule="exact"/>
                              <w:textAlignment w:val="baseline"/>
                              <w:rPr>
                                <w:rFonts w:ascii="Tahoma" w:eastAsia="Tahoma" w:hAnsi="Tahoma"/>
                                <w:color w:val="424041"/>
                                <w:spacing w:val="6"/>
                                <w:sz w:val="18"/>
                              </w:rPr>
                            </w:pPr>
                            <w:r>
                              <w:rPr>
                                <w:rFonts w:ascii="Tahoma" w:eastAsia="Tahoma" w:hAnsi="Tahoma"/>
                                <w:color w:val="424041"/>
                                <w:spacing w:val="6"/>
                                <w:sz w:val="18"/>
                              </w:rPr>
                              <w:t>In 2017, the college became South Australia’s first and only P-TECH school, one of 13 in the country, as part of the Australian Government’s $5.1 million investment. The Pathways in Technology (P-TECH) program aims to provide an industry-supported pathway for young people to achieve a qualification that strengthens their employment prospects. For more information, see the P-TECH case study on page 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7F1A6" id="Text Box 391" o:spid="_x0000_s1187" type="#_x0000_t202" style="position:absolute;margin-left:329.3pt;margin-top:365.15pt;width:190.8pt;height:131.4pt;z-index:-251809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vi8AEAAMQDAAAOAAAAZHJzL2Uyb0RvYy54bWysU1Fv0zAQfkfiP1h+p2k6lJWo6TQ2DSEN&#10;hrTxAxzHbiwSnzm7Tcqv5+w0ZbC3iRfr7Dt//r7vzpurse/YQaE3YCueL5acKSuhMXZX8e9Pd+/W&#10;nPkgbCM6sKriR+X51fbtm83gSrWCFrpGISMQ68vBVbwNwZVZ5mWreuEX4JSlpAbsRaAt7rIGxUDo&#10;fZetlssiGwAbhyCV93R6OyX5NuFrrWR40NqrwLqKE7eQVkxrHddsuxHlDoVrjTzREK9g0Qtj6dEz&#10;1K0Igu3RvIDqjUTwoMNCQp+B1kaqpIHU5Mt/1Dy2wqmkhczx7myT/3+w8uvhGzLTVLy4JH+s6KlJ&#10;T2oM7COM7OJDHh0anC+p8NFRaRgpQZ1Oar27B/nDMws3rbA7dY0IQ6tEQwzTzezZ1QnHR5B6+AIN&#10;PST2ARLQqLGP9pEhjNCJyfHcnUhG0uHq/eoiLyglKZcXxfpynfqXiXK+7tCHTwp6FoOKI7U/wYvD&#10;vQ8khErnkviahTvTdWkEOvvXARXGk0Q/Mp64h7Eek1d5cfalhuZIihCm0aKvQEEL+Iuzgcaq4v7n&#10;XqDirPtsyZU4g3OAc1DPgbCSrlY8cDaFN2Ga1b1Ds2sJefLdwjU5p03SFC2eWJwI06gkqaexjrP4&#10;fJ+q/ny+7W8AAAD//wMAUEsDBBQABgAIAAAAIQA7fy4v4QAAAAwBAAAPAAAAZHJzL2Rvd25yZXYu&#10;eG1sTI/BTsMwEETvSPyDtUjcqN0GQhPiVBWCExIiDQeOTrxNrMbrELtt+HvcExxX8zTzttjMdmAn&#10;nLxxJGG5EMCQWqcNdRI+69e7NTAfFGk1OEIJP+hhU15fFSrX7kwVnnahY7GEfK4k9CGMOee+7dEq&#10;v3AjUsz2brIqxHPquJ7UOZbbga+ESLlVhuJCr0Z87rE97I5WwvaLqhfz/d58VPvK1HUm6C09SHl7&#10;M2+fgAWcwx8MF/2oDmV0atyRtGeDhPRhnUZUwmMiEmAXQtyLFbBGQpYlS+Blwf8/Uf4CAAD//wMA&#10;UEsBAi0AFAAGAAgAAAAhALaDOJL+AAAA4QEAABMAAAAAAAAAAAAAAAAAAAAAAFtDb250ZW50X1R5&#10;cGVzXS54bWxQSwECLQAUAAYACAAAACEAOP0h/9YAAACUAQAACwAAAAAAAAAAAAAAAAAvAQAAX3Jl&#10;bHMvLnJlbHNQSwECLQAUAAYACAAAACEAThCL4vABAADEAwAADgAAAAAAAAAAAAAAAAAuAgAAZHJz&#10;L2Uyb0RvYy54bWxQSwECLQAUAAYACAAAACEAO38uL+EAAAAMAQAADwAAAAAAAAAAAAAAAABKBAAA&#10;ZHJzL2Rvd25yZXYueG1sUEsFBgAAAAAEAAQA8wAAAFgFAAAAAA==&#10;" filled="f" stroked="f">
                <v:textbox inset="0,0,0,0">
                  <w:txbxContent>
                    <w:p w14:paraId="0F59F62C" w14:textId="77777777" w:rsidR="00490F33" w:rsidRDefault="00490F33">
                      <w:pPr>
                        <w:spacing w:line="238" w:lineRule="exact"/>
                        <w:textAlignment w:val="baseline"/>
                        <w:rPr>
                          <w:rFonts w:ascii="Tahoma" w:eastAsia="Tahoma" w:hAnsi="Tahoma"/>
                          <w:color w:val="424041"/>
                          <w:spacing w:val="6"/>
                          <w:sz w:val="18"/>
                        </w:rPr>
                      </w:pPr>
                      <w:r>
                        <w:rPr>
                          <w:rFonts w:ascii="Tahoma" w:eastAsia="Tahoma" w:hAnsi="Tahoma"/>
                          <w:color w:val="424041"/>
                          <w:spacing w:val="6"/>
                          <w:sz w:val="18"/>
                        </w:rPr>
                        <w:t>In 2017, the college became South Australia’s first and only P-TECH school, one of 13 in the country, as part of the Australian Government’s $5.1 million investment. The Pathways in Technology (P-TECH) program aims to provide an industry-supported pathway for young people to achieve a qualification that strengthens their employment prospects. For more information, see the P-TECH case study on page 91.</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8224" behindDoc="1" locked="0" layoutInCell="1" allowOverlap="1" wp14:anchorId="211BA77C" wp14:editId="3CF50B80">
                <wp:simplePos x="0" y="0"/>
                <wp:positionH relativeFrom="page">
                  <wp:posOffset>905510</wp:posOffset>
                </wp:positionH>
                <wp:positionV relativeFrom="page">
                  <wp:posOffset>4949825</wp:posOffset>
                </wp:positionV>
                <wp:extent cx="2462530" cy="1828800"/>
                <wp:effectExtent l="0" t="0" r="0" b="0"/>
                <wp:wrapSquare wrapText="bothSides"/>
                <wp:docPr id="669"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AF838" w14:textId="77777777" w:rsidR="00490F33" w:rsidRDefault="00490F33">
                            <w:pPr>
                              <w:spacing w:line="239" w:lineRule="exact"/>
                              <w:textAlignment w:val="baseline"/>
                              <w:rPr>
                                <w:rFonts w:ascii="Tahoma" w:eastAsia="Tahoma" w:hAnsi="Tahoma"/>
                                <w:color w:val="424041"/>
                                <w:spacing w:val="4"/>
                                <w:sz w:val="18"/>
                              </w:rPr>
                            </w:pPr>
                            <w:r>
                              <w:rPr>
                                <w:rFonts w:ascii="Tahoma" w:eastAsia="Tahoma" w:hAnsi="Tahoma"/>
                                <w:color w:val="424041"/>
                                <w:spacing w:val="4"/>
                                <w:sz w:val="18"/>
                              </w:rPr>
                              <w:t>St Patrick’s is closely partnered with, and guided by, industry. Its main charter is to assist students in completing senior secondary school while undertaking VET either at school or with an employer, through an apprenticeship or traineeship. Students achieve the South Australian Certificate of Education (SACE) via a tailored, trade-focused curriculum. SACE subjects are created by the college, with direct input from industry and in association with TAFE SA, to specifically support 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BA77C" id="Text Box 390" o:spid="_x0000_s1188" type="#_x0000_t202" style="position:absolute;margin-left:71.3pt;margin-top:389.75pt;width:193.9pt;height:2in;z-index:-251808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EBt8wEAAMQDAAAOAAAAZHJzL2Uyb0RvYy54bWysU9tu2zAMfR+wfxD0vthxtyA14hRdiw4D&#10;ugvQ7gMYWY6F2aJGKbGzrx8lJ2m3vRV9ESiROjrnkFpdjX0n9pq8QVvJ+SyXQluFtbHbSv54vHu3&#10;lMIHsDV0aHUlD9rLq/XbN6vBlbrAFrtak2AQ68vBVbINwZVZ5lWre/AzdNpyskHqIfCWtllNMDB6&#10;32VFni+yAal2hEp7z6e3U1KuE37TaBW+NY3XQXSVZG4hrZTWTVyz9QrKLYFrjTrSgBew6MFYfvQM&#10;dQsBxI7Mf1C9UYQemzBT2GfYNEbppIHVzPN/1Dy04HTSwuZ4d7bJvx6s+rr/TsLUlVwsLqWw0HOT&#10;HvUYxEccxcVlcmhwvuTCB8elYeQEdzqp9e4e1U8vLN60YLf6mgiHVkPNDOfR2+zZ1dgTX/oIshm+&#10;YM0PwS5gAhob6qN9bIhgdO7U4dydSEbxYfF+UXy44JTi3HxZLJd5YpdBebruyIdPGnsRg0oStz/B&#10;w/7eh0gHylNJfM3inem6NAKd/euAC+NJoh8ZT9zDuBmTV/NFEdVFPRusD6yIcBot/goctEi/pRh4&#10;rCrpf+2AtBTdZ8uuxBk8BXQKNqcArOKrlQxSTOFNmGZ158hsW0aefLd4zc41Jml6YnEkzKOSpB7H&#10;Os7i832qevp86z8AAAD//wMAUEsDBBQABgAIAAAAIQC5gnan4AAAAAwBAAAPAAAAZHJzL2Rvd25y&#10;ZXYueG1sTI/BTsMwEETvSPyDtUjcqE1pEhriVBWCExIiDQeOTuwmVuN1iN02/D3LqRxH8zT7ttjM&#10;bmAnMwXrUcL9QgAz2HptsZPwWb/ePQILUaFWg0cj4ccE2JTXV4XKtT9jZU672DEawZArCX2MY855&#10;aHvjVFj40SB1ez85FSlOHdeTOtO4G/hSiJQ7ZZEu9Go0z71pD7ujk7D9wurFfr83H9W+snW9FviW&#10;HqS8vZm3T8CimeMFhj99UoeSnBp/RB3YQHm1TAmVkGXrBBgRyYNYAWuoEmmWAC8L/v+J8hcAAP//&#10;AwBQSwECLQAUAAYACAAAACEAtoM4kv4AAADhAQAAEwAAAAAAAAAAAAAAAAAAAAAAW0NvbnRlbnRf&#10;VHlwZXNdLnhtbFBLAQItABQABgAIAAAAIQA4/SH/1gAAAJQBAAALAAAAAAAAAAAAAAAAAC8BAABf&#10;cmVscy8ucmVsc1BLAQItABQABgAIAAAAIQCO6EBt8wEAAMQDAAAOAAAAAAAAAAAAAAAAAC4CAABk&#10;cnMvZTJvRG9jLnhtbFBLAQItABQABgAIAAAAIQC5gnan4AAAAAwBAAAPAAAAAAAAAAAAAAAAAE0E&#10;AABkcnMvZG93bnJldi54bWxQSwUGAAAAAAQABADzAAAAWgUAAAAA&#10;" filled="f" stroked="f">
                <v:textbox inset="0,0,0,0">
                  <w:txbxContent>
                    <w:p w14:paraId="51AAF838" w14:textId="77777777" w:rsidR="00490F33" w:rsidRDefault="00490F33">
                      <w:pPr>
                        <w:spacing w:line="239" w:lineRule="exact"/>
                        <w:textAlignment w:val="baseline"/>
                        <w:rPr>
                          <w:rFonts w:ascii="Tahoma" w:eastAsia="Tahoma" w:hAnsi="Tahoma"/>
                          <w:color w:val="424041"/>
                          <w:spacing w:val="4"/>
                          <w:sz w:val="18"/>
                        </w:rPr>
                      </w:pPr>
                      <w:r>
                        <w:rPr>
                          <w:rFonts w:ascii="Tahoma" w:eastAsia="Tahoma" w:hAnsi="Tahoma"/>
                          <w:color w:val="424041"/>
                          <w:spacing w:val="4"/>
                          <w:sz w:val="18"/>
                        </w:rPr>
                        <w:t>St Patrick’s is closely partnered with, and guided by, industry. Its main charter is to assist students in completing senior secondary school while undertaking VET either at school or with an employer, through an apprenticeship or traineeship. Students achieve the South Australian Certificate of Education (SACE) via a tailored, trade-focused curriculum. SACE subjects are created by the college, with direct input from industry and in association with TAFE SA, to specifically support VET.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09248" behindDoc="1" locked="0" layoutInCell="1" allowOverlap="1" wp14:anchorId="1FC703F8" wp14:editId="30F00C19">
                <wp:simplePos x="0" y="0"/>
                <wp:positionH relativeFrom="page">
                  <wp:posOffset>905510</wp:posOffset>
                </wp:positionH>
                <wp:positionV relativeFrom="page">
                  <wp:posOffset>6892925</wp:posOffset>
                </wp:positionV>
                <wp:extent cx="2334260" cy="1666875"/>
                <wp:effectExtent l="0" t="0" r="0" b="0"/>
                <wp:wrapSquare wrapText="bothSides"/>
                <wp:docPr id="668"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3FFC9" w14:textId="77777777" w:rsidR="00490F33" w:rsidRDefault="00490F33">
                            <w:pPr>
                              <w:spacing w:line="238" w:lineRule="exact"/>
                              <w:textAlignment w:val="baseline"/>
                              <w:rPr>
                                <w:rFonts w:ascii="Tahoma" w:eastAsia="Tahoma" w:hAnsi="Tahoma"/>
                                <w:color w:val="424041"/>
                                <w:spacing w:val="5"/>
                                <w:sz w:val="18"/>
                              </w:rPr>
                            </w:pPr>
                            <w:r>
                              <w:rPr>
                                <w:rFonts w:ascii="Tahoma" w:eastAsia="Tahoma" w:hAnsi="Tahoma"/>
                                <w:color w:val="424041"/>
                                <w:spacing w:val="5"/>
                                <w:sz w:val="18"/>
                              </w:rPr>
                              <w:t>The SACE curriculum at St Patrick’s has been developed specifically to support pre-vocational training. The educational model allows for complete integration of SACE with VET, with core subjects taught in a way that makes them relevant to each specific trade program. The college’s innovative integration of SACE, VET and work experience means students are able to complete their SACE requirements much earlier than in a traditional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703F8" id="Text Box 389" o:spid="_x0000_s1189" type="#_x0000_t202" style="position:absolute;margin-left:71.3pt;margin-top:542.75pt;width:183.8pt;height:131.25pt;z-index:-251807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7Q8QEAAMQDAAAOAAAAZHJzL2Uyb0RvYy54bWysU9tu2zAMfR+wfxD0vjiXzeuMOEXXosOA&#10;rhvQ7gMYWY6F2aJGKbGzrx8lx1m7vg17ESiSOjw8pNaXQ9eKgyZv0JZyMZtLoa3CythdKb8/3r65&#10;kMIHsBW0aHUpj9rLy83rV+veFXqJDbaVJsEg1he9K2UTgiuyzKtGd+Bn6LTlYI3UQeAr7bKKoGf0&#10;rs2W83me9UiVI1Tae/bejEG5Sfh1rVX4WtdeB9GWkrmFdFI6t/HMNmsodgSuMepEA/6BRQfGctEz&#10;1A0EEHsyL6A6owg91mGmsMuwro3SqQfuZjH/q5uHBpxOvbA43p1l8v8PVt0fvpEwVSnznEdloeMh&#10;PeohiI84iNXFh6hQ73zBiQ+OU8PAAZ506ta7O1Q/vLB43YDd6Ssi7BsNFTNcxJfZk6cjjo8g2/4L&#10;VlwI9gET0FBTF+VjQQSj86SO5+lEMoqdy9Xq7TLnkOLYIme+79+lGlBMzx358EljJ6JRSuLxJ3g4&#10;3PkQ6UAxpcRqFm9N26YVaO0zBydGT6IfGY/cw7AdklaLfDXpssXqyB0RjqvFX4GNBumXFD2vVSn9&#10;zz2QlqL9bFmVuIOTQZOxnQywip+WMkgxmtdh3NW9I7NrGHnU3eIVK1eb1FOUeGRxIsyrklo9rXXc&#10;xaf3lPXn821+AwAA//8DAFBLAwQUAAYACAAAACEAJ2PLpOEAAAANAQAADwAAAGRycy9kb3ducmV2&#10;LnhtbEyPwU7DMBBE70j8g7VI3Kjd0EQhxKkqBCckRBoOHJ3YTazG6xC7bfh7lhPcdnZHs2/K7eJG&#10;djZzsB4lrFcCmMHOa4u9hI/m5S4HFqJCrUaPRsK3CbCtrq9KVWh/wdqc97FnFIKhUBKGGKeC89AN&#10;xqmw8pNBuh387FQkOfdcz+pC4W7kiRAZd8oifRjUZJ4G0x33Jydh94n1s/16a9/rQ22b5kHga3aU&#10;8vZm2T0Ci2aJf2b4xSd0qIip9SfUgY2kN0lGVhpEnqbAyJKuRQKspdX9JhfAq5L/b1H9AAAA//8D&#10;AFBLAQItABQABgAIAAAAIQC2gziS/gAAAOEBAAATAAAAAAAAAAAAAAAAAAAAAABbQ29udGVudF9U&#10;eXBlc10ueG1sUEsBAi0AFAAGAAgAAAAhADj9If/WAAAAlAEAAAsAAAAAAAAAAAAAAAAALwEAAF9y&#10;ZWxzLy5yZWxzUEsBAi0AFAAGAAgAAAAhAGT6vtDxAQAAxAMAAA4AAAAAAAAAAAAAAAAALgIAAGRy&#10;cy9lMm9Eb2MueG1sUEsBAi0AFAAGAAgAAAAhACdjy6ThAAAADQEAAA8AAAAAAAAAAAAAAAAASwQA&#10;AGRycy9kb3ducmV2LnhtbFBLBQYAAAAABAAEAPMAAABZBQAAAAA=&#10;" filled="f" stroked="f">
                <v:textbox inset="0,0,0,0">
                  <w:txbxContent>
                    <w:p w14:paraId="78E3FFC9" w14:textId="77777777" w:rsidR="00490F33" w:rsidRDefault="00490F33">
                      <w:pPr>
                        <w:spacing w:line="238" w:lineRule="exact"/>
                        <w:textAlignment w:val="baseline"/>
                        <w:rPr>
                          <w:rFonts w:ascii="Tahoma" w:eastAsia="Tahoma" w:hAnsi="Tahoma"/>
                          <w:color w:val="424041"/>
                          <w:spacing w:val="5"/>
                          <w:sz w:val="18"/>
                        </w:rPr>
                      </w:pPr>
                      <w:r>
                        <w:rPr>
                          <w:rFonts w:ascii="Tahoma" w:eastAsia="Tahoma" w:hAnsi="Tahoma"/>
                          <w:color w:val="424041"/>
                          <w:spacing w:val="5"/>
                          <w:sz w:val="18"/>
                        </w:rPr>
                        <w:t>The SACE curriculum at St Patrick’s has been developed specifically to support pre-vocational training. The educational model allows for complete integration of SACE with VET, with core subjects taught in a way that makes them relevant to each specific trade program. The college’s innovative integration of SACE, VET and work experience means students are able to complete their SACE requirements much earlier than in a traditional school.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10272" behindDoc="1" locked="0" layoutInCell="1" allowOverlap="1" wp14:anchorId="040CEE1B" wp14:editId="7F173F2C">
                <wp:simplePos x="0" y="0"/>
                <wp:positionH relativeFrom="page">
                  <wp:posOffset>905510</wp:posOffset>
                </wp:positionH>
                <wp:positionV relativeFrom="page">
                  <wp:posOffset>8676005</wp:posOffset>
                </wp:positionV>
                <wp:extent cx="2179320" cy="449580"/>
                <wp:effectExtent l="0" t="0" r="0" b="0"/>
                <wp:wrapSquare wrapText="bothSides"/>
                <wp:docPr id="66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56AC2" w14:textId="77777777" w:rsidR="00490F33" w:rsidRDefault="00490F33">
                            <w:pPr>
                              <w:spacing w:line="231" w:lineRule="exact"/>
                              <w:textAlignment w:val="baseline"/>
                              <w:rPr>
                                <w:rFonts w:ascii="Tahoma" w:eastAsia="Tahoma" w:hAnsi="Tahoma"/>
                                <w:color w:val="424041"/>
                                <w:sz w:val="18"/>
                              </w:rPr>
                            </w:pPr>
                            <w:r>
                              <w:rPr>
                                <w:rFonts w:ascii="Tahoma" w:eastAsia="Tahoma" w:hAnsi="Tahoma"/>
                                <w:color w:val="424041"/>
                                <w:sz w:val="18"/>
                              </w:rPr>
                              <w:t>Every aspect of the college, from staff to facilities, programs and timetabling, is designed to combine VET and SACE into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CEE1B" id="Text Box 388" o:spid="_x0000_s1190" type="#_x0000_t202" style="position:absolute;margin-left:71.3pt;margin-top:683.15pt;width:171.6pt;height:35.4pt;z-index:-251806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Kb8gEAAMMDAAAOAAAAZHJzL2Uyb0RvYy54bWysU9tu2zAMfR+wfxD0vjhJszQ14hRdiw4D&#10;ugvQ7gMYWY6F2aJGKbGzrx8lx1m7vg17EShejg4PqfV13zbioMkbtIWcTaZSaKuwNHZXyO9P9+9W&#10;UvgAtoQGrS7kUXt5vXn7Zt25XM+xxqbUJBjE+rxzhaxDcHmWeVXrFvwEnbYcrJBaCHylXVYSdIze&#10;Ntl8Ol1mHVLpCJX2nr13Q1BuEn5VaRW+VpXXQTSFZG4hnZTObTyzzRryHYGrjTrRgH9g0YKx/OgZ&#10;6g4CiD2ZV1CtUYQeqzBR2GZYVUbp1AN3M5v+1c1jDU6nXlgc784y+f8Hq74cvpEwZSGXy0spLLQ8&#10;pCfdB/EBe3GxWkWFOudzTnx0nBp6DvCkU7fePaD64YXF2xrsTt8QYVdrKJnhLFZmz0oHHB9Btt1n&#10;LPkh2AdMQH1FbZSPBRGMzpM6nqcTySh2zmeXVxdzDimOLRZX71dpfBnkY7UjHz5qbEU0Ckk8/YQO&#10;hwcfIhvIx5T4mMV70zRpAxr7wsGJ0ZPYR8ID9dBv+yTVbLkYZdlieeSGCIfN4p/ARo30S4qOt6qQ&#10;/uceSEvRfLIsSlzB0aDR2I4GWMWlhQxSDOZtGFZ178jsakYeZLd4w8JVJvUUFR5YnAjzpqRWT1sd&#10;V/H5PWX9+Xub3wAAAP//AwBQSwMEFAAGAAgAAAAhAA/TsqrhAAAADQEAAA8AAABkcnMvZG93bnJl&#10;di54bWxMj8FOwzAQRO9I/IO1SL1Rp00xJcSpqgpOSIg0HDg6sZtYjdchdtvw92xPcNvRPM3O5JvJ&#10;9exsxmA9SljME2AGG68tthI+q9f7NbAQFWrVezQSfkyATXF7k6tM+wuW5ryPLaMQDJmS0MU4ZJyH&#10;pjNOhbkfDJJ38KNTkeTYcj2qC4W7ni+TRHCnLNKHTg1m15nmuD85CdsvLF/s93v9UR5KW1VPCb6J&#10;o5Szu2n7DCyaKf7BcK1P1aGgTrU/oQ6sJ71aCkLpSIVIgRGyWj/QmvrqpY8L4EXO/68ofgEAAP//&#10;AwBQSwECLQAUAAYACAAAACEAtoM4kv4AAADhAQAAEwAAAAAAAAAAAAAAAAAAAAAAW0NvbnRlbnRf&#10;VHlwZXNdLnhtbFBLAQItABQABgAIAAAAIQA4/SH/1gAAAJQBAAALAAAAAAAAAAAAAAAAAC8BAABf&#10;cmVscy8ucmVsc1BLAQItABQABgAIAAAAIQAcQkKb8gEAAMMDAAAOAAAAAAAAAAAAAAAAAC4CAABk&#10;cnMvZTJvRG9jLnhtbFBLAQItABQABgAIAAAAIQAP07Kq4QAAAA0BAAAPAAAAAAAAAAAAAAAAAEwE&#10;AABkcnMvZG93bnJldi54bWxQSwUGAAAAAAQABADzAAAAWgUAAAAA&#10;" filled="f" stroked="f">
                <v:textbox inset="0,0,0,0">
                  <w:txbxContent>
                    <w:p w14:paraId="60A56AC2" w14:textId="77777777" w:rsidR="00490F33" w:rsidRDefault="00490F33">
                      <w:pPr>
                        <w:spacing w:line="231" w:lineRule="exact"/>
                        <w:textAlignment w:val="baseline"/>
                        <w:rPr>
                          <w:rFonts w:ascii="Tahoma" w:eastAsia="Tahoma" w:hAnsi="Tahoma"/>
                          <w:color w:val="424041"/>
                          <w:sz w:val="18"/>
                        </w:rPr>
                      </w:pPr>
                      <w:r>
                        <w:rPr>
                          <w:rFonts w:ascii="Tahoma" w:eastAsia="Tahoma" w:hAnsi="Tahoma"/>
                          <w:color w:val="424041"/>
                          <w:sz w:val="18"/>
                        </w:rPr>
                        <w:t>Every aspect of the college, from staff to facilities, programs and timetabling, is designed to combine VET and SACE into</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11296" behindDoc="1" locked="0" layoutInCell="1" allowOverlap="1" wp14:anchorId="39DF721F" wp14:editId="4C29E1E8">
                <wp:simplePos x="0" y="0"/>
                <wp:positionH relativeFrom="page">
                  <wp:posOffset>4184650</wp:posOffset>
                </wp:positionH>
                <wp:positionV relativeFrom="page">
                  <wp:posOffset>8826500</wp:posOffset>
                </wp:positionV>
                <wp:extent cx="1862455" cy="226060"/>
                <wp:effectExtent l="0" t="0" r="0" b="0"/>
                <wp:wrapSquare wrapText="bothSides"/>
                <wp:docPr id="66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DE4F2" w14:textId="77777777" w:rsidR="00490F33" w:rsidRDefault="00490F33">
                            <w:pPr>
                              <w:spacing w:line="178" w:lineRule="exact"/>
                              <w:jc w:val="both"/>
                              <w:textAlignment w:val="baseline"/>
                              <w:rPr>
                                <w:rFonts w:ascii="Tahoma" w:eastAsia="Tahoma" w:hAnsi="Tahoma"/>
                                <w:color w:val="000000"/>
                                <w:sz w:val="14"/>
                              </w:rPr>
                            </w:pPr>
                            <w:r>
                              <w:rPr>
                                <w:rFonts w:ascii="Tahoma" w:eastAsia="Tahoma" w:hAnsi="Tahoma"/>
                                <w:color w:val="000000"/>
                                <w:sz w:val="14"/>
                              </w:rPr>
                              <w:t xml:space="preserve">Source: St Patrick’s Technical College website, </w:t>
                            </w:r>
                            <w:hyperlink r:id="rId186">
                              <w:r>
                                <w:rPr>
                                  <w:rFonts w:ascii="Tahoma" w:eastAsia="Tahoma" w:hAnsi="Tahoma"/>
                                  <w:color w:val="0000FF"/>
                                  <w:sz w:val="14"/>
                                  <w:u w:val="single"/>
                                </w:rPr>
                                <w:t>https://www.stpatstech.sa.edu.au</w:t>
                              </w:r>
                            </w:hyperlink>
                            <w:r>
                              <w:rPr>
                                <w:rFonts w:ascii="Tahoma" w:eastAsia="Tahoma" w:hAnsi="Tahoma"/>
                                <w:color w:val="00000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721F" id="Text Box 387" o:spid="_x0000_s1191" type="#_x0000_t202" style="position:absolute;margin-left:329.5pt;margin-top:695pt;width:146.65pt;height:17.8pt;z-index:-251805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Zv8QEAAMMDAAAOAAAAZHJzL2Uyb0RvYy54bWysU9tu2zAMfR+wfxD0vjjJFi8w4hRdiw4D&#10;ugvQ7gMYWY6F2aJGKbGzrx8lx1m3vhV7ESiRPDw8pDZXQ9eKoyZv0JZyMZtLoa3Cyth9Kb8/3r1Z&#10;S+ED2ApatLqUJ+3l1fb1q03vCr3EBttKk2AQ64velbIJwRVZ5lWjO/AzdNqys0bqIPCV9llF0DN6&#10;12bL+TzPeqTKESrtPb/ejk65Tfh1rVX4WtdeB9GWkrmFdFI6d/HMthso9gSuMepMA17AogNjuegF&#10;6hYCiAOZZ1CdUYQe6zBT2GVY10bp1AN3s5j/081DA06nXlgc7y4y+f8Hq74cv5EwVSnzPJfCQsdD&#10;etRDEB9wEG/X76NCvfMFBz44Dg0DO3jSqVvv7lH98MLiTQN2r6+JsG80VMxwETOzJ6kjjo8gu/4z&#10;VlwIDgET0FBTF+VjQQSj86ROl+lEMiqWXOfLd6uVFIp9y2U+z9P4MiimbEc+fNTYiWiUknj6CR2O&#10;9z5ENlBMIbGYxTvTtmkDWvvXAwfGl8Q+Eh6ph2E3JKkW+WqSZYfViRsiHDeLfwIbDdIvKXreqlL6&#10;nwcgLUX7ybIocQUngyZjNxlgFaeWMkgxmjdhXNWDI7NvGHmU3eI1C1eb1FNUeGRxJsybklo9b3Vc&#10;xaf3FPXn721/AwAA//8DAFBLAwQUAAYACAAAACEAeHhMYuEAAAANAQAADwAAAGRycy9kb3ducmV2&#10;LnhtbEyPwU7DMBBE70j8g7VI3KhNSiIS4lQVghMSIg0Hjk7sJlbjdYjdNvw9y6ncdndGs2/KzeJG&#10;djJzsB4l3K8EMIOd1xZ7CZ/N690jsBAVajV6NBJ+TIBNdX1VqkL7M9bmtIs9oxAMhZIwxDgVnIdu&#10;ME6FlZ8Mkrb3s1OR1rnnelZnCncjT4TIuFMW6cOgJvM8mO6wOzoJ2y+sX+z3e/tR72vbNLnAt+wg&#10;5e3Nsn0CFs0SL2b4wyd0qIip9UfUgY0SsjSnLpGEdS5oIkueJmtgLZ0ekjQDXpX8f4vqFwAA//8D&#10;AFBLAQItABQABgAIAAAAIQC2gziS/gAAAOEBAAATAAAAAAAAAAAAAAAAAAAAAABbQ29udGVudF9U&#10;eXBlc10ueG1sUEsBAi0AFAAGAAgAAAAhADj9If/WAAAAlAEAAAsAAAAAAAAAAAAAAAAALwEAAF9y&#10;ZWxzLy5yZWxzUEsBAi0AFAAGAAgAAAAhAAHdRm/xAQAAwwMAAA4AAAAAAAAAAAAAAAAALgIAAGRy&#10;cy9lMm9Eb2MueG1sUEsBAi0AFAAGAAgAAAAhAHh4TGLhAAAADQEAAA8AAAAAAAAAAAAAAAAASwQA&#10;AGRycy9kb3ducmV2LnhtbFBLBQYAAAAABAAEAPMAAABZBQAAAAA=&#10;" filled="f" stroked="f">
                <v:textbox inset="0,0,0,0">
                  <w:txbxContent>
                    <w:p w14:paraId="4CCDE4F2" w14:textId="77777777" w:rsidR="00490F33" w:rsidRDefault="00490F33">
                      <w:pPr>
                        <w:spacing w:line="178" w:lineRule="exact"/>
                        <w:jc w:val="both"/>
                        <w:textAlignment w:val="baseline"/>
                        <w:rPr>
                          <w:rFonts w:ascii="Tahoma" w:eastAsia="Tahoma" w:hAnsi="Tahoma"/>
                          <w:color w:val="000000"/>
                          <w:sz w:val="14"/>
                        </w:rPr>
                      </w:pPr>
                      <w:r>
                        <w:rPr>
                          <w:rFonts w:ascii="Tahoma" w:eastAsia="Tahoma" w:hAnsi="Tahoma"/>
                          <w:color w:val="000000"/>
                          <w:sz w:val="14"/>
                        </w:rPr>
                        <w:t xml:space="preserve">Source: St Patrick’s Technical College website, </w:t>
                      </w:r>
                      <w:hyperlink r:id="rId187">
                        <w:r>
                          <w:rPr>
                            <w:rFonts w:ascii="Tahoma" w:eastAsia="Tahoma" w:hAnsi="Tahoma"/>
                            <w:color w:val="0000FF"/>
                            <w:sz w:val="14"/>
                            <w:u w:val="single"/>
                          </w:rPr>
                          <w:t>https://www.stpatstech.sa.edu.au</w:t>
                        </w:r>
                      </w:hyperlink>
                      <w:r>
                        <w:rPr>
                          <w:rFonts w:ascii="Tahoma" w:eastAsia="Tahoma" w:hAnsi="Tahoma"/>
                          <w:color w:val="000000"/>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12320" behindDoc="1" locked="0" layoutInCell="1" allowOverlap="1" wp14:anchorId="7DCC6887" wp14:editId="25D30EC9">
                <wp:simplePos x="0" y="0"/>
                <wp:positionH relativeFrom="page">
                  <wp:posOffset>5114290</wp:posOffset>
                </wp:positionH>
                <wp:positionV relativeFrom="page">
                  <wp:posOffset>9686925</wp:posOffset>
                </wp:positionV>
                <wp:extent cx="1908175" cy="144780"/>
                <wp:effectExtent l="0" t="0" r="0" b="0"/>
                <wp:wrapSquare wrapText="bothSides"/>
                <wp:docPr id="66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31700" w14:textId="77777777" w:rsidR="00490F33" w:rsidRDefault="00490F33">
                            <w:pPr>
                              <w:tabs>
                                <w:tab w:val="right" w:pos="3024"/>
                              </w:tabs>
                              <w:spacing w:after="19" w:line="206" w:lineRule="exact"/>
                              <w:textAlignment w:val="baseline"/>
                              <w:rPr>
                                <w:rFonts w:ascii="Tahoma" w:eastAsia="Tahoma" w:hAnsi="Tahoma"/>
                                <w:color w:val="424041"/>
                                <w:sz w:val="14"/>
                              </w:rPr>
                            </w:pPr>
                            <w:r>
                              <w:rPr>
                                <w:rFonts w:ascii="Tahoma" w:eastAsia="Tahoma" w:hAnsi="Tahoma"/>
                                <w:color w:val="424041"/>
                                <w:sz w:val="14"/>
                              </w:rPr>
                              <w:t>Chapter 3: VET and the world of work</w:t>
                            </w:r>
                            <w:r>
                              <w:rPr>
                                <w:rFonts w:ascii="Arial" w:eastAsia="Arial" w:hAnsi="Arial"/>
                                <w:b/>
                                <w:color w:val="5556A0"/>
                                <w:sz w:val="19"/>
                              </w:rPr>
                              <w:tab/>
                              <w:t>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C6887" id="Text Box 386" o:spid="_x0000_s1192" type="#_x0000_t202" style="position:absolute;margin-left:402.7pt;margin-top:762.75pt;width:150.25pt;height:11.4pt;z-index:-251804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bdk8AEAAMMDAAAOAAAAZHJzL2Uyb0RvYy54bWysU9tu2zAMfR+wfxD0vjjuujQz4hRdiw4D&#10;ugvQ7gNoWbaF2aJGKbGzrx8lJ1m3vQ17ESiRPDw8pDbX09CLvSZv0JYyXyyl0FZhbWxbyq9P96/W&#10;UvgAtoYerS7lQXt5vX35YjO6Ql9gh32tSTCI9cXoStmF4Ios86rTA/gFOm3Z2SANEPhKbVYTjIw+&#10;9NnFcrnKRqTaESrtPb/ezU65TfhNo1X43DReB9GXkrmFdFI6q3hm2w0ULYHrjDrSgH9gMYCxXPQM&#10;dQcBxI7MX1CDUYQem7BQOGTYNEbp1AN3ky//6OaxA6dTLyyOd2eZ/P+DVZ/2X0iYupSr1RspLAw8&#10;pCc9BfEOJ/F6vYoKjc4XHPjoODRM7OBJp269e0D1zQuLtx3YVt8Q4dhpqJlhHjOzZ6kzjo8g1fgR&#10;ay4Eu4AJaGpoiPKxIILReVKH83QiGRVLvl2u8ysmqdiXX15erdP4MihO2Y58eK9xENEoJfH0Ezrs&#10;H3yIbKA4hcRiFu9N36cN6O1vDxwYXxL7SHimHqZqSlLlq7MsFdYHbohw3iz+CWx0SD+kGHmrSum/&#10;74C0FP0Hy6LEFTwZdDKqkwFWcWopgxSzeRvmVd05Mm3HyLPsFm9YuMaknqLCM4sjYd6U1Opxq+Mq&#10;Pr+nqF9/b/sTAAD//wMAUEsDBBQABgAIAAAAIQDD0Tgh4QAAAA4BAAAPAAAAZHJzL2Rvd25yZXYu&#10;eG1sTI/BTsMwDIbvSLxDZCRuLNlYpq40nSYEJyREVw4c09ZrozVOabKtvD3pCY72/+n352w32Z5d&#10;cPTGkYLlQgBDql1jqFXwWb4+JMB80NTo3hEq+EEPu/z2JtNp465U4OUQWhZLyKdaQRfCkHLu6w6t&#10;9gs3IMXs6EarQxzHljejvsZy2/OVEBtutaF4odMDPndYnw5nq2D/RcWL+X6vPopjYcpyK+htc1Lq&#10;/m7aPwELOIU/GGb9qA55dKrcmRrPegWJkOuIxkCupAQ2I0sht8CqebdOHoHnGf//Rv4LAAD//wMA&#10;UEsBAi0AFAAGAAgAAAAhALaDOJL+AAAA4QEAABMAAAAAAAAAAAAAAAAAAAAAAFtDb250ZW50X1R5&#10;cGVzXS54bWxQSwECLQAUAAYACAAAACEAOP0h/9YAAACUAQAACwAAAAAAAAAAAAAAAAAvAQAAX3Jl&#10;bHMvLnJlbHNQSwECLQAUAAYACAAAACEAO4m3ZPABAADDAwAADgAAAAAAAAAAAAAAAAAuAgAAZHJz&#10;L2Uyb0RvYy54bWxQSwECLQAUAAYACAAAACEAw9E4IeEAAAAOAQAADwAAAAAAAAAAAAAAAABKBAAA&#10;ZHJzL2Rvd25yZXYueG1sUEsFBgAAAAAEAAQA8wAAAFgFAAAAAA==&#10;" filled="f" stroked="f">
                <v:textbox inset="0,0,0,0">
                  <w:txbxContent>
                    <w:p w14:paraId="33031700" w14:textId="77777777" w:rsidR="00490F33" w:rsidRDefault="00490F33">
                      <w:pPr>
                        <w:tabs>
                          <w:tab w:val="right" w:pos="3024"/>
                        </w:tabs>
                        <w:spacing w:after="19" w:line="206" w:lineRule="exact"/>
                        <w:textAlignment w:val="baseline"/>
                        <w:rPr>
                          <w:rFonts w:ascii="Tahoma" w:eastAsia="Tahoma" w:hAnsi="Tahoma"/>
                          <w:color w:val="424041"/>
                          <w:sz w:val="14"/>
                        </w:rPr>
                      </w:pPr>
                      <w:r>
                        <w:rPr>
                          <w:rFonts w:ascii="Tahoma" w:eastAsia="Tahoma" w:hAnsi="Tahoma"/>
                          <w:color w:val="424041"/>
                          <w:sz w:val="14"/>
                        </w:rPr>
                        <w:t>Chapter 3: VET and the world of work</w:t>
                      </w:r>
                      <w:r>
                        <w:rPr>
                          <w:rFonts w:ascii="Arial" w:eastAsia="Arial" w:hAnsi="Arial"/>
                          <w:b/>
                          <w:color w:val="5556A0"/>
                          <w:sz w:val="19"/>
                        </w:rPr>
                        <w:tab/>
                        <w:t>87</w:t>
                      </w:r>
                    </w:p>
                  </w:txbxContent>
                </v:textbox>
                <w10:wrap type="square" anchorx="page" anchory="page"/>
              </v:shape>
            </w:pict>
          </mc:Fallback>
        </mc:AlternateContent>
      </w:r>
    </w:p>
    <w:p w14:paraId="083DEE9E" w14:textId="77777777" w:rsidR="009757A9" w:rsidRDefault="009757A9">
      <w:pPr>
        <w:sectPr w:rsidR="009757A9">
          <w:pgSz w:w="11909" w:h="16838"/>
          <w:pgMar w:top="0" w:right="1440" w:bottom="0" w:left="1440" w:header="720" w:footer="720" w:gutter="0"/>
          <w:cols w:space="720"/>
        </w:sectPr>
      </w:pPr>
    </w:p>
    <w:p w14:paraId="1747C05E" w14:textId="77777777" w:rsidR="0091507A" w:rsidRDefault="0091507A">
      <w:pPr>
        <w:spacing w:before="24" w:line="242" w:lineRule="exact"/>
        <w:ind w:left="792"/>
        <w:textAlignment w:val="baseline"/>
        <w:rPr>
          <w:rFonts w:ascii="Arial" w:eastAsia="Arial" w:hAnsi="Arial"/>
          <w:b/>
          <w:color w:val="000000"/>
          <w:sz w:val="21"/>
        </w:rPr>
      </w:pPr>
    </w:p>
    <w:p w14:paraId="4AF7C56A" w14:textId="072AFD65" w:rsidR="009757A9" w:rsidRDefault="00083242">
      <w:pPr>
        <w:spacing w:before="24" w:line="242" w:lineRule="exact"/>
        <w:ind w:left="792"/>
        <w:textAlignment w:val="baseline"/>
        <w:rPr>
          <w:rFonts w:ascii="Arial" w:eastAsia="Arial" w:hAnsi="Arial"/>
          <w:b/>
          <w:color w:val="000000"/>
          <w:sz w:val="21"/>
        </w:rPr>
      </w:pPr>
      <w:r>
        <w:rPr>
          <w:rFonts w:ascii="Arial" w:eastAsia="Arial" w:hAnsi="Arial"/>
          <w:b/>
          <w:color w:val="000000"/>
          <w:sz w:val="21"/>
        </w:rPr>
        <w:t>Apprenticeships and traineeships</w:t>
      </w:r>
    </w:p>
    <w:p w14:paraId="1E5D5F2F" w14:textId="77777777" w:rsidR="009757A9" w:rsidRDefault="00083242">
      <w:pPr>
        <w:spacing w:before="161" w:line="240" w:lineRule="exact"/>
        <w:ind w:left="792" w:right="1368"/>
        <w:textAlignment w:val="baseline"/>
        <w:rPr>
          <w:rFonts w:ascii="Tahoma" w:eastAsia="Tahoma" w:hAnsi="Tahoma"/>
          <w:color w:val="404042"/>
          <w:spacing w:val="6"/>
          <w:sz w:val="18"/>
        </w:rPr>
      </w:pPr>
      <w:r>
        <w:rPr>
          <w:rFonts w:ascii="Tahoma" w:eastAsia="Tahoma" w:hAnsi="Tahoma"/>
          <w:color w:val="404042"/>
          <w:spacing w:val="6"/>
          <w:sz w:val="18"/>
        </w:rPr>
        <w:t>Apprenticeships combine on-the-job training with formal, nationally recognised qualifications. They have good employment outcomes. However, apprenticeships are being overlooked by many young people due to the stigma associated with VET, and the negative perceptions formed about vocational pathways in early high school.</w:t>
      </w:r>
      <w:r>
        <w:rPr>
          <w:rFonts w:ascii="Tahoma" w:eastAsia="Tahoma" w:hAnsi="Tahoma"/>
          <w:color w:val="404042"/>
          <w:spacing w:val="6"/>
          <w:sz w:val="18"/>
          <w:vertAlign w:val="superscript"/>
        </w:rPr>
        <w:t>119</w:t>
      </w:r>
      <w:r>
        <w:rPr>
          <w:rFonts w:ascii="Tahoma" w:eastAsia="Tahoma" w:hAnsi="Tahoma"/>
          <w:color w:val="404042"/>
          <w:spacing w:val="6"/>
          <w:sz w:val="10"/>
        </w:rPr>
        <w:t xml:space="preserve"> </w:t>
      </w:r>
      <w:r>
        <w:rPr>
          <w:rFonts w:ascii="Tahoma" w:eastAsia="Tahoma" w:hAnsi="Tahoma"/>
          <w:color w:val="404042"/>
          <w:spacing w:val="6"/>
          <w:sz w:val="18"/>
        </w:rPr>
        <w:t>Consequently, many young people rule out apprenticeships as an option before they even consider their value.</w:t>
      </w:r>
    </w:p>
    <w:p w14:paraId="7F194239" w14:textId="77777777" w:rsidR="009757A9" w:rsidRDefault="00083242">
      <w:pPr>
        <w:spacing w:before="172" w:line="238" w:lineRule="exact"/>
        <w:ind w:left="792" w:right="1008"/>
        <w:textAlignment w:val="baseline"/>
        <w:rPr>
          <w:rFonts w:ascii="Tahoma" w:eastAsia="Tahoma" w:hAnsi="Tahoma"/>
          <w:color w:val="404042"/>
          <w:sz w:val="18"/>
        </w:rPr>
      </w:pPr>
      <w:r>
        <w:rPr>
          <w:rFonts w:ascii="Tahoma" w:eastAsia="Tahoma" w:hAnsi="Tahoma"/>
          <w:color w:val="404042"/>
          <w:sz w:val="18"/>
        </w:rPr>
        <w:t>This is unfortunate. The apprenticeship and traineeship model offers strong employment prospects, with lower unemployment rates for those who have completed a Certificate III or IV than those who have only attained Year 12.</w:t>
      </w:r>
      <w:r>
        <w:rPr>
          <w:rFonts w:ascii="Tahoma" w:eastAsia="Tahoma" w:hAnsi="Tahoma"/>
          <w:color w:val="404042"/>
          <w:sz w:val="18"/>
          <w:vertAlign w:val="superscript"/>
        </w:rPr>
        <w:t>120</w:t>
      </w:r>
      <w:r>
        <w:rPr>
          <w:rFonts w:ascii="Tahoma" w:eastAsia="Tahoma" w:hAnsi="Tahoma"/>
          <w:color w:val="404042"/>
          <w:sz w:val="10"/>
        </w:rPr>
        <w:t xml:space="preserve"> </w:t>
      </w:r>
    </w:p>
    <w:p w14:paraId="070E6EBC" w14:textId="77777777" w:rsidR="009757A9" w:rsidRDefault="00083242">
      <w:pPr>
        <w:spacing w:before="173" w:line="240" w:lineRule="exact"/>
        <w:ind w:left="792" w:right="936"/>
        <w:textAlignment w:val="baseline"/>
        <w:rPr>
          <w:rFonts w:ascii="Tahoma" w:eastAsia="Tahoma" w:hAnsi="Tahoma"/>
          <w:color w:val="404042"/>
          <w:spacing w:val="6"/>
          <w:sz w:val="18"/>
        </w:rPr>
      </w:pPr>
      <w:r>
        <w:rPr>
          <w:rFonts w:ascii="Tahoma" w:eastAsia="Tahoma" w:hAnsi="Tahoma"/>
          <w:color w:val="404042"/>
          <w:spacing w:val="6"/>
          <w:sz w:val="18"/>
        </w:rPr>
        <w:t>Yet despite positive employment outcomes and the fact that several industries have reported a national skills shortage (many in traditional trade roles), 56 per cent of students still do not consider an apprenticeship when leaving school. Indeed, 43 per cent of students were either not sure if their school did, or were sure their school did not, offer school-based apprenticeships.</w:t>
      </w:r>
      <w:r>
        <w:rPr>
          <w:rFonts w:ascii="Tahoma" w:eastAsia="Tahoma" w:hAnsi="Tahoma"/>
          <w:color w:val="404042"/>
          <w:spacing w:val="6"/>
          <w:sz w:val="18"/>
          <w:vertAlign w:val="superscript"/>
        </w:rPr>
        <w:t>121</w:t>
      </w:r>
      <w:r>
        <w:rPr>
          <w:rFonts w:ascii="Tahoma" w:eastAsia="Tahoma" w:hAnsi="Tahoma"/>
          <w:color w:val="404042"/>
          <w:spacing w:val="6"/>
          <w:sz w:val="10"/>
        </w:rPr>
        <w:t xml:space="preserve"> </w:t>
      </w:r>
    </w:p>
    <w:p w14:paraId="21C669F7" w14:textId="53DBEC9D" w:rsidR="001A0CCE" w:rsidRDefault="00083242" w:rsidP="001A0CCE">
      <w:pPr>
        <w:spacing w:before="165" w:after="473" w:line="240" w:lineRule="exact"/>
        <w:ind w:left="792" w:right="936"/>
        <w:jc w:val="both"/>
        <w:textAlignment w:val="baseline"/>
        <w:rPr>
          <w:rFonts w:ascii="Tahoma" w:eastAsia="Tahoma" w:hAnsi="Tahoma"/>
          <w:color w:val="404042"/>
          <w:sz w:val="18"/>
        </w:rPr>
      </w:pPr>
      <w:r>
        <w:rPr>
          <w:rFonts w:ascii="Tahoma" w:eastAsia="Tahoma" w:hAnsi="Tahoma"/>
          <w:color w:val="404042"/>
          <w:sz w:val="18"/>
        </w:rPr>
        <w:t>Student perceptions are one explanation for the precipitous decline in apprenticeship uptake. Between 2012 and 2018, the total number of apprentices and trainees nearly halved from 515,000 to 269,700.</w:t>
      </w:r>
      <w:r>
        <w:rPr>
          <w:rFonts w:ascii="Tahoma" w:eastAsia="Tahoma" w:hAnsi="Tahoma"/>
          <w:color w:val="404042"/>
          <w:sz w:val="18"/>
          <w:vertAlign w:val="superscript"/>
        </w:rPr>
        <w:t>122</w:t>
      </w:r>
      <w:r>
        <w:rPr>
          <w:rFonts w:ascii="Tahoma" w:eastAsia="Tahoma" w:hAnsi="Tahoma"/>
          <w:color w:val="404042"/>
          <w:sz w:val="18"/>
        </w:rPr>
        <w:t xml:space="preserve"> From 2014 to 2018, the number of school-based apprentices and trainees declined.</w:t>
      </w:r>
      <w:r>
        <w:rPr>
          <w:rFonts w:ascii="Tahoma" w:eastAsia="Tahoma" w:hAnsi="Tahoma"/>
          <w:color w:val="404042"/>
          <w:sz w:val="18"/>
          <w:vertAlign w:val="superscript"/>
        </w:rPr>
        <w:t>123</w:t>
      </w:r>
      <w:r>
        <w:rPr>
          <w:rFonts w:ascii="Tahoma" w:eastAsia="Tahoma" w:hAnsi="Tahoma"/>
          <w:color w:val="404042"/>
          <w:sz w:val="18"/>
        </w:rPr>
        <w:t xml:space="preserve"> In 2018, school-based apprentices represented just 8 per cent of all VET in Schools students.</w:t>
      </w:r>
    </w:p>
    <w:p w14:paraId="4DCA5D0D" w14:textId="77777777" w:rsidR="009757A9" w:rsidRDefault="000D2E34">
      <w:pPr>
        <w:spacing w:before="102" w:line="300" w:lineRule="exact"/>
        <w:ind w:left="1296" w:right="1800"/>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11680" behindDoc="0" locked="0" layoutInCell="1" allowOverlap="1" wp14:anchorId="2CEB05B8" wp14:editId="4F472F5F">
                <wp:simplePos x="0" y="0"/>
                <wp:positionH relativeFrom="page">
                  <wp:posOffset>826135</wp:posOffset>
                </wp:positionH>
                <wp:positionV relativeFrom="page">
                  <wp:posOffset>3724910</wp:posOffset>
                </wp:positionV>
                <wp:extent cx="5907405" cy="0"/>
                <wp:effectExtent l="0" t="0" r="0" b="0"/>
                <wp:wrapNone/>
                <wp:docPr id="664"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69F34" id="Line 385" o:spid="_x0000_s1026" style="position:absolute;z-index:2519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93.3pt" to="530.2pt,2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xM0QEAAIYDAAAOAAAAZHJzL2Uyb0RvYy54bWysU01v2zAMvQ/YfxB0X+y0SdoYcXpI1l2y&#10;LUC7H8BIsi1MFgVJiZN/P0r5aLfdhl0EySQf33ukF0/H3rCD8kGjrfl4VHKmrECpbVvzH6/Pnx45&#10;CxGsBINW1fykAn9afvywGFyl7rBDI5VnBGJDNbiadzG6qiiC6FQPYYROWQo26HuI9PRtIT0MhN6b&#10;4q4sZ8WAXjqPQoVAX9fnIF9m/KZRIn5vmqAiMzUnbjGfPp+7dBbLBVStB9dpcaEB/8CiB22p6Q1q&#10;DRHY3uu/oHotPAZs4khgX2DTaKGyBlIzLv9Q89KBU1kLmRPczabw/2DFt8PWMy1rPptNOLPQ05A2&#10;2ip2/zhN7gwuVJS0sluf9ImjfXEbFD8Ds7jqwLYqs3w9OSocp4rit5L0CI567IavKCkH9hGzVcfG&#10;9wmSTGDHPJHTbSLqGJmgj9N5+TApp5yJa6yA6lrofIhfFPYsXWpuiHUGhsMmxEQEqmtK6mPxWRuT&#10;B24sG0jx/bTMBQGNlimY0oJvdyvj2QHSypQP8/kkq6LI+7SEvIbQnfNy6LxMHvdW5i6dAvn5co+g&#10;zflOrIy9uJSMOVu8Q3na+qt7NOxM/7KYaZvev3P12++z/AUAAP//AwBQSwMEFAAGAAgAAAAhAMUI&#10;90DcAAAADAEAAA8AAABkcnMvZG93bnJldi54bWxMj8FOwzAMhu9IvENkJG4sGbBqKk0nNLTTLrAh&#10;cfUa0xYap2qyrnt7PAkJjr/96ffnYjX5To00xDawhfnMgCKugmu5tvC+39wtQcWE7LALTBbOFGFV&#10;Xl8VmLtw4jcad6lWUsIxRwtNSn2udawa8hhnoSeW3WcYPCaJQ63dgCcp952+NybTHluWCw32tG6o&#10;+t4dvYUNmv2r227DV/xYnNeYtHuh0drbm+n5CVSiKf3BcNEXdSjF6RCO7KLqJD+YuaAWFsssA3Uh&#10;TGYeQR1+R7os9P8nyh8AAAD//wMAUEsBAi0AFAAGAAgAAAAhALaDOJL+AAAA4QEAABMAAAAAAAAA&#10;AAAAAAAAAAAAAFtDb250ZW50X1R5cGVzXS54bWxQSwECLQAUAAYACAAAACEAOP0h/9YAAACUAQAA&#10;CwAAAAAAAAAAAAAAAAAvAQAAX3JlbHMvLnJlbHNQSwECLQAUAAYACAAAACEAEEPsTNEBAACGAwAA&#10;DgAAAAAAAAAAAAAAAAAuAgAAZHJzL2Uyb0RvYy54bWxQSwECLQAUAAYACAAAACEAxQj3QN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“Far fewer young people pursue apprenticeships and traineeships than attend university. Australian students who complete Year 12 are almost ten times as likely to begin a Bachelor’s degree than an apprenticeship (50.6% vs 5.7%, as of 2018). This means that young people’s perceptions of what is ‘normal’ may exclude apprenticeships and traineeships.”</w:t>
      </w:r>
    </w:p>
    <w:p w14:paraId="67608A05" w14:textId="77777777" w:rsidR="009757A9" w:rsidRDefault="00083242">
      <w:pPr>
        <w:spacing w:before="42" w:after="216" w:line="255" w:lineRule="exact"/>
        <w:ind w:left="7848"/>
        <w:textAlignment w:val="baseline"/>
        <w:rPr>
          <w:rFonts w:ascii="Tahoma" w:eastAsia="Tahoma" w:hAnsi="Tahoma"/>
          <w:i/>
          <w:color w:val="007994"/>
          <w:spacing w:val="-5"/>
          <w:sz w:val="21"/>
        </w:rPr>
      </w:pPr>
      <w:r>
        <w:rPr>
          <w:rFonts w:ascii="Tahoma" w:eastAsia="Tahoma" w:hAnsi="Tahoma"/>
          <w:i/>
          <w:color w:val="007994"/>
          <w:spacing w:val="-5"/>
          <w:sz w:val="21"/>
        </w:rPr>
        <w:t>Behavioural Insights Team</w:t>
      </w:r>
      <w:r>
        <w:rPr>
          <w:rFonts w:ascii="Tahoma" w:eastAsia="Tahoma" w:hAnsi="Tahoma"/>
          <w:i/>
          <w:color w:val="007994"/>
          <w:spacing w:val="-5"/>
          <w:sz w:val="21"/>
          <w:vertAlign w:val="superscript"/>
        </w:rPr>
        <w:t>124</w:t>
      </w:r>
      <w:r>
        <w:rPr>
          <w:rFonts w:ascii="Tahoma" w:eastAsia="Tahoma" w:hAnsi="Tahoma"/>
          <w:i/>
          <w:color w:val="007994"/>
          <w:spacing w:val="-5"/>
          <w:sz w:val="12"/>
        </w:rPr>
        <w:t xml:space="preserve"> </w:t>
      </w:r>
    </w:p>
    <w:p w14:paraId="7D9BDAE6" w14:textId="77777777" w:rsidR="009757A9" w:rsidRDefault="000D2E34">
      <w:pPr>
        <w:spacing w:before="467" w:line="240" w:lineRule="exact"/>
        <w:ind w:left="792" w:right="936"/>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912704" behindDoc="0" locked="0" layoutInCell="1" allowOverlap="1" wp14:anchorId="78F12CF2" wp14:editId="57562D29">
                <wp:simplePos x="0" y="0"/>
                <wp:positionH relativeFrom="page">
                  <wp:posOffset>826135</wp:posOffset>
                </wp:positionH>
                <wp:positionV relativeFrom="page">
                  <wp:posOffset>4885690</wp:posOffset>
                </wp:positionV>
                <wp:extent cx="5907405" cy="0"/>
                <wp:effectExtent l="0" t="0" r="0" b="0"/>
                <wp:wrapNone/>
                <wp:docPr id="663"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B1DB" id="Line 384" o:spid="_x0000_s1026" style="position:absolute;z-index:25191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84.7pt" to="530.2pt,3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GS0AEAAIYDAAAOAAAAZHJzL2Uyb0RvYy54bWysU01v2zAMvQ/YfxB0X+w0TdoYcXpI1l2y&#10;LUC7H8BIsi1MFgVJiZN/P0r56Lrdhl0ESiQfHx+pxdOxN+ygfNBoaz4elZwpK1Bq29b8x+vzp0fO&#10;QgQrwaBVNT+pwJ+WHz8sBlepO+zQSOUZgdhQDa7mXYyuKoogOtVDGKFTlpwN+h4iXX1bSA8Dofem&#10;uCvLWTGgl86jUCHQ6/rs5MuM3zRKxO9NE1RkpubELebT53OXzmK5gKr14DotLjTgH1j0oC0VvUGt&#10;IQLbe/0XVK+Fx4BNHAnsC2waLVTugboZl39089KBU7kXEie4m0zh/8GKb4etZ1rWfDabcGahpyFt&#10;tFVs8nif1BlcqChoZbc+9SeO9sVtUPwMzOKqA9uqzPL15ChxnDKKdynpEhzV2A1fUVIM7CNmqY6N&#10;7xMkicCOeSKn20TUMTJBj9N5+XBfTjkTV18B1TXR+RC/KOxZMmpuiHUGhsMmxEQEqmtIqmPxWRuT&#10;B24sG6jjybTMCQGNlsmZwoJvdyvj2QHSypQP83nWgcDehSXkNYTuHJdd52XyuLcyV+kUyM8XO4I2&#10;Z5uAjL2olIQ5S7xDedr6q3o07Ez/sphpm36/5+y377P8BQAA//8DAFBLAwQUAAYACAAAACEA2eJi&#10;etwAAAAMAQAADwAAAGRycy9kb3ducmV2LnhtbEyPT0/DMAzF70h8h8hI3Fgy/hQoTSc0tNMusCFx&#10;9RrTFhqnarKu+/Z4EhLc/Oyn598rFpPv1EhDbANbmM8MKOIquJZrC+/b1dUDqJiQHXaBycKRIizK&#10;87MCcxcO/EbjJtVKQjjmaKFJqc+1jlVDHuMs9MRy+wyDxyRyqLUb8CDhvtPXxmTaY8vyocGelg1V&#10;35u9t7BCs31163X4ih93xyUm7V5otPbyYnp+ApVoSn9mOOELOpTCtAt7dlF1om/MXKwW7rPHW1An&#10;h8mMTLvflS4L/b9E+QMAAP//AwBQSwECLQAUAAYACAAAACEAtoM4kv4AAADhAQAAEwAAAAAAAAAA&#10;AAAAAAAAAAAAW0NvbnRlbnRfVHlwZXNdLnhtbFBLAQItABQABgAIAAAAIQA4/SH/1gAAAJQBAAAL&#10;AAAAAAAAAAAAAAAAAC8BAABfcmVscy8ucmVsc1BLAQItABQABgAIAAAAIQDfpqGS0AEAAIYDAAAO&#10;AAAAAAAAAAAAAAAAAC4CAABkcnMvZTJvRG9jLnhtbFBLAQItABQABgAIAAAAIQDZ4mJ6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pacing w:val="5"/>
          <w:sz w:val="18"/>
        </w:rPr>
        <w:t>What is going wrong? School-based apprentices and trainees face formidable barriers. Schools often find it difficult to provide adequate release for work placements due to school timetabling challenges. There is the stigma associated with poor perception of apprenticeships. Teachers and schools often lack the resources to establish the apprenticeship or traineeship. Engagement with employers can be difficult.</w:t>
      </w:r>
    </w:p>
    <w:p w14:paraId="5F2997C6" w14:textId="77777777" w:rsidR="009757A9" w:rsidRDefault="00083242">
      <w:pPr>
        <w:spacing w:before="173" w:after="1867" w:line="240" w:lineRule="exact"/>
        <w:ind w:left="792" w:right="1008"/>
        <w:textAlignment w:val="baseline"/>
        <w:rPr>
          <w:rFonts w:ascii="Tahoma" w:eastAsia="Tahoma" w:hAnsi="Tahoma"/>
          <w:color w:val="404042"/>
          <w:spacing w:val="6"/>
          <w:sz w:val="18"/>
        </w:rPr>
      </w:pPr>
      <w:r>
        <w:rPr>
          <w:rFonts w:ascii="Tahoma" w:eastAsia="Tahoma" w:hAnsi="Tahoma"/>
          <w:color w:val="404042"/>
          <w:spacing w:val="6"/>
          <w:sz w:val="18"/>
        </w:rPr>
        <w:t>There are also challenges from the employer’s perspective. According to the NSW Business Chamber Workforce Skills Survey, only 9 per cent of businesses reported employing a school-based apprentice or trainee. Key reasons cited for the low rate of school-based apprentices were attributed to a lack of information, inadequate time to supervise, job requirements not aligning with the age of apprentices, or restrictions on the amount of time school students could be in the workplace.</w:t>
      </w:r>
      <w:r>
        <w:rPr>
          <w:rFonts w:ascii="Tahoma" w:eastAsia="Tahoma" w:hAnsi="Tahoma"/>
          <w:color w:val="404042"/>
          <w:spacing w:val="6"/>
          <w:sz w:val="18"/>
          <w:vertAlign w:val="superscript"/>
        </w:rPr>
        <w:t>125</w:t>
      </w:r>
      <w:r>
        <w:rPr>
          <w:rFonts w:ascii="Tahoma" w:eastAsia="Tahoma" w:hAnsi="Tahoma"/>
          <w:color w:val="404042"/>
          <w:spacing w:val="6"/>
          <w:sz w:val="10"/>
        </w:rPr>
        <w:t xml:space="preserve"> </w:t>
      </w:r>
    </w:p>
    <w:p w14:paraId="59B06843" w14:textId="77777777" w:rsidR="009757A9" w:rsidRDefault="000D2E34">
      <w:pPr>
        <w:spacing w:before="79" w:line="172" w:lineRule="exact"/>
        <w:ind w:left="792"/>
        <w:textAlignment w:val="baseline"/>
        <w:rPr>
          <w:rFonts w:ascii="Tahoma" w:eastAsia="Tahoma" w:hAnsi="Tahoma"/>
          <w:color w:val="404042"/>
          <w:spacing w:val="3"/>
          <w:sz w:val="14"/>
        </w:rPr>
      </w:pPr>
      <w:r>
        <w:rPr>
          <w:noProof/>
          <w:lang w:val="en-AU" w:eastAsia="en-AU"/>
        </w:rPr>
        <mc:AlternateContent>
          <mc:Choice Requires="wps">
            <w:drawing>
              <wp:anchor distT="0" distB="0" distL="114300" distR="114300" simplePos="0" relativeHeight="251913728" behindDoc="0" locked="0" layoutInCell="1" allowOverlap="1" wp14:anchorId="200F5171" wp14:editId="06B423D6">
                <wp:simplePos x="0" y="0"/>
                <wp:positionH relativeFrom="page">
                  <wp:posOffset>539750</wp:posOffset>
                </wp:positionH>
                <wp:positionV relativeFrom="page">
                  <wp:posOffset>7854950</wp:posOffset>
                </wp:positionV>
                <wp:extent cx="917575" cy="0"/>
                <wp:effectExtent l="0" t="0" r="0" b="0"/>
                <wp:wrapNone/>
                <wp:docPr id="662"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39BD7" id="Line 383" o:spid="_x0000_s1026" style="position:absolute;z-index:25191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18.5pt" to="114.75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nHzgEAAIYDAAAOAAAAZHJzL2Uyb0RvYy54bWysU01v2zAMvQ/YfxB0X+ykSNoZcXpI1l2y&#10;LUDbH8BIsi1MFgVJiZ1/P0r5WLfehvkgiCL5+PhILx/H3rCj8kGjrfl0UnKmrECpbVvz15enTw+c&#10;hQhWgkGran5SgT+uPn5YDq5SM+zQSOUZgdhQDa7mXYyuKoogOtVDmKBTlpwN+h4imb4tpIeB0HtT&#10;zMpyUQzopfMoVAj0ujk7+SrjN40S8UfTBBWZqTlxi/n0+dyns1gtoWo9uE6LCw34BxY9aEtFb1Ab&#10;iMAOXr+D6rXwGLCJE4F9gU2jhco9UDfT8q9unjtwKvdC4gR3kyn8P1jx/bjzTMuaLxYzziz0NKSt&#10;tordPdwldQYXKgpa251P/YnRPrstip+BWVx3YFuVWb6cHCVOU0bxR0oygqMa++EbSoqBQ8Qs1dj4&#10;PkGSCGzMEzndJqLGyAQ9fp7ez+/nnImrq4Dqmud8iF8V9ixdam6IdMaF4zbExAOqa0gqY/FJG5Pn&#10;bSwbiOysXMxzRkCjZfKmuODb/dp4doS0MvnLXZHnbViC3kDoznHZdV4mjwcrc5lOgfxyuUfQ5nwn&#10;WsZeVErCnCXeozzt/FU9Gnbmf1nMtE1v7Zz9+/dZ/QIAAP//AwBQSwMEFAAGAAgAAAAhACl2Enzf&#10;AAAADAEAAA8AAABkcnMvZG93bnJldi54bWxMj0FPwzAMhe9I/IfISFwQSykblNJ0QpPgxgQDxI5e&#10;Y9qKxqmabC3/HnNAcLOfn56/Vywn16kDDaH1bOBiloAirrxtuTbw+nJ/noEKEdli55kMfFGAZXl8&#10;VGBu/cjPdNjEWkkIhxwNNDH2udahashhmPmeWG4ffnAYZR1qbQccJdx1Ok2SK+2wZfnQYE+rhqrP&#10;zd4Z0DrJ5tPb+/g4PwtZu13V24f1kzGnJ9PdLahIU/wzww++oEMpTDu/ZxtUZyBbSJUoenp5LZM4&#10;0vRmAWr3K+my0P9LlN8AAAD//wMAUEsBAi0AFAAGAAgAAAAhALaDOJL+AAAA4QEAABMAAAAAAAAA&#10;AAAAAAAAAAAAAFtDb250ZW50X1R5cGVzXS54bWxQSwECLQAUAAYACAAAACEAOP0h/9YAAACUAQAA&#10;CwAAAAAAAAAAAAAAAAAvAQAAX3JlbHMvLnJlbHNQSwECLQAUAAYACAAAACEAtca5x84BAACGAwAA&#10;DgAAAAAAAAAAAAAAAAAuAgAAZHJzL2Uyb0RvYy54bWxQSwECLQAUAAYACAAAACEAKXYSfN8AAAAM&#10;AQAADwAAAAAAAAAAAAAAAAAoBAAAZHJzL2Rvd25yZXYueG1sUEsFBgAAAAAEAAQA8wAAADQFAAAA&#10;AA==&#10;" strokeweight=".95pt">
                <w10:wrap anchorx="page" anchory="page"/>
              </v:line>
            </w:pict>
          </mc:Fallback>
        </mc:AlternateContent>
      </w:r>
      <w:r w:rsidR="00083242">
        <w:rPr>
          <w:rFonts w:ascii="Tahoma" w:eastAsia="Tahoma" w:hAnsi="Tahoma"/>
          <w:color w:val="404042"/>
          <w:spacing w:val="3"/>
          <w:sz w:val="14"/>
        </w:rPr>
        <w:t>119 Hargreaves and Osborne (2017), p. 5.</w:t>
      </w:r>
    </w:p>
    <w:p w14:paraId="5F9CAA4E" w14:textId="77777777" w:rsidR="009757A9" w:rsidRDefault="00083242">
      <w:pPr>
        <w:spacing w:line="199" w:lineRule="exact"/>
        <w:ind w:left="1080" w:right="864" w:hanging="288"/>
        <w:jc w:val="both"/>
        <w:textAlignment w:val="baseline"/>
        <w:rPr>
          <w:rFonts w:ascii="Tahoma" w:eastAsia="Tahoma" w:hAnsi="Tahoma"/>
          <w:color w:val="404042"/>
          <w:sz w:val="14"/>
        </w:rPr>
      </w:pPr>
      <w:r>
        <w:rPr>
          <w:rFonts w:ascii="Tahoma" w:eastAsia="Tahoma" w:hAnsi="Tahoma"/>
          <w:color w:val="404042"/>
          <w:sz w:val="14"/>
        </w:rPr>
        <w:t xml:space="preserve">120 Commonwealth Department of Education (2019a), ‘Benefits of educational attainment: Employment and income support’, </w:t>
      </w:r>
      <w:hyperlink r:id="rId188">
        <w:r>
          <w:rPr>
            <w:rFonts w:ascii="Tahoma" w:eastAsia="Tahoma" w:hAnsi="Tahoma"/>
            <w:color w:val="0000FF"/>
            <w:sz w:val="14"/>
            <w:u w:val="single"/>
          </w:rPr>
          <w:t>https://www.education. gov.au/employment-and-income-support</w:t>
        </w:r>
      </w:hyperlink>
      <w:r>
        <w:rPr>
          <w:rFonts w:ascii="Tahoma" w:eastAsia="Tahoma" w:hAnsi="Tahoma"/>
          <w:color w:val="404042"/>
          <w:sz w:val="14"/>
        </w:rPr>
        <w:t>.</w:t>
      </w:r>
    </w:p>
    <w:p w14:paraId="183E559E" w14:textId="77777777" w:rsidR="009757A9" w:rsidRDefault="00083242">
      <w:pPr>
        <w:spacing w:before="30" w:line="172" w:lineRule="exact"/>
        <w:ind w:left="792"/>
        <w:textAlignment w:val="baseline"/>
        <w:rPr>
          <w:rFonts w:ascii="Tahoma" w:eastAsia="Tahoma" w:hAnsi="Tahoma"/>
          <w:color w:val="404042"/>
          <w:spacing w:val="3"/>
          <w:sz w:val="14"/>
        </w:rPr>
      </w:pPr>
      <w:r>
        <w:rPr>
          <w:rFonts w:ascii="Tahoma" w:eastAsia="Tahoma" w:hAnsi="Tahoma"/>
          <w:color w:val="404042"/>
          <w:spacing w:val="3"/>
          <w:sz w:val="14"/>
        </w:rPr>
        <w:t>121 Shipley and Stubley (2018), p. 38.</w:t>
      </w:r>
    </w:p>
    <w:p w14:paraId="2A675BBA" w14:textId="77777777" w:rsidR="009757A9" w:rsidRDefault="00083242">
      <w:pPr>
        <w:spacing w:line="200" w:lineRule="exact"/>
        <w:ind w:left="1080" w:right="864" w:hanging="288"/>
        <w:textAlignment w:val="baseline"/>
        <w:rPr>
          <w:rFonts w:ascii="Tahoma" w:eastAsia="Tahoma" w:hAnsi="Tahoma"/>
          <w:color w:val="404042"/>
          <w:spacing w:val="5"/>
          <w:sz w:val="14"/>
        </w:rPr>
      </w:pPr>
      <w:r>
        <w:rPr>
          <w:rFonts w:ascii="Tahoma" w:eastAsia="Tahoma" w:hAnsi="Tahoma"/>
          <w:color w:val="404042"/>
          <w:spacing w:val="5"/>
          <w:sz w:val="14"/>
        </w:rPr>
        <w:t xml:space="preserve">122 National Centre for Vocational Education Research (2018), ‘Historical time series of apprenticeships and traineeships in Australia from 1963 to 2018’, 4 December 2018, Table 1, </w:t>
      </w:r>
      <w:hyperlink r:id="rId189">
        <w:r>
          <w:rPr>
            <w:rFonts w:ascii="Tahoma" w:eastAsia="Tahoma" w:hAnsi="Tahoma"/>
            <w:color w:val="0000FF"/>
            <w:spacing w:val="5"/>
            <w:sz w:val="14"/>
            <w:u w:val="single"/>
          </w:rPr>
          <w:t>https://www.ncver.edu.au/research-and-statistics/data/all-data/historical-time-series-of-apprenticeships-and-trai neeships-in-australia-from-1963-to-2018</w:t>
        </w:r>
      </w:hyperlink>
      <w:r>
        <w:rPr>
          <w:rFonts w:ascii="Tahoma" w:eastAsia="Tahoma" w:hAnsi="Tahoma"/>
          <w:color w:val="404042"/>
          <w:spacing w:val="5"/>
          <w:sz w:val="14"/>
        </w:rPr>
        <w:t>.</w:t>
      </w:r>
    </w:p>
    <w:p w14:paraId="5A36B36E" w14:textId="77777777" w:rsidR="009757A9" w:rsidRDefault="00083242">
      <w:pPr>
        <w:spacing w:before="30" w:line="169" w:lineRule="exact"/>
        <w:ind w:left="792"/>
        <w:textAlignment w:val="baseline"/>
        <w:rPr>
          <w:rFonts w:ascii="Tahoma" w:eastAsia="Tahoma" w:hAnsi="Tahoma"/>
          <w:color w:val="404042"/>
          <w:spacing w:val="5"/>
          <w:sz w:val="14"/>
        </w:rPr>
      </w:pPr>
      <w:r>
        <w:rPr>
          <w:rFonts w:ascii="Tahoma" w:eastAsia="Tahoma" w:hAnsi="Tahoma"/>
          <w:color w:val="404042"/>
          <w:spacing w:val="5"/>
          <w:sz w:val="14"/>
        </w:rPr>
        <w:t>123 National Centre for Vocational Education Research (2019b).</w:t>
      </w:r>
    </w:p>
    <w:p w14:paraId="7F8E5A06" w14:textId="77777777" w:rsidR="009757A9" w:rsidRDefault="00083242">
      <w:pPr>
        <w:spacing w:before="28" w:line="171" w:lineRule="exact"/>
        <w:ind w:left="792"/>
        <w:textAlignment w:val="baseline"/>
        <w:rPr>
          <w:rFonts w:ascii="Tahoma" w:eastAsia="Tahoma" w:hAnsi="Tahoma"/>
          <w:color w:val="404042"/>
          <w:spacing w:val="3"/>
          <w:sz w:val="14"/>
        </w:rPr>
      </w:pPr>
      <w:r>
        <w:rPr>
          <w:rFonts w:ascii="Tahoma" w:eastAsia="Tahoma" w:hAnsi="Tahoma"/>
          <w:color w:val="404042"/>
          <w:spacing w:val="3"/>
          <w:sz w:val="14"/>
        </w:rPr>
        <w:t>124 Behavioural Insights Team (2020), pp. 20–21.</w:t>
      </w:r>
    </w:p>
    <w:p w14:paraId="13209AEF" w14:textId="77777777" w:rsidR="009757A9" w:rsidRDefault="00083242">
      <w:pPr>
        <w:spacing w:before="3" w:line="200" w:lineRule="exact"/>
        <w:ind w:left="1080" w:right="864" w:hanging="288"/>
        <w:jc w:val="both"/>
        <w:textAlignment w:val="baseline"/>
        <w:rPr>
          <w:rFonts w:ascii="Tahoma" w:eastAsia="Tahoma" w:hAnsi="Tahoma"/>
          <w:color w:val="404042"/>
          <w:sz w:val="14"/>
        </w:rPr>
      </w:pPr>
      <w:r>
        <w:rPr>
          <w:rFonts w:ascii="Tahoma" w:eastAsia="Tahoma" w:hAnsi="Tahoma"/>
          <w:color w:val="404042"/>
          <w:sz w:val="14"/>
        </w:rPr>
        <w:t xml:space="preserve">125 NSW Business Chamber (2019), </w:t>
      </w:r>
      <w:r>
        <w:rPr>
          <w:rFonts w:ascii="Arial" w:eastAsia="Arial" w:hAnsi="Arial"/>
          <w:i/>
          <w:color w:val="404042"/>
          <w:sz w:val="14"/>
        </w:rPr>
        <w:t>Workforce Skills Survey 2019</w:t>
      </w:r>
      <w:r>
        <w:rPr>
          <w:rFonts w:ascii="Tahoma" w:eastAsia="Tahoma" w:hAnsi="Tahoma"/>
          <w:color w:val="404042"/>
          <w:sz w:val="14"/>
        </w:rPr>
        <w:t xml:space="preserve">, </w:t>
      </w:r>
      <w:hyperlink r:id="rId190">
        <w:r>
          <w:rPr>
            <w:rFonts w:ascii="Tahoma" w:eastAsia="Tahoma" w:hAnsi="Tahoma"/>
            <w:color w:val="0000FF"/>
            <w:sz w:val="14"/>
            <w:u w:val="single"/>
          </w:rPr>
          <w:t>https://www.nswbusinesschamber.com.au/NSWBC/media/Policy/Workplace%20Skills/ Recent%20submissions%20and%20publications/2019-Workforce-Skills-Survey-Report-FINAL_1.pdf</w:t>
        </w:r>
      </w:hyperlink>
      <w:r>
        <w:rPr>
          <w:rFonts w:ascii="Tahoma" w:eastAsia="Tahoma" w:hAnsi="Tahoma"/>
          <w:color w:val="404042"/>
          <w:sz w:val="14"/>
        </w:rPr>
        <w:t>.</w:t>
      </w:r>
    </w:p>
    <w:p w14:paraId="64E474F3" w14:textId="77777777" w:rsidR="009757A9" w:rsidRDefault="00083242">
      <w:pPr>
        <w:tabs>
          <w:tab w:val="left" w:pos="1368"/>
        </w:tabs>
        <w:spacing w:before="652" w:after="636" w:line="200" w:lineRule="exact"/>
        <w:ind w:left="792"/>
        <w:textAlignment w:val="baseline"/>
        <w:rPr>
          <w:rFonts w:ascii="Arial" w:eastAsia="Arial" w:hAnsi="Arial"/>
          <w:b/>
          <w:color w:val="5556A1"/>
          <w:spacing w:val="1"/>
          <w:sz w:val="19"/>
        </w:rPr>
      </w:pPr>
      <w:r>
        <w:rPr>
          <w:rFonts w:ascii="Arial" w:eastAsia="Arial" w:hAnsi="Arial"/>
          <w:b/>
          <w:color w:val="5556A1"/>
          <w:spacing w:val="1"/>
          <w:sz w:val="19"/>
        </w:rPr>
        <w:t>88</w:t>
      </w:r>
      <w:r>
        <w:rPr>
          <w:rFonts w:ascii="Tahoma" w:eastAsia="Tahoma" w:hAnsi="Tahoma"/>
          <w:color w:val="404042"/>
          <w:spacing w:val="1"/>
          <w:sz w:val="14"/>
        </w:rPr>
        <w:tab/>
        <w:t>Looking to the future</w:t>
      </w:r>
    </w:p>
    <w:p w14:paraId="2B677BF9" w14:textId="77777777" w:rsidR="009757A9" w:rsidRDefault="00083242">
      <w:pPr>
        <w:textAlignment w:val="baseline"/>
      </w:pPr>
      <w:r>
        <w:rPr>
          <w:noProof/>
          <w:lang w:val="en-AU" w:eastAsia="en-AU"/>
        </w:rPr>
        <w:drawing>
          <wp:inline distT="0" distB="0" distL="0" distR="0" wp14:anchorId="47CF7CAB" wp14:editId="7DEE813C">
            <wp:extent cx="7562215" cy="462915"/>
            <wp:effectExtent l="0" t="0" r="0" b="0"/>
            <wp:docPr id="140" name="Picture"/>
            <wp:cNvGraphicFramePr/>
            <a:graphic xmlns:a="http://schemas.openxmlformats.org/drawingml/2006/main">
              <a:graphicData uri="http://schemas.openxmlformats.org/drawingml/2006/picture">
                <pic:pic xmlns:pic="http://schemas.openxmlformats.org/drawingml/2006/picture">
                  <pic:nvPicPr>
                    <pic:cNvPr id="140"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3C0BD64D" w14:textId="77777777" w:rsidR="009757A9" w:rsidRDefault="009757A9">
      <w:pPr>
        <w:sectPr w:rsidR="009757A9">
          <w:pgSz w:w="11909" w:h="16838"/>
          <w:pgMar w:top="1080" w:right="0" w:bottom="0" w:left="0" w:header="720" w:footer="720" w:gutter="0"/>
          <w:cols w:space="720"/>
        </w:sectPr>
      </w:pPr>
    </w:p>
    <w:p w14:paraId="2D290F75" w14:textId="36ABA43A"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15392" behindDoc="1" locked="0" layoutInCell="1" allowOverlap="1" wp14:anchorId="52EA3A96" wp14:editId="4A68912E">
                <wp:simplePos x="0" y="0"/>
                <wp:positionH relativeFrom="page">
                  <wp:posOffset>0</wp:posOffset>
                </wp:positionH>
                <wp:positionV relativeFrom="page">
                  <wp:posOffset>685800</wp:posOffset>
                </wp:positionV>
                <wp:extent cx="7562215" cy="1212850"/>
                <wp:effectExtent l="0" t="0" r="0" b="0"/>
                <wp:wrapSquare wrapText="bothSides"/>
                <wp:docPr id="659"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21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1017A" w14:textId="77777777" w:rsidR="00490F33" w:rsidRDefault="00490F33">
                            <w:pPr>
                              <w:spacing w:after="460"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 Panel commissioned research by the Behavioural Insights Team to look at why students are not considering apprenticeships, and what could be done to overcome some of these behavioural issues. These actions include systemic-level interventions to ensure university is not regarded as the only ‘default’ pathway for senior secondary students, and changing the messaging to emphasise just how challenging and selective apprenticeships are. The report proposes actively identifying those students who may be suited to an apprenticeship, and providing them with access to positive role models and meaningful, engaging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A3A96" id="Text Box 380" o:spid="_x0000_s1193" type="#_x0000_t202" style="position:absolute;margin-left:0;margin-top:54pt;width:595.45pt;height:95.5pt;z-index:-251801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BL8wEAAMQDAAAOAAAAZHJzL2Uyb0RvYy54bWysU9tu2zAMfR+wfxD0vjj2kDQz4hRdiw4D&#10;ugvQ7gMYWY6F2aJGKbGzrx8lJ2m3vQ17ESiKOjrnkFpfj30nDpq8QVvJfDaXQluFtbG7Sn57un+z&#10;ksIHsDV0aHUlj9rL683rV+vBlbrAFrtak2AQ68vBVbINwZVZ5lWre/AzdNryYYPUQ+At7bKaYGD0&#10;vsuK+XyZDUi1I1Tae87eTYdyk/CbRqvwpWm8DqKrJHMLaaW0buOabdZQ7ghca9SJBvwDix6M5Ucv&#10;UHcQQOzJ/AXVG0XosQkzhX2GTWOUThpYTT7/Q81jC04nLWyOdxeb/P+DVZ8PX0mYupLLxTspLPTc&#10;pCc9BvEeR/F2lRwanC+58NFxaRj5gDud1Hr3gOq7FxZvW7A7fUOEQ6uhZoZ59DZ7cTX2xJc+gmyH&#10;T1jzQ7APmIDGhvpoHxsiGJ07dbx0J5JRnLxaLIsiX0ih+Cwv8mK1SOwyKM/XHfnwQWMvYlBJ4vYn&#10;eDg8+BDpQHkuia9ZvDddl0ags78luDBmEv3IeOIexu2YvMqXV1Fd1LPF+siKCKfR4q/AQYv0U4qB&#10;x6qS/sceSEvRfbTsSpzBc0DnYHsOwCq+WskgxRTehmlW947MrmXkyXeLN+xcY5KmZxYnwjwqSepp&#10;rOMsvtynqufPt/kFAAD//wMAUEsDBBQABgAIAAAAIQDpWt6z3QAAAAkBAAAPAAAAZHJzL2Rvd25y&#10;ZXYueG1sTI8xT8MwEIV3JP6DdUhs1G6HqglxqgrBhIRI04HRia+J1fgcYrcN/57rBNvdvad33yu2&#10;sx/EBafoAmlYLhQIpDZYR52GQ/32tAERkyFrhkCo4QcjbMv7u8LkNlypwss+dYJDKOZGQ5/SmEsZ&#10;2x69iYswIrF2DJM3idepk3YyVw73g1wptZbeOOIPvRnxpcf2tD97Dbsvql7d90fzWR0rV9eZovf1&#10;SevHh3n3DCLhnP7McMNndCiZqQlnslEMGrhI4qva8HCTl5nKQDQaVlmmQJaF/N+g/AUAAP//AwBQ&#10;SwECLQAUAAYACAAAACEAtoM4kv4AAADhAQAAEwAAAAAAAAAAAAAAAAAAAAAAW0NvbnRlbnRfVHlw&#10;ZXNdLnhtbFBLAQItABQABgAIAAAAIQA4/SH/1gAAAJQBAAALAAAAAAAAAAAAAAAAAC8BAABfcmVs&#10;cy8ucmVsc1BLAQItABQABgAIAAAAIQCnAaBL8wEAAMQDAAAOAAAAAAAAAAAAAAAAAC4CAABkcnMv&#10;ZTJvRG9jLnhtbFBLAQItABQABgAIAAAAIQDpWt6z3QAAAAkBAAAPAAAAAAAAAAAAAAAAAE0EAABk&#10;cnMvZG93bnJldi54bWxQSwUGAAAAAAQABADzAAAAVwUAAAAA&#10;" filled="f" stroked="f">
                <v:textbox inset="0,0,0,0">
                  <w:txbxContent>
                    <w:p w14:paraId="2CE1017A" w14:textId="77777777" w:rsidR="00490F33" w:rsidRDefault="00490F33">
                      <w:pPr>
                        <w:spacing w:after="460"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 Panel commissioned research by the Behavioural Insights Team to look at why students are not considering apprenticeships, and what could be done to overcome some of these behavioural issues. These actions include systemic-level interventions to ensure university is not regarded as the only ‘default’ pathway for senior secondary students, and changing the messaging to emphasise just how challenging and selective apprenticeships are. The report proposes actively identifying those students who may be suited to an apprenticeship, and providing them with access to positive role models and meaningful, engaging information.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17440" behindDoc="1" locked="0" layoutInCell="1" allowOverlap="1" wp14:anchorId="5A950EBA" wp14:editId="71C802E2">
                <wp:simplePos x="0" y="0"/>
                <wp:positionH relativeFrom="page">
                  <wp:posOffset>591820</wp:posOffset>
                </wp:positionH>
                <wp:positionV relativeFrom="page">
                  <wp:posOffset>2142490</wp:posOffset>
                </wp:positionV>
                <wp:extent cx="6384925" cy="1051560"/>
                <wp:effectExtent l="0" t="0" r="0" b="0"/>
                <wp:wrapSquare wrapText="bothSides"/>
                <wp:docPr id="657"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72713"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8</w:t>
                            </w:r>
                          </w:p>
                          <w:p w14:paraId="58C2A9E4" w14:textId="77777777" w:rsidR="00490F33" w:rsidRDefault="00490F33">
                            <w:pPr>
                              <w:spacing w:before="160" w:after="244" w:line="240" w:lineRule="exact"/>
                              <w:ind w:left="504" w:right="1008"/>
                              <w:textAlignment w:val="baseline"/>
                              <w:rPr>
                                <w:rFonts w:ascii="Tahoma" w:eastAsia="Tahoma" w:hAnsi="Tahoma"/>
                                <w:color w:val="404042"/>
                                <w:spacing w:val="5"/>
                                <w:sz w:val="18"/>
                              </w:rPr>
                            </w:pPr>
                            <w:r>
                              <w:rPr>
                                <w:rFonts w:ascii="Tahoma" w:eastAsia="Tahoma" w:hAnsi="Tahoma"/>
                                <w:color w:val="404042"/>
                                <w:spacing w:val="5"/>
                                <w:sz w:val="18"/>
                              </w:rPr>
                              <w:t>Vocational education and training (VET) should only be provided at school where it can be done in a high-quality way as demonstrated through the explicit endorsement of local employers or industry bodies, and if schools are unable to meet these requirements, they should support their students to undertake VET at an external registered training organisation.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50EBA" id="Text Box 378" o:spid="_x0000_s1194" type="#_x0000_t202" style="position:absolute;margin-left:46.6pt;margin-top:168.7pt;width:502.75pt;height:82.8pt;z-index:-251799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2d8wEAAMQDAAAOAAAAZHJzL2Uyb0RvYy54bWysU9tu2zAMfR+wfxD0vjhOlzQz4hRdiw4D&#10;um5Auw9gZDkWZosapcTOvn6UnGTt+jbsRaB4OTo8pFZXQ9eKvSZv0JYyn0yl0FZhZey2lN+f7t4t&#10;pfABbAUtWl3Kg/byav32zap3hZ5hg22lSTCI9UXvStmE4Ios86rRHfgJOm05WCN1EPhK26wi6Bm9&#10;a7PZdLrIeqTKESrtPXtvx6BcJ/y61ip8rWuvg2hLydxCOimdm3hm6xUUWwLXGHWkAf/AogNj+dEz&#10;1C0EEDsyr6A6owg91mGisMuwro3SqQfuJp/+1c1jA06nXlgc784y+f8Hqx7230iYqpSL+aUUFjoe&#10;0pMegviIg7i4XEaFeucLTnx0nBoGDvCkU7fe3aP64YXFmwbsVl8TYd9oqJhhHiuzZ6Ujjo8gm/4L&#10;VvwQ7AImoKGmLsrHgghG50kdztOJZBQ7FxfL9x9mcykUx/LpPJ8v0vwyKE7ljnz4pLET0Sgl8fgT&#10;POzvfYh0oDilxNcs3pm2TSvQ2hcOToyeRD8yHrmHYTMkrfLFWZcNVgfuiHBcLf4KbDRIv6Toea1K&#10;6X/ugLQU7WfLqsQdPBl0MjYnA6zi0lIGKUbzJoy7unNktg0jj7pbvGblapN6ihKPLI6EeVVSq8e1&#10;jrv4/J6y/ny+9W8AAAD//wMAUEsDBBQABgAIAAAAIQCYLYIM4QAAAAsBAAAPAAAAZHJzL2Rvd25y&#10;ZXYueG1sTI/BTsMwEETvSPyDtUi9UZsG2iZkU1UVnJAQaThwdGI3sRqvQ+y24e9xT3BczdPM23wz&#10;2Z6d9eiNI4SHuQCmqXHKUIvwWb3er4H5IEnJ3pFG+NEeNsXtTS4z5S5U6vM+tCyWkM8kQhfCkHHu&#10;m05b6edu0BSzgxutDPEcW65GeYnltucLIZbcSkNxoZOD3nW6Oe5PFmH7ReWL+X6vP8pDaaoqFfS2&#10;PCLO7qbtM7Cgp/AHw1U/qkMRnWp3IuVZj5Ami0giJMnqEdgVEOl6BaxGeBKJAF7k/P8PxS8AAAD/&#10;/wMAUEsBAi0AFAAGAAgAAAAhALaDOJL+AAAA4QEAABMAAAAAAAAAAAAAAAAAAAAAAFtDb250ZW50&#10;X1R5cGVzXS54bWxQSwECLQAUAAYACAAAACEAOP0h/9YAAACUAQAACwAAAAAAAAAAAAAAAAAvAQAA&#10;X3JlbHMvLnJlbHNQSwECLQAUAAYACAAAACEAwSq9nfMBAADEAwAADgAAAAAAAAAAAAAAAAAuAgAA&#10;ZHJzL2Uyb0RvYy54bWxQSwECLQAUAAYACAAAACEAmC2CDOEAAAALAQAADwAAAAAAAAAAAAAAAABN&#10;BAAAZHJzL2Rvd25yZXYueG1sUEsFBgAAAAAEAAQA8wAAAFsFAAAAAA==&#10;" filled="f" stroked="f">
                <v:textbox inset="0,0,0,0">
                  <w:txbxContent>
                    <w:p w14:paraId="03972713"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8</w:t>
                      </w:r>
                    </w:p>
                    <w:p w14:paraId="58C2A9E4" w14:textId="77777777" w:rsidR="00490F33" w:rsidRDefault="00490F33">
                      <w:pPr>
                        <w:spacing w:before="160" w:after="244" w:line="240" w:lineRule="exact"/>
                        <w:ind w:left="504" w:right="1008"/>
                        <w:textAlignment w:val="baseline"/>
                        <w:rPr>
                          <w:rFonts w:ascii="Tahoma" w:eastAsia="Tahoma" w:hAnsi="Tahoma"/>
                          <w:color w:val="404042"/>
                          <w:spacing w:val="5"/>
                          <w:sz w:val="18"/>
                        </w:rPr>
                      </w:pPr>
                      <w:r>
                        <w:rPr>
                          <w:rFonts w:ascii="Tahoma" w:eastAsia="Tahoma" w:hAnsi="Tahoma"/>
                          <w:color w:val="404042"/>
                          <w:spacing w:val="5"/>
                          <w:sz w:val="18"/>
                        </w:rPr>
                        <w:t>Vocational education and training (VET) should only be provided at school where it can be done in a high-quality way as demonstrated through the explicit endorsement of local employers or industry bodies, and if schools are unable to meet these requirements, they should support their students to undertake VET at an external registered training organisation.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0512" behindDoc="1" locked="0" layoutInCell="1" allowOverlap="1" wp14:anchorId="7CDCC84E" wp14:editId="4BBD09FE">
                <wp:simplePos x="0" y="0"/>
                <wp:positionH relativeFrom="page">
                  <wp:posOffset>932815</wp:posOffset>
                </wp:positionH>
                <wp:positionV relativeFrom="page">
                  <wp:posOffset>3742690</wp:posOffset>
                </wp:positionV>
                <wp:extent cx="1450975" cy="182245"/>
                <wp:effectExtent l="0" t="0" r="0" b="0"/>
                <wp:wrapSquare wrapText="bothSides"/>
                <wp:docPr id="654"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3A512" w14:textId="77777777" w:rsidR="00490F33" w:rsidRDefault="00490F33">
                            <w:pPr>
                              <w:spacing w:before="10" w:line="273" w:lineRule="exact"/>
                              <w:textAlignment w:val="baseline"/>
                              <w:rPr>
                                <w:rFonts w:ascii="Arial" w:eastAsia="Arial" w:hAnsi="Arial"/>
                                <w:b/>
                                <w:color w:val="00708E"/>
                                <w:spacing w:val="-9"/>
                                <w:sz w:val="25"/>
                              </w:rPr>
                            </w:pPr>
                            <w:r>
                              <w:rPr>
                                <w:rFonts w:ascii="Arial" w:eastAsia="Arial" w:hAnsi="Arial"/>
                                <w:b/>
                                <w:color w:val="00708E"/>
                                <w:spacing w:val="-9"/>
                                <w:sz w:val="25"/>
                              </w:rPr>
                              <w:t>Recommendation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CC84E" id="Text Box 375" o:spid="_x0000_s1195" type="#_x0000_t202" style="position:absolute;margin-left:73.45pt;margin-top:294.7pt;width:114.25pt;height:14.35pt;z-index:-251795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fl8QEAAMMDAAAOAAAAZHJzL2Uyb0RvYy54bWysU8Fu2zAMvQ/YPwi6L06yJGuNOEXXosOA&#10;rhvQ9gMYWY6F2aJGKbGzrx8lx1m33oZdBEokHx8fqfVV3zbioMkbtIWcTaZSaKuwNHZXyOenu3cX&#10;UvgAtoQGrS7kUXt5tXn7Zt25XM+xxqbUJBjE+rxzhaxDcHmWeVXrFvwEnbbsrJBaCHylXVYSdIze&#10;Ntl8Ol1lHVLpCJX2nl9vB6fcJPyq0ip8rSqvg2gKydxCOimd23hmmzXkOwJXG3WiAf/AogVjuegZ&#10;6hYCiD2ZV1CtUYQeqzBR2GZYVUbp1AN3M5v+1c1jDU6nXlgc784y+f8Hqx4O30iYspCr5UIKCy0P&#10;6Un3QXzEXrz/sIwKdc7nHPjoODT07OBJp269u0f13QuLNzXYnb4mwq7WUDLDWczMXqQOOD6CbLsv&#10;WHIh2AdMQH1FbZSPBRGMzpM6nqcTyahYcrGcXjIhodg3u5jPF4lcBvmY7ciHTxpbEY1CEk8/ocPh&#10;3ofIBvIxJBazeGeaJm1AY/944MD4kthHwgP10G/7JNVsdTnKssXyyA0RDpvFP4GNGumnFB1vVSH9&#10;jz2QlqL5bFmUuIKjQaOxHQ2wilMLGaQYzJswrOrekdnVjDzIbvGahatM6ikqPLA4EeZNSa2etjqu&#10;4st7ivr99za/AAAA//8DAFBLAwQUAAYACAAAACEAf51dPOEAAAALAQAADwAAAGRycy9kb3ducmV2&#10;LnhtbEyPwU7DMAyG70i8Q+RJ3Fha2ErbNZ0mBCcktK4cOKZN1kZrnNJkW3l7zAlu/uVPvz8X29kO&#10;7KInbxwKiJcRMI2tUwY7AR/1630KzAeJSg4OtYBv7WFb3t4UMlfuipW+HELHqAR9LgX0IYw5577t&#10;tZV+6UaNtDu6ycpAceq4muSVyu3AH6Io4VYapAu9HPVzr9vT4WwF7D6xejFf782+OlamrrMI35KT&#10;EHeLebcBFvQc/mD41Sd1KMmpcWdUng2UV0lGqIB1mq2AEfH4tKahEZDEaQy8LPj/H8ofAAAA//8D&#10;AFBLAQItABQABgAIAAAAIQC2gziS/gAAAOEBAAATAAAAAAAAAAAAAAAAAAAAAABbQ29udGVudF9U&#10;eXBlc10ueG1sUEsBAi0AFAAGAAgAAAAhADj9If/WAAAAlAEAAAsAAAAAAAAAAAAAAAAALwEAAF9y&#10;ZWxzLy5yZWxzUEsBAi0AFAAGAAgAAAAhAEfYh+XxAQAAwwMAAA4AAAAAAAAAAAAAAAAALgIAAGRy&#10;cy9lMm9Eb2MueG1sUEsBAi0AFAAGAAgAAAAhAH+dXTzhAAAACwEAAA8AAAAAAAAAAAAAAAAASwQA&#10;AGRycy9kb3ducmV2LnhtbFBLBQYAAAAABAAEAPMAAABZBQAAAAA=&#10;" filled="f" stroked="f">
                <v:textbox inset="0,0,0,0">
                  <w:txbxContent>
                    <w:p w14:paraId="12A3A512" w14:textId="77777777" w:rsidR="00490F33" w:rsidRDefault="00490F33">
                      <w:pPr>
                        <w:spacing w:before="10" w:line="273" w:lineRule="exact"/>
                        <w:textAlignment w:val="baseline"/>
                        <w:rPr>
                          <w:rFonts w:ascii="Arial" w:eastAsia="Arial" w:hAnsi="Arial"/>
                          <w:b/>
                          <w:color w:val="00708E"/>
                          <w:spacing w:val="-9"/>
                          <w:sz w:val="25"/>
                        </w:rPr>
                      </w:pPr>
                      <w:r>
                        <w:rPr>
                          <w:rFonts w:ascii="Arial" w:eastAsia="Arial" w:hAnsi="Arial"/>
                          <w:b/>
                          <w:color w:val="00708E"/>
                          <w:spacing w:val="-9"/>
                          <w:sz w:val="25"/>
                        </w:rPr>
                        <w:t>Recommendation 9</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1536" behindDoc="1" locked="0" layoutInCell="1" allowOverlap="1" wp14:anchorId="5D6001B5" wp14:editId="472E6368">
                <wp:simplePos x="0" y="0"/>
                <wp:positionH relativeFrom="page">
                  <wp:posOffset>905510</wp:posOffset>
                </wp:positionH>
                <wp:positionV relativeFrom="page">
                  <wp:posOffset>4030980</wp:posOffset>
                </wp:positionV>
                <wp:extent cx="5696585" cy="600075"/>
                <wp:effectExtent l="0" t="0" r="0" b="0"/>
                <wp:wrapSquare wrapText="bothSides"/>
                <wp:docPr id="653"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309A" w14:textId="77777777" w:rsidR="00490F33" w:rsidRDefault="00490F33">
                            <w:pPr>
                              <w:spacing w:line="234" w:lineRule="exact"/>
                              <w:textAlignment w:val="baseline"/>
                              <w:rPr>
                                <w:rFonts w:ascii="Tahoma" w:eastAsia="Tahoma" w:hAnsi="Tahoma"/>
                                <w:color w:val="404042"/>
                                <w:spacing w:val="6"/>
                                <w:sz w:val="18"/>
                              </w:rPr>
                            </w:pPr>
                            <w:r>
                              <w:rPr>
                                <w:rFonts w:ascii="Tahoma" w:eastAsia="Tahoma" w:hAnsi="Tahoma"/>
                                <w:color w:val="404042"/>
                                <w:spacing w:val="6"/>
                                <w:sz w:val="18"/>
                              </w:rPr>
                              <w:t>When undertaking a formal VET qualification or school-based apprenticeship or traineeship, the allocation of time spent by students at school, with a registered training organisation, or in the workplace should be based upon what is in their best interests, rather than upon funding arrangements or administrative convenience.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001B5" id="Text Box 374" o:spid="_x0000_s1196" type="#_x0000_t202" style="position:absolute;margin-left:71.3pt;margin-top:317.4pt;width:448.55pt;height:47.25pt;z-index:-251794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ub8gEAAMMDAAAOAAAAZHJzL2Uyb0RvYy54bWysU8tu2zAQvBfoPxC815KT2k4Fy0GaIEWB&#10;9AEk/YA1RVlEJS67pC25X98lZTlpeyt6IVbkcjgzO1pfD10rDpq8QVvK+SyXQluFlbG7Un57un9z&#10;JYUPYCto0epSHrWX15vXr9a9K/QFNthWmgSDWF/0rpRNCK7IMq8a3YGfodOWD2ukDgJ/0i6rCHpG&#10;79rsIs+XWY9UOUKlvefdu/FQbhJ+XWsVvtS110G0pWRuIa2U1m1cs80aih2Ba4w60YB/YNGBsfzo&#10;GeoOAog9mb+gOqMIPdZhprDLsK6N0kkDq5nnf6h5bMDppIXN8e5sk/9/sOrz4SsJU5VyubiUwkLH&#10;Q3rSQxDvcRCXq7fRod75ghsfHbeGgQ940kmtdw+ovnth8bYBu9M3RNg3GipmOI83sxdXRxwfQbb9&#10;J6z4IdgHTEBDTV20jw0RjM6TOp6nE8ko3lws3y0XVwspFJ8t8zxfLdITUEy3HfnwQWMnYlFK4ukn&#10;dDg8+BDZQDG1xMcs3pu2TQlo7W8b3Bh3EvtIeKQehu2QrJqvUnCiti1WRxZEOCaL/wQuGqSfUvSc&#10;qlL6H3sgLUX70bIpMYJTQVOxnQqwiq+WMkgxlrdhjOrekdk1jDzabvGGjatN0vTM4kSYk5KknlId&#10;o/jyO3U9/3ubXwAAAP//AwBQSwMEFAAGAAgAAAAhANwHMf3hAAAADAEAAA8AAABkcnMvZG93bnJl&#10;di54bWxMj8FOwzAQRO9I/IO1SNyo06RKSRqnqhCckBBpOHB04m1iNV6H2G3D3+OeynG0T7Nviu1s&#10;BnbGyWlLApaLCBhSa5WmTsBX/fb0DMx5SUoOllDALzrYlvd3hcyVvVCF573vWCghl0sBvfdjzrlr&#10;ezTSLeyIFG4HOxnpQ5w6riZ5CeVm4HEUpdxITeFDL0d86bE97k9GwO6bqlf989F8VodK13UW0Xt6&#10;FOLxYd5tgHmc/Q2Gq35QhzI4NfZEyrEh5FWcBlRAmqzChisRJdkaWCNgHWcJ8LLg/0eUfwAAAP//&#10;AwBQSwECLQAUAAYACAAAACEAtoM4kv4AAADhAQAAEwAAAAAAAAAAAAAAAAAAAAAAW0NvbnRlbnRf&#10;VHlwZXNdLnhtbFBLAQItABQABgAIAAAAIQA4/SH/1gAAAJQBAAALAAAAAAAAAAAAAAAAAC8BAABf&#10;cmVscy8ucmVsc1BLAQItABQABgAIAAAAIQDkDfub8gEAAMMDAAAOAAAAAAAAAAAAAAAAAC4CAABk&#10;cnMvZTJvRG9jLnhtbFBLAQItABQABgAIAAAAIQDcBzH94QAAAAwBAAAPAAAAAAAAAAAAAAAAAEwE&#10;AABkcnMvZG93bnJldi54bWxQSwUGAAAAAAQABADzAAAAWgUAAAAA&#10;" filled="f" stroked="f">
                <v:textbox inset="0,0,0,0">
                  <w:txbxContent>
                    <w:p w14:paraId="462E309A" w14:textId="77777777" w:rsidR="00490F33" w:rsidRDefault="00490F33">
                      <w:pPr>
                        <w:spacing w:line="234" w:lineRule="exact"/>
                        <w:textAlignment w:val="baseline"/>
                        <w:rPr>
                          <w:rFonts w:ascii="Tahoma" w:eastAsia="Tahoma" w:hAnsi="Tahoma"/>
                          <w:color w:val="404042"/>
                          <w:spacing w:val="6"/>
                          <w:sz w:val="18"/>
                        </w:rPr>
                      </w:pPr>
                      <w:r>
                        <w:rPr>
                          <w:rFonts w:ascii="Tahoma" w:eastAsia="Tahoma" w:hAnsi="Tahoma"/>
                          <w:color w:val="404042"/>
                          <w:spacing w:val="6"/>
                          <w:sz w:val="18"/>
                        </w:rPr>
                        <w:t>When undertaking a formal VET qualification or school-based apprenticeship or traineeship, the allocation of time spent by students at school, with a registered training organisation, or in the workplace should be based upon what is in their best interests, rather than upon funding arrangements or administrative convenience.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2560" behindDoc="1" locked="0" layoutInCell="1" allowOverlap="1" wp14:anchorId="59A860C6" wp14:editId="2B957D86">
                <wp:simplePos x="0" y="0"/>
                <wp:positionH relativeFrom="page">
                  <wp:posOffset>932815</wp:posOffset>
                </wp:positionH>
                <wp:positionV relativeFrom="page">
                  <wp:posOffset>5318760</wp:posOffset>
                </wp:positionV>
                <wp:extent cx="1536065" cy="182245"/>
                <wp:effectExtent l="0" t="0" r="0" b="0"/>
                <wp:wrapSquare wrapText="bothSides"/>
                <wp:docPr id="652"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0AE41" w14:textId="77777777" w:rsidR="00490F33" w:rsidRDefault="00490F33">
                            <w:pPr>
                              <w:spacing w:before="10" w:line="268" w:lineRule="exact"/>
                              <w:textAlignment w:val="baseline"/>
                              <w:rPr>
                                <w:rFonts w:ascii="Arial" w:eastAsia="Arial" w:hAnsi="Arial"/>
                                <w:b/>
                                <w:color w:val="00708E"/>
                                <w:spacing w:val="-8"/>
                                <w:sz w:val="25"/>
                              </w:rPr>
                            </w:pPr>
                            <w:r>
                              <w:rPr>
                                <w:rFonts w:ascii="Arial" w:eastAsia="Arial" w:hAnsi="Arial"/>
                                <w:b/>
                                <w:color w:val="00708E"/>
                                <w:spacing w:val="-8"/>
                                <w:sz w:val="25"/>
                              </w:rPr>
                              <w:t>Recommendation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860C6" id="Text Box 373" o:spid="_x0000_s1197" type="#_x0000_t202" style="position:absolute;margin-left:73.45pt;margin-top:418.8pt;width:120.95pt;height:14.35pt;z-index:-251793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sj8QEAAMMDAAAOAAAAZHJzL2Uyb0RvYy54bWysU8Fu2zAMvQ/YPwi6L3aSJS2MOEXXosOA&#10;bh3Q7gMYWY6F2aJGKbGzrx8lJ2m33opdBEqiHt97pFZXQ9eKvSZv0JZyOsml0FZhZey2lD+e7j5c&#10;SuED2ApatLqUB+3l1fr9u1XvCj3DBttKk2AQ64velbIJwRVZ5lWjO/ATdNryZY3UQeAtbbOKoGf0&#10;rs1meb7MeqTKESrtPZ/ejpdynfDrWqvwUNdeB9GWkrmFtFJaN3HN1isotgSuMepIA97AogNjuegZ&#10;6hYCiB2ZV1CdUYQe6zBR2GVY10bppIHVTPN/1Dw24HTSwuZ4d7bJ/z9Y9W3/nYSpSrlczKSw0HGT&#10;nvQQxCccxPxiHh3qnS848dFxahj4gjud1Hp3j+qnFxZvGrBbfU2EfaOhYobT+DJ78XTE8RFk03/F&#10;igvBLmACGmrqon1siGB07tTh3J1IRsWSi/kyXy6kUHw3vZzNPi5SCShOrx358FljJ2JQSuLuJ3TY&#10;3/sQ2UBxSonFLN6Ztk0T0Nq/DjgxniT2kfBIPQybIVk1vUjiorYNVgcWRDhOFv8EDhqk31L0PFWl&#10;9L92QFqK9otlU+IIngI6BZtTAFbx01IGKcbwJoyjunNktg0jj7ZbvGbjapM0PbM4EuZJSVKPUx1H&#10;8eU+ZT3/vfUfAAAA//8DAFBLAwQUAAYACAAAACEA8zYL1t8AAAALAQAADwAAAGRycy9kb3ducmV2&#10;LnhtbEyPwU7DMBBE70j8g7VI3KgDQSYNcaoKwQkJkYYDRyfeJlHjdYjdNvw9ywmOM/s0O1NsFjeK&#10;E85h8KThdpWAQGq9HajT8FG/3GQgQjRkzegJNXxjgE15eVGY3PozVXjaxU5wCIXcaOhjnHIpQ9uj&#10;M2HlJyS+7f3sTGQ5d9LO5szhbpR3SaKkMwPxh95M+NRje9gdnYbtJ1XPw9db817tq6Gu1wm9qoPW&#10;11fL9hFExCX+wfBbn6tDyZ0afyQbxMj6Xq0Z1ZClDwoEE2mW8ZiGHaVSkGUh/28ofwAAAP//AwBQ&#10;SwECLQAUAAYACAAAACEAtoM4kv4AAADhAQAAEwAAAAAAAAAAAAAAAAAAAAAAW0NvbnRlbnRfVHlw&#10;ZXNdLnhtbFBLAQItABQABgAIAAAAIQA4/SH/1gAAAJQBAAALAAAAAAAAAAAAAAAAAC8BAABfcmVs&#10;cy8ucmVsc1BLAQItABQABgAIAAAAIQAMoPsj8QEAAMMDAAAOAAAAAAAAAAAAAAAAAC4CAABkcnMv&#10;ZTJvRG9jLnhtbFBLAQItABQABgAIAAAAIQDzNgvW3wAAAAsBAAAPAAAAAAAAAAAAAAAAAEsEAABk&#10;cnMvZG93bnJldi54bWxQSwUGAAAAAAQABADzAAAAVwUAAAAA&#10;" filled="f" stroked="f">
                <v:textbox inset="0,0,0,0">
                  <w:txbxContent>
                    <w:p w14:paraId="4E50AE41" w14:textId="77777777" w:rsidR="00490F33" w:rsidRDefault="00490F33">
                      <w:pPr>
                        <w:spacing w:before="10" w:line="268" w:lineRule="exact"/>
                        <w:textAlignment w:val="baseline"/>
                        <w:rPr>
                          <w:rFonts w:ascii="Arial" w:eastAsia="Arial" w:hAnsi="Arial"/>
                          <w:b/>
                          <w:color w:val="00708E"/>
                          <w:spacing w:val="-8"/>
                          <w:sz w:val="25"/>
                        </w:rPr>
                      </w:pPr>
                      <w:r>
                        <w:rPr>
                          <w:rFonts w:ascii="Arial" w:eastAsia="Arial" w:hAnsi="Arial"/>
                          <w:b/>
                          <w:color w:val="00708E"/>
                          <w:spacing w:val="-8"/>
                          <w:sz w:val="25"/>
                        </w:rPr>
                        <w:t>Recommendation 10</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3584" behindDoc="1" locked="0" layoutInCell="1" allowOverlap="1" wp14:anchorId="20FD3F3F" wp14:editId="2E7004E4">
                <wp:simplePos x="0" y="0"/>
                <wp:positionH relativeFrom="page">
                  <wp:posOffset>908050</wp:posOffset>
                </wp:positionH>
                <wp:positionV relativeFrom="page">
                  <wp:posOffset>5609590</wp:posOffset>
                </wp:positionV>
                <wp:extent cx="5523230" cy="449580"/>
                <wp:effectExtent l="0" t="0" r="0" b="0"/>
                <wp:wrapSquare wrapText="bothSides"/>
                <wp:docPr id="651"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2829" w14:textId="77777777" w:rsidR="00490F33" w:rsidRDefault="00490F33">
                            <w:pPr>
                              <w:spacing w:line="232" w:lineRule="exact"/>
                              <w:textAlignment w:val="baseline"/>
                              <w:rPr>
                                <w:rFonts w:ascii="Tahoma" w:eastAsia="Tahoma" w:hAnsi="Tahoma"/>
                                <w:color w:val="404042"/>
                                <w:sz w:val="18"/>
                              </w:rPr>
                            </w:pPr>
                            <w:r>
                              <w:rPr>
                                <w:rFonts w:ascii="Tahoma" w:eastAsia="Tahoma" w:hAnsi="Tahoma"/>
                                <w:color w:val="404042"/>
                                <w:sz w:val="18"/>
                              </w:rPr>
                              <w:t>In collaboration with the Skills Council, Education Council should co-design with industry a national strategy on vocational education and training in schools that promotes the quality of VET, including by addressing the following elements.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D3F3F" id="Text Box 372" o:spid="_x0000_s1198" type="#_x0000_t202" style="position:absolute;margin-left:71.5pt;margin-top:441.7pt;width:434.9pt;height:35.4pt;z-index:-251792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Qt8AEAAMMDAAAOAAAAZHJzL2Uyb0RvYy54bWysU9tu2zAMfR+wfxD0vjhxmq4z4hRdiw4D&#10;ugvQ7gNoWY6F2aJGKbGzrx8lJ2m3vQ17EShejg4PqfX12Hdir8kbtKVczOZSaKuwNnZbym9P92+u&#10;pPABbA0dWl3Kg/byevP61Xpwhc6xxa7WJBjE+mJwpWxDcEWWedXqHvwMnbYcbJB6CHylbVYTDIze&#10;d1k+n19mA1LtCJX2nr13U1BuEn7TaBW+NI3XQXSlZG4hnZTOKp7ZZg3FlsC1Rh1pwD+w6MFYfvQM&#10;dQcBxI7MX1C9UYQemzBT2GfYNEbp1AN3s5j/0c1jC06nXlgc784y+f8Hqz7vv5IwdSkvVwspLPQ8&#10;pCc9BvEeR7F8m0eFBucLTnx0nBpGDvCkU7fePaD67oXF2xbsVt8Q4dBqqJnhIlZmL0onHB9BquET&#10;1vwQ7AImoLGhPsrHgghG50kdztOJZBQ7V6t8mS85pDh2cfFudZXGl0FxqnbkwweNvYhGKYmnn9Bh&#10;/+BDZAPFKSU+ZvHedF3agM7+5uDE6EnsI+GJehirMUm1eJalwvrADRFOm8U/gY0W6acUA29VKf2P&#10;HZCWovtoWZS4gieDTkZ1MsAqLi1lkGIyb8O0qjtHZtsy8iS7xRsWrjGpp6jwxOJImDcltXrc6riK&#10;L+8p6/nvbX4BAAD//wMAUEsDBBQABgAIAAAAIQDqLvhr4QAAAAwBAAAPAAAAZHJzL2Rvd25yZXYu&#10;eG1sTI/BTsMwEETvSPyDtUjcqN00VGmIU1UITkiINBw4OvE2sRqvQ+y24e9xT3Ac7Wj2vWI724Gd&#10;cfLGkYTlQgBDap021En4rF8fMmA+KNJqcIQSftDDtry9KVSu3YUqPO9Dx+II+VxJ6EMYc85926NV&#10;fuFGpHg7uMmqEOPUcT2pSxy3A0+EWHOrDMUPvRrxucf2uD9ZCbsvql7M93vzUR0qU9cbQW/ro5T3&#10;d/PuCVjAOfyV4Yof0aGMTI07kfZsiDldRZcgIctWKbBrQyyTaNNI2DymCfCy4P8lyl8AAAD//wMA&#10;UEsBAi0AFAAGAAgAAAAhALaDOJL+AAAA4QEAABMAAAAAAAAAAAAAAAAAAAAAAFtDb250ZW50X1R5&#10;cGVzXS54bWxQSwECLQAUAAYACAAAACEAOP0h/9YAAACUAQAACwAAAAAAAAAAAAAAAAAvAQAAX3Jl&#10;bHMvLnJlbHNQSwECLQAUAAYACAAAACEAkhw0LfABAADDAwAADgAAAAAAAAAAAAAAAAAuAgAAZHJz&#10;L2Uyb0RvYy54bWxQSwECLQAUAAYACAAAACEA6i74a+EAAAAMAQAADwAAAAAAAAAAAAAAAABKBAAA&#10;ZHJzL2Rvd25yZXYueG1sUEsFBgAAAAAEAAQA8wAAAFgFAAAAAA==&#10;" filled="f" stroked="f">
                <v:textbox inset="0,0,0,0">
                  <w:txbxContent>
                    <w:p w14:paraId="2CF32829" w14:textId="77777777" w:rsidR="00490F33" w:rsidRDefault="00490F33">
                      <w:pPr>
                        <w:spacing w:line="232" w:lineRule="exact"/>
                        <w:textAlignment w:val="baseline"/>
                        <w:rPr>
                          <w:rFonts w:ascii="Tahoma" w:eastAsia="Tahoma" w:hAnsi="Tahoma"/>
                          <w:color w:val="404042"/>
                          <w:sz w:val="18"/>
                        </w:rPr>
                      </w:pPr>
                      <w:r>
                        <w:rPr>
                          <w:rFonts w:ascii="Tahoma" w:eastAsia="Tahoma" w:hAnsi="Tahoma"/>
                          <w:color w:val="404042"/>
                          <w:sz w:val="18"/>
                        </w:rPr>
                        <w:t>In collaboration with the Skills Council, Education Council should co-design with industry a national strategy on vocational education and training in schools that promotes the quality of VET, including by addressing the following elements.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4608" behindDoc="1" locked="0" layoutInCell="1" allowOverlap="1" wp14:anchorId="1A7870BA" wp14:editId="19895781">
                <wp:simplePos x="0" y="0"/>
                <wp:positionH relativeFrom="page">
                  <wp:posOffset>908050</wp:posOffset>
                </wp:positionH>
                <wp:positionV relativeFrom="page">
                  <wp:posOffset>6173470</wp:posOffset>
                </wp:positionV>
                <wp:extent cx="3667125" cy="144780"/>
                <wp:effectExtent l="0" t="0" r="0" b="0"/>
                <wp:wrapSquare wrapText="bothSides"/>
                <wp:docPr id="65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8262A" w14:textId="77777777" w:rsidR="00490F33" w:rsidRDefault="00490F33">
                            <w:pPr>
                              <w:numPr>
                                <w:ilvl w:val="0"/>
                                <w:numId w:val="20"/>
                              </w:numPr>
                              <w:spacing w:before="8" w:line="206" w:lineRule="exact"/>
                              <w:ind w:left="216" w:hanging="216"/>
                              <w:textAlignment w:val="baseline"/>
                              <w:rPr>
                                <w:rFonts w:ascii="Tahoma" w:eastAsia="Tahoma" w:hAnsi="Tahoma"/>
                                <w:color w:val="404042"/>
                                <w:spacing w:val="2"/>
                                <w:sz w:val="18"/>
                              </w:rPr>
                            </w:pPr>
                            <w:r>
                              <w:rPr>
                                <w:rFonts w:ascii="Tahoma" w:eastAsia="Tahoma" w:hAnsi="Tahoma"/>
                                <w:color w:val="404042"/>
                                <w:spacing w:val="2"/>
                                <w:sz w:val="18"/>
                              </w:rPr>
                              <w:t>The interests of the student must be at the centre of the strategy.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870BA" id="Text Box 371" o:spid="_x0000_s1199" type="#_x0000_t202" style="position:absolute;margin-left:71.5pt;margin-top:486.1pt;width:288.75pt;height:11.4pt;z-index:-251791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xS8QEAAMMDAAAOAAAAZHJzL2Uyb0RvYy54bWysU8Fu2zAMvQ/YPwi6L46TNimMOEXXosOA&#10;bh3Q7gNkWY6FWaJGKbGzrx8lx1m33YpeBIqint57pDbXg+nYQaHXYEuez+acKSuh1nZX8u/P9x+u&#10;OPNB2Fp0YFXJj8rz6+37d5veFWoBLXS1QkYg1he9K3kbgiuyzMtWGeFn4JSlwwbQiEBb3GU1ip7Q&#10;TZct5vNV1gPWDkEq7yl7Nx7ybcJvGiXDY9N4FVhXcuIW0oppreKabTei2KFwrZYnGuIVLIzQlh49&#10;Q92JINge9X9QRksED02YSTAZNI2WKmkgNfn8HzVPrXAqaSFzvDvb5N8OVn49fEOm65KvLskfKww1&#10;6VkNgX2EgS3XeXSod76gwidHpWGgA+p0UuvdA8gfnlm4bYXdqRtE6FslamKYbmYvro44PoJU/Reo&#10;6SGxD5CAhgZNtI8MYYROTI7n7kQykpLL1WqdLy45k3SWX1ysr1L7MlFMtx368EmBYTEoOVL3E7o4&#10;PPhAOqh0KomPWbjXXZcmoLN/JagwZhL7SHikHoZqSFbl6+VkSwX1kQQhjJNFP4GCFvAXZz1NVcn9&#10;z71AxVn32ZIpcQSnAKegmgJhJV0teeBsDG/DOKp7h3rXEvJou4UbMq7RSVN0eGRxIkyTkqSepjqO&#10;4st9qvrz97a/AQAA//8DAFBLAwQUAAYACAAAACEAhc4BiOAAAAALAQAADwAAAGRycy9kb3ducmV2&#10;LnhtbEyPwU7DMBBE70j8g7VI3KhNoC0JcaoKwQkJkYYDRyfeJlHjdYjdNvw9ywmOMzuafZNvZjeI&#10;E06h96ThdqFAIDXe9tRq+Khebh5AhGjImsETavjGAJvi8iI3mfVnKvG0i63gEgqZ0dDFOGZShqZD&#10;Z8LCj0h82/vJmchyaqWdzJnL3SATpVbSmZ74Q2dGfOqwOeyOTsP2k8rn/uutfi/3ZV9VqaLX1UHr&#10;66t5+wgi4hz/wvCLz+hQMFPtj2SDGFjf3/GWqCFdJwkITqwTtQRRs5MuFcgil/83FD8AAAD//wMA&#10;UEsBAi0AFAAGAAgAAAAhALaDOJL+AAAA4QEAABMAAAAAAAAAAAAAAAAAAAAAAFtDb250ZW50X1R5&#10;cGVzXS54bWxQSwECLQAUAAYACAAAACEAOP0h/9YAAACUAQAACwAAAAAAAAAAAAAAAAAvAQAAX3Jl&#10;bHMvLnJlbHNQSwECLQAUAAYACAAAACEAGqm8UvEBAADDAwAADgAAAAAAAAAAAAAAAAAuAgAAZHJz&#10;L2Uyb0RvYy54bWxQSwECLQAUAAYACAAAACEAhc4BiOAAAAALAQAADwAAAAAAAAAAAAAAAABLBAAA&#10;ZHJzL2Rvd25yZXYueG1sUEsFBgAAAAAEAAQA8wAAAFgFAAAAAA==&#10;" filled="f" stroked="f">
                <v:textbox inset="0,0,0,0">
                  <w:txbxContent>
                    <w:p w14:paraId="6528262A" w14:textId="77777777" w:rsidR="00490F33" w:rsidRDefault="00490F33">
                      <w:pPr>
                        <w:numPr>
                          <w:ilvl w:val="0"/>
                          <w:numId w:val="20"/>
                        </w:numPr>
                        <w:spacing w:before="8" w:line="206" w:lineRule="exact"/>
                        <w:ind w:left="216" w:hanging="216"/>
                        <w:textAlignment w:val="baseline"/>
                        <w:rPr>
                          <w:rFonts w:ascii="Tahoma" w:eastAsia="Tahoma" w:hAnsi="Tahoma"/>
                          <w:color w:val="404042"/>
                          <w:spacing w:val="2"/>
                          <w:sz w:val="18"/>
                        </w:rPr>
                      </w:pPr>
                      <w:r>
                        <w:rPr>
                          <w:rFonts w:ascii="Tahoma" w:eastAsia="Tahoma" w:hAnsi="Tahoma"/>
                          <w:color w:val="404042"/>
                          <w:spacing w:val="2"/>
                          <w:sz w:val="18"/>
                        </w:rPr>
                        <w:t>The interests of the student must be at the centre of the strategy.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5632" behindDoc="1" locked="0" layoutInCell="1" allowOverlap="1" wp14:anchorId="44EEB1BA" wp14:editId="1424F973">
                <wp:simplePos x="0" y="0"/>
                <wp:positionH relativeFrom="page">
                  <wp:posOffset>914400</wp:posOffset>
                </wp:positionH>
                <wp:positionV relativeFrom="page">
                  <wp:posOffset>6432550</wp:posOffset>
                </wp:positionV>
                <wp:extent cx="4928870" cy="144780"/>
                <wp:effectExtent l="0" t="0" r="0" b="0"/>
                <wp:wrapSquare wrapText="bothSides"/>
                <wp:docPr id="649"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8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9C207" w14:textId="77777777" w:rsidR="00490F33" w:rsidRDefault="00490F33">
                            <w:pPr>
                              <w:numPr>
                                <w:ilvl w:val="0"/>
                                <w:numId w:val="20"/>
                              </w:numPr>
                              <w:spacing w:before="8" w:line="215" w:lineRule="exact"/>
                              <w:textAlignment w:val="baseline"/>
                              <w:rPr>
                                <w:rFonts w:ascii="Tahoma" w:eastAsia="Tahoma" w:hAnsi="Tahoma"/>
                                <w:color w:val="404042"/>
                                <w:spacing w:val="3"/>
                                <w:sz w:val="18"/>
                              </w:rPr>
                            </w:pPr>
                            <w:r>
                              <w:rPr>
                                <w:rFonts w:ascii="Tahoma" w:eastAsia="Tahoma" w:hAnsi="Tahoma"/>
                                <w:color w:val="404042"/>
                                <w:spacing w:val="3"/>
                                <w:sz w:val="18"/>
                              </w:rPr>
                              <w:t>All students must meet the minimum standards in literacy, numeracy and digital literacy.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EB1BA" id="Text Box 370" o:spid="_x0000_s1200" type="#_x0000_t202" style="position:absolute;margin-left:1in;margin-top:506.5pt;width:388.1pt;height:11.4pt;z-index:-251790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fq8gEAAMMDAAAOAAAAZHJzL2Uyb0RvYy54bWysU8Fu2zAMvQ/YPwi6L06yoEmNOEXXosOA&#10;bh3Q7gMYWY6F2aJGKbGzrx8lx2m33opdBIqint57pNZXfduIgyZv0BZyNplKoa3C0thdIX883X1Y&#10;SeED2BIatLqQR+3l1eb9u3Xncj3HGptSk2AQ6/POFbIOweVZ5lWtW/ATdNryYYXUQuAt7bKSoGP0&#10;tsnm0+lF1iGVjlBp7zl7OxzKTcKvKq3CQ1V5HURTSOYW0kpp3cY126wh3xG42qgTDXgDixaM5UfP&#10;ULcQQOzJvIJqjSL0WIWJwjbDqjJKJw2sZjb9R81jDU4nLWyOd2eb/P+DVd8O30mYspAXi0spLLTc&#10;pCfdB/EJe/FxmRzqnM+58NFxaej5gDud1Hp3j+qnFxZvarA7fU2EXa2hZIaz6G324mrsic99BNl2&#10;X7Hkh2AfMAH1FbXRPjZEMDp36njuTiSjOLm4nK9WTEgoPpstFstVIpdBPt525MNnja2IQSGJu5/Q&#10;4XDvQ2QD+VgSH7N4Z5omTUBj/0pwYcwk9pHwQD302z5ZNVsuorgoZ4vlkQURDpPFP4GDGum3FB1P&#10;VSH9rz2QlqL5YtmUOIJjQGOwHQOwiq8WMkgxhDdhGNW9I7OrGXmw3eI1G1eZpOmZxYkwT0qSeprq&#10;OIov96nq+e9t/gAAAP//AwBQSwMEFAAGAAgAAAAhAJzszK3gAAAADQEAAA8AAABkcnMvZG93bnJl&#10;di54bWxMT0FOwzAQvCPxB2uRuFG7aanaEKeqEJyQEGk4cHTibRI1XofYbcPv2Z7gNrMzmp3JtpPr&#10;xRnH0HnSMJ8pEEi1tx01Gj7L14c1iBANWdN7Qg0/GGCb395kJrX+QgWe97ERHEIhNRraGIdUylC3&#10;6EyY+QGJtYMfnYlMx0ba0Vw43PUyUWolnemIP7RmwOcW6+P+5DTsvqh46b7fq4/iUHRluVH0tjpq&#10;fX837Z5ARJzinxmu9bk65Nyp8ieyQfTMl0veEhmo+YIRWzaJSkBU19PicQ0yz+T/FfkvAAAA//8D&#10;AFBLAQItABQABgAIAAAAIQC2gziS/gAAAOEBAAATAAAAAAAAAAAAAAAAAAAAAABbQ29udGVudF9U&#10;eXBlc10ueG1sUEsBAi0AFAAGAAgAAAAhADj9If/WAAAAlAEAAAsAAAAAAAAAAAAAAAAALwEAAF9y&#10;ZWxzLy5yZWxzUEsBAi0AFAAGAAgAAAAhAITdd+ryAQAAwwMAAA4AAAAAAAAAAAAAAAAALgIAAGRy&#10;cy9lMm9Eb2MueG1sUEsBAi0AFAAGAAgAAAAhAJzszK3gAAAADQEAAA8AAAAAAAAAAAAAAAAATAQA&#10;AGRycy9kb3ducmV2LnhtbFBLBQYAAAAABAAEAPMAAABZBQAAAAA=&#10;" filled="f" stroked="f">
                <v:textbox inset="0,0,0,0">
                  <w:txbxContent>
                    <w:p w14:paraId="34F9C207" w14:textId="77777777" w:rsidR="00490F33" w:rsidRDefault="00490F33">
                      <w:pPr>
                        <w:numPr>
                          <w:ilvl w:val="0"/>
                          <w:numId w:val="20"/>
                        </w:numPr>
                        <w:spacing w:before="8" w:line="215" w:lineRule="exact"/>
                        <w:textAlignment w:val="baseline"/>
                        <w:rPr>
                          <w:rFonts w:ascii="Tahoma" w:eastAsia="Tahoma" w:hAnsi="Tahoma"/>
                          <w:color w:val="404042"/>
                          <w:spacing w:val="3"/>
                          <w:sz w:val="18"/>
                        </w:rPr>
                      </w:pPr>
                      <w:r>
                        <w:rPr>
                          <w:rFonts w:ascii="Tahoma" w:eastAsia="Tahoma" w:hAnsi="Tahoma"/>
                          <w:color w:val="404042"/>
                          <w:spacing w:val="3"/>
                          <w:sz w:val="18"/>
                        </w:rPr>
                        <w:t>All students must meet the minimum standards in literacy, numeracy and digital literacy.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6656" behindDoc="1" locked="0" layoutInCell="1" allowOverlap="1" wp14:anchorId="69827230" wp14:editId="4C638B3B">
                <wp:simplePos x="0" y="0"/>
                <wp:positionH relativeFrom="page">
                  <wp:posOffset>911225</wp:posOffset>
                </wp:positionH>
                <wp:positionV relativeFrom="page">
                  <wp:posOffset>6694805</wp:posOffset>
                </wp:positionV>
                <wp:extent cx="5352415" cy="297180"/>
                <wp:effectExtent l="0" t="0" r="0" b="0"/>
                <wp:wrapSquare wrapText="bothSides"/>
                <wp:docPr id="648"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24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92527" w14:textId="77777777" w:rsidR="00490F33" w:rsidRDefault="00490F33">
                            <w:pPr>
                              <w:numPr>
                                <w:ilvl w:val="0"/>
                                <w:numId w:val="20"/>
                              </w:numPr>
                              <w:spacing w:line="229" w:lineRule="exact"/>
                              <w:ind w:left="216" w:hanging="216"/>
                              <w:textAlignment w:val="baseline"/>
                              <w:rPr>
                                <w:rFonts w:ascii="Tahoma" w:eastAsia="Tahoma" w:hAnsi="Tahoma"/>
                                <w:color w:val="404042"/>
                                <w:sz w:val="18"/>
                              </w:rPr>
                            </w:pPr>
                            <w:r>
                              <w:rPr>
                                <w:rFonts w:ascii="Tahoma" w:eastAsia="Tahoma" w:hAnsi="Tahoma"/>
                                <w:color w:val="404042"/>
                                <w:sz w:val="18"/>
                              </w:rPr>
                              <w:t>All students leaving school should have had exposure to professional career education and work exploration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27230" id="Text Box 369" o:spid="_x0000_s1201" type="#_x0000_t202" style="position:absolute;margin-left:71.75pt;margin-top:527.15pt;width:421.45pt;height:23.4pt;z-index:-251789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IYq8wEAAMMDAAAOAAAAZHJzL2Uyb0RvYy54bWysU9tu2zAMfR+wfxD0vjhOm7Q14hRdiw4D&#10;um5Auw9gZDkWZosapcTuvn6UHGfd9jbsRaB4OTo8pNbXQ9eKgyZv0JYyn82l0FZhZeyulF+f799d&#10;SuED2ApatLqUL9rL683bN+veFXqBDbaVJsEg1he9K2UTgiuyzKtGd+Bn6LTlYI3UQeAr7bKKoGf0&#10;rs0W8/kq65EqR6i09+y9G4Nyk/DrWqvwua69DqItJXML6aR0buOZbdZQ7AhcY9SRBvwDiw6M5UdP&#10;UHcQQOzJ/AXVGUXosQ4zhV2GdW2UTj1wN/n8j26eGnA69cLieHeSyf8/WPV4+ELCVKVcnfOoLHQ8&#10;pGc9BPEeB3G2uooK9c4XnPjkODUMHOBJp269e0D1zQuLtw3Ynb4hwr7RUDHDPFZmr0pHHB9Btv0n&#10;rPgh2AdMQENNXZSPBRGMzpN6OU0nklHsXJ4tF+f5UgrFscXVRX6ZxpdBMVU78uGDxk5Eo5TE00/o&#10;cHjwIbKBYkqJj1m8N22bNqC1vzk4MXoS+0h4pB6G7ZCkyi+WkyxbrF64IcJxs/gnsNEg/ZCi560q&#10;pf++B9JStB8tixJXcDJoMraTAVZxaSmDFKN5G8ZV3Tsyu4aRR9kt3rBwtUk9RYVHFkfCvCmp1eNW&#10;x1V8fU9Zv/7e5icAAAD//wMAUEsDBBQABgAIAAAAIQBJmDxd4gAAAA0BAAAPAAAAZHJzL2Rvd25y&#10;ZXYueG1sTI/BTsMwEETvSPyDtUjcqB2aRm2IU1UITkiINBw4OrGbWI3XIXbb8Pcsp3Lb2R3Nvim2&#10;sxvY2UzBepSQLAQwg63XFjsJn/XrwxpYiAq1GjwaCT8mwLa8vSlUrv0FK3Pex45RCIZcSehjHHPO&#10;Q9sbp8LCjwbpdvCTU5Hk1HE9qQuFu4E/CpFxpyzSh16N5rk37XF/chJ2X1i92O/35qM6VLauNwLf&#10;sqOU93fz7glYNHO8muEPn9ChJKbGn1AHNpBOlyuy0iBW6RIYWTbrLAXW0CoRSQK8LPj/FuUvAAAA&#10;//8DAFBLAQItABQABgAIAAAAIQC2gziS/gAAAOEBAAATAAAAAAAAAAAAAAAAAAAAAABbQ29udGVu&#10;dF9UeXBlc10ueG1sUEsBAi0AFAAGAAgAAAAhADj9If/WAAAAlAEAAAsAAAAAAAAAAAAAAAAALwEA&#10;AF9yZWxzLy5yZWxzUEsBAi0AFAAGAAgAAAAhAKHshirzAQAAwwMAAA4AAAAAAAAAAAAAAAAALgIA&#10;AGRycy9lMm9Eb2MueG1sUEsBAi0AFAAGAAgAAAAhAEmYPF3iAAAADQEAAA8AAAAAAAAAAAAAAAAA&#10;TQQAAGRycy9kb3ducmV2LnhtbFBLBQYAAAAABAAEAPMAAABcBQAAAAA=&#10;" filled="f" stroked="f">
                <v:textbox inset="0,0,0,0">
                  <w:txbxContent>
                    <w:p w14:paraId="39492527" w14:textId="77777777" w:rsidR="00490F33" w:rsidRDefault="00490F33">
                      <w:pPr>
                        <w:numPr>
                          <w:ilvl w:val="0"/>
                          <w:numId w:val="20"/>
                        </w:numPr>
                        <w:spacing w:line="229" w:lineRule="exact"/>
                        <w:ind w:left="216" w:hanging="216"/>
                        <w:textAlignment w:val="baseline"/>
                        <w:rPr>
                          <w:rFonts w:ascii="Tahoma" w:eastAsia="Tahoma" w:hAnsi="Tahoma"/>
                          <w:color w:val="404042"/>
                          <w:sz w:val="18"/>
                        </w:rPr>
                      </w:pPr>
                      <w:r>
                        <w:rPr>
                          <w:rFonts w:ascii="Tahoma" w:eastAsia="Tahoma" w:hAnsi="Tahoma"/>
                          <w:color w:val="404042"/>
                          <w:sz w:val="18"/>
                        </w:rPr>
                        <w:t>All students leaving school should have had exposure to professional career education and work exploration activities.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7680" behindDoc="1" locked="0" layoutInCell="1" allowOverlap="1" wp14:anchorId="21E13093" wp14:editId="57113E95">
                <wp:simplePos x="0" y="0"/>
                <wp:positionH relativeFrom="page">
                  <wp:posOffset>911225</wp:posOffset>
                </wp:positionH>
                <wp:positionV relativeFrom="page">
                  <wp:posOffset>7106285</wp:posOffset>
                </wp:positionV>
                <wp:extent cx="5706110" cy="297180"/>
                <wp:effectExtent l="0" t="0" r="0" b="0"/>
                <wp:wrapSquare wrapText="bothSides"/>
                <wp:docPr id="647"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9476E" w14:textId="77777777" w:rsidR="00490F33" w:rsidRDefault="00490F33">
                            <w:pPr>
                              <w:numPr>
                                <w:ilvl w:val="0"/>
                                <w:numId w:val="20"/>
                              </w:numPr>
                              <w:spacing w:line="229" w:lineRule="exact"/>
                              <w:ind w:left="216" w:hanging="216"/>
                              <w:textAlignment w:val="baseline"/>
                              <w:rPr>
                                <w:rFonts w:ascii="Tahoma" w:eastAsia="Tahoma" w:hAnsi="Tahoma"/>
                                <w:color w:val="404042"/>
                                <w:sz w:val="18"/>
                              </w:rPr>
                            </w:pPr>
                            <w:r>
                              <w:rPr>
                                <w:rFonts w:ascii="Tahoma" w:eastAsia="Tahoma" w:hAnsi="Tahoma"/>
                                <w:color w:val="404042"/>
                                <w:sz w:val="18"/>
                              </w:rPr>
                              <w:t>Formal VET qualifications delivered in schools must be of a quality that is valued by industry and match the quality of VET delivered outside 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13093" id="Text Box 368" o:spid="_x0000_s1202" type="#_x0000_t202" style="position:absolute;margin-left:71.75pt;margin-top:559.55pt;width:449.3pt;height:23.4pt;z-index:-251788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bB8QEAAMMDAAAOAAAAZHJzL2Uyb0RvYy54bWysU9uO0zAQfUfiHyy/0zQF2hI1XS27WoS0&#10;LEi7fMDUcRqLxGPGbpPy9YydpizwhnixxnM5PnNmvLkaulYcNXmDtpT5bC6FtgorY/el/Pp092ot&#10;hQ9gK2jR6lKetJdX25cvNr0r9AIbbCtNgkGsL3pXyiYEV2SZV43uwM/QacvBGqmDwFfaZxVBz+hd&#10;my3m82XWI1WOUGnv2Xs7BuU24de1VuFzXXsdRFtK5hbSSencxTPbbqDYE7jGqDMN+AcWHRjLj16g&#10;biGAOJD5C6ozitBjHWYKuwzr2iideuBu8vkf3Tw24HTqhcXx7iKT/3+w6uH4hYSpSrl8s5LCQsdD&#10;etJDEO9xEK+X66hQ73zBiY+OU8PAAZ506ta7e1TfvLB404Dd62si7BsNFTPMY2X2rHTE8RFk13/C&#10;ih+CQ8AENNTURflYEMHoPKnTZTqRjGLn29V8meccUhxbvFvl6zS+DIqp2pEPHzR2IhqlJJ5+Qofj&#10;vQ+RDRRTSnzM4p1p27QBrf3NwYnRk9hHwiP1MOyGJFW+Wk6y7LA6cUOE42bxT2CjQfohRc9bVUr/&#10;/QCkpWg/WhYlruBk0GTsJgOs4tJSBilG8yaMq3pwZPYNI4+yW7xm4WqTeooKjyzOhHlTUqvnrY6r&#10;+Pyesn79ve1PAAAA//8DAFBLAwQUAAYACAAAACEAkXV17OEAAAAOAQAADwAAAGRycy9kb3ducmV2&#10;LnhtbEyPwU7DMBBE70j8g7WVuFEnpY1IGqeqEJyQEGk4cHRiN7Ear0PstuHv2ZzKbWZ3NPs23022&#10;Zxc9euNQQLyMgGlsnDLYCviq3h6fgfkgUcneoRbwqz3sivu7XGbKXbHUl0NoGZWgz6SALoQh49w3&#10;nbbSL92gkXZHN1oZyI4tV6O8Urnt+SqKEm6lQbrQyUG/dLo5Hc5WwP4by1fz81F/lsfSVFUa4Xty&#10;EuJhMe23wIKewi0MMz6hQ0FMtTuj8qwnv37aUJREHKcxsDkSrVek6nmWbFLgRc7/v1H8AQAA//8D&#10;AFBLAQItABQABgAIAAAAIQC2gziS/gAAAOEBAAATAAAAAAAAAAAAAAAAAAAAAABbQ29udGVudF9U&#10;eXBlc10ueG1sUEsBAi0AFAAGAAgAAAAhADj9If/WAAAAlAEAAAsAAAAAAAAAAAAAAAAALwEAAF9y&#10;ZWxzLy5yZWxzUEsBAi0AFAAGAAgAAAAhALR4hsHxAQAAwwMAAA4AAAAAAAAAAAAAAAAALgIAAGRy&#10;cy9lMm9Eb2MueG1sUEsBAi0AFAAGAAgAAAAhAJF1dezhAAAADgEAAA8AAAAAAAAAAAAAAAAASwQA&#10;AGRycy9kb3ducmV2LnhtbFBLBQYAAAAABAAEAPMAAABZBQAAAAA=&#10;" filled="f" stroked="f">
                <v:textbox inset="0,0,0,0">
                  <w:txbxContent>
                    <w:p w14:paraId="4E39476E" w14:textId="77777777" w:rsidR="00490F33" w:rsidRDefault="00490F33">
                      <w:pPr>
                        <w:numPr>
                          <w:ilvl w:val="0"/>
                          <w:numId w:val="20"/>
                        </w:numPr>
                        <w:spacing w:line="229" w:lineRule="exact"/>
                        <w:ind w:left="216" w:hanging="216"/>
                        <w:textAlignment w:val="baseline"/>
                        <w:rPr>
                          <w:rFonts w:ascii="Tahoma" w:eastAsia="Tahoma" w:hAnsi="Tahoma"/>
                          <w:color w:val="404042"/>
                          <w:sz w:val="18"/>
                        </w:rPr>
                      </w:pPr>
                      <w:r>
                        <w:rPr>
                          <w:rFonts w:ascii="Tahoma" w:eastAsia="Tahoma" w:hAnsi="Tahoma"/>
                          <w:color w:val="404042"/>
                          <w:sz w:val="18"/>
                        </w:rPr>
                        <w:t>Formal VET qualifications delivered in schools must be of a quality that is valued by industry and match the quality of VET delivered outside schools.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8704" behindDoc="1" locked="0" layoutInCell="1" allowOverlap="1" wp14:anchorId="4B9AC966" wp14:editId="0C2D1DC8">
                <wp:simplePos x="0" y="0"/>
                <wp:positionH relativeFrom="page">
                  <wp:posOffset>911225</wp:posOffset>
                </wp:positionH>
                <wp:positionV relativeFrom="page">
                  <wp:posOffset>7520940</wp:posOffset>
                </wp:positionV>
                <wp:extent cx="5748655" cy="297180"/>
                <wp:effectExtent l="0" t="0" r="0" b="0"/>
                <wp:wrapSquare wrapText="bothSides"/>
                <wp:docPr id="646"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E5089" w14:textId="77777777" w:rsidR="00490F33" w:rsidRDefault="00490F33">
                            <w:pPr>
                              <w:numPr>
                                <w:ilvl w:val="0"/>
                                <w:numId w:val="20"/>
                              </w:numPr>
                              <w:spacing w:line="234" w:lineRule="exact"/>
                              <w:ind w:left="216" w:hanging="216"/>
                              <w:jc w:val="both"/>
                              <w:textAlignment w:val="baseline"/>
                              <w:rPr>
                                <w:rFonts w:ascii="Tahoma" w:eastAsia="Tahoma" w:hAnsi="Tahoma"/>
                                <w:color w:val="404042"/>
                                <w:sz w:val="18"/>
                              </w:rPr>
                            </w:pPr>
                            <w:r>
                              <w:rPr>
                                <w:rFonts w:ascii="Tahoma" w:eastAsia="Tahoma" w:hAnsi="Tahoma"/>
                                <w:color w:val="404042"/>
                                <w:sz w:val="18"/>
                              </w:rPr>
                              <w:t>Where schools cannot deliver high-quality, formal VET qualifications, they should encourage students to study through reputable external registered training organisations.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C966" id="Text Box 367" o:spid="_x0000_s1203" type="#_x0000_t202" style="position:absolute;margin-left:71.75pt;margin-top:592.2pt;width:452.65pt;height:23.4pt;z-index:-251787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nm8QEAAMMDAAAOAAAAZHJzL2Uyb0RvYy54bWysU9uO0zAQfUfiHyy/07RleyFqulp2tQhp&#10;WZB2+YCp4zQWiceM3Sbl6xk7TVngDfFijedyfObMeHPdt404avIGbSFnk6kU2iosjd0X8uvz/Zu1&#10;FD6ALaFBqwt50l5eb1+/2nQu13OssSk1CQaxPu9cIesQXJ5lXtW6BT9Bpy0HK6QWAl9pn5UEHaO3&#10;TTafTpdZh1Q6QqW9Z+/dEJTbhF9VWoXPVeV1EE0hmVtIJ6VzF89su4F8T+Bqo8404B9YtGAsP3qB&#10;uoMA4kDmL6jWKEKPVZgobDOsKqN06oG7mU3/6OapBqdTLyyOdxeZ/P+DVY/HLyRMWcjl1VIKCy0P&#10;6Vn3QbzHXrxdrqJCnfM5Jz45Tg09B3jSqVvvHlB988LibQ12r2+IsKs1lMxwFiuzF6UDjo8gu+4T&#10;lvwQHAImoL6iNsrHgghG50mdLtOJZBQ7F6ur9XKxkEJxbP5uNVun8WWQj9WOfPigsRXRKCTx9BM6&#10;HB98iGwgH1PiYxbvTdOkDWjsbw5OjJ7EPhIeqId+1yepZquLLDssT9wQ4bBZ/BPYqJF+SNHxVhXS&#10;fz8AaSmaj5ZFiSs4GjQau9EAq7i0kEGKwbwNw6oeHJl9zciD7BZvWLjKpJ6iwgOLM2HelNTqeavj&#10;Kr68p6xff2/7EwAA//8DAFBLAwQUAAYACAAAACEAkJRdXuIAAAAOAQAADwAAAGRycy9kb3ducmV2&#10;LnhtbEyPwU7DMBBE70j8g7WVuFEnaahCGqeqEJyQEGk4cHRiN7Ear0PstuHv2Z7KbUb7NDtTbGc7&#10;sLOevHEoIF5GwDS2ThnsBHzVb48ZMB8kKjk41AJ+tYdteX9XyFy5C1b6vA8doxD0uRTQhzDmnPu2&#10;11b6pRs10u3gJisD2anjapIXCrcDT6Joza00SB96OeqXXrfH/ckK2H1j9Wp+PprP6lCZun6O8H19&#10;FOJhMe82wIKeww2Ga32qDiV1atwJlWcD+XT1RCiJOEtTYFckSjOa05BKVnECvCz4/xnlHwAAAP//&#10;AwBQSwECLQAUAAYACAAAACEAtoM4kv4AAADhAQAAEwAAAAAAAAAAAAAAAAAAAAAAW0NvbnRlbnRf&#10;VHlwZXNdLnhtbFBLAQItABQABgAIAAAAIQA4/SH/1gAAAJQBAAALAAAAAAAAAAAAAAAAAC8BAABf&#10;cmVscy8ucmVsc1BLAQItABQABgAIAAAAIQDshCnm8QEAAMMDAAAOAAAAAAAAAAAAAAAAAC4CAABk&#10;cnMvZTJvRG9jLnhtbFBLAQItABQABgAIAAAAIQCQlF1e4gAAAA4BAAAPAAAAAAAAAAAAAAAAAEsE&#10;AABkcnMvZG93bnJldi54bWxQSwUGAAAAAAQABADzAAAAWgUAAAAA&#10;" filled="f" stroked="f">
                <v:textbox inset="0,0,0,0">
                  <w:txbxContent>
                    <w:p w14:paraId="7F0E5089" w14:textId="77777777" w:rsidR="00490F33" w:rsidRDefault="00490F33">
                      <w:pPr>
                        <w:numPr>
                          <w:ilvl w:val="0"/>
                          <w:numId w:val="20"/>
                        </w:numPr>
                        <w:spacing w:line="234" w:lineRule="exact"/>
                        <w:ind w:left="216" w:hanging="216"/>
                        <w:jc w:val="both"/>
                        <w:textAlignment w:val="baseline"/>
                        <w:rPr>
                          <w:rFonts w:ascii="Tahoma" w:eastAsia="Tahoma" w:hAnsi="Tahoma"/>
                          <w:color w:val="404042"/>
                          <w:sz w:val="18"/>
                        </w:rPr>
                      </w:pPr>
                      <w:r>
                        <w:rPr>
                          <w:rFonts w:ascii="Tahoma" w:eastAsia="Tahoma" w:hAnsi="Tahoma"/>
                          <w:color w:val="404042"/>
                          <w:sz w:val="18"/>
                        </w:rPr>
                        <w:t>Where schools cannot deliver high-quality, formal VET qualifications, they should encourage students to study through reputable external registered training organisations.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29728" behindDoc="1" locked="0" layoutInCell="1" allowOverlap="1" wp14:anchorId="39DC3F53" wp14:editId="5176196F">
                <wp:simplePos x="0" y="0"/>
                <wp:positionH relativeFrom="page">
                  <wp:posOffset>905510</wp:posOffset>
                </wp:positionH>
                <wp:positionV relativeFrom="page">
                  <wp:posOffset>7932420</wp:posOffset>
                </wp:positionV>
                <wp:extent cx="5669280" cy="297180"/>
                <wp:effectExtent l="0" t="0" r="0" b="0"/>
                <wp:wrapSquare wrapText="bothSides"/>
                <wp:docPr id="645"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90FD3" w14:textId="77777777" w:rsidR="00490F33" w:rsidRDefault="00490F33">
                            <w:pPr>
                              <w:numPr>
                                <w:ilvl w:val="0"/>
                                <w:numId w:val="20"/>
                              </w:numPr>
                              <w:spacing w:line="234" w:lineRule="exact"/>
                              <w:ind w:left="216" w:hanging="216"/>
                              <w:textAlignment w:val="baseline"/>
                              <w:rPr>
                                <w:rFonts w:ascii="Tahoma" w:eastAsia="Tahoma" w:hAnsi="Tahoma"/>
                                <w:color w:val="404042"/>
                                <w:sz w:val="18"/>
                              </w:rPr>
                            </w:pPr>
                            <w:r>
                              <w:rPr>
                                <w:rFonts w:ascii="Tahoma" w:eastAsia="Tahoma" w:hAnsi="Tahoma"/>
                                <w:color w:val="404042"/>
                                <w:sz w:val="18"/>
                              </w:rPr>
                              <w:t>The Preparing Secondary Students for Work framework, formulated in 2014, should be updated with a much greater focus on quality and implementation.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C3F53" id="Text Box 366" o:spid="_x0000_s1204" type="#_x0000_t202" style="position:absolute;margin-left:71.3pt;margin-top:624.6pt;width:446.4pt;height:23.4pt;z-index:-251786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SAA8AEAAMMDAAAOAAAAZHJzL2Uyb0RvYy54bWysU8Fu2zAMvQ/YPwi6L06y1U2NOEXXosOA&#10;rhvQ7gMYWY6F2aJGKbGzrx8lx1m33YZdBIqkHh8fqfX10LXioMkbtKVczOZSaKuwMnZXyq/P929W&#10;UvgAtoIWrS7lUXt5vXn9at27Qi+xwbbSJBjE+qJ3pWxCcEWWedXoDvwMnbYcrJE6CHylXVYR9Ize&#10;tdlyPs+zHqlyhEp7z967MSg3Cb+utQqf69rrINpSMreQTkrnNp7ZZg3FjsA1Rp1owD+w6MBYLnqG&#10;uoMAYk/mL6jOKEKPdZgp7DKsa6N06oG7Wcz/6OapAadTLyyOd2eZ/P+DVY+HLyRMVcr83YUUFjoe&#10;0rMegniPg3ib51Gh3vmCE58cp4aBAzzp1K13D6i+eWHxtgG70zdE2DcaKma4iC+zF09HHB9Btv0n&#10;rLgQ7AMmoKGmLsrHgghG50kdz9OJZBQ7L/L8arnikOLY8upywXYsAcX02pEPHzR2IhqlJJ5+QofD&#10;gw9j6pQSi1m8N23Lfiha+5uDMaMnsY+ER+ph2A5JqsXlapJli9WRGyIcN4t/AhsN0g8pet6qUvrv&#10;eyAtRfvRsihxBSeDJmM7GWAVPy1lkGI0b8O4qntHZtcw8ii7xRsWrjapp6jwyOJEmDclqXLa6riK&#10;L+8p69ff2/wEAAD//wMAUEsDBBQABgAIAAAAIQC4KK2a4QAAAA4BAAAPAAAAZHJzL2Rvd25yZXYu&#10;eG1sTI9BT4NAEIXvJv6HzZh4s7tFJEJZmsboycRI8eBxgS1sys4iu23x3zuc6m3ezMub7+Xb2Q7s&#10;rCdvHEpYrwQwjY1rDXYSvqq3h2dgPihs1eBQS/jVHrbF7U2ustZdsNTnfegYhaDPlIQ+hDHj3De9&#10;tsqv3KiRbgc3WRVITh1vJ3WhcDvwSIiEW2WQPvRq1C+9bo77k5Ww+8by1fx81J/loTRVlQp8T45S&#10;3t/Nuw2woOdwNcOCT+hQEFPtTth6NpCOo4SsNERxGgFbLOLxKQZWL7s0EcCLnP+vUfwBAAD//wMA&#10;UEsBAi0AFAAGAAgAAAAhALaDOJL+AAAA4QEAABMAAAAAAAAAAAAAAAAAAAAAAFtDb250ZW50X1R5&#10;cGVzXS54bWxQSwECLQAUAAYACAAAACEAOP0h/9YAAACUAQAACwAAAAAAAAAAAAAAAAAvAQAAX3Jl&#10;bHMvLnJlbHNQSwECLQAUAAYACAAAACEAwukgAPABAADDAwAADgAAAAAAAAAAAAAAAAAuAgAAZHJz&#10;L2Uyb0RvYy54bWxQSwECLQAUAAYACAAAACEAuCitmuEAAAAOAQAADwAAAAAAAAAAAAAAAABKBAAA&#10;ZHJzL2Rvd25yZXYueG1sUEsFBgAAAAAEAAQA8wAAAFgFAAAAAA==&#10;" filled="f" stroked="f">
                <v:textbox inset="0,0,0,0">
                  <w:txbxContent>
                    <w:p w14:paraId="72190FD3" w14:textId="77777777" w:rsidR="00490F33" w:rsidRDefault="00490F33">
                      <w:pPr>
                        <w:numPr>
                          <w:ilvl w:val="0"/>
                          <w:numId w:val="20"/>
                        </w:numPr>
                        <w:spacing w:line="234" w:lineRule="exact"/>
                        <w:ind w:left="216" w:hanging="216"/>
                        <w:textAlignment w:val="baseline"/>
                        <w:rPr>
                          <w:rFonts w:ascii="Tahoma" w:eastAsia="Tahoma" w:hAnsi="Tahoma"/>
                          <w:color w:val="404042"/>
                          <w:sz w:val="18"/>
                        </w:rPr>
                      </w:pPr>
                      <w:r>
                        <w:rPr>
                          <w:rFonts w:ascii="Tahoma" w:eastAsia="Tahoma" w:hAnsi="Tahoma"/>
                          <w:color w:val="404042"/>
                          <w:sz w:val="18"/>
                        </w:rPr>
                        <w:t>The Preparing Secondary Students for Work framework, formulated in 2014, should be updated with a much greater focus on quality and implementation.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0752" behindDoc="1" locked="0" layoutInCell="1" allowOverlap="1" wp14:anchorId="3ABA9FB3" wp14:editId="248D70D8">
                <wp:simplePos x="0" y="0"/>
                <wp:positionH relativeFrom="page">
                  <wp:posOffset>905510</wp:posOffset>
                </wp:positionH>
                <wp:positionV relativeFrom="page">
                  <wp:posOffset>8347075</wp:posOffset>
                </wp:positionV>
                <wp:extent cx="5693410" cy="297180"/>
                <wp:effectExtent l="0" t="0" r="0" b="0"/>
                <wp:wrapSquare wrapText="bothSides"/>
                <wp:docPr id="644"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3084E" w14:textId="77777777" w:rsidR="00490F33" w:rsidRDefault="00490F33">
                            <w:pPr>
                              <w:numPr>
                                <w:ilvl w:val="0"/>
                                <w:numId w:val="20"/>
                              </w:numPr>
                              <w:spacing w:line="231" w:lineRule="exact"/>
                              <w:ind w:left="216" w:hanging="216"/>
                              <w:textAlignment w:val="baseline"/>
                              <w:rPr>
                                <w:rFonts w:ascii="Tahoma" w:eastAsia="Tahoma" w:hAnsi="Tahoma"/>
                                <w:color w:val="404042"/>
                                <w:sz w:val="18"/>
                              </w:rPr>
                            </w:pPr>
                            <w:r>
                              <w:rPr>
                                <w:rFonts w:ascii="Tahoma" w:eastAsia="Tahoma" w:hAnsi="Tahoma"/>
                                <w:color w:val="404042"/>
                                <w:sz w:val="18"/>
                              </w:rPr>
                              <w:t>School-based apprenticeships and traineeships should be more actively promoted and made easier to undertake for both students and employers.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A9FB3" id="Text Box 365" o:spid="_x0000_s1205" type="#_x0000_t202" style="position:absolute;margin-left:71.3pt;margin-top:657.25pt;width:448.3pt;height:23.4pt;z-index:-251785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3CU8gEAAMMDAAAOAAAAZHJzL2Uyb0RvYy54bWysU21v0zAQ/o7Ef7D8nabpum6Nmk5j0xDS&#10;GEgbP8Bx7MYi8Zmz26T8es5OUwZ8Q3yxzvfy+LnnzpuboWvZQaE3YEuez+acKSuhNnZX8q8vD++u&#10;OfNB2Fq0YFXJj8rzm+3bN5veFWoBDbS1QkYg1he9K3kTgiuyzMtGdcLPwClLQQ3YiUBX3GU1ip7Q&#10;uzZbzOerrAesHYJU3pP3fgzybcLXWsnwWWuvAmtLTtxCOjGdVTyz7UYUOxSuMfJEQ/wDi04YS4+e&#10;oe5FEGyP5i+ozkgEDzrMJHQZaG2kSj1QN/n8j26eG+FU6oXE8e4sk/9/sPLp8AWZqUu+Wi45s6Kj&#10;Ib2oIbD3MLCL1WVUqHe+oMRnR6lhoABNOnXr3SPIb55ZuGuE3albROgbJWpimMfK7FXpiOMjSNV/&#10;gpoeEvsACWjQ2EX5SBBG6DSp43k6kYwk5+VqfbHMKSQptlhf5ddpfJkopmqHPnxQ0LFolBxp+gld&#10;HB59iGxEMaXExyw8mLZNG9Da3xyUGD2JfSQ8Ug9DNSSp8qv1JEsF9ZEaQhg3i34CGQ3gD8562qqS&#10;++97gYqz9qMlUeIKTgZORjUZwkoqLXngbDTvwriqe4dm1xDyKLuFWxJOm9RTVHhkcSJMm5JaPW11&#10;XMXX95T16+9tfwIAAP//AwBQSwMEFAAGAAgAAAAhAOSf/LPhAAAADgEAAA8AAABkcnMvZG93bnJl&#10;di54bWxMj0FPg0AQhe8m/ofNmHizu0AlFlmaxujJxEjx4HFhp0DKziK7bfHfu5zqbd7My5vv5dvZ&#10;DOyMk+stSYhWAhhSY3VPrYSv6u3hCZjzirQaLKGEX3SwLW5vcpVpe6ESz3vfshBCLlMSOu/HjHPX&#10;dGiUW9kRKdwOdjLKBzm1XE/qEsLNwGMhUm5UT+FDp0Z86bA57k9Gwu6bytf+56P+LA9lX1UbQe/p&#10;Ucr7u3n3DMzj7K9mWPADOhSBqbYn0o4NQa/jNFjDkETrR2CLRSSbGFi97NIoAV7k/H+N4g8AAP//&#10;AwBQSwECLQAUAAYACAAAACEAtoM4kv4AAADhAQAAEwAAAAAAAAAAAAAAAAAAAAAAW0NvbnRlbnRf&#10;VHlwZXNdLnhtbFBLAQItABQABgAIAAAAIQA4/SH/1gAAAJQBAAALAAAAAAAAAAAAAAAAAC8BAABf&#10;cmVscy8ucmVsc1BLAQItABQABgAIAAAAIQAXv3CU8gEAAMMDAAAOAAAAAAAAAAAAAAAAAC4CAABk&#10;cnMvZTJvRG9jLnhtbFBLAQItABQABgAIAAAAIQDkn/yz4QAAAA4BAAAPAAAAAAAAAAAAAAAAAEwE&#10;AABkcnMvZG93bnJldi54bWxQSwUGAAAAAAQABADzAAAAWgUAAAAA&#10;" filled="f" stroked="f">
                <v:textbox inset="0,0,0,0">
                  <w:txbxContent>
                    <w:p w14:paraId="5E83084E" w14:textId="77777777" w:rsidR="00490F33" w:rsidRDefault="00490F33">
                      <w:pPr>
                        <w:numPr>
                          <w:ilvl w:val="0"/>
                          <w:numId w:val="20"/>
                        </w:numPr>
                        <w:spacing w:line="231" w:lineRule="exact"/>
                        <w:ind w:left="216" w:hanging="216"/>
                        <w:textAlignment w:val="baseline"/>
                        <w:rPr>
                          <w:rFonts w:ascii="Tahoma" w:eastAsia="Tahoma" w:hAnsi="Tahoma"/>
                          <w:color w:val="404042"/>
                          <w:sz w:val="18"/>
                        </w:rPr>
                      </w:pPr>
                      <w:r>
                        <w:rPr>
                          <w:rFonts w:ascii="Tahoma" w:eastAsia="Tahoma" w:hAnsi="Tahoma"/>
                          <w:color w:val="404042"/>
                          <w:sz w:val="18"/>
                        </w:rPr>
                        <w:t>School-based apprenticeships and traineeships should be more actively promoted and made easier to undertake for both students and employers.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1776" behindDoc="1" locked="0" layoutInCell="1" allowOverlap="1" wp14:anchorId="612EC7A3" wp14:editId="5AADA8C1">
                <wp:simplePos x="0" y="0"/>
                <wp:positionH relativeFrom="page">
                  <wp:posOffset>914400</wp:posOffset>
                </wp:positionH>
                <wp:positionV relativeFrom="page">
                  <wp:posOffset>8758555</wp:posOffset>
                </wp:positionV>
                <wp:extent cx="5355590" cy="295275"/>
                <wp:effectExtent l="0" t="0" r="0" b="0"/>
                <wp:wrapSquare wrapText="bothSides"/>
                <wp:docPr id="64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8B27" w14:textId="77777777" w:rsidR="00490F33" w:rsidRDefault="00490F33">
                            <w:pPr>
                              <w:numPr>
                                <w:ilvl w:val="0"/>
                                <w:numId w:val="20"/>
                              </w:numPr>
                              <w:spacing w:line="231" w:lineRule="exact"/>
                              <w:ind w:left="216" w:hanging="216"/>
                              <w:textAlignment w:val="baseline"/>
                              <w:rPr>
                                <w:rFonts w:ascii="Tahoma" w:eastAsia="Tahoma" w:hAnsi="Tahoma"/>
                                <w:color w:val="404042"/>
                                <w:sz w:val="18"/>
                              </w:rPr>
                            </w:pPr>
                            <w:r>
                              <w:rPr>
                                <w:rFonts w:ascii="Tahoma" w:eastAsia="Tahoma" w:hAnsi="Tahoma"/>
                                <w:color w:val="404042"/>
                                <w:sz w:val="18"/>
                              </w:rPr>
                              <w:t>The VET undertaken should be responsive to existing and emerging skills needs, including at the local 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EC7A3" id="Text Box 364" o:spid="_x0000_s1206" type="#_x0000_t202" style="position:absolute;margin-left:1in;margin-top:689.65pt;width:421.7pt;height:23.25pt;z-index:-251784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sK8gEAAMMDAAAOAAAAZHJzL2Uyb0RvYy54bWysU9tu2zAMfR+wfxD0vjiXOmuNOEXXosOA&#10;rhvQ7gMYWY6F2aJGKbGzrx8lJ2m3vQ17ESiROjrnkFpdD10r9pq8QVvK2WQqhbYKK2O3pfz2fP/u&#10;UgofwFbQotWlPGgvr9dv36x6V+g5NthWmgSDWF/0rpRNCK7IMq8a3YGfoNOWkzVSB4G3tM0qgp7R&#10;uzabT6fLrEeqHKHS3vPp3ZiU64Rf11qFL3XtdRBtKZlbSCuldRPXbL2CYkvgGqOONOAfWHRgLD96&#10;hrqDAGJH5i+ozihCj3WYKOwyrGujdNLAambTP9Q8NeB00sLmeHe2yf8/WPW4/0rCVKVcXiyksNBx&#10;k571EMQHHMRieREd6p0vuPDJcWkYOMGdTmq9e0D13QuLtw3Yrb4hwr7RUDHDWbyZvbo64vgIsuk/&#10;Y8UPwS5gAhpq6qJ9bIhgdO7U4dydSEbxYb7I8/yKU4pz86t8/j5PT0Bxuu3Ih48aOxGDUhJ3P6HD&#10;/sGHyAaKU0l8zOK9ads0Aa397YAL40liHwmP1MOwGZJVs8s0OFHbBqsDCyIcJ4t/AgcN0k8pep6q&#10;UvofOyAtRfvJsilxBE8BnYLNKQCr+GopgxRjeBvGUd05MtuGkUfbLd6wcbVJml5YHAnzpCSpx6mO&#10;o/h6n6pe/t76FwAAAP//AwBQSwMEFAAGAAgAAAAhAIWEFV/iAAAADQEAAA8AAABkcnMvZG93bnJl&#10;di54bWxMj8FOwzAQRO9I/IO1SNyo0za0SRqnqhCckBBpOHB0YjexGq9D7Lbh79meym1HM5p9k28n&#10;27OzHr1xKGA+i4BpbJwy2Ar4qt6eEmA+SFSyd6gF/GoP2+L+LpeZchcs9XkfWkYl6DMpoAthyDj3&#10;Taet9DM3aCTv4EYrA8mx5WqUFyq3PV9E0YpbaZA+dHLQL51ujvuTFbD7xvLV/HzUn+WhNFWVRvi+&#10;Ogrx+DDtNsCCnsItDFd8QoeCmGp3QuVZTzqOaUugY7lOl8AokibrGFh99RbPCfAi5/9XFH8AAAD/&#10;/wMAUEsBAi0AFAAGAAgAAAAhALaDOJL+AAAA4QEAABMAAAAAAAAAAAAAAAAAAAAAAFtDb250ZW50&#10;X1R5cGVzXS54bWxQSwECLQAUAAYACAAAACEAOP0h/9YAAACUAQAACwAAAAAAAAAAAAAAAAAvAQAA&#10;X3JlbHMvLnJlbHNQSwECLQAUAAYACAAAACEAsJArCvIBAADDAwAADgAAAAAAAAAAAAAAAAAuAgAA&#10;ZHJzL2Uyb0RvYy54bWxQSwECLQAUAAYACAAAACEAhYQVX+IAAAANAQAADwAAAAAAAAAAAAAAAABM&#10;BAAAZHJzL2Rvd25yZXYueG1sUEsFBgAAAAAEAAQA8wAAAFsFAAAAAA==&#10;" filled="f" stroked="f">
                <v:textbox inset="0,0,0,0">
                  <w:txbxContent>
                    <w:p w14:paraId="028D8B27" w14:textId="77777777" w:rsidR="00490F33" w:rsidRDefault="00490F33">
                      <w:pPr>
                        <w:numPr>
                          <w:ilvl w:val="0"/>
                          <w:numId w:val="20"/>
                        </w:numPr>
                        <w:spacing w:line="231" w:lineRule="exact"/>
                        <w:ind w:left="216" w:hanging="216"/>
                        <w:textAlignment w:val="baseline"/>
                        <w:rPr>
                          <w:rFonts w:ascii="Tahoma" w:eastAsia="Tahoma" w:hAnsi="Tahoma"/>
                          <w:color w:val="404042"/>
                          <w:sz w:val="18"/>
                        </w:rPr>
                      </w:pPr>
                      <w:r>
                        <w:rPr>
                          <w:rFonts w:ascii="Tahoma" w:eastAsia="Tahoma" w:hAnsi="Tahoma"/>
                          <w:color w:val="404042"/>
                          <w:sz w:val="18"/>
                        </w:rPr>
                        <w:t>The VET undertaken should be responsive to existing and emerging skills needs, including at the local level.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2800" behindDoc="1" locked="0" layoutInCell="1" allowOverlap="1" wp14:anchorId="532FED92" wp14:editId="70B9E4BC">
                <wp:simplePos x="0" y="0"/>
                <wp:positionH relativeFrom="page">
                  <wp:posOffset>0</wp:posOffset>
                </wp:positionH>
                <wp:positionV relativeFrom="page">
                  <wp:posOffset>9686925</wp:posOffset>
                </wp:positionV>
                <wp:extent cx="7562215" cy="542290"/>
                <wp:effectExtent l="0" t="0" r="0" b="0"/>
                <wp:wrapSquare wrapText="bothSides"/>
                <wp:docPr id="64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BA5CC" w14:textId="77777777" w:rsidR="00490F33" w:rsidRDefault="00490F33">
                            <w:pPr>
                              <w:tabs>
                                <w:tab w:val="left" w:pos="10872"/>
                              </w:tabs>
                              <w:spacing w:after="638" w:line="206" w:lineRule="exact"/>
                              <w:ind w:left="8064"/>
                              <w:textAlignment w:val="baseline"/>
                              <w:rPr>
                                <w:rFonts w:ascii="Tahoma" w:eastAsia="Tahoma" w:hAnsi="Tahoma"/>
                                <w:color w:val="404042"/>
                                <w:sz w:val="14"/>
                              </w:rPr>
                            </w:pPr>
                            <w:r>
                              <w:rPr>
                                <w:rFonts w:ascii="Tahoma" w:eastAsia="Tahoma" w:hAnsi="Tahoma"/>
                                <w:color w:val="404042"/>
                                <w:sz w:val="14"/>
                              </w:rPr>
                              <w:t>Chapter 3: VET and the world of work</w:t>
                            </w:r>
                            <w:r>
                              <w:rPr>
                                <w:rFonts w:ascii="Arial" w:eastAsia="Arial" w:hAnsi="Arial"/>
                                <w:b/>
                                <w:color w:val="5556A1"/>
                                <w:sz w:val="19"/>
                              </w:rPr>
                              <w:tab/>
                              <w:t>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FED92" id="Text Box 363" o:spid="_x0000_s1207" type="#_x0000_t202" style="position:absolute;margin-left:0;margin-top:762.75pt;width:595.45pt;height:42.7pt;z-index:-251783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7xF8gEAAMMDAAAOAAAAZHJzL2Uyb0RvYy54bWysU9tu2zAMfR+wfxD0vjhxm6wz4hRdiw4D&#10;ugvQ7gMYWY6F2aJGKbGzrx8lx2m3vQ17ESiKOjrnkFpfD10rDpq8QVvKxWwuhbYKK2N3pfz2dP/m&#10;SgofwFbQotWlPGovrzevX617V+gcG2wrTYJBrC96V8omBFdkmVeN7sDP0GnLhzVSB4G3tMsqgp7R&#10;uzbL5/NV1iNVjlBp7zl7Nx7KTcKva63Cl7r2Ooi2lMwtpJXSuo1rtllDsSNwjVEnGvAPLDowlh89&#10;Q91BALEn8xdUZxShxzrMFHYZ1rVROmlgNYv5H2oeG3A6aWFzvDvb5P8frPp8+ErCVKVcXeZSWOi4&#10;SU96COI9DuJidREd6p0vuPDRcWkY+IA7ndR694DquxcWbxuwO31DhH2joWKGi3gze3F1xPERZNt/&#10;woofgn3ABDTU1EX72BDB6Nyp47k7kYzi5NvlKs8XSykUny0v8/xdal8GxXTbkQ8fNHYiBqUk7n5C&#10;h8ODD5ENFFNJfMzivWnbNAGt/S3BhTGT2EfCI/UwbIdk1eIqiYvatlgdWRDhOFn8EzhokH5K0fNU&#10;ldL/2ANpKdqPlk2JIzgFNAXbKQCr+GopgxRjeBvGUd07MruGkUfbLd6wcbVJmp5ZnAjzpCSpp6mO&#10;o/hyn6qe/97mFwAAAP//AwBQSwMEFAAGAAgAAAAhAGbTsSHfAAAACwEAAA8AAABkcnMvZG93bnJl&#10;di54bWxMj8FOwzAQRO9I/QdrkbhRO5USkRCnqio4ISHScODoxG5iNV6H2G3D37M9wW12ZzX7ptwu&#10;bmQXMwfrUUKyFsAMdl5b7CV8Nq+PT8BCVKjV6NFI+DEBttXqrlSF9leszeUQe0YhGAolYYhxKjgP&#10;3WCcCms/GSTv6GenIo1zz/WsrhTuRr4RIuNOWaQPg5rMfjDd6XB2EnZfWL/Y7/f2oz7WtmlygW/Z&#10;ScqH+2X3DCyaJf4dww2f0KEiptafUQc2SqAikbbpJk2B3fwkFzmwllSWkOJVyf93qH4BAAD//wMA&#10;UEsBAi0AFAAGAAgAAAAhALaDOJL+AAAA4QEAABMAAAAAAAAAAAAAAAAAAAAAAFtDb250ZW50X1R5&#10;cGVzXS54bWxQSwECLQAUAAYACAAAACEAOP0h/9YAAACUAQAACwAAAAAAAAAAAAAAAAAvAQAAX3Jl&#10;bHMvLnJlbHNQSwECLQAUAAYACAAAACEAGH+8RfIBAADDAwAADgAAAAAAAAAAAAAAAAAuAgAAZHJz&#10;L2Uyb0RvYy54bWxQSwECLQAUAAYACAAAACEAZtOxId8AAAALAQAADwAAAAAAAAAAAAAAAABMBAAA&#10;ZHJzL2Rvd25yZXYueG1sUEsFBgAAAAAEAAQA8wAAAFgFAAAAAA==&#10;" filled="f" stroked="f">
                <v:textbox inset="0,0,0,0">
                  <w:txbxContent>
                    <w:p w14:paraId="652BA5CC" w14:textId="77777777" w:rsidR="00490F33" w:rsidRDefault="00490F33">
                      <w:pPr>
                        <w:tabs>
                          <w:tab w:val="left" w:pos="10872"/>
                        </w:tabs>
                        <w:spacing w:after="638" w:line="206" w:lineRule="exact"/>
                        <w:ind w:left="8064"/>
                        <w:textAlignment w:val="baseline"/>
                        <w:rPr>
                          <w:rFonts w:ascii="Tahoma" w:eastAsia="Tahoma" w:hAnsi="Tahoma"/>
                          <w:color w:val="404042"/>
                          <w:sz w:val="14"/>
                        </w:rPr>
                      </w:pPr>
                      <w:r>
                        <w:rPr>
                          <w:rFonts w:ascii="Tahoma" w:eastAsia="Tahoma" w:hAnsi="Tahoma"/>
                          <w:color w:val="404042"/>
                          <w:sz w:val="14"/>
                        </w:rPr>
                        <w:t>Chapter 3: VET and the world of work</w:t>
                      </w:r>
                      <w:r>
                        <w:rPr>
                          <w:rFonts w:ascii="Arial" w:eastAsia="Arial" w:hAnsi="Arial"/>
                          <w:b/>
                          <w:color w:val="5556A1"/>
                          <w:sz w:val="19"/>
                        </w:rPr>
                        <w:tab/>
                        <w:t>89</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3824" behindDoc="1" locked="0" layoutInCell="1" allowOverlap="1" wp14:anchorId="2688F350" wp14:editId="6EEB1701">
                <wp:simplePos x="0" y="0"/>
                <wp:positionH relativeFrom="page">
                  <wp:posOffset>0</wp:posOffset>
                </wp:positionH>
                <wp:positionV relativeFrom="page">
                  <wp:posOffset>10229215</wp:posOffset>
                </wp:positionV>
                <wp:extent cx="7562215" cy="462915"/>
                <wp:effectExtent l="0" t="0" r="0" b="0"/>
                <wp:wrapSquare wrapText="bothSides"/>
                <wp:docPr id="641"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0DF31" w14:textId="77777777" w:rsidR="00490F33" w:rsidRDefault="00490F33">
                            <w:pPr>
                              <w:textAlignment w:val="baseline"/>
                            </w:pPr>
                            <w:r>
                              <w:rPr>
                                <w:noProof/>
                                <w:lang w:val="en-AU" w:eastAsia="en-AU"/>
                              </w:rPr>
                              <w:drawing>
                                <wp:inline distT="0" distB="0" distL="0" distR="0" wp14:anchorId="71AF7B25" wp14:editId="741429EF">
                                  <wp:extent cx="7562215" cy="462915"/>
                                  <wp:effectExtent l="0" t="0" r="0" b="0"/>
                                  <wp:docPr id="1052" name="Picture"/>
                                  <wp:cNvGraphicFramePr/>
                                  <a:graphic xmlns:a="http://schemas.openxmlformats.org/drawingml/2006/main">
                                    <a:graphicData uri="http://schemas.openxmlformats.org/drawingml/2006/picture">
                                      <pic:pic xmlns:pic="http://schemas.openxmlformats.org/drawingml/2006/picture">
                                        <pic:nvPicPr>
                                          <pic:cNvPr id="144" name="Picture"/>
                                          <pic:cNvPicPr preferRelativeResize="0"/>
                                        </pic:nvPicPr>
                                        <pic:blipFill>
                                          <a:blip r:embed="rId191"/>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8F350" id="Text Box 362" o:spid="_x0000_s1208" type="#_x0000_t202" style="position:absolute;margin-left:0;margin-top:805.45pt;width:595.45pt;height:36.45pt;z-index:-251782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9378AEAAMMDAAAOAAAAZHJzL2Uyb0RvYy54bWysU9tu2zAMfR+wfxD0vjj22qwz4hRdiw4D&#10;ugvQ7gMYWY6F2aJGKbGzrx8lx1m3vQ17ESiSOjw8pNbXY9+JgyZv0FYyXyyl0FZhbeyukl+f7l9d&#10;SeED2Bo6tLqSR+3l9ebli/XgSl1gi12tSTCI9eXgKtmG4Mos86rVPfgFOm052CD1EPhKu6wmGBi9&#10;77JiuVxlA1LtCJX2nr13U1BuEn7TaBU+N43XQXSVZG4hnZTObTyzzRrKHYFrjTrRgH9g0YOxXPQM&#10;dQcBxJ7MX1C9UYQem7BQ2GfYNEbp1AN3ky//6OaxBadTLyyOd2eZ/P+DVZ8OX0iYupKri1wKCz0P&#10;6UmPQbzDUbxeFVGhwfmSEx8dp4aRAzzp1K13D6i+eWHxtgW70zdEOLQaamaYx5fZs6cTjo8g2+Ej&#10;1lwI9gET0NhQH+VjQQSj86SO5+lEMoqdby5XRZFfSqE4drEq3rIdS0A5v3bkw3uNvYhGJYmnn9Dh&#10;8ODDlDqnxGIW703XsR/Kzv7mYMzoSewj4Yl6GLdjkiq/OsuyxfrIDRFOm8U/gY0W6YcUA29VJf33&#10;PZCWovtgWZS4grNBs7GdDbCKn1YySDGZt2Fa1b0js2sZeZLd4g0L15jUU1R4YnEizJuSVDltdVzF&#10;5/eU9evvbX4C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ifPd+/ABAADDAwAADgAAAAAAAAAAAAAAAAAuAgAAZHJzL2Uy&#10;b0RvYy54bWxQSwECLQAUAAYACAAAACEAOwbrv94AAAALAQAADwAAAAAAAAAAAAAAAABKBAAAZHJz&#10;L2Rvd25yZXYueG1sUEsFBgAAAAAEAAQA8wAAAFUFAAAAAA==&#10;" filled="f" stroked="f">
                <v:textbox inset="0,0,0,0">
                  <w:txbxContent>
                    <w:p w14:paraId="32D0DF31" w14:textId="77777777" w:rsidR="00490F33" w:rsidRDefault="00490F33">
                      <w:pPr>
                        <w:textAlignment w:val="baseline"/>
                      </w:pPr>
                      <w:r>
                        <w:rPr>
                          <w:noProof/>
                          <w:lang w:val="en-AU" w:eastAsia="en-AU"/>
                        </w:rPr>
                        <w:drawing>
                          <wp:inline distT="0" distB="0" distL="0" distR="0" wp14:anchorId="71AF7B25" wp14:editId="741429EF">
                            <wp:extent cx="7562215" cy="462915"/>
                            <wp:effectExtent l="0" t="0" r="0" b="0"/>
                            <wp:docPr id="1052" name="Picture"/>
                            <wp:cNvGraphicFramePr/>
                            <a:graphic xmlns:a="http://schemas.openxmlformats.org/drawingml/2006/main">
                              <a:graphicData uri="http://schemas.openxmlformats.org/drawingml/2006/picture">
                                <pic:pic xmlns:pic="http://schemas.openxmlformats.org/drawingml/2006/picture">
                                  <pic:nvPicPr>
                                    <pic:cNvPr id="144" name="Picture"/>
                                    <pic:cNvPicPr preferRelativeResize="0"/>
                                  </pic:nvPicPr>
                                  <pic:blipFill>
                                    <a:blip r:embed="rId191"/>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1B42B9EC" w14:textId="6FD00DB5" w:rsidR="009757A9" w:rsidRDefault="0091507A">
      <w:pPr>
        <w:sectPr w:rsidR="009757A9">
          <w:pgSz w:w="11909" w:h="16838"/>
          <w:pgMar w:top="792" w:right="0" w:bottom="0" w:left="0" w:header="720" w:footer="720" w:gutter="0"/>
          <w:cols w:space="720"/>
        </w:sectPr>
      </w:pPr>
      <w:r>
        <w:rPr>
          <w:noProof/>
          <w:lang w:val="en-AU" w:eastAsia="en-AU"/>
        </w:rPr>
        <mc:AlternateContent>
          <mc:Choice Requires="wps">
            <w:drawing>
              <wp:anchor distT="0" distB="300355" distL="539750" distR="536575" simplePos="0" relativeHeight="252079616" behindDoc="1" locked="0" layoutInCell="1" allowOverlap="1" wp14:anchorId="1BAACF71" wp14:editId="7FE7354A">
                <wp:simplePos x="0" y="0"/>
                <wp:positionH relativeFrom="page">
                  <wp:posOffset>733425</wp:posOffset>
                </wp:positionH>
                <wp:positionV relativeFrom="page">
                  <wp:posOffset>5133975</wp:posOffset>
                </wp:positionV>
                <wp:extent cx="5981700" cy="4114800"/>
                <wp:effectExtent l="0" t="0" r="19050" b="19050"/>
                <wp:wrapNone/>
                <wp:docPr id="1064"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114800"/>
                        </a:xfrm>
                        <a:prstGeom prst="rect">
                          <a:avLst/>
                        </a:prstGeom>
                        <a:solidFill>
                          <a:srgbClr val="DFE6EB"/>
                        </a:solidFill>
                        <a:ln w="9525">
                          <a:solidFill>
                            <a:schemeClr val="accent1">
                              <a:lumMod val="50000"/>
                            </a:schemeClr>
                          </a:solidFill>
                          <a:miter lim="800000"/>
                          <a:headEnd/>
                          <a:tailEnd/>
                        </a:ln>
                      </wps:spPr>
                      <wps:txbx>
                        <w:txbxContent>
                          <w:p w14:paraId="3D44A615" w14:textId="77777777" w:rsidR="00490F33" w:rsidRPr="00E3371A" w:rsidRDefault="00490F33" w:rsidP="0091507A">
                            <w:pPr>
                              <w:spacing w:before="32" w:after="137" w:line="230" w:lineRule="exact"/>
                              <w:ind w:left="33" w:right="5"/>
                              <w:textAlignment w:val="baseline"/>
                              <w:rPr>
                                <w14:textOutline w14:w="9525" w14:cap="rnd" w14:cmpd="sng" w14:algn="ctr">
                                  <w14:solidFill>
                                    <w14:schemeClr w14:val="tx1"/>
                                  </w14:solidFill>
                                  <w14:prstDash w14:val="solid"/>
                                  <w14:bevel/>
                                </w14:textOutline>
                              </w:rPr>
                            </w:pPr>
                          </w:p>
                          <w:p w14:paraId="0DA4369E" w14:textId="77777777" w:rsidR="00490F33" w:rsidRDefault="00490F33" w:rsidP="0091507A">
                            <w:pPr>
                              <w:spacing w:after="43" w:line="192" w:lineRule="exact"/>
                              <w:ind w:left="33" w:right="5"/>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ACF71" id="_x0000_s1209" type="#_x0000_t202" style="position:absolute;margin-left:57.75pt;margin-top:404.25pt;width:471pt;height:324pt;z-index:-251236864;visibility:visible;mso-wrap-style:square;mso-width-percent:0;mso-height-percent:0;mso-wrap-distance-left:42.5pt;mso-wrap-distance-top:0;mso-wrap-distance-right:42.25pt;mso-wrap-distance-bottom:23.6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S2QgIAAHYEAAAOAAAAZHJzL2Uyb0RvYy54bWysVNtu2zAMfR+wfxD0vtppkzY16hRtkw4D&#10;ugvQ7gMUWY6FSaImKbG7rx8l2Wm7vQ3Lg0CZ5CHPoZir60ErchDOSzA1nZ2UlAjDoZFmV9PvT/cf&#10;lpT4wEzDFBhR02fh6fXq/bur3lbiFDpQjXAEQYyvelvTLgRbFYXnndDMn4AVBp0tOM0CXt2uaBzr&#10;EV2r4rQsz4seXGMdcOE9fl1nJ10l/LYVPHxtWy8CUTXF3kI6XTq38SxWV6zaOWY7ycc22D90oZk0&#10;WPQItWaBkb2Tf0FpyR14aMMJB11A20ouEgdkMyv/YPPYMSsSFxTH26NM/v/B8i+Hb47IBmdXns8p&#10;MUzjlJ7EEMgtDGR+dhEl6q2vMPLRYmwY0IHhia63D8B/eGLgrmNmJ26cg74TrMEWZzGzeJWacXwE&#10;2fafocFCbB8gAQ2t01E/VIQgOo7q+Tie2AzHj4vL5eyiRBdH33w2my/xEmuwakq3zoePAjSJRk0d&#10;zj/Bs8ODDzl0ConVPCjZ3Eul0sXttnfKkQPDt7K+35xvbkf0N2HKkL6ml4vTRVbgDUR8tuIIwjgX&#10;JmSl1F4j5Qy+KPE3YU8picebSloG3A0ldU2R6ZjCqijvxjTIhlWBSZVtFEGZUe8ocRY7DNshT3d5&#10;FgvGaWyhecYROMjLgMuLRgfuFyU9LkJN/c89c4IS9cngGOPWTIabjO1kMMMxtaaBkmzehbxde+vk&#10;rkPkTN/ADY66lWkIL12MDePjTvTHRYzb8/qeol7+Lla/AQAA//8DAFBLAwQUAAYACAAAACEAlJp2&#10;mOAAAAANAQAADwAAAGRycy9kb3ducmV2LnhtbEyPzU7DMBCE70i8g7VI3KhdREqUxqkoPwfEpQQu&#10;vbnxkkSN11HsJoGnZ3uC24x2NPtNvpldJ0YcQutJw3KhQCBV3rZUa/j8eLlJQYRoyJrOE2r4xgCb&#10;4vIiN5n1E73jWMZacAmFzGhoYuwzKUPVoDNh4Xskvn35wZnIdqilHczE5a6Tt0qtpDMt8YfG9PjY&#10;YHUsT04D9btuwvZpL7ev1fanfB6Pb37U+vpqfliDiDjHvzCc8RkdCmY6+BPZIDr2yyThqIZUpSzO&#10;CZXcszqwuktWCcgil/9XFL8AAAD//wMAUEsBAi0AFAAGAAgAAAAhALaDOJL+AAAA4QEAABMAAAAA&#10;AAAAAAAAAAAAAAAAAFtDb250ZW50X1R5cGVzXS54bWxQSwECLQAUAAYACAAAACEAOP0h/9YAAACU&#10;AQAACwAAAAAAAAAAAAAAAAAvAQAAX3JlbHMvLnJlbHNQSwECLQAUAAYACAAAACEAoR00tkICAAB2&#10;BAAADgAAAAAAAAAAAAAAAAAuAgAAZHJzL2Uyb0RvYy54bWxQSwECLQAUAAYACAAAACEAlJp2mOAA&#10;AAANAQAADwAAAAAAAAAAAAAAAACcBAAAZHJzL2Rvd25yZXYueG1sUEsFBgAAAAAEAAQA8wAAAKkF&#10;AAAAAA==&#10;" fillcolor="#dfe6eb" strokecolor="#1f4d78 [1604]">
                <v:textbox inset="0,0,0,0">
                  <w:txbxContent>
                    <w:p w14:paraId="3D44A615" w14:textId="77777777" w:rsidR="00490F33" w:rsidRPr="00E3371A" w:rsidRDefault="00490F33" w:rsidP="0091507A">
                      <w:pPr>
                        <w:spacing w:before="32" w:after="137" w:line="230" w:lineRule="exact"/>
                        <w:ind w:left="33" w:right="5"/>
                        <w:textAlignment w:val="baseline"/>
                        <w:rPr>
                          <w14:textOutline w14:w="9525" w14:cap="rnd" w14:cmpd="sng" w14:algn="ctr">
                            <w14:solidFill>
                              <w14:schemeClr w14:val="tx1"/>
                            </w14:solidFill>
                            <w14:prstDash w14:val="solid"/>
                            <w14:bevel/>
                          </w14:textOutline>
                        </w:rPr>
                      </w:pPr>
                    </w:p>
                    <w:p w14:paraId="0DA4369E" w14:textId="77777777" w:rsidR="00490F33" w:rsidRDefault="00490F33" w:rsidP="0091507A">
                      <w:pPr>
                        <w:spacing w:after="43" w:line="192" w:lineRule="exact"/>
                        <w:ind w:left="33" w:right="5"/>
                        <w:textAlignment w:val="baseline"/>
                      </w:pPr>
                    </w:p>
                  </w:txbxContent>
                </v:textbox>
                <w10:wrap anchorx="page" anchory="page"/>
              </v:shape>
            </w:pict>
          </mc:Fallback>
        </mc:AlternateContent>
      </w:r>
      <w:r>
        <w:rPr>
          <w:noProof/>
          <w:lang w:val="en-AU" w:eastAsia="en-AU"/>
        </w:rPr>
        <mc:AlternateContent>
          <mc:Choice Requires="wps">
            <w:drawing>
              <wp:anchor distT="0" distB="300355" distL="539750" distR="536575" simplePos="0" relativeHeight="252077568" behindDoc="1" locked="0" layoutInCell="1" allowOverlap="1" wp14:anchorId="3CFBE212" wp14:editId="2E246C18">
                <wp:simplePos x="0" y="0"/>
                <wp:positionH relativeFrom="page">
                  <wp:posOffset>723900</wp:posOffset>
                </wp:positionH>
                <wp:positionV relativeFrom="page">
                  <wp:posOffset>3582670</wp:posOffset>
                </wp:positionV>
                <wp:extent cx="5981700" cy="1365885"/>
                <wp:effectExtent l="0" t="0" r="19050" b="24765"/>
                <wp:wrapNone/>
                <wp:docPr id="1063"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365885"/>
                        </a:xfrm>
                        <a:prstGeom prst="rect">
                          <a:avLst/>
                        </a:prstGeom>
                        <a:solidFill>
                          <a:srgbClr val="DFE6EB"/>
                        </a:solidFill>
                        <a:ln w="9525">
                          <a:solidFill>
                            <a:schemeClr val="tx1"/>
                          </a:solidFill>
                          <a:miter lim="800000"/>
                          <a:headEnd/>
                          <a:tailEnd/>
                        </a:ln>
                      </wps:spPr>
                      <wps:txbx>
                        <w:txbxContent>
                          <w:p w14:paraId="25A58860" w14:textId="77777777" w:rsidR="00490F33" w:rsidRDefault="00490F33" w:rsidP="0091507A">
                            <w:pPr>
                              <w:spacing w:before="32" w:after="137" w:line="230" w:lineRule="exact"/>
                              <w:ind w:left="33" w:right="5"/>
                              <w:textAlignment w:val="baseline"/>
                            </w:pPr>
                          </w:p>
                          <w:p w14:paraId="5A6D8219" w14:textId="77777777" w:rsidR="00490F33" w:rsidRDefault="00490F33" w:rsidP="0091507A">
                            <w:pPr>
                              <w:spacing w:after="43" w:line="192" w:lineRule="exact"/>
                              <w:ind w:left="33" w:right="5"/>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BE212" id="_x0000_s1210" type="#_x0000_t202" style="position:absolute;margin-left:57pt;margin-top:282.1pt;width:471pt;height:107.55pt;z-index:-251238912;visibility:visible;mso-wrap-style:square;mso-width-percent:0;mso-height-percent:0;mso-wrap-distance-left:42.5pt;mso-wrap-distance-top:0;mso-wrap-distance-right:42.25pt;mso-wrap-distance-bottom:23.6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LyMwIAAE4EAAAOAAAAZHJzL2Uyb0RvYy54bWysVNtu2zAMfR+wfxD0vthJmtQ14hRtLsOA&#10;7gK0+wBZlmNhsqhJSuzs60vJSXrZ2zA/CJRIHpKHpBe3favIQVgnQRd0PEopEZpDJfWuoD+ftp8y&#10;SpxnumIKtCjoUTh6u/z4YdGZXEygAVUJSxBEu7wzBW28N3mSON6IlrkRGKFRWYNtmcer3SWVZR2i&#10;tyqZpOk86cBWxgIXzuHrelDSZcSva8H997p2whNVUMzNx9PGswxnslywfGeZaSQ/pcH+IYuWSY1B&#10;L1Br5hnZW/kXVCu5BQe1H3FoE6hryUWsAasZp++qeWyYEbEWJMeZC03u/8Hyb4cflsgKe5fOp5Ro&#10;1mKXnkTvyT305Gp6HSjqjMvR8tGgre9RgeaxXGcegP9yRMOqYXon7qyFrhGswhTHwTN55TrguABS&#10;dl+hwkBs7yEC9bVtA3/ICEF0bNXx0p6QDMfH2U02vk5RxVE3ns5nWTaLMVh+djfW+c8CWhKEglrs&#10;f4RnhwfnQzosP5uEaA6UrLZSqXixu3KlLDkwnJX1djPf3J/Q35gpTbqC3swms4GBNxBhbMUFxPcD&#10;B+8CtdLjzCvZFjRLwxfCsDzQttFVlD2TapAxY6VPPAbqBhJ9X/ZD17Kr4B1YLqE6IrUWhiHHpUSh&#10;AfuHkg4HvKDu955ZQYn6orE9YRvOgj0L5VlgmqNrQT0lg7jyw9bsjZW7BpGHAdBwhy2sZST3JYtT&#10;wji0kfPTgoWteH2PVi+/geUzAAAA//8DAFBLAwQUAAYACAAAACEA9KxQ8d8AAAAMAQAADwAAAGRy&#10;cy9kb3ducmV2LnhtbEyPwU7DMBBE70j8g7VI3KjjtkkhxKkqpB64RKLtB7jxNomI11HstOHv2Z7g&#10;OLOj2TfFdna9uOIYOk8a1CIBgVR721Gj4XTcv7yCCNGQNb0n1PCDAbbl40Nhcutv9IXXQ2wEl1DI&#10;jYY2xiGXMtQtOhMWfkDi28WPzkSWYyPtaG5c7nq5TJJMOtMRf2jNgB8t1t+HyWmoTi7KfbaLqqk+&#10;q0le1MqlSuvnp3n3DiLiHP/CcMdndCiZ6ewnskH0rNWat0QNabZegrgnkjRj66xhs3lbgSwL+X9E&#10;+QsAAP//AwBQSwECLQAUAAYACAAAACEAtoM4kv4AAADhAQAAEwAAAAAAAAAAAAAAAAAAAAAAW0Nv&#10;bnRlbnRfVHlwZXNdLnhtbFBLAQItABQABgAIAAAAIQA4/SH/1gAAAJQBAAALAAAAAAAAAAAAAAAA&#10;AC8BAABfcmVscy8ucmVsc1BLAQItABQABgAIAAAAIQAFuTLyMwIAAE4EAAAOAAAAAAAAAAAAAAAA&#10;AC4CAABkcnMvZTJvRG9jLnhtbFBLAQItABQABgAIAAAAIQD0rFDx3wAAAAwBAAAPAAAAAAAAAAAA&#10;AAAAAI0EAABkcnMvZG93bnJldi54bWxQSwUGAAAAAAQABADzAAAAmQUAAAAA&#10;" fillcolor="#dfe6eb" strokecolor="black [3213]">
                <v:textbox inset="0,0,0,0">
                  <w:txbxContent>
                    <w:p w14:paraId="25A58860" w14:textId="77777777" w:rsidR="00490F33" w:rsidRDefault="00490F33" w:rsidP="0091507A">
                      <w:pPr>
                        <w:spacing w:before="32" w:after="137" w:line="230" w:lineRule="exact"/>
                        <w:ind w:left="33" w:right="5"/>
                        <w:textAlignment w:val="baseline"/>
                      </w:pPr>
                    </w:p>
                    <w:p w14:paraId="5A6D8219" w14:textId="77777777" w:rsidR="00490F33" w:rsidRDefault="00490F33" w:rsidP="0091507A">
                      <w:pPr>
                        <w:spacing w:after="43" w:line="192" w:lineRule="exact"/>
                        <w:ind w:left="33" w:right="5"/>
                        <w:textAlignment w:val="baseline"/>
                      </w:pPr>
                    </w:p>
                  </w:txbxContent>
                </v:textbox>
                <w10:wrap anchorx="page" anchory="page"/>
              </v:shape>
            </w:pict>
          </mc:Fallback>
        </mc:AlternateContent>
      </w:r>
      <w:r>
        <w:rPr>
          <w:noProof/>
          <w:lang w:val="en-AU" w:eastAsia="en-AU"/>
        </w:rPr>
        <mc:AlternateContent>
          <mc:Choice Requires="wps">
            <w:drawing>
              <wp:anchor distT="0" distB="300355" distL="539750" distR="536575" simplePos="0" relativeHeight="252075520" behindDoc="1" locked="0" layoutInCell="1" allowOverlap="1" wp14:anchorId="7172AD51" wp14:editId="4AF4D88D">
                <wp:simplePos x="0" y="0"/>
                <wp:positionH relativeFrom="page">
                  <wp:posOffset>714375</wp:posOffset>
                </wp:positionH>
                <wp:positionV relativeFrom="page">
                  <wp:posOffset>2028825</wp:posOffset>
                </wp:positionV>
                <wp:extent cx="5981700" cy="1365885"/>
                <wp:effectExtent l="0" t="0" r="19050" b="24765"/>
                <wp:wrapNone/>
                <wp:docPr id="1060"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365885"/>
                        </a:xfrm>
                        <a:prstGeom prst="rect">
                          <a:avLst/>
                        </a:prstGeom>
                        <a:solidFill>
                          <a:srgbClr val="DFE6EB"/>
                        </a:solidFill>
                        <a:ln w="9525">
                          <a:solidFill>
                            <a:schemeClr val="tx1"/>
                          </a:solidFill>
                          <a:miter lim="800000"/>
                          <a:headEnd/>
                          <a:tailEnd/>
                        </a:ln>
                      </wps:spPr>
                      <wps:txbx>
                        <w:txbxContent>
                          <w:p w14:paraId="212392B0" w14:textId="2968866F" w:rsidR="00490F33" w:rsidRDefault="00490F33" w:rsidP="0091507A">
                            <w:pPr>
                              <w:spacing w:before="32" w:after="137" w:line="230" w:lineRule="exact"/>
                              <w:ind w:left="33" w:right="5"/>
                              <w:textAlignment w:val="baseline"/>
                            </w:pPr>
                          </w:p>
                          <w:p w14:paraId="025D0694" w14:textId="5A212E39" w:rsidR="00490F33" w:rsidRDefault="00490F33" w:rsidP="0091507A">
                            <w:pPr>
                              <w:spacing w:after="43" w:line="192" w:lineRule="exact"/>
                              <w:ind w:left="33" w:right="5"/>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AD51" id="_x0000_s1211" type="#_x0000_t202" style="position:absolute;margin-left:56.25pt;margin-top:159.75pt;width:471pt;height:107.55pt;z-index:-251240960;visibility:visible;mso-wrap-style:square;mso-width-percent:0;mso-height-percent:0;mso-wrap-distance-left:42.5pt;mso-wrap-distance-top:0;mso-wrap-distance-right:42.25pt;mso-wrap-distance-bottom:23.6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bdwMAIAAE4EAAAOAAAAZHJzL2Uyb0RvYy54bWysVNtu2zAMfR+wfxD0vthJlzQ14hRtLsOA&#10;7gK0+wBZlmNhsqhJSuzs60dJSXrZ27A8CJRJHR4eklncDp0iB2GdBF3S8SinRGgOtdS7kv542n6Y&#10;U+I80zVToEVJj8LR2+X7d4veFGICLahaWIIg2hW9KWnrvSmyzPFWdMyNwAiNzgZsxzxe7S6rLesR&#10;vVPZJM9nWQ+2Nha4cA6/rpOTLiN+0wjuvzWNE56okiI3H08bzyqc2XLBip1lppX8RIP9A4uOSY1J&#10;L1Br5hnZW/kXVCe5BQeNH3HoMmgayUWsAasZ52+qeWyZEbEWFMeZi0zu/8Hyr4fvlsgae5fPUCDN&#10;OuzSkxg8uYeBfLy6DhL1xhUY+Wgw1g/owPBYrjMPwH86omHVMr0Td9ZC3wpWI8VxeJm9eJpwXACp&#10;+i9QYyK29xCBhsZ2QT9UhCA6Mjle2hPIcPw4vZmPr3N0cfSNr2bT+Xwac7Di/NxY5z8J6EgwSmqx&#10;/xGeHR6cD3RYcQ4J2RwoWW+lUvFid9VKWXJgOCvr7Wa2uT+hvwpTmvQlvZlOpkmBVxBhbMUFxA9J&#10;gzeJOulx5pXsSjrPwy+kYUWQbaPraHsmVbKRsdInHYN0SUQ/VEPqWpIgqFxBfURpLaQhx6VEowX7&#10;m5IeB7yk7teeWUGJ+qyxPWEbzoY9G9XZYJrj05J6SpK58mlr9sbKXYvIaQA03GELGxnFfWZxIoxD&#10;GzU/LVjYipf3GPX8N7D8AwAA//8DAFBLAwQUAAYACAAAACEAOAiHWd4AAAAMAQAADwAAAGRycy9k&#10;b3ducmV2LnhtbEyPwW6DMBBE75X6D9ZW6q0xDgG1FBNFlXLoBalJPsDBG0DFa4RNQv++m1N7m9E+&#10;zc6U28UN4opT6D1pUKsEBFLjbU+thtNx//IKIkRD1gyeUMMPBthWjw+lKay/0RdeD7EVHEKhMBq6&#10;GMdCytB06ExY+RGJbxc/ORPZTq20k7lxuBvkOkly6UxP/KEzI3502HwfZqehPrko9/kuqrb+rGd5&#10;UanLlNbPT8vuHUTEJf7BcK/P1aHiTmc/kw1iYK/WGaMaUvXG4k4k2YbVWUOWbnKQVSn/j6h+AQAA&#10;//8DAFBLAQItABQABgAIAAAAIQC2gziS/gAAAOEBAAATAAAAAAAAAAAAAAAAAAAAAABbQ29udGVu&#10;dF9UeXBlc10ueG1sUEsBAi0AFAAGAAgAAAAhADj9If/WAAAAlAEAAAsAAAAAAAAAAAAAAAAALwEA&#10;AF9yZWxzLy5yZWxzUEsBAi0AFAAGAAgAAAAhALm9t3AwAgAATgQAAA4AAAAAAAAAAAAAAAAALgIA&#10;AGRycy9lMm9Eb2MueG1sUEsBAi0AFAAGAAgAAAAhADgIh1neAAAADAEAAA8AAAAAAAAAAAAAAAAA&#10;igQAAGRycy9kb3ducmV2LnhtbFBLBQYAAAAABAAEAPMAAACVBQAAAAA=&#10;" fillcolor="#dfe6eb" strokecolor="black [3213]">
                <v:textbox inset="0,0,0,0">
                  <w:txbxContent>
                    <w:p w14:paraId="212392B0" w14:textId="2968866F" w:rsidR="00490F33" w:rsidRDefault="00490F33" w:rsidP="0091507A">
                      <w:pPr>
                        <w:spacing w:before="32" w:after="137" w:line="230" w:lineRule="exact"/>
                        <w:ind w:left="33" w:right="5"/>
                        <w:textAlignment w:val="baseline"/>
                      </w:pPr>
                    </w:p>
                    <w:p w14:paraId="025D0694" w14:textId="5A212E39" w:rsidR="00490F33" w:rsidRDefault="00490F33" w:rsidP="0091507A">
                      <w:pPr>
                        <w:spacing w:after="43" w:line="192" w:lineRule="exact"/>
                        <w:ind w:left="33" w:right="5"/>
                        <w:textAlignment w:val="baseline"/>
                      </w:pPr>
                    </w:p>
                  </w:txbxContent>
                </v:textbox>
                <w10:wrap anchorx="page" anchory="page"/>
              </v:shape>
            </w:pict>
          </mc:Fallback>
        </mc:AlternateContent>
      </w:r>
    </w:p>
    <w:p w14:paraId="69E351F9" w14:textId="54ED2A5D" w:rsidR="009757A9" w:rsidRDefault="00415883">
      <w:pPr>
        <w:spacing w:before="11" w:line="215" w:lineRule="exact"/>
        <w:ind w:left="864"/>
        <w:textAlignment w:val="baseline"/>
        <w:rPr>
          <w:rFonts w:ascii="Arial" w:eastAsia="Arial" w:hAnsi="Arial"/>
          <w:i/>
          <w:color w:val="007896"/>
          <w:spacing w:val="1"/>
          <w:sz w:val="18"/>
        </w:rPr>
      </w:pPr>
      <w:r>
        <w:rPr>
          <w:noProof/>
          <w:lang w:val="en-AU" w:eastAsia="en-AU"/>
        </w:rPr>
        <w:lastRenderedPageBreak/>
        <mc:AlternateContent>
          <mc:Choice Requires="wps">
            <w:drawing>
              <wp:anchor distT="0" distB="0" distL="114300" distR="114300" simplePos="0" relativeHeight="252070400" behindDoc="0" locked="0" layoutInCell="1" allowOverlap="1" wp14:anchorId="297F216E" wp14:editId="0D32452B">
                <wp:simplePos x="0" y="0"/>
                <wp:positionH relativeFrom="page">
                  <wp:posOffset>0</wp:posOffset>
                </wp:positionH>
                <wp:positionV relativeFrom="page">
                  <wp:posOffset>697865</wp:posOffset>
                </wp:positionV>
                <wp:extent cx="0" cy="1262380"/>
                <wp:effectExtent l="0" t="0" r="0" b="0"/>
                <wp:wrapNone/>
                <wp:docPr id="926" name="Lin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238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1ABB6" id="Line 420" o:spid="_x0000_s1026" style="position:absolute;z-index:25207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4.95pt" to="0,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b20QEAAIYDAAAOAAAAZHJzL2Uyb0RvYy54bWysU02P2yAQvVfqf0DcGzveNs1acfaQ7PaS&#10;tpF2+wMmgGNUzCCGxM6/L5CPbtvbqhcE8/HmzZth8TD2hh2VJ4224dNJyZmyAqW2+4b/eHn6MOeM&#10;AlgJBq1q+EkRf1i+f7cYXK0q7NBI5VkEsVQPruFdCK4uChKd6oEm6JSNzhZ9DyE+/b6QHoaI3pui&#10;KstZMaCXzqNQRNG6Pjv5MuO3rRLhe9uSCsw0PHIL+fT53KWzWC6g3ntwnRYXGvAGFj1oG4veoNYQ&#10;gB28/geq18IjYRsmAvsC21YLlXuI3UzLv7p57sCp3EsUh9xNJvp/sOLbceuZlg2/r2acWejjkDba&#10;KvaxyuoMjuoYtLJbn/oTo312GxQ/iVlcdWD3KrN8ObmYOE16Fn+kpAe5WGM3fEUZY+AQMEs1tr5P&#10;kFEENuaJnG4TUWNg4mwU0TqtZtXdPPMpoL4mOk/hi8KepUvDTWSdgeG4oZCIQH0NSXUsPmlj8sCN&#10;ZUPDZ3efypxAaLRMzhRGfr9bGc+OkFam/FzOH3NX0fM6LCGvgbpzXHadl8njwcpcpVMgHy/3ANqc&#10;75GVsReVkjBpVaneoTxt/VW9OOxM/7KYaZtev3P27++z/AUAAP//AwBQSwMEFAAGAAgAAAAhAJwe&#10;ULPcAAAABQEAAA8AAABkcnMvZG93bnJldi54bWxMj0FLAzEQhe+C/yGM4M0mVtB23WyRBbUoBVtb&#10;8Jhuxt3FZLIkabv+e8eTHt+84b3vlYvRO3HEmPpAGq4nCgRSE2xPrYbt++PVDETKhqxxgVDDNyZY&#10;VOdnpSlsONEaj5vcCg6hVBgNXc5DIWVqOvQmTcKAxN5niN5klrGVNpoTh3snp0rdSm964obODFh3&#10;2HxtDl6DrZfLl1Wdn7vRPcXd2+tUfqy91pcX48M9iIxj/nuGX3xGh4qZ9uFANgmngYdkvqr5HATb&#10;LPcabtTsDmRVyv/01Q8AAAD//wMAUEsBAi0AFAAGAAgAAAAhALaDOJL+AAAA4QEAABMAAAAAAAAA&#10;AAAAAAAAAAAAAFtDb250ZW50X1R5cGVzXS54bWxQSwECLQAUAAYACAAAACEAOP0h/9YAAACUAQAA&#10;CwAAAAAAAAAAAAAAAAAvAQAAX3JlbHMvLnJlbHNQSwECLQAUAAYACAAAACEABjhG9tEBAACGAwAA&#10;DgAAAAAAAAAAAAAAAAAuAgAAZHJzL2Uyb0RvYy54bWxQSwECLQAUAAYACAAAACEAnB5Qs9wAAAAF&#10;AQAADwAAAAAAAAAAAAAAAAArBAAAZHJzL2Rvd25yZXYueG1sUEsFBgAAAAAEAAQA8wAAADQFAAAA&#10;AA==&#10;" strokecolor="#00708e" strokeweight=".5pt">
                <w10:wrap anchorx="page" anchory="page"/>
              </v:line>
            </w:pict>
          </mc:Fallback>
        </mc:AlternateContent>
      </w:r>
      <w:r w:rsidR="00083242">
        <w:rPr>
          <w:rFonts w:ascii="Arial" w:eastAsia="Arial" w:hAnsi="Arial"/>
          <w:i/>
          <w:color w:val="007896"/>
          <w:spacing w:val="1"/>
          <w:sz w:val="18"/>
        </w:rPr>
        <w:t>Implementation guidance</w:t>
      </w:r>
    </w:p>
    <w:p w14:paraId="50CCA2FC" w14:textId="77777777" w:rsidR="009757A9" w:rsidRDefault="00083242">
      <w:pPr>
        <w:spacing w:before="159" w:line="240" w:lineRule="exact"/>
        <w:ind w:left="864" w:right="1224"/>
        <w:textAlignment w:val="baseline"/>
        <w:rPr>
          <w:rFonts w:ascii="Tahoma" w:eastAsia="Tahoma" w:hAnsi="Tahoma"/>
          <w:color w:val="404042"/>
          <w:spacing w:val="6"/>
          <w:sz w:val="18"/>
        </w:rPr>
      </w:pPr>
      <w:r>
        <w:rPr>
          <w:rFonts w:ascii="Tahoma" w:eastAsia="Tahoma" w:hAnsi="Tahoma"/>
          <w:color w:val="404042"/>
          <w:spacing w:val="6"/>
          <w:sz w:val="18"/>
        </w:rPr>
        <w:t>Throughout its deliberations, the Panel heard two recurring messages. First, that the current structure of senior secondary schooling is now heavily centred around facilitating the university pathway. Second, that improving the perceptions and availability of alternative pathways will require major changes both in educational structures and cultural attitudes. Effective responses to these challenges need to be determined by what is in the best interests of the student.</w:t>
      </w:r>
    </w:p>
    <w:p w14:paraId="55957C1B" w14:textId="77777777" w:rsidR="009757A9" w:rsidRDefault="00083242">
      <w:pPr>
        <w:spacing w:before="176"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With this in mind, the Panel believes that schools should be encouraged to provide VET to senior secondary students only where they can do so to a high standard. If schools are unable to deliver good-quality VET for any of the reasons outlined above, they should instead allow their students to undertake VET at an external RTO. Regardless of how VET is delivered, there needs to be an expectation that it will be packaged in a meaningful way that assists students with their chosen pathway.</w:t>
      </w:r>
    </w:p>
    <w:p w14:paraId="62C6FA7D"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Many state and territory governments are already actively seeking and implementing initiatives that will see improvement in how VET is offered in schools. We support these initiatives. Our view is that those senior secondary students who choose to do formal VET qualifications should have the training delivered in a manner from which they can gain the best educational and employment outcomes, whether this is delivered at school, at an external RTO, or through auspicing arrangements. Any student doing a school-based apprenticeship should be able to complete at least the first year of the apprenticeship before they finish Year 12. Incentives should be available for students to undertake VET to help with out-of-pocket expenses.</w:t>
      </w:r>
    </w:p>
    <w:p w14:paraId="06846FB8" w14:textId="77777777" w:rsidR="009757A9" w:rsidRDefault="00083242">
      <w:pPr>
        <w:spacing w:before="173" w:line="240" w:lineRule="exact"/>
        <w:ind w:left="864" w:right="1008"/>
        <w:textAlignment w:val="baseline"/>
        <w:rPr>
          <w:rFonts w:ascii="Tahoma" w:eastAsia="Tahoma" w:hAnsi="Tahoma"/>
          <w:color w:val="404042"/>
          <w:sz w:val="18"/>
        </w:rPr>
      </w:pPr>
      <w:r>
        <w:rPr>
          <w:rFonts w:ascii="Tahoma" w:eastAsia="Tahoma" w:hAnsi="Tahoma"/>
          <w:color w:val="404042"/>
          <w:sz w:val="18"/>
        </w:rPr>
        <w:t>Far too often, there is a lack of mutually effective partnerships between VET providers, industry and schools. Schools need more VET providers and willing employers to come into schools and offer their services. Industries need to open themselves up with schools so students have connections to post-school destinations.</w:t>
      </w:r>
    </w:p>
    <w:p w14:paraId="21BEA54F" w14:textId="77777777" w:rsidR="009757A9" w:rsidRDefault="00083242">
      <w:pPr>
        <w:spacing w:before="168" w:after="1190" w:line="240" w:lineRule="exact"/>
        <w:ind w:left="864" w:right="1296"/>
        <w:textAlignment w:val="baseline"/>
        <w:rPr>
          <w:rFonts w:ascii="Tahoma" w:eastAsia="Tahoma" w:hAnsi="Tahoma"/>
          <w:color w:val="404042"/>
          <w:sz w:val="18"/>
        </w:rPr>
      </w:pPr>
      <w:r>
        <w:rPr>
          <w:rFonts w:ascii="Tahoma" w:eastAsia="Tahoma" w:hAnsi="Tahoma"/>
          <w:color w:val="404042"/>
          <w:sz w:val="18"/>
        </w:rPr>
        <w:t>Success will depend on effective collaboration between education authorities and industry bodies and, at the local level, between schools and employers. It is time to consider how to build and strengthen these relationships.</w:t>
      </w:r>
    </w:p>
    <w:p w14:paraId="29D89BC5" w14:textId="77777777" w:rsidR="009757A9" w:rsidRDefault="009757A9">
      <w:pPr>
        <w:spacing w:before="168" w:after="1190" w:line="240" w:lineRule="exact"/>
        <w:sectPr w:rsidR="009757A9">
          <w:pgSz w:w="11909" w:h="16838"/>
          <w:pgMar w:top="1100" w:right="0" w:bottom="0" w:left="0" w:header="720" w:footer="720" w:gutter="0"/>
          <w:cols w:space="720"/>
        </w:sectPr>
      </w:pPr>
    </w:p>
    <w:p w14:paraId="75DCA6C3" w14:textId="77777777" w:rsidR="009757A9" w:rsidRDefault="00083242">
      <w:pPr>
        <w:spacing w:after="3"/>
        <w:ind w:right="16"/>
        <w:textAlignment w:val="baseline"/>
      </w:pPr>
      <w:r>
        <w:rPr>
          <w:noProof/>
          <w:lang w:val="en-AU" w:eastAsia="en-AU"/>
        </w:rPr>
        <w:drawing>
          <wp:inline distT="0" distB="0" distL="0" distR="0" wp14:anchorId="4BDE847D" wp14:editId="328D8474">
            <wp:extent cx="2987040" cy="3672840"/>
            <wp:effectExtent l="0" t="0" r="0" b="0"/>
            <wp:docPr id="145" name="Picture"/>
            <wp:cNvGraphicFramePr/>
            <a:graphic xmlns:a="http://schemas.openxmlformats.org/drawingml/2006/main">
              <a:graphicData uri="http://schemas.openxmlformats.org/drawingml/2006/picture">
                <pic:pic xmlns:pic="http://schemas.openxmlformats.org/drawingml/2006/picture">
                  <pic:nvPicPr>
                    <pic:cNvPr id="145" name="Picture"/>
                    <pic:cNvPicPr preferRelativeResize="0"/>
                  </pic:nvPicPr>
                  <pic:blipFill>
                    <a:blip r:embed="rId192"/>
                    <a:stretch>
                      <a:fillRect/>
                    </a:stretch>
                  </pic:blipFill>
                  <pic:spPr>
                    <a:xfrm>
                      <a:off x="0" y="0"/>
                      <a:ext cx="2987040" cy="3672840"/>
                    </a:xfrm>
                    <a:prstGeom prst="rect">
                      <a:avLst/>
                    </a:prstGeom>
                  </pic:spPr>
                </pic:pic>
              </a:graphicData>
            </a:graphic>
          </wp:inline>
        </w:drawing>
      </w:r>
    </w:p>
    <w:p w14:paraId="2CF66AA5" w14:textId="77777777" w:rsidR="009757A9" w:rsidRDefault="009757A9">
      <w:pPr>
        <w:spacing w:after="3"/>
        <w:sectPr w:rsidR="009757A9">
          <w:type w:val="continuous"/>
          <w:pgSz w:w="11909" w:h="16838"/>
          <w:pgMar w:top="1100" w:right="5749" w:bottom="0" w:left="1440" w:header="720" w:footer="720" w:gutter="0"/>
          <w:cols w:space="720"/>
        </w:sectPr>
      </w:pPr>
    </w:p>
    <w:p w14:paraId="046613B0" w14:textId="77777777" w:rsidR="009757A9" w:rsidRDefault="000D2E34">
      <w:pPr>
        <w:spacing w:before="538" w:line="288" w:lineRule="exact"/>
        <w:textAlignment w:val="baseline"/>
        <w:rPr>
          <w:rFonts w:eastAsia="Times New Roman"/>
          <w:color w:val="000000"/>
          <w:sz w:val="24"/>
        </w:rPr>
      </w:pPr>
      <w:r>
        <w:rPr>
          <w:noProof/>
          <w:lang w:val="en-AU" w:eastAsia="en-AU"/>
        </w:rPr>
        <mc:AlternateContent>
          <mc:Choice Requires="wps">
            <w:drawing>
              <wp:anchor distT="0" distB="0" distL="114300" distR="114300" simplePos="0" relativeHeight="251914752" behindDoc="0" locked="0" layoutInCell="1" allowOverlap="1" wp14:anchorId="7A1F3632" wp14:editId="1A6F1720">
                <wp:simplePos x="0" y="0"/>
                <wp:positionH relativeFrom="column">
                  <wp:posOffset>0</wp:posOffset>
                </wp:positionH>
                <wp:positionV relativeFrom="paragraph">
                  <wp:posOffset>6985</wp:posOffset>
                </wp:positionV>
                <wp:extent cx="1397635" cy="0"/>
                <wp:effectExtent l="0" t="0" r="0" b="0"/>
                <wp:wrapNone/>
                <wp:docPr id="640"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635" cy="0"/>
                        </a:xfrm>
                        <a:prstGeom prst="line">
                          <a:avLst/>
                        </a:prstGeom>
                        <a:noFill/>
                        <a:ln w="12065">
                          <a:solidFill>
                            <a:srgbClr val="BF5B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AC424" id="Line 361" o:spid="_x0000_s1026" style="position:absolute;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110.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6u20gEAAIcDAAAOAAAAZHJzL2Uyb0RvYy54bWysU02PEzEMvSPxH6Lc6XRaWmDU6UrbUi6F&#10;rbTLD3CTTCciE0dJ2pn+e5z0AxZuiEuU2M/P9rOzeBg6w07KB4225uVozJmyAqW2h5p/f9m8+8hZ&#10;iGAlGLSq5mcV+MPy7ZtF7yo1wRaNVJ4RiQ1V72rexuiqogiiVR2EETplydmg7yDS0x8K6aEn9s4U&#10;k/F4XvTopfMoVAhkXV+cfJn5m0aJ+NQ0QUVmak61xXz6fO7TWSwXUB08uFaLaxnwD1V0oC0lvVOt&#10;IQI7ev0XVaeFx4BNHAnsCmwaLVTugbopx39089yCU7kXEie4u0zh/9GKb6edZ1rWfP6e9LHQ0ZC2&#10;2io2nZdJnd6FikAru/OpPzHYZ7dF8SMwi6sW7EHlKl/OjgJzRPEqJD2Coxz7/itKwsAxYpZqaHyX&#10;KEkENuSJnO8TUUNkgozl9NOH+XTGmbj5Cqhugc6H+EVhx9Kl5oaqzsRw2oZIpRP0Bkl5LG60MXng&#10;xrKeyCfj+SxHBDRaJm/CBX/Yr4xnJ6CdedzMHstNEoLYXsES9RpCe8Fl12WbPB6tzGlaBfLz9R5B&#10;m8udiIwlvpsyF433KM87n/IkO007Z7xuZlqn398Z9ev/LH8CAAD//wMAUEsDBBQABgAIAAAAIQAk&#10;iOlY2gAAAAQBAAAPAAAAZHJzL2Rvd25yZXYueG1sTI9PS8NAEMXvgt9hGcGb3TQH0ZhNEUFKCx5a&#10;/4C3aXaaBHdnQ3bbpP30jl70Nm/e8Ob3ysXknTrSELvABuazDBRxHWzHjYG31+ebO1AxIVt0gcnA&#10;iSIsqsuLEgsbRt7QcZsaJSEcCzTQptQXWse6JY9xFnpi8fZh8JhEDo22A44S7p3Os+xWe+xYPrTY&#10;01NL9df24A3cn9eJPsJqxBe/j+vlp1uuTu/GXF9Njw+gEk3p7xh+8AUdKmHahQPbqJwBKZJkOwcl&#10;Zp5nMux+ta5K/R+++gYAAP//AwBQSwECLQAUAAYACAAAACEAtoM4kv4AAADhAQAAEwAAAAAAAAAA&#10;AAAAAAAAAAAAW0NvbnRlbnRfVHlwZXNdLnhtbFBLAQItABQABgAIAAAAIQA4/SH/1gAAAJQBAAAL&#10;AAAAAAAAAAAAAAAAAC8BAABfcmVscy8ucmVsc1BLAQItABQABgAIAAAAIQBMc6u20gEAAIcDAAAO&#10;AAAAAAAAAAAAAAAAAC4CAABkcnMvZTJvRG9jLnhtbFBLAQItABQABgAIAAAAIQAkiOlY2gAAAAQB&#10;AAAPAAAAAAAAAAAAAAAAACwEAABkcnMvZG93bnJldi54bWxQSwUGAAAAAAQABADzAAAAMwUAAAAA&#10;" strokecolor="#bf5b1f" strokeweight=".95pt"/>
            </w:pict>
          </mc:Fallback>
        </mc:AlternateContent>
      </w:r>
    </w:p>
    <w:p w14:paraId="5B0DEEF3" w14:textId="77777777" w:rsidR="009757A9" w:rsidRDefault="009757A9">
      <w:pPr>
        <w:sectPr w:rsidR="009757A9">
          <w:type w:val="continuous"/>
          <w:pgSz w:w="11909" w:h="16838"/>
          <w:pgMar w:top="1100" w:right="0" w:bottom="0" w:left="0" w:header="720" w:footer="720" w:gutter="0"/>
          <w:cols w:space="720"/>
        </w:sectPr>
      </w:pPr>
    </w:p>
    <w:p w14:paraId="4094B9F8" w14:textId="77777777" w:rsidR="009757A9" w:rsidRDefault="00083242">
      <w:pPr>
        <w:tabs>
          <w:tab w:val="left" w:pos="1368"/>
        </w:tabs>
        <w:spacing w:after="636"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90</w:t>
      </w:r>
      <w:r>
        <w:rPr>
          <w:rFonts w:ascii="Tahoma" w:eastAsia="Tahoma" w:hAnsi="Tahoma"/>
          <w:color w:val="404042"/>
          <w:spacing w:val="4"/>
          <w:sz w:val="14"/>
        </w:rPr>
        <w:tab/>
        <w:t>Looking to the future</w:t>
      </w:r>
    </w:p>
    <w:p w14:paraId="24AF22D5" w14:textId="77777777" w:rsidR="009757A9" w:rsidRDefault="00083242">
      <w:pPr>
        <w:textAlignment w:val="baseline"/>
      </w:pPr>
      <w:r>
        <w:rPr>
          <w:noProof/>
          <w:lang w:val="en-AU" w:eastAsia="en-AU"/>
        </w:rPr>
        <w:drawing>
          <wp:inline distT="0" distB="0" distL="0" distR="0" wp14:anchorId="32D6DCF3" wp14:editId="77E72433">
            <wp:extent cx="7562215" cy="462915"/>
            <wp:effectExtent l="0" t="0" r="0" b="0"/>
            <wp:docPr id="146" name="Picture"/>
            <wp:cNvGraphicFramePr/>
            <a:graphic xmlns:a="http://schemas.openxmlformats.org/drawingml/2006/main">
              <a:graphicData uri="http://schemas.openxmlformats.org/drawingml/2006/picture">
                <pic:pic xmlns:pic="http://schemas.openxmlformats.org/drawingml/2006/picture">
                  <pic:nvPicPr>
                    <pic:cNvPr id="146" name="Picture"/>
                    <pic:cNvPicPr preferRelativeResize="0"/>
                  </pic:nvPicPr>
                  <pic:blipFill>
                    <a:blip r:embed="rId193"/>
                    <a:stretch>
                      <a:fillRect/>
                    </a:stretch>
                  </pic:blipFill>
                  <pic:spPr>
                    <a:xfrm>
                      <a:off x="0" y="0"/>
                      <a:ext cx="7562215" cy="462915"/>
                    </a:xfrm>
                    <a:prstGeom prst="rect">
                      <a:avLst/>
                    </a:prstGeom>
                  </pic:spPr>
                </pic:pic>
              </a:graphicData>
            </a:graphic>
          </wp:inline>
        </w:drawing>
      </w:r>
    </w:p>
    <w:p w14:paraId="6DD800A5" w14:textId="77777777" w:rsidR="009757A9" w:rsidRDefault="009757A9">
      <w:pPr>
        <w:sectPr w:rsidR="009757A9">
          <w:type w:val="continuous"/>
          <w:pgSz w:w="11909" w:h="16838"/>
          <w:pgMar w:top="1100" w:right="0" w:bottom="0" w:left="0" w:header="720" w:footer="720" w:gutter="0"/>
          <w:cols w:space="720"/>
        </w:sectPr>
      </w:pPr>
    </w:p>
    <w:p w14:paraId="129DADC9"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34848" behindDoc="1" locked="0" layoutInCell="1" allowOverlap="1" wp14:anchorId="7964B521" wp14:editId="2785B5E4">
                <wp:simplePos x="0" y="0"/>
                <wp:positionH relativeFrom="page">
                  <wp:posOffset>0</wp:posOffset>
                </wp:positionH>
                <wp:positionV relativeFrom="page">
                  <wp:posOffset>0</wp:posOffset>
                </wp:positionV>
                <wp:extent cx="7562215" cy="10692130"/>
                <wp:effectExtent l="0" t="0" r="0" b="0"/>
                <wp:wrapSquare wrapText="bothSides"/>
                <wp:docPr id="639"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A58C4" w14:textId="77777777" w:rsidR="00490F33" w:rsidRDefault="00490F33">
                            <w:pPr>
                              <w:textAlignment w:val="baseline"/>
                            </w:pPr>
                            <w:r>
                              <w:rPr>
                                <w:noProof/>
                                <w:lang w:val="en-AU" w:eastAsia="en-AU"/>
                              </w:rPr>
                              <w:drawing>
                                <wp:inline distT="0" distB="0" distL="0" distR="0" wp14:anchorId="44999A74" wp14:editId="692BBDBA">
                                  <wp:extent cx="7562215" cy="10692130"/>
                                  <wp:effectExtent l="0" t="0" r="0" b="0"/>
                                  <wp:docPr id="14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7" name="Picture">
                                            <a:extLst>
                                              <a:ext uri="{C183D7F6-B498-43B3-948B-1728B52AA6E4}">
                                                <adec:decorative xmlns:adec="http://schemas.microsoft.com/office/drawing/2017/decorative" val="1"/>
                                              </a:ext>
                                            </a:extLst>
                                          </pic:cNvPr>
                                          <pic:cNvPicPr preferRelativeResize="0"/>
                                        </pic:nvPicPr>
                                        <pic:blipFill>
                                          <a:blip r:embed="rId194"/>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4B521" id="Text Box 360" o:spid="_x0000_s1212" type="#_x0000_t202" style="position:absolute;margin-left:0;margin-top:0;width:595.45pt;height:841.9pt;z-index:-251781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T9AEAAMUDAAAOAAAAZHJzL2Uyb0RvYy54bWysU8Fu2zAMvQ/YPwi6L44T1GuNOEXXosOA&#10;bh3Q7gMYWY6F2aJGKbGzrx8lJ2m33YZdBIqint57pFbXY9+JvSZv0FYyn82l0FZhbey2kt+e799d&#10;SuED2Bo6tLqSB+3l9frtm9XgSr3AFrtak2AQ68vBVbINwZVZ5lWre/AzdNryYYPUQ+AtbbOaYGD0&#10;vssW83mRDUi1I1Tae87eTYdynfCbRqvw2DReB9FVkrmFtFJaN3HN1isotwSuNepIA/6BRQ/G8qNn&#10;qDsIIHZk/oLqjSL02ISZwj7DpjFKJw2sJp//oeapBaeTFjbHu7NN/v/Bqi/7ryRMXclieSWFhZ6b&#10;9KzHID7gKJZFcmhwvuTCJ8elYeQD7nRS690Dqu9eWLxtwW71DREOrYaaGebR2+zV1dgTX/oIshk+&#10;Y80PwS5gAhob6qN9bIhgdO7U4dydSEZx8v1FsVjkF1IoPsvnxdUiXyZ6GZSn+458+KixFzGoJHH/&#10;Ez7sH3yIfKA8lcTnLN6brksz0NnfElwYM4l/pDyRD+NmTGbll0WUFwVtsD6wJMJptvgvcNAi/ZRi&#10;4LmqpP+xA9JSdJ8s2xKH8BTQKdicArCKr1YySDGFt2Ea1p0js20ZeTLe4g1b15ik6YXFkTDPSpJ6&#10;nOs4jK/3qerl961/AQAA//8DAFBLAwQUAAYACAAAACEAeyLJIt0AAAAHAQAADwAAAGRycy9kb3du&#10;cmV2LnhtbEyPwU7DMBBE70j8g7VI3KhdkKIkxKmqip4qIdJw4OjE28RqvE5jtw1/j8sFLqtZzWrm&#10;bbGa7cAuOHnjSMJyIYAhtU4b6iR81tunFJgPirQaHKGEb/SwKu/vCpVrd6UKL/vQsRhCPlcS+hDG&#10;nHPf9miVX7gRKXoHN1kV4jp1XE/qGsPtwJ+FSLhVhmJDr0bc9Nge92crYf1F1Zs5vTcf1aEydZ0J&#10;2iVHKR8f5vUrsIBz+DuGG35EhzIyNe5M2rNBQnwk/M6bt8xEBqyJKklfUuBlwf/zlz8AAAD//wMA&#10;UEsBAi0AFAAGAAgAAAAhALaDOJL+AAAA4QEAABMAAAAAAAAAAAAAAAAAAAAAAFtDb250ZW50X1R5&#10;cGVzXS54bWxQSwECLQAUAAYACAAAACEAOP0h/9YAAACUAQAACwAAAAAAAAAAAAAAAAAvAQAAX3Jl&#10;bHMvLnJlbHNQSwECLQAUAAYACAAAACEAv/CH0/QBAADFAwAADgAAAAAAAAAAAAAAAAAuAgAAZHJz&#10;L2Uyb0RvYy54bWxQSwECLQAUAAYACAAAACEAeyLJIt0AAAAHAQAADwAAAAAAAAAAAAAAAABOBAAA&#10;ZHJzL2Rvd25yZXYueG1sUEsFBgAAAAAEAAQA8wAAAFgFAAAAAA==&#10;" filled="f" stroked="f">
                <v:textbox inset="0,0,0,0">
                  <w:txbxContent>
                    <w:p w14:paraId="6B0A58C4" w14:textId="77777777" w:rsidR="00490F33" w:rsidRDefault="00490F33">
                      <w:pPr>
                        <w:textAlignment w:val="baseline"/>
                      </w:pPr>
                      <w:r>
                        <w:rPr>
                          <w:noProof/>
                          <w:lang w:val="en-AU" w:eastAsia="en-AU"/>
                        </w:rPr>
                        <w:drawing>
                          <wp:inline distT="0" distB="0" distL="0" distR="0" wp14:anchorId="44999A74" wp14:editId="692BBDBA">
                            <wp:extent cx="7562215" cy="10692130"/>
                            <wp:effectExtent l="0" t="0" r="0" b="0"/>
                            <wp:docPr id="14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7" name="Picture">
                                      <a:extLst>
                                        <a:ext uri="{C183D7F6-B498-43B3-948B-1728B52AA6E4}">
                                          <adec:decorative xmlns:adec="http://schemas.microsoft.com/office/drawing/2017/decorative" val="1"/>
                                        </a:ext>
                                      </a:extLst>
                                    </pic:cNvPr>
                                    <pic:cNvPicPr preferRelativeResize="0"/>
                                  </pic:nvPicPr>
                                  <pic:blipFill>
                                    <a:blip r:embed="rId194"/>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5872" behindDoc="1" locked="0" layoutInCell="1" allowOverlap="1" wp14:anchorId="4F9FABE4" wp14:editId="3B922F48">
                <wp:simplePos x="0" y="0"/>
                <wp:positionH relativeFrom="page">
                  <wp:posOffset>4182110</wp:posOffset>
                </wp:positionH>
                <wp:positionV relativeFrom="page">
                  <wp:posOffset>952500</wp:posOffset>
                </wp:positionV>
                <wp:extent cx="2267585" cy="763270"/>
                <wp:effectExtent l="0" t="0" r="0" b="0"/>
                <wp:wrapSquare wrapText="bothSides"/>
                <wp:docPr id="638"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763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FCA8D" w14:textId="77777777" w:rsidR="00490F33" w:rsidRDefault="00490F33">
                            <w:pPr>
                              <w:spacing w:before="22" w:line="218" w:lineRule="exact"/>
                              <w:textAlignment w:val="baseline"/>
                              <w:rPr>
                                <w:rFonts w:ascii="Tahoma" w:eastAsia="Tahoma" w:hAnsi="Tahoma"/>
                                <w:color w:val="414042"/>
                                <w:spacing w:val="1"/>
                                <w:sz w:val="18"/>
                              </w:rPr>
                            </w:pPr>
                            <w:r>
                              <w:rPr>
                                <w:rFonts w:ascii="Tahoma" w:eastAsia="Tahoma" w:hAnsi="Tahoma"/>
                                <w:color w:val="414042"/>
                                <w:spacing w:val="1"/>
                                <w:sz w:val="18"/>
                              </w:rPr>
                              <w:t>As of mid-2019, more than 3,000 students</w:t>
                            </w:r>
                          </w:p>
                          <w:p w14:paraId="280A302E" w14:textId="77777777" w:rsidR="00490F33" w:rsidRDefault="00490F33">
                            <w:pPr>
                              <w:spacing w:before="2" w:line="240" w:lineRule="exact"/>
                              <w:textAlignment w:val="baseline"/>
                              <w:rPr>
                                <w:rFonts w:ascii="Tahoma" w:eastAsia="Tahoma" w:hAnsi="Tahoma"/>
                                <w:color w:val="414042"/>
                                <w:spacing w:val="7"/>
                                <w:sz w:val="18"/>
                              </w:rPr>
                            </w:pPr>
                            <w:r>
                              <w:rPr>
                                <w:rFonts w:ascii="Tahoma" w:eastAsia="Tahoma" w:hAnsi="Tahoma"/>
                                <w:color w:val="414042"/>
                                <w:spacing w:val="7"/>
                                <w:sz w:val="18"/>
                              </w:rPr>
                              <w:t>have participated in introductory</w:t>
                            </w:r>
                          </w:p>
                          <w:p w14:paraId="29E72DF4" w14:textId="77777777" w:rsidR="00490F33" w:rsidRDefault="00490F33">
                            <w:pPr>
                              <w:spacing w:before="20" w:line="218" w:lineRule="exact"/>
                              <w:textAlignment w:val="baseline"/>
                              <w:rPr>
                                <w:rFonts w:ascii="Tahoma" w:eastAsia="Tahoma" w:hAnsi="Tahoma"/>
                                <w:color w:val="414042"/>
                                <w:spacing w:val="3"/>
                                <w:sz w:val="18"/>
                              </w:rPr>
                            </w:pPr>
                            <w:r>
                              <w:rPr>
                                <w:rFonts w:ascii="Tahoma" w:eastAsia="Tahoma" w:hAnsi="Tahoma"/>
                                <w:color w:val="414042"/>
                                <w:spacing w:val="3"/>
                                <w:sz w:val="18"/>
                              </w:rPr>
                              <w:t>P-TECH activities, with over 600</w:t>
                            </w:r>
                          </w:p>
                          <w:p w14:paraId="24DAA9EE" w14:textId="77777777" w:rsidR="00490F33" w:rsidRDefault="00490F33">
                            <w:pPr>
                              <w:spacing w:before="2" w:line="240" w:lineRule="exact"/>
                              <w:textAlignment w:val="baseline"/>
                              <w:rPr>
                                <w:rFonts w:ascii="Tahoma" w:eastAsia="Tahoma" w:hAnsi="Tahoma"/>
                                <w:color w:val="414042"/>
                                <w:spacing w:val="7"/>
                                <w:sz w:val="18"/>
                              </w:rPr>
                            </w:pPr>
                            <w:r>
                              <w:rPr>
                                <w:rFonts w:ascii="Tahoma" w:eastAsia="Tahoma" w:hAnsi="Tahoma"/>
                                <w:color w:val="414042"/>
                                <w:spacing w:val="7"/>
                                <w:sz w:val="18"/>
                              </w:rPr>
                              <w:t>students subsequently pursuing formal</w:t>
                            </w:r>
                          </w:p>
                          <w:p w14:paraId="73B5E374" w14:textId="77777777" w:rsidR="00490F33" w:rsidRDefault="00490F33">
                            <w:pPr>
                              <w:spacing w:line="230" w:lineRule="exact"/>
                              <w:textAlignment w:val="baseline"/>
                              <w:rPr>
                                <w:rFonts w:ascii="Tahoma" w:eastAsia="Tahoma" w:hAnsi="Tahoma"/>
                                <w:color w:val="414042"/>
                                <w:spacing w:val="2"/>
                                <w:sz w:val="18"/>
                              </w:rPr>
                            </w:pPr>
                            <w:r>
                              <w:rPr>
                                <w:rFonts w:ascii="Tahoma" w:eastAsia="Tahoma" w:hAnsi="Tahoma"/>
                                <w:color w:val="414042"/>
                                <w:spacing w:val="2"/>
                                <w:sz w:val="18"/>
                              </w:rPr>
                              <w:t>P-TECH pathways.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FABE4" id="Text Box 359" o:spid="_x0000_s1213" type="#_x0000_t202" style="position:absolute;margin-left:329.3pt;margin-top:75pt;width:178.55pt;height:60.1pt;z-index:-251780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HV8QEAAMMDAAAOAAAAZHJzL2Uyb0RvYy54bWysU9uO0zAQfUfiHyy/0/SiXoiarpZdLUJa&#10;LtIuHzB1nMYi8Zix26R8PWOnKQu8IV6s8VyOz5wZb2/6thEnTd6gLeRsMpVCW4WlsYdCfn1+eLOR&#10;wgewJTRodSHP2sub3etX287leo41NqUmwSDW550rZB2Cy7PMq1q34CfotOVghdRC4CsdspKgY/S2&#10;yebT6SrrkEpHqLT37L0fgnKX8KtKq/C5qrwOoikkcwvppHTu45nttpAfCFxt1IUG/AOLFozlR69Q&#10;9xBAHMn8BdUaReixChOFbYZVZZROPXA3s+kf3TzV4HTqhcXx7iqT/3+w6tPpCwlTFnK14FFZaHlI&#10;z7oP4h32YrF8GxXqnM858clxaug5wJNO3Xr3iOqbFxbvarAHfUuEXa2hZIazWJm9KB1wfATZdx+x&#10;5IfgGDAB9RW1UT4WRDA6T+p8nU4ko9g5n6/Wy81SCsWx9WoxX6fxZZCP1Y58eK+xFdEoJPH0Ezqc&#10;Hn2IbCAfU+JjFh9M06QNaOxvDk6MnsQ+Eh6oh37fJ6lmm/Uoyx7LMzdEOGwW/wQ2aqQfUnS8VYX0&#10;349AWormg2VR4gqOBo3GfjTAKi4tZJBiMO/CsKpHR+ZQM/Igu8VbFq4yqaeo8MDiQpg3JbV62eq4&#10;ii/vKevX39v9BAAA//8DAFBLAwQUAAYACAAAACEAbua+i+AAAAAMAQAADwAAAGRycy9kb3ducmV2&#10;LnhtbEyPwU7DMBBE70j8g7WVuFG7kZKWNE5VITghIdJw4OjE28RqvA6x24a/xz3BcTVPs2+K3WwH&#10;dsHJG0cSVksBDKl12lAn4bN+fdwA80GRVoMjlPCDHnbl/V2hcu2uVOHlEDoWS8jnSkIfwphz7tse&#10;rfJLNyLF7Ogmq0I8p47rSV1juR14IkTGrTIUP/RqxOce29PhbCXsv6h6Md/vzUd1rExdPwl6y05S&#10;Pizm/RZYwDn8wXDTj+pQRqfGnUl7NkjI0k0W0RikIo66EWKVroE1EpK1SICXBf8/ovwFAAD//wMA&#10;UEsBAi0AFAAGAAgAAAAhALaDOJL+AAAA4QEAABMAAAAAAAAAAAAAAAAAAAAAAFtDb250ZW50X1R5&#10;cGVzXS54bWxQSwECLQAUAAYACAAAACEAOP0h/9YAAACUAQAACwAAAAAAAAAAAAAAAAAvAQAAX3Jl&#10;bHMvLnJlbHNQSwECLQAUAAYACAAAACEAi2Bh1fEBAADDAwAADgAAAAAAAAAAAAAAAAAuAgAAZHJz&#10;L2Uyb0RvYy54bWxQSwECLQAUAAYACAAAACEAbua+i+AAAAAMAQAADwAAAAAAAAAAAAAAAABLBAAA&#10;ZHJzL2Rvd25yZXYueG1sUEsFBgAAAAAEAAQA8wAAAFgFAAAAAA==&#10;" filled="f" stroked="f">
                <v:textbox inset="0,0,0,0">
                  <w:txbxContent>
                    <w:p w14:paraId="18FFCA8D" w14:textId="77777777" w:rsidR="00490F33" w:rsidRDefault="00490F33">
                      <w:pPr>
                        <w:spacing w:before="22" w:line="218" w:lineRule="exact"/>
                        <w:textAlignment w:val="baseline"/>
                        <w:rPr>
                          <w:rFonts w:ascii="Tahoma" w:eastAsia="Tahoma" w:hAnsi="Tahoma"/>
                          <w:color w:val="414042"/>
                          <w:spacing w:val="1"/>
                          <w:sz w:val="18"/>
                        </w:rPr>
                      </w:pPr>
                      <w:r>
                        <w:rPr>
                          <w:rFonts w:ascii="Tahoma" w:eastAsia="Tahoma" w:hAnsi="Tahoma"/>
                          <w:color w:val="414042"/>
                          <w:spacing w:val="1"/>
                          <w:sz w:val="18"/>
                        </w:rPr>
                        <w:t>As of mid-2019, more than 3,000 students</w:t>
                      </w:r>
                    </w:p>
                    <w:p w14:paraId="280A302E" w14:textId="77777777" w:rsidR="00490F33" w:rsidRDefault="00490F33">
                      <w:pPr>
                        <w:spacing w:before="2" w:line="240" w:lineRule="exact"/>
                        <w:textAlignment w:val="baseline"/>
                        <w:rPr>
                          <w:rFonts w:ascii="Tahoma" w:eastAsia="Tahoma" w:hAnsi="Tahoma"/>
                          <w:color w:val="414042"/>
                          <w:spacing w:val="7"/>
                          <w:sz w:val="18"/>
                        </w:rPr>
                      </w:pPr>
                      <w:r>
                        <w:rPr>
                          <w:rFonts w:ascii="Tahoma" w:eastAsia="Tahoma" w:hAnsi="Tahoma"/>
                          <w:color w:val="414042"/>
                          <w:spacing w:val="7"/>
                          <w:sz w:val="18"/>
                        </w:rPr>
                        <w:t>have participated in introductory</w:t>
                      </w:r>
                    </w:p>
                    <w:p w14:paraId="29E72DF4" w14:textId="77777777" w:rsidR="00490F33" w:rsidRDefault="00490F33">
                      <w:pPr>
                        <w:spacing w:before="20" w:line="218" w:lineRule="exact"/>
                        <w:textAlignment w:val="baseline"/>
                        <w:rPr>
                          <w:rFonts w:ascii="Tahoma" w:eastAsia="Tahoma" w:hAnsi="Tahoma"/>
                          <w:color w:val="414042"/>
                          <w:spacing w:val="3"/>
                          <w:sz w:val="18"/>
                        </w:rPr>
                      </w:pPr>
                      <w:r>
                        <w:rPr>
                          <w:rFonts w:ascii="Tahoma" w:eastAsia="Tahoma" w:hAnsi="Tahoma"/>
                          <w:color w:val="414042"/>
                          <w:spacing w:val="3"/>
                          <w:sz w:val="18"/>
                        </w:rPr>
                        <w:t>P-TECH activities, with over 600</w:t>
                      </w:r>
                    </w:p>
                    <w:p w14:paraId="24DAA9EE" w14:textId="77777777" w:rsidR="00490F33" w:rsidRDefault="00490F33">
                      <w:pPr>
                        <w:spacing w:before="2" w:line="240" w:lineRule="exact"/>
                        <w:textAlignment w:val="baseline"/>
                        <w:rPr>
                          <w:rFonts w:ascii="Tahoma" w:eastAsia="Tahoma" w:hAnsi="Tahoma"/>
                          <w:color w:val="414042"/>
                          <w:spacing w:val="7"/>
                          <w:sz w:val="18"/>
                        </w:rPr>
                      </w:pPr>
                      <w:r>
                        <w:rPr>
                          <w:rFonts w:ascii="Tahoma" w:eastAsia="Tahoma" w:hAnsi="Tahoma"/>
                          <w:color w:val="414042"/>
                          <w:spacing w:val="7"/>
                          <w:sz w:val="18"/>
                        </w:rPr>
                        <w:t>students subsequently pursuing formal</w:t>
                      </w:r>
                    </w:p>
                    <w:p w14:paraId="73B5E374" w14:textId="77777777" w:rsidR="00490F33" w:rsidRDefault="00490F33">
                      <w:pPr>
                        <w:spacing w:line="230" w:lineRule="exact"/>
                        <w:textAlignment w:val="baseline"/>
                        <w:rPr>
                          <w:rFonts w:ascii="Tahoma" w:eastAsia="Tahoma" w:hAnsi="Tahoma"/>
                          <w:color w:val="414042"/>
                          <w:spacing w:val="2"/>
                          <w:sz w:val="18"/>
                        </w:rPr>
                      </w:pPr>
                      <w:r>
                        <w:rPr>
                          <w:rFonts w:ascii="Tahoma" w:eastAsia="Tahoma" w:hAnsi="Tahoma"/>
                          <w:color w:val="414042"/>
                          <w:spacing w:val="2"/>
                          <w:sz w:val="18"/>
                        </w:rPr>
                        <w:t>P-TECH pathways.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6896" behindDoc="1" locked="0" layoutInCell="1" allowOverlap="1" wp14:anchorId="722CB4BF" wp14:editId="381EEA30">
                <wp:simplePos x="0" y="0"/>
                <wp:positionH relativeFrom="page">
                  <wp:posOffset>835025</wp:posOffset>
                </wp:positionH>
                <wp:positionV relativeFrom="page">
                  <wp:posOffset>982980</wp:posOffset>
                </wp:positionV>
                <wp:extent cx="2633345" cy="1726565"/>
                <wp:effectExtent l="0" t="0" r="0" b="0"/>
                <wp:wrapSquare wrapText="bothSides"/>
                <wp:docPr id="637"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172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54FDB"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C35824A" w14:textId="77777777" w:rsidR="00490F33" w:rsidRDefault="00490F33">
                            <w:pPr>
                              <w:spacing w:line="439" w:lineRule="exact"/>
                              <w:textAlignment w:val="baseline"/>
                              <w:rPr>
                                <w:rFonts w:ascii="Tahoma" w:eastAsia="Tahoma" w:hAnsi="Tahoma"/>
                                <w:color w:val="BF5B1F"/>
                                <w:spacing w:val="16"/>
                                <w:w w:val="95"/>
                                <w:sz w:val="38"/>
                              </w:rPr>
                            </w:pPr>
                            <w:r>
                              <w:rPr>
                                <w:rFonts w:ascii="Tahoma" w:eastAsia="Tahoma" w:hAnsi="Tahoma"/>
                                <w:color w:val="BF5B1F"/>
                                <w:spacing w:val="16"/>
                                <w:w w:val="95"/>
                                <w:sz w:val="38"/>
                              </w:rPr>
                              <w:t>AUSTRALIAN</w:t>
                            </w:r>
                          </w:p>
                          <w:p w14:paraId="4BD422EE" w14:textId="77777777" w:rsidR="00490F33" w:rsidRDefault="00490F33">
                            <w:pPr>
                              <w:spacing w:before="1" w:line="459" w:lineRule="exact"/>
                              <w:textAlignment w:val="baseline"/>
                              <w:rPr>
                                <w:rFonts w:ascii="Tahoma" w:eastAsia="Tahoma" w:hAnsi="Tahoma"/>
                                <w:color w:val="BF5B1F"/>
                                <w:spacing w:val="21"/>
                                <w:w w:val="95"/>
                                <w:sz w:val="38"/>
                              </w:rPr>
                            </w:pPr>
                            <w:r>
                              <w:rPr>
                                <w:rFonts w:ascii="Tahoma" w:eastAsia="Tahoma" w:hAnsi="Tahoma"/>
                                <w:color w:val="BF5B1F"/>
                                <w:spacing w:val="21"/>
                                <w:w w:val="95"/>
                                <w:sz w:val="38"/>
                              </w:rPr>
                              <w:t>GOVERNMENT’S</w:t>
                            </w:r>
                          </w:p>
                          <w:p w14:paraId="244CDA55" w14:textId="77777777" w:rsidR="00490F33" w:rsidRDefault="00490F33">
                            <w:pPr>
                              <w:spacing w:before="2" w:line="459" w:lineRule="exact"/>
                              <w:textAlignment w:val="baseline"/>
                              <w:rPr>
                                <w:rFonts w:ascii="Tahoma" w:eastAsia="Tahoma" w:hAnsi="Tahoma"/>
                                <w:color w:val="BF5B1F"/>
                                <w:spacing w:val="1"/>
                                <w:w w:val="95"/>
                                <w:sz w:val="38"/>
                              </w:rPr>
                            </w:pPr>
                            <w:r>
                              <w:rPr>
                                <w:rFonts w:ascii="Tahoma" w:eastAsia="Tahoma" w:hAnsi="Tahoma"/>
                                <w:color w:val="BF5B1F"/>
                                <w:spacing w:val="1"/>
                                <w:w w:val="95"/>
                                <w:sz w:val="38"/>
                              </w:rPr>
                              <w:t>PATHWAYS IN</w:t>
                            </w:r>
                          </w:p>
                          <w:p w14:paraId="3360A880" w14:textId="77777777" w:rsidR="00490F33" w:rsidRDefault="00490F33">
                            <w:pPr>
                              <w:spacing w:before="2" w:line="459" w:lineRule="exact"/>
                              <w:textAlignment w:val="baseline"/>
                              <w:rPr>
                                <w:rFonts w:ascii="Tahoma" w:eastAsia="Tahoma" w:hAnsi="Tahoma"/>
                                <w:color w:val="BF5B1F"/>
                                <w:spacing w:val="9"/>
                                <w:w w:val="95"/>
                                <w:sz w:val="38"/>
                              </w:rPr>
                            </w:pPr>
                            <w:r>
                              <w:rPr>
                                <w:rFonts w:ascii="Tahoma" w:eastAsia="Tahoma" w:hAnsi="Tahoma"/>
                                <w:color w:val="BF5B1F"/>
                                <w:spacing w:val="9"/>
                                <w:w w:val="95"/>
                                <w:sz w:val="38"/>
                              </w:rPr>
                              <w:t>TECHNOLOGY (P-TECH)</w:t>
                            </w:r>
                          </w:p>
                          <w:p w14:paraId="1E2D0421" w14:textId="77777777" w:rsidR="00490F33" w:rsidRDefault="00490F33">
                            <w:pPr>
                              <w:spacing w:line="451" w:lineRule="exact"/>
                              <w:textAlignment w:val="baseline"/>
                              <w:rPr>
                                <w:rFonts w:ascii="Tahoma" w:eastAsia="Tahoma" w:hAnsi="Tahoma"/>
                                <w:color w:val="BF5B1F"/>
                                <w:spacing w:val="23"/>
                                <w:w w:val="95"/>
                                <w:sz w:val="38"/>
                              </w:rPr>
                            </w:pPr>
                            <w:r>
                              <w:rPr>
                                <w:rFonts w:ascii="Tahoma" w:eastAsia="Tahoma" w:hAnsi="Tahoma"/>
                                <w:color w:val="BF5B1F"/>
                                <w:spacing w:val="23"/>
                                <w:w w:val="95"/>
                                <w:sz w:val="38"/>
                              </w:rP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CB4BF" id="Text Box 358" o:spid="_x0000_s1214" type="#_x0000_t202" style="position:absolute;margin-left:65.75pt;margin-top:77.4pt;width:207.35pt;height:135.95pt;z-index:-251779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vtB8gEAAMQDAAAOAAAAZHJzL2Uyb0RvYy54bWysU9tu2zAMfR+wfxD0vjiXJQ2MOEXXosOA&#10;7gK0+wBGlmNhtqhRSuzs60fJcdatb8VeBIqkDg8Pqc113zbiqMkbtIWcTaZSaKuwNHZfyO9P9+/W&#10;UvgAtoQGrS7kSXt5vX37ZtO5XM+xxqbUJBjE+rxzhaxDcHmWeVXrFvwEnbYcrJBaCHylfVYSdIze&#10;Ntl8Ol1lHVLpCJX2nr13Q1BuE35VaRW+VpXXQTSFZG4hnZTOXTyz7QbyPYGrjTrTgFewaMFYLnqB&#10;uoMA4kDmBVRrFKHHKkwUthlWlVE69cDdzKb/dPNYg9OpFxbHu4tM/v/Bqi/HbyRMWcjV4koKCy0P&#10;6Un3QXzAXiyW66hQ53zOiY+OU0PPAZ506ta7B1Q/vLB4W4Pd6xsi7GoNJTOcxZfZs6cDjo8gu+4z&#10;llwIDgETUF9RG+VjQQSj86ROl+lEMoqd89VisXi/lEJxbHY1Xy1Xy1QD8vG5Ix8+amxFNApJPP4E&#10;D8cHHyIdyMeUWM3ivWmatAKN/cvBidGT6EfGA/fQ7/qk1Wx90WWH5Yk7IhxWi78CGzXSLyk6XqtC&#10;+p8HIC1F88myKnEHR4NGYzcaYBU/LWSQYjBvw7CrB0dmXzPyoLvFG1auMqmnKPHA4kyYVyW1el7r&#10;uIvP7ynrz+fb/gYAAP//AwBQSwMEFAAGAAgAAAAhACuaqoPfAAAACwEAAA8AAABkcnMvZG93bnJl&#10;di54bWxMj01Pg0AQhu8m/ofNmHizSxFQkaVpjJ5MjBQPHhd2CqTsLLLbFv+940lv82aevB/FZrGj&#10;OOHsB0cK1qsIBFLrzECdgo/65eYehA+ajB4doYJv9LApLy8KnRt3pgpPu9AJNiGfawV9CFMupW97&#10;tNqv3ITEv72brQ4s506aWZ/Z3I4yjqJMWj0QJ/R6wqce28PuaBVsP6l6Hr7emvdqXw11/RDRa3ZQ&#10;6vpq2T6CCLiEPxh+63N1KLlT445kvBhZ365TRvlIE97ARJpkMYhGQRJndyDLQv7fUP4AAAD//wMA&#10;UEsBAi0AFAAGAAgAAAAhALaDOJL+AAAA4QEAABMAAAAAAAAAAAAAAAAAAAAAAFtDb250ZW50X1R5&#10;cGVzXS54bWxQSwECLQAUAAYACAAAACEAOP0h/9YAAACUAQAACwAAAAAAAAAAAAAAAAAvAQAAX3Jl&#10;bHMvLnJlbHNQSwECLQAUAAYACAAAACEAj+L7QfIBAADEAwAADgAAAAAAAAAAAAAAAAAuAgAAZHJz&#10;L2Uyb0RvYy54bWxQSwECLQAUAAYACAAAACEAK5qqg98AAAALAQAADwAAAAAAAAAAAAAAAABMBAAA&#10;ZHJzL2Rvd25yZXYueG1sUEsFBgAAAAAEAAQA8wAAAFgFAAAAAA==&#10;" filled="f" stroked="f">
                <v:textbox inset="0,0,0,0">
                  <w:txbxContent>
                    <w:p w14:paraId="74E54FDB"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C35824A" w14:textId="77777777" w:rsidR="00490F33" w:rsidRDefault="00490F33">
                      <w:pPr>
                        <w:spacing w:line="439" w:lineRule="exact"/>
                        <w:textAlignment w:val="baseline"/>
                        <w:rPr>
                          <w:rFonts w:ascii="Tahoma" w:eastAsia="Tahoma" w:hAnsi="Tahoma"/>
                          <w:color w:val="BF5B1F"/>
                          <w:spacing w:val="16"/>
                          <w:w w:val="95"/>
                          <w:sz w:val="38"/>
                        </w:rPr>
                      </w:pPr>
                      <w:r>
                        <w:rPr>
                          <w:rFonts w:ascii="Tahoma" w:eastAsia="Tahoma" w:hAnsi="Tahoma"/>
                          <w:color w:val="BF5B1F"/>
                          <w:spacing w:val="16"/>
                          <w:w w:val="95"/>
                          <w:sz w:val="38"/>
                        </w:rPr>
                        <w:t>AUSTRALIAN</w:t>
                      </w:r>
                    </w:p>
                    <w:p w14:paraId="4BD422EE" w14:textId="77777777" w:rsidR="00490F33" w:rsidRDefault="00490F33">
                      <w:pPr>
                        <w:spacing w:before="1" w:line="459" w:lineRule="exact"/>
                        <w:textAlignment w:val="baseline"/>
                        <w:rPr>
                          <w:rFonts w:ascii="Tahoma" w:eastAsia="Tahoma" w:hAnsi="Tahoma"/>
                          <w:color w:val="BF5B1F"/>
                          <w:spacing w:val="21"/>
                          <w:w w:val="95"/>
                          <w:sz w:val="38"/>
                        </w:rPr>
                      </w:pPr>
                      <w:r>
                        <w:rPr>
                          <w:rFonts w:ascii="Tahoma" w:eastAsia="Tahoma" w:hAnsi="Tahoma"/>
                          <w:color w:val="BF5B1F"/>
                          <w:spacing w:val="21"/>
                          <w:w w:val="95"/>
                          <w:sz w:val="38"/>
                        </w:rPr>
                        <w:t>GOVERNMENT’S</w:t>
                      </w:r>
                    </w:p>
                    <w:p w14:paraId="244CDA55" w14:textId="77777777" w:rsidR="00490F33" w:rsidRDefault="00490F33">
                      <w:pPr>
                        <w:spacing w:before="2" w:line="459" w:lineRule="exact"/>
                        <w:textAlignment w:val="baseline"/>
                        <w:rPr>
                          <w:rFonts w:ascii="Tahoma" w:eastAsia="Tahoma" w:hAnsi="Tahoma"/>
                          <w:color w:val="BF5B1F"/>
                          <w:spacing w:val="1"/>
                          <w:w w:val="95"/>
                          <w:sz w:val="38"/>
                        </w:rPr>
                      </w:pPr>
                      <w:r>
                        <w:rPr>
                          <w:rFonts w:ascii="Tahoma" w:eastAsia="Tahoma" w:hAnsi="Tahoma"/>
                          <w:color w:val="BF5B1F"/>
                          <w:spacing w:val="1"/>
                          <w:w w:val="95"/>
                          <w:sz w:val="38"/>
                        </w:rPr>
                        <w:t>PATHWAYS IN</w:t>
                      </w:r>
                    </w:p>
                    <w:p w14:paraId="3360A880" w14:textId="77777777" w:rsidR="00490F33" w:rsidRDefault="00490F33">
                      <w:pPr>
                        <w:spacing w:before="2" w:line="459" w:lineRule="exact"/>
                        <w:textAlignment w:val="baseline"/>
                        <w:rPr>
                          <w:rFonts w:ascii="Tahoma" w:eastAsia="Tahoma" w:hAnsi="Tahoma"/>
                          <w:color w:val="BF5B1F"/>
                          <w:spacing w:val="9"/>
                          <w:w w:val="95"/>
                          <w:sz w:val="38"/>
                        </w:rPr>
                      </w:pPr>
                      <w:r>
                        <w:rPr>
                          <w:rFonts w:ascii="Tahoma" w:eastAsia="Tahoma" w:hAnsi="Tahoma"/>
                          <w:color w:val="BF5B1F"/>
                          <w:spacing w:val="9"/>
                          <w:w w:val="95"/>
                          <w:sz w:val="38"/>
                        </w:rPr>
                        <w:t>TECHNOLOGY (P-TECH)</w:t>
                      </w:r>
                    </w:p>
                    <w:p w14:paraId="1E2D0421" w14:textId="77777777" w:rsidR="00490F33" w:rsidRDefault="00490F33">
                      <w:pPr>
                        <w:spacing w:line="451" w:lineRule="exact"/>
                        <w:textAlignment w:val="baseline"/>
                        <w:rPr>
                          <w:rFonts w:ascii="Tahoma" w:eastAsia="Tahoma" w:hAnsi="Tahoma"/>
                          <w:color w:val="BF5B1F"/>
                          <w:spacing w:val="23"/>
                          <w:w w:val="95"/>
                          <w:sz w:val="38"/>
                        </w:rPr>
                      </w:pPr>
                      <w:r>
                        <w:rPr>
                          <w:rFonts w:ascii="Tahoma" w:eastAsia="Tahoma" w:hAnsi="Tahoma"/>
                          <w:color w:val="BF5B1F"/>
                          <w:spacing w:val="23"/>
                          <w:w w:val="95"/>
                          <w:sz w:val="38"/>
                        </w:rPr>
                        <w:t>PROGRAM</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7920" behindDoc="1" locked="0" layoutInCell="1" allowOverlap="1" wp14:anchorId="150B155F" wp14:editId="653FA07F">
                <wp:simplePos x="0" y="0"/>
                <wp:positionH relativeFrom="page">
                  <wp:posOffset>4182110</wp:posOffset>
                </wp:positionH>
                <wp:positionV relativeFrom="page">
                  <wp:posOffset>1822450</wp:posOffset>
                </wp:positionV>
                <wp:extent cx="2337435" cy="1675130"/>
                <wp:effectExtent l="0" t="0" r="0" b="0"/>
                <wp:wrapSquare wrapText="bothSides"/>
                <wp:docPr id="636"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67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A3000" w14:textId="77777777" w:rsidR="00490F33" w:rsidRDefault="00490F33">
                            <w:pPr>
                              <w:spacing w:line="239" w:lineRule="exact"/>
                              <w:textAlignment w:val="baseline"/>
                              <w:rPr>
                                <w:rFonts w:ascii="Tahoma" w:eastAsia="Tahoma" w:hAnsi="Tahoma"/>
                                <w:color w:val="414042"/>
                                <w:spacing w:val="3"/>
                                <w:sz w:val="18"/>
                              </w:rPr>
                            </w:pPr>
                            <w:r>
                              <w:rPr>
                                <w:rFonts w:ascii="Tahoma" w:eastAsia="Tahoma" w:hAnsi="Tahoma"/>
                                <w:color w:val="414042"/>
                                <w:spacing w:val="3"/>
                                <w:sz w:val="18"/>
                              </w:rPr>
                              <w:t xml:space="preserve">Social Compass independently evaluated the P-TECH pilot between July 2018 and </w:t>
                            </w:r>
                            <w:r>
                              <w:rPr>
                                <w:rFonts w:ascii="Verdana" w:eastAsia="Verdana" w:hAnsi="Verdana"/>
                                <w:color w:val="414042"/>
                                <w:spacing w:val="3"/>
                                <w:sz w:val="17"/>
                              </w:rPr>
                              <w:t xml:space="preserve">April 2019. The evaluation found significant benefits for all stakeholders, including </w:t>
                            </w:r>
                            <w:r>
                              <w:rPr>
                                <w:rFonts w:ascii="Tahoma" w:eastAsia="Tahoma" w:hAnsi="Tahoma"/>
                                <w:color w:val="414042"/>
                                <w:spacing w:val="3"/>
                                <w:sz w:val="18"/>
                              </w:rPr>
                              <w:t>teachers, industry partners and students. It also highlighted challenges around sustainability beyond the two-year period of Australian Government seed funding. Sustainability will be a focus of a second phase evaluation planned to begin in mid-2020.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155F" id="Text Box 357" o:spid="_x0000_s1215" type="#_x0000_t202" style="position:absolute;margin-left:329.3pt;margin-top:143.5pt;width:184.05pt;height:131.9pt;z-index:-25177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3a/8wEAAMQDAAAOAAAAZHJzL2Uyb0RvYy54bWysU9uO0zAQfUfiHyy/0zQNbZeo6WrZ1SKk&#10;ZUHa5QMcx0ksEo8Zu03K1zN2mrLAG+LFGs/l+MyZ8e567Dt2VOg0mIKniyVnykiotGkK/vX5/s0V&#10;Z84LU4kOjCr4STl+vX/9ajfYXK2gha5SyAjEuHywBW+9t3mSONmqXrgFWGUoWAP2wtMVm6RCMRB6&#10;3yWr5XKTDICVRZDKOfLeTUG+j/h1raT/XNdOedYVnLj5eGI8y3Am+53IGxS21fJMQ/wDi15oQ49e&#10;oO6EF+yA+i+oXksEB7VfSOgTqGstVeyBukmXf3Tz1AqrYi8kjrMXmdz/g5WPxy/IdFXwTbbhzIie&#10;hvSsRs/ew8iy9TYoNFiXU+KTpVQ/UoAmHbt19gHkN8cM3LbCNOoGEYZWiYoYpqEyeVE64bgAUg6f&#10;oKKHxMFDBBpr7IN8JAgjdJrU6TKdQEaSc5Vl27fZmjNJsXSzXadZnF8i8rncovMfFPQsGAVHGn+E&#10;F8cH5wMdkc8p4TUD97rr4gp05jcHJQZPpB8YT9z9WI5Rq/Tq3axLCdWJOkKYVou+Ahkt4A/OBlqr&#10;grvvB4GKs+6jIVXCDs4GzkY5G8JIKi2452wyb/20qweLumkJedLdwA0pV+vYU5B4YnEmTKsSWz2v&#10;ddjFl/eY9evz7X8CAAD//wMAUEsDBBQABgAIAAAAIQCIXy5C4AAAAAwBAAAPAAAAZHJzL2Rvd25y&#10;ZXYueG1sTI/BTsMwEETvSPyDtUjcqE2kuCFkU1UITkiINBw4OrGbRI3XIXbb8Pe4J3pc7dPMm2Kz&#10;2JGdzOwHRwiPKwHMUOv0QB3CV/32kAHzQZFWoyOD8Gs8bMrbm0Ll2p2pMqdd6FgMIZ8rhD6EKefc&#10;t72xyq/cZCj+9m62KsRz7rie1TmG25EnQkhu1UCxoVeTeelNe9gdLcL2m6rX4eej+az21VDXT4Le&#10;5QHx/m7ZPgMLZgn/MFz0ozqU0alxR9KejQgyzWREEZJsHUddCJHINbAGIU1FBrws+PWI8g8AAP//&#10;AwBQSwECLQAUAAYACAAAACEAtoM4kv4AAADhAQAAEwAAAAAAAAAAAAAAAAAAAAAAW0NvbnRlbnRf&#10;VHlwZXNdLnhtbFBLAQItABQABgAIAAAAIQA4/SH/1gAAAJQBAAALAAAAAAAAAAAAAAAAAC8BAABf&#10;cmVscy8ucmVsc1BLAQItABQABgAIAAAAIQCX83a/8wEAAMQDAAAOAAAAAAAAAAAAAAAAAC4CAABk&#10;cnMvZTJvRG9jLnhtbFBLAQItABQABgAIAAAAIQCIXy5C4AAAAAwBAAAPAAAAAAAAAAAAAAAAAE0E&#10;AABkcnMvZG93bnJldi54bWxQSwUGAAAAAAQABADzAAAAWgUAAAAA&#10;" filled="f" stroked="f">
                <v:textbox inset="0,0,0,0">
                  <w:txbxContent>
                    <w:p w14:paraId="795A3000" w14:textId="77777777" w:rsidR="00490F33" w:rsidRDefault="00490F33">
                      <w:pPr>
                        <w:spacing w:line="239" w:lineRule="exact"/>
                        <w:textAlignment w:val="baseline"/>
                        <w:rPr>
                          <w:rFonts w:ascii="Tahoma" w:eastAsia="Tahoma" w:hAnsi="Tahoma"/>
                          <w:color w:val="414042"/>
                          <w:spacing w:val="3"/>
                          <w:sz w:val="18"/>
                        </w:rPr>
                      </w:pPr>
                      <w:r>
                        <w:rPr>
                          <w:rFonts w:ascii="Tahoma" w:eastAsia="Tahoma" w:hAnsi="Tahoma"/>
                          <w:color w:val="414042"/>
                          <w:spacing w:val="3"/>
                          <w:sz w:val="18"/>
                        </w:rPr>
                        <w:t xml:space="preserve">Social Compass independently evaluated the P-TECH pilot between July 2018 and </w:t>
                      </w:r>
                      <w:r>
                        <w:rPr>
                          <w:rFonts w:ascii="Verdana" w:eastAsia="Verdana" w:hAnsi="Verdana"/>
                          <w:color w:val="414042"/>
                          <w:spacing w:val="3"/>
                          <w:sz w:val="17"/>
                        </w:rPr>
                        <w:t xml:space="preserve">April 2019. The evaluation found significant benefits for all stakeholders, including </w:t>
                      </w:r>
                      <w:r>
                        <w:rPr>
                          <w:rFonts w:ascii="Tahoma" w:eastAsia="Tahoma" w:hAnsi="Tahoma"/>
                          <w:color w:val="414042"/>
                          <w:spacing w:val="3"/>
                          <w:sz w:val="18"/>
                        </w:rPr>
                        <w:t>teachers, industry partners and students. It also highlighted challenges around sustainability beyond the two-year period of Australian Government seed funding. Sustainability will be a focus of a second phase evaluation planned to begin in mid-2020.</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8944" behindDoc="1" locked="0" layoutInCell="1" allowOverlap="1" wp14:anchorId="54FD10D0" wp14:editId="0B7ACBE4">
                <wp:simplePos x="0" y="0"/>
                <wp:positionH relativeFrom="page">
                  <wp:posOffset>905510</wp:posOffset>
                </wp:positionH>
                <wp:positionV relativeFrom="page">
                  <wp:posOffset>2877185</wp:posOffset>
                </wp:positionV>
                <wp:extent cx="2407920" cy="1676400"/>
                <wp:effectExtent l="0" t="0" r="0" b="0"/>
                <wp:wrapSquare wrapText="bothSides"/>
                <wp:docPr id="635"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885A8" w14:textId="77777777" w:rsidR="00490F33" w:rsidRDefault="00490F33">
                            <w:pPr>
                              <w:spacing w:line="238" w:lineRule="exact"/>
                              <w:textAlignment w:val="baseline"/>
                              <w:rPr>
                                <w:rFonts w:ascii="Tahoma" w:eastAsia="Tahoma" w:hAnsi="Tahoma"/>
                                <w:color w:val="414042"/>
                                <w:spacing w:val="6"/>
                                <w:sz w:val="18"/>
                              </w:rPr>
                            </w:pPr>
                            <w:r>
                              <w:rPr>
                                <w:rFonts w:ascii="Tahoma" w:eastAsia="Tahoma" w:hAnsi="Tahoma"/>
                                <w:color w:val="414042"/>
                                <w:spacing w:val="6"/>
                                <w:sz w:val="18"/>
                              </w:rPr>
                              <w:t xml:space="preserve">The national Pathways in Technology (P-TECH) program is a pilot initiated by the Australian Government to establish </w:t>
                            </w:r>
                            <w:r>
                              <w:rPr>
                                <w:rFonts w:ascii="Verdana" w:eastAsia="Verdana" w:hAnsi="Verdana"/>
                                <w:color w:val="414042"/>
                                <w:spacing w:val="6"/>
                                <w:sz w:val="17"/>
                              </w:rPr>
                              <w:t xml:space="preserve">effective partnerships between schools, </w:t>
                            </w:r>
                            <w:r>
                              <w:rPr>
                                <w:rFonts w:ascii="Tahoma" w:eastAsia="Tahoma" w:hAnsi="Tahoma"/>
                                <w:color w:val="414042"/>
                                <w:spacing w:val="6"/>
                                <w:sz w:val="18"/>
                              </w:rPr>
                              <w:t>tertiary education providers and industry. These partnerships provide opportunities for students to engage with the world of work, and better understand the relevance of their learning to post-school pathways, including STEM-related vocational education and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D10D0" id="Text Box 356" o:spid="_x0000_s1216" type="#_x0000_t202" style="position:absolute;margin-left:71.3pt;margin-top:226.55pt;width:189.6pt;height:132pt;z-index:-251777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Vq8gEAAMQDAAAOAAAAZHJzL2Uyb0RvYy54bWysU8Fu2zAMvQ/YPwi6L3bSNl2NOEXXosOA&#10;rhvQ7gMYWY6F2aJGKbGzrx8lx2m33YZdBEqknt57pFbXQ9eKvSZv0JZyPsul0FZhZey2lN+e79+9&#10;l8IHsBW0aHUpD9rL6/XbN6veFXqBDbaVJsEg1he9K2UTgiuyzKtGd+Bn6LTlZI3UQeAtbbOKoGf0&#10;rs0Web7MeqTKESrtPZ/ejUm5Tvh1rVX4UtdeB9GWkrmFtFJaN3HN1isotgSuMepIA/6BRQfG8qMn&#10;qDsIIHZk/oLqjCL0WIeZwi7DujZKJw2sZp7/oeapAaeTFjbHu5NN/v/Bqsf9VxKmKuXy7EIKCx03&#10;6VkPQXzAQZxdLKNDvfMFFz45Lg0DJ7jTSa13D6i+e2HxtgG71TdE2DcaKmY4jzezV1dHHB9BNv1n&#10;rPgh2AVMQENNXbSPDRGMzp06nLoTySg+XJznl1cLTinOzZeXy/M89S+DYrruyIePGjsRg1IStz/B&#10;w/7Bh0gHiqkkvmbx3rRtGoHW/nbAhfEk0Y+MR+5h2AzJq/lVejmK22B1YEWE42jxV+CgQfopRc9j&#10;VUr/YwekpWg/WXYlzuAU0BRspgCs4qulDFKM4W0YZ3XnyGwbRh59t3jDztUmaXphcSTMo5KkHsc6&#10;zuLrfap6+XzrXwAAAP//AwBQSwMEFAAGAAgAAAAhAFl1mPLgAAAACwEAAA8AAABkcnMvZG93bnJl&#10;di54bWxMj8FOwzAQRO9I/IO1SNyo49CmEOJUFYITEiINB45O7CZW43WI3Tb8PcupHEf7NPum2Mxu&#10;YCczBetRglgkwAy2XlvsJHzWr3cPwEJUqNXg0Uj4MQE25fVVoXLtz1iZ0y52jEow5EpCH+OYcx7a&#10;3jgVFn40SLe9n5yKFKeO60mdqdwNPE2SjDtlkT70ajTPvWkPu6OTsP3C6sV+vzcf1b6ydf2Y4Ft2&#10;kPL2Zt4+AYtmjhcY/vRJHUpyavwRdWAD5WWaESphuboXwIhYpYLGNBLWYi2AlwX/v6H8BQAA//8D&#10;AFBLAQItABQABgAIAAAAIQC2gziS/gAAAOEBAAATAAAAAAAAAAAAAAAAAAAAAABbQ29udGVudF9U&#10;eXBlc10ueG1sUEsBAi0AFAAGAAgAAAAhADj9If/WAAAAlAEAAAsAAAAAAAAAAAAAAAAALwEAAF9y&#10;ZWxzLy5yZWxzUEsBAi0AFAAGAAgAAAAhABfQJWryAQAAxAMAAA4AAAAAAAAAAAAAAAAALgIAAGRy&#10;cy9lMm9Eb2MueG1sUEsBAi0AFAAGAAgAAAAhAFl1mPLgAAAACwEAAA8AAAAAAAAAAAAAAAAATAQA&#10;AGRycy9kb3ducmV2LnhtbFBLBQYAAAAABAAEAPMAAABZBQAAAAA=&#10;" filled="f" stroked="f">
                <v:textbox inset="0,0,0,0">
                  <w:txbxContent>
                    <w:p w14:paraId="0AA885A8" w14:textId="77777777" w:rsidR="00490F33" w:rsidRDefault="00490F33">
                      <w:pPr>
                        <w:spacing w:line="238" w:lineRule="exact"/>
                        <w:textAlignment w:val="baseline"/>
                        <w:rPr>
                          <w:rFonts w:ascii="Tahoma" w:eastAsia="Tahoma" w:hAnsi="Tahoma"/>
                          <w:color w:val="414042"/>
                          <w:spacing w:val="6"/>
                          <w:sz w:val="18"/>
                        </w:rPr>
                      </w:pPr>
                      <w:r>
                        <w:rPr>
                          <w:rFonts w:ascii="Tahoma" w:eastAsia="Tahoma" w:hAnsi="Tahoma"/>
                          <w:color w:val="414042"/>
                          <w:spacing w:val="6"/>
                          <w:sz w:val="18"/>
                        </w:rPr>
                        <w:t xml:space="preserve">The national Pathways in Technology (P-TECH) program is a pilot initiated by the Australian Government to establish </w:t>
                      </w:r>
                      <w:r>
                        <w:rPr>
                          <w:rFonts w:ascii="Verdana" w:eastAsia="Verdana" w:hAnsi="Verdana"/>
                          <w:color w:val="414042"/>
                          <w:spacing w:val="6"/>
                          <w:sz w:val="17"/>
                        </w:rPr>
                        <w:t xml:space="preserve">effective partnerships between schools, </w:t>
                      </w:r>
                      <w:r>
                        <w:rPr>
                          <w:rFonts w:ascii="Tahoma" w:eastAsia="Tahoma" w:hAnsi="Tahoma"/>
                          <w:color w:val="414042"/>
                          <w:spacing w:val="6"/>
                          <w:sz w:val="18"/>
                        </w:rPr>
                        <w:t>tertiary education providers and industry. These partnerships provide opportunities for students to engage with the world of work, and better understand the relevance of their learning to post-school pathways, including STEM-related vocational education and training.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39968" behindDoc="1" locked="0" layoutInCell="1" allowOverlap="1" wp14:anchorId="00EC9285" wp14:editId="0EBD9DA2">
                <wp:simplePos x="0" y="0"/>
                <wp:positionH relativeFrom="page">
                  <wp:posOffset>4114800</wp:posOffset>
                </wp:positionH>
                <wp:positionV relativeFrom="page">
                  <wp:posOffset>3646170</wp:posOffset>
                </wp:positionV>
                <wp:extent cx="2642870" cy="1297940"/>
                <wp:effectExtent l="0" t="0" r="0" b="0"/>
                <wp:wrapSquare wrapText="bothSides"/>
                <wp:docPr id="63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36175" w14:textId="77777777" w:rsidR="00490F33" w:rsidRDefault="00490F33">
                            <w:pPr>
                              <w:spacing w:line="290" w:lineRule="exact"/>
                              <w:textAlignment w:val="baseline"/>
                              <w:rPr>
                                <w:rFonts w:ascii="Verdana" w:eastAsia="Verdana" w:hAnsi="Verdana"/>
                                <w:i/>
                                <w:color w:val="037891"/>
                                <w:spacing w:val="-2"/>
                                <w:sz w:val="19"/>
                              </w:rPr>
                            </w:pPr>
                            <w:r>
                              <w:rPr>
                                <w:rFonts w:ascii="Verdana" w:eastAsia="Verdana" w:hAnsi="Verdana"/>
                                <w:i/>
                                <w:color w:val="037891"/>
                                <w:spacing w:val="-2"/>
                                <w:sz w:val="19"/>
                              </w:rPr>
                              <w:t xml:space="preserve">“The most significant change is the impact </w:t>
                            </w:r>
                            <w:r>
                              <w:rPr>
                                <w:rFonts w:ascii="Tahoma" w:eastAsia="Tahoma" w:hAnsi="Tahoma"/>
                                <w:i/>
                                <w:color w:val="037891"/>
                                <w:spacing w:val="-2"/>
                                <w:sz w:val="21"/>
                              </w:rPr>
                              <w:t xml:space="preserve">it has on students, especially the students who thought that traditional career pathways were the only options – there is </w:t>
                            </w:r>
                            <w:r>
                              <w:rPr>
                                <w:rFonts w:ascii="Verdana" w:eastAsia="Verdana" w:hAnsi="Verdana"/>
                                <w:i/>
                                <w:color w:val="037891"/>
                                <w:spacing w:val="-2"/>
                                <w:sz w:val="19"/>
                              </w:rPr>
                              <w:t>a world of different opportunities now for them ... that they are able to see first-hand.”</w:t>
                            </w:r>
                          </w:p>
                          <w:p w14:paraId="0E7E935C" w14:textId="77777777" w:rsidR="00490F33" w:rsidRDefault="00490F33">
                            <w:pPr>
                              <w:spacing w:before="56" w:line="237" w:lineRule="exact"/>
                              <w:jc w:val="right"/>
                              <w:textAlignment w:val="baseline"/>
                              <w:rPr>
                                <w:rFonts w:ascii="Tahoma" w:eastAsia="Tahoma" w:hAnsi="Tahoma"/>
                                <w:i/>
                                <w:color w:val="037891"/>
                                <w:sz w:val="21"/>
                              </w:rPr>
                            </w:pPr>
                            <w:r>
                              <w:rPr>
                                <w:rFonts w:ascii="Tahoma" w:eastAsia="Tahoma" w:hAnsi="Tahoma"/>
                                <w:i/>
                                <w:color w:val="037891"/>
                                <w:sz w:val="21"/>
                              </w:rPr>
                              <w:t>Teacher survey response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C9285" id="Text Box 355" o:spid="_x0000_s1217" type="#_x0000_t202" style="position:absolute;margin-left:324pt;margin-top:287.1pt;width:208.1pt;height:102.2pt;z-index:-251776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lH8gEAAMQDAAAOAAAAZHJzL2Uyb0RvYy54bWysU9tu2zAMfR+wfxD0vjhJ07Qx4hRdiw4D&#10;ugvQ7gMYWY6F2aJGKbGzrx8lx2m3vQ17ESiROjrnkFrf9G0jDpq8QVvI2WQqhbYKS2N3hfz2/PDu&#10;WgofwJbQoNWFPGovbzZv36w7l+s51tiUmgSDWJ93rpB1CC7PMq9q3YKfoNOWkxVSC4G3tMtKgo7R&#10;2yabT6fLrEMqHaHS3vPp/ZCUm4RfVVqFL1XldRBNIZlbSCuldRvXbLOGfEfgaqNONOAfWLRgLD96&#10;hrqHAGJP5i+o1ihCj1WYKGwzrCqjdNLAambTP9Q81eB00sLmeHe2yf8/WPX58JWEKQu5vFhIYaHl&#10;Jj3rPoj32IuLy8voUOd8zoVPjktDzwnudFLr3SOq715YvKvB7vQtEXa1hpIZzuLN7NXVAcdHkG33&#10;CUt+CPYBE1BfURvtY0MEo3OnjufuRDKKD+fLxfz6ilOKc7P56mq1SP3LIB+vO/Lhg8ZWxKCQxO1P&#10;8HB49CHSgXwsia9ZfDBNk0agsb8dcGE8SfQj44F76Ld98mq2SuqiuC2WR1ZEOIwWfwUOaqSfUnQ8&#10;VoX0P/ZAWormo2VX4gyOAY3BdgzAKr5ayCDFEN6FYVb3jsyuZuTBd4u37FxlkqYXFifCPCpJ6mms&#10;4yy+3qeql8+3+QUAAP//AwBQSwMEFAAGAAgAAAAhAC4YjfTgAAAADAEAAA8AAABkcnMvZG93bnJl&#10;di54bWxMj8FOwzAQRO9I/IO1SNyoQ1WcELKpKgQnJEQaDhyd2E2sxusQu234e5wT3GY1o9k3xXa2&#10;AzvryRtHCPerBJim1ilDHcJn/XqXAfNBkpKDI43woz1sy+urQubKXajS533oWCwhn0uEPoQx59y3&#10;vbbSr9yoKXoHN1kZ4jl1XE3yEsvtwNdJIriVhuKHXo76udftcX+yCLsvql7M93vzUR0qU9ePCb2J&#10;I+Ltzbx7Ahb0HP7CsOBHdCgjU+NOpDwbEMQmi1sCwkO6WQNbEolYVIOQppkAXhb8/4jyFwAA//8D&#10;AFBLAQItABQABgAIAAAAIQC2gziS/gAAAOEBAAATAAAAAAAAAAAAAAAAAAAAAABbQ29udGVudF9U&#10;eXBlc10ueG1sUEsBAi0AFAAGAAgAAAAhADj9If/WAAAAlAEAAAsAAAAAAAAAAAAAAAAALwEAAF9y&#10;ZWxzLy5yZWxzUEsBAi0AFAAGAAgAAAAhALW+qUfyAQAAxAMAAA4AAAAAAAAAAAAAAAAALgIAAGRy&#10;cy9lMm9Eb2MueG1sUEsBAi0AFAAGAAgAAAAhAC4YjfTgAAAADAEAAA8AAAAAAAAAAAAAAAAATAQA&#10;AGRycy9kb3ducmV2LnhtbFBLBQYAAAAABAAEAPMAAABZBQAAAAA=&#10;" filled="f" stroked="f">
                <v:textbox inset="0,0,0,0">
                  <w:txbxContent>
                    <w:p w14:paraId="1CC36175" w14:textId="77777777" w:rsidR="00490F33" w:rsidRDefault="00490F33">
                      <w:pPr>
                        <w:spacing w:line="290" w:lineRule="exact"/>
                        <w:textAlignment w:val="baseline"/>
                        <w:rPr>
                          <w:rFonts w:ascii="Verdana" w:eastAsia="Verdana" w:hAnsi="Verdana"/>
                          <w:i/>
                          <w:color w:val="037891"/>
                          <w:spacing w:val="-2"/>
                          <w:sz w:val="19"/>
                        </w:rPr>
                      </w:pPr>
                      <w:r>
                        <w:rPr>
                          <w:rFonts w:ascii="Verdana" w:eastAsia="Verdana" w:hAnsi="Verdana"/>
                          <w:i/>
                          <w:color w:val="037891"/>
                          <w:spacing w:val="-2"/>
                          <w:sz w:val="19"/>
                        </w:rPr>
                        <w:t xml:space="preserve">“The most significant change is the impact </w:t>
                      </w:r>
                      <w:r>
                        <w:rPr>
                          <w:rFonts w:ascii="Tahoma" w:eastAsia="Tahoma" w:hAnsi="Tahoma"/>
                          <w:i/>
                          <w:color w:val="037891"/>
                          <w:spacing w:val="-2"/>
                          <w:sz w:val="21"/>
                        </w:rPr>
                        <w:t xml:space="preserve">it has on students, especially the students who thought that traditional career pathways were the only options – there is </w:t>
                      </w:r>
                      <w:r>
                        <w:rPr>
                          <w:rFonts w:ascii="Verdana" w:eastAsia="Verdana" w:hAnsi="Verdana"/>
                          <w:i/>
                          <w:color w:val="037891"/>
                          <w:spacing w:val="-2"/>
                          <w:sz w:val="19"/>
                        </w:rPr>
                        <w:t>a world of different opportunities now for them ... that they are able to see first-hand.”</w:t>
                      </w:r>
                    </w:p>
                    <w:p w14:paraId="0E7E935C" w14:textId="77777777" w:rsidR="00490F33" w:rsidRDefault="00490F33">
                      <w:pPr>
                        <w:spacing w:before="56" w:line="237" w:lineRule="exact"/>
                        <w:jc w:val="right"/>
                        <w:textAlignment w:val="baseline"/>
                        <w:rPr>
                          <w:rFonts w:ascii="Tahoma" w:eastAsia="Tahoma" w:hAnsi="Tahoma"/>
                          <w:i/>
                          <w:color w:val="037891"/>
                          <w:sz w:val="21"/>
                        </w:rPr>
                      </w:pPr>
                      <w:r>
                        <w:rPr>
                          <w:rFonts w:ascii="Tahoma" w:eastAsia="Tahoma" w:hAnsi="Tahoma"/>
                          <w:i/>
                          <w:color w:val="037891"/>
                          <w:sz w:val="21"/>
                        </w:rPr>
                        <w:t>Teacher survey response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0992" behindDoc="1" locked="0" layoutInCell="1" allowOverlap="1" wp14:anchorId="1B5514DD" wp14:editId="2A0E2C6E">
                <wp:simplePos x="0" y="0"/>
                <wp:positionH relativeFrom="page">
                  <wp:posOffset>905510</wp:posOffset>
                </wp:positionH>
                <wp:positionV relativeFrom="page">
                  <wp:posOffset>4662170</wp:posOffset>
                </wp:positionV>
                <wp:extent cx="2276475" cy="1220470"/>
                <wp:effectExtent l="0" t="0" r="0" b="0"/>
                <wp:wrapSquare wrapText="bothSides"/>
                <wp:docPr id="633"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220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97276" w14:textId="77777777" w:rsidR="00490F33" w:rsidRDefault="00490F33">
                            <w:pPr>
                              <w:spacing w:before="2" w:line="239" w:lineRule="exact"/>
                              <w:textAlignment w:val="baseline"/>
                              <w:rPr>
                                <w:rFonts w:ascii="Tahoma" w:eastAsia="Tahoma" w:hAnsi="Tahoma"/>
                                <w:color w:val="414042"/>
                                <w:spacing w:val="5"/>
                                <w:sz w:val="18"/>
                              </w:rPr>
                            </w:pPr>
                            <w:r>
                              <w:rPr>
                                <w:rFonts w:ascii="Tahoma" w:eastAsia="Tahoma" w:hAnsi="Tahoma"/>
                                <w:color w:val="414042"/>
                                <w:spacing w:val="5"/>
                                <w:sz w:val="18"/>
                              </w:rPr>
                              <w:t>The Australian Government has invested $5.1 million of initial seed funding in the program over six years, allowing the Skilling Australia Foundation to assist with relationship building between partners, and the development of locally relevant P-TECH learning programs with a view to ongoing sustainability.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514DD" id="Text Box 354" o:spid="_x0000_s1218" type="#_x0000_t202" style="position:absolute;margin-left:71.3pt;margin-top:367.1pt;width:179.25pt;height:96.1pt;z-index:-251775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P8wEAAMQDAAAOAAAAZHJzL2Uyb0RvYy54bWysU9uO0zAQfUfiHyy/01zabSFqulp2tQhp&#10;WZB2+QDHcRqLxGPGbpPy9YydpizwhnixxnM5PnNmvL0e+44dFToNpuTZIuVMGQm1NvuSf32+f/OW&#10;M+eFqUUHRpX8pBy/3r1+tR1soXJooasVMgIxrhhsyVvvbZEkTraqF24BVhkKNoC98HTFfVKjGAi9&#10;75I8TdfJAFhbBKmcI+/dFOS7iN80SvrPTeOUZ13JiZuPJ8azCmey24pij8K2Wp5piH9g0Qtt6NEL&#10;1J3wgh1Q/wXVa4ngoPELCX0CTaOlij1QN1n6RzdPrbAq9kLiOHuRyf0/WPl4/IJM1yVfL5ecGdHT&#10;kJ7V6Nl7GNnyahUUGqwrKPHJUqofKUCTjt06+wDym2MGblth9uoGEYZWiZoYZqEyeVE64bgAUg2f&#10;oKaHxMFDBBob7IN8JAgjdJrU6TKdQEaSM88369XmijNJsSzP09Umzi8RxVxu0fkPCnoWjJIjjT/C&#10;i+OD84GOKOaU8JqBe911cQU685uDEoMn0g+MJ+5+rMaoVfYun3WpoD5RRwjTatFXIKMF/MHZQGtV&#10;cvf9IFBx1n00pErYwdnA2ahmQxhJpSX3nE3mrZ929WBR71tCnnQ3cEPKNTr2FCSeWJwJ06rEVs9r&#10;HXbx5T1m/fp8u58AAAD//wMAUEsDBBQABgAIAAAAIQBQo8B34AAAAAsBAAAPAAAAZHJzL2Rvd25y&#10;ZXYueG1sTI/BTsMwEETvSPyDtUjcqJ0QAg1xqgrBCQmRhgNHJ3YTq/E6xG4b/p7lBMfRPs28LTeL&#10;G9nJzMF6lJCsBDCDndcWewkfzcvNA7AQFWo1ejQSvk2ATXV5UapC+zPW5rSLPaMSDIWSMMQ4FZyH&#10;bjBOhZWfDNJt72enIsW553pWZyp3I0+FyLlTFmlhUJN5Gkx32B2dhO0n1s/26619r/e1bZq1wNf8&#10;IOX11bJ9BBbNEv9g+NUndajIqfVH1IGNlLM0J1TC/W2WAiPiTiQJsFbCOs0z4FXJ//9Q/QAAAP//&#10;AwBQSwECLQAUAAYACAAAACEAtoM4kv4AAADhAQAAEwAAAAAAAAAAAAAAAAAAAAAAW0NvbnRlbnRf&#10;VHlwZXNdLnhtbFBLAQItABQABgAIAAAAIQA4/SH/1gAAAJQBAAALAAAAAAAAAAAAAAAAAC8BAABf&#10;cmVscy8ucmVsc1BLAQItABQABgAIAAAAIQCKdCoP8wEAAMQDAAAOAAAAAAAAAAAAAAAAAC4CAABk&#10;cnMvZTJvRG9jLnhtbFBLAQItABQABgAIAAAAIQBQo8B34AAAAAsBAAAPAAAAAAAAAAAAAAAAAE0E&#10;AABkcnMvZG93bnJldi54bWxQSwUGAAAAAAQABADzAAAAWgUAAAAA&#10;" filled="f" stroked="f">
                <v:textbox inset="0,0,0,0">
                  <w:txbxContent>
                    <w:p w14:paraId="61897276" w14:textId="77777777" w:rsidR="00490F33" w:rsidRDefault="00490F33">
                      <w:pPr>
                        <w:spacing w:before="2" w:line="239" w:lineRule="exact"/>
                        <w:textAlignment w:val="baseline"/>
                        <w:rPr>
                          <w:rFonts w:ascii="Tahoma" w:eastAsia="Tahoma" w:hAnsi="Tahoma"/>
                          <w:color w:val="414042"/>
                          <w:spacing w:val="5"/>
                          <w:sz w:val="18"/>
                        </w:rPr>
                      </w:pPr>
                      <w:r>
                        <w:rPr>
                          <w:rFonts w:ascii="Tahoma" w:eastAsia="Tahoma" w:hAnsi="Tahoma"/>
                          <w:color w:val="414042"/>
                          <w:spacing w:val="5"/>
                          <w:sz w:val="18"/>
                        </w:rPr>
                        <w:t>The Australian Government has invested $5.1 million of initial seed funding in the program over six years, allowing the Skilling Australia Foundation to assist with relationship building between partners, and the development of locally relevant P-TECH learning programs with a view to ongoing sustainability.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2016" behindDoc="1" locked="0" layoutInCell="1" allowOverlap="1" wp14:anchorId="7CCB3463" wp14:editId="1AA5B9E8">
                <wp:simplePos x="0" y="0"/>
                <wp:positionH relativeFrom="page">
                  <wp:posOffset>4121150</wp:posOffset>
                </wp:positionH>
                <wp:positionV relativeFrom="page">
                  <wp:posOffset>5346700</wp:posOffset>
                </wp:positionV>
                <wp:extent cx="2569210" cy="1297940"/>
                <wp:effectExtent l="0" t="0" r="0" b="0"/>
                <wp:wrapSquare wrapText="bothSides"/>
                <wp:docPr id="632"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A3281" w14:textId="77777777" w:rsidR="00490F33" w:rsidRDefault="00490F33">
                            <w:pPr>
                              <w:spacing w:line="290" w:lineRule="exact"/>
                              <w:textAlignment w:val="baseline"/>
                              <w:rPr>
                                <w:rFonts w:ascii="Verdana" w:eastAsia="Verdana" w:hAnsi="Verdana"/>
                                <w:i/>
                                <w:color w:val="037891"/>
                                <w:spacing w:val="-2"/>
                                <w:sz w:val="19"/>
                              </w:rPr>
                            </w:pPr>
                            <w:r>
                              <w:rPr>
                                <w:rFonts w:ascii="Verdana" w:eastAsia="Verdana" w:hAnsi="Verdana"/>
                                <w:i/>
                                <w:color w:val="037891"/>
                                <w:spacing w:val="-2"/>
                                <w:sz w:val="19"/>
                              </w:rPr>
                              <w:t xml:space="preserve">“I’m more organised, definitely understand </w:t>
                            </w:r>
                            <w:r>
                              <w:rPr>
                                <w:rFonts w:ascii="Tahoma" w:eastAsia="Tahoma" w:hAnsi="Tahoma"/>
                                <w:i/>
                                <w:color w:val="037891"/>
                                <w:spacing w:val="-2"/>
                                <w:sz w:val="21"/>
                              </w:rPr>
                              <w:t>and ask more questions than I ever have before, I also ask peers questions, and how I learn has changed, e.g. when the TAFE teacher comes in I ask questions and before I was never interested enough to ask anything.”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B3463" id="Text Box 353" o:spid="_x0000_s1219" type="#_x0000_t202" style="position:absolute;margin-left:324.5pt;margin-top:421pt;width:202.3pt;height:102.2pt;z-index:-251774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7M8QEAAMQDAAAOAAAAZHJzL2Uyb0RvYy54bWysU9uO0zAQfUfiHyy/0zQpW2jUdLXsahHS&#10;cpF2+YCp4zQWiceM3Sbl6xk7bVngDfFijedyfObMeH099p04aPIGbSXz2VwKbRXWxu4q+fXp/tVb&#10;KXwAW0OHVlfyqL283rx8sR5cqQtssas1CQaxvhxcJdsQXJllXrW6Bz9Dpy0HG6QeAl9pl9UEA6P3&#10;XVbM58tsQKododLes/duCspNwm8arcLnpvE6iK6SzC2kk9K5jWe2WUO5I3CtUSca8A8sejCWH71A&#10;3UEAsSfzF1RvFKHHJswU9hk2jVE69cDd5PM/unlswenUC4vj3UUm//9g1afDFxKmruRyUUhhoech&#10;PekxiHc4isXVIio0OF9y4qPj1DBygCeduvXuAdU3LyzetmB3+oYIh1ZDzQzzWJk9K51wfATZDh+x&#10;5odgHzABjQ31UT4WRDA6T+p4mU4ko9hZXC1XRc4hxbG8WL1ZvU7zy6A8lzvy4b3GXkSjksTjT/Bw&#10;ePAh0oHynBJfs3hvui6tQGd/c3Bi9CT6kfHEPYzbMWmVry66bLE+ckeE02rxV2CjRfohxcBrVUn/&#10;fQ+kpeg+WFYl7uDZoLOxPRtgFZdWMkgxmbdh2tW9I7NrGXnS3eINK9eY1FOUeGJxIsyrklo9rXXc&#10;xef3lPXr821+AgAA//8DAFBLAwQUAAYACAAAACEAC4vEhuEAAAANAQAADwAAAGRycy9kb3ducmV2&#10;LnhtbEyPwU7DMBBE70j8g7VI3KjdEqw2jVNVCE5IiDQcODrxNokar0PstuHvcU5wm9GOZt9ku8n2&#10;7IKj7xwpWC4EMKTamY4aBZ/l68MamA+ajO4doYIf9LDLb28ynRp3pQIvh9CwWEI+1QraEIaUc1+3&#10;aLVfuAEp3o5utDpEOzbcjPoay23PV0JIbnVH8UOrB3xusT4dzlbB/ouKl+77vfoojkVXlhtBb/Kk&#10;1P3dtN8CCziFvzDM+BEd8shUuTMZz3oFMtnELUHBOllFMSfE06MEVs0qkQnwPOP/V+S/AAAA//8D&#10;AFBLAQItABQABgAIAAAAIQC2gziS/gAAAOEBAAATAAAAAAAAAAAAAAAAAAAAAABbQ29udGVudF9U&#10;eXBlc10ueG1sUEsBAi0AFAAGAAgAAAAhADj9If/WAAAAlAEAAAsAAAAAAAAAAAAAAAAALwEAAF9y&#10;ZWxzLy5yZWxzUEsBAi0AFAAGAAgAAAAhAFBb3szxAQAAxAMAAA4AAAAAAAAAAAAAAAAALgIAAGRy&#10;cy9lMm9Eb2MueG1sUEsBAi0AFAAGAAgAAAAhAAuLxIbhAAAADQEAAA8AAAAAAAAAAAAAAAAASwQA&#10;AGRycy9kb3ducmV2LnhtbFBLBQYAAAAABAAEAPMAAABZBQAAAAA=&#10;" filled="f" stroked="f">
                <v:textbox inset="0,0,0,0">
                  <w:txbxContent>
                    <w:p w14:paraId="1A4A3281" w14:textId="77777777" w:rsidR="00490F33" w:rsidRDefault="00490F33">
                      <w:pPr>
                        <w:spacing w:line="290" w:lineRule="exact"/>
                        <w:textAlignment w:val="baseline"/>
                        <w:rPr>
                          <w:rFonts w:ascii="Verdana" w:eastAsia="Verdana" w:hAnsi="Verdana"/>
                          <w:i/>
                          <w:color w:val="037891"/>
                          <w:spacing w:val="-2"/>
                          <w:sz w:val="19"/>
                        </w:rPr>
                      </w:pPr>
                      <w:r>
                        <w:rPr>
                          <w:rFonts w:ascii="Verdana" w:eastAsia="Verdana" w:hAnsi="Verdana"/>
                          <w:i/>
                          <w:color w:val="037891"/>
                          <w:spacing w:val="-2"/>
                          <w:sz w:val="19"/>
                        </w:rPr>
                        <w:t xml:space="preserve">“I’m more organised, definitely understand </w:t>
                      </w:r>
                      <w:r>
                        <w:rPr>
                          <w:rFonts w:ascii="Tahoma" w:eastAsia="Tahoma" w:hAnsi="Tahoma"/>
                          <w:i/>
                          <w:color w:val="037891"/>
                          <w:spacing w:val="-2"/>
                          <w:sz w:val="21"/>
                        </w:rPr>
                        <w:t>and ask more questions than I ever have before, I also ask peers questions, and how I learn has changed, e.g. when the TAFE teacher comes in I ask questions and before I was never interested enough to ask anything.”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3040" behindDoc="1" locked="0" layoutInCell="1" allowOverlap="1" wp14:anchorId="62D9C5C8" wp14:editId="578574F4">
                <wp:simplePos x="0" y="0"/>
                <wp:positionH relativeFrom="page">
                  <wp:posOffset>908050</wp:posOffset>
                </wp:positionH>
                <wp:positionV relativeFrom="page">
                  <wp:posOffset>5989320</wp:posOffset>
                </wp:positionV>
                <wp:extent cx="2405380" cy="1522730"/>
                <wp:effectExtent l="0" t="0" r="0" b="0"/>
                <wp:wrapSquare wrapText="bothSides"/>
                <wp:docPr id="631"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152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ADEFE" w14:textId="77777777" w:rsidR="00490F33" w:rsidRDefault="00490F33">
                            <w:pPr>
                              <w:spacing w:line="239" w:lineRule="exact"/>
                              <w:textAlignment w:val="baseline"/>
                              <w:rPr>
                                <w:rFonts w:ascii="Tahoma" w:eastAsia="Tahoma" w:hAnsi="Tahoma"/>
                                <w:color w:val="414042"/>
                                <w:spacing w:val="8"/>
                                <w:sz w:val="18"/>
                              </w:rPr>
                            </w:pPr>
                            <w:r>
                              <w:rPr>
                                <w:rFonts w:ascii="Tahoma" w:eastAsia="Tahoma" w:hAnsi="Tahoma"/>
                                <w:color w:val="414042"/>
                                <w:spacing w:val="8"/>
                                <w:sz w:val="18"/>
                              </w:rPr>
                              <w:t>Students are provided with an industry-supported pathway to a STEM-related diploma, advanced diploma or associate degree. The program is currently supporting pathways in industry sectors including defence, shipbuilding, aviation, laboratory skills, food science, health, IT, engineering, electrotechnology, energy, agriculture, data analytics, cybersecurity and 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9C5C8" id="Text Box 352" o:spid="_x0000_s1220" type="#_x0000_t202" style="position:absolute;margin-left:71.5pt;margin-top:471.6pt;width:189.4pt;height:119.9pt;z-index:-251773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hA8gEAAMQDAAAOAAAAZHJzL2Uyb0RvYy54bWysU9tu1DAQfUfiHyy/s7lst5Ros1VpVYRU&#10;ClLLBziOk1gkHjP2brJ8PWNnsxR4Q7xY47kcnzkz3l5PQ88OCp0GU/JslXKmjIRam7bkX5/v31xx&#10;5rwwtejBqJIflePXu9evtqMtVA4d9LVCRiDGFaMteee9LZLEyU4Nwq3AKkPBBnAQnq7YJjWKkdCH&#10;PsnT9DIZAWuLIJVz5L2bg3wX8ZtGSf+5aZzyrC85cfPxxHhW4Ux2W1G0KGyn5YmG+AcWg9CGHj1D&#10;3Qkv2B71X1CDlggOGr+SMCTQNFqq2AN1k6V/dPPUCatiLySOs2eZ3P+DlY+HL8h0XfLLdcaZEQMN&#10;6VlNnr2Hia03eVBotK6gxCdLqX6iAE06duvsA8hvjhm47YRp1Q0ijJ0SNTHMQmXyonTGcQGkGj9B&#10;TQ+JvYcINDU4BPlIEEboNKnjeTqBjCRnfpFu1lcUkhTLNnn+dh3nl4hiKbfo/AcFAwtGyZHGH+HF&#10;4cH5QEcUS0p4zcC97vu4Ar35zUGJwRPpB8Yzdz9VU9Qqe3ex6FJBfaSOEObVoq9ARgf4g7OR1qrk&#10;7vteoOKs/2hIlbCDi4GLUS2GMJJKS+45m81bP+/q3qJuO0KedTdwQ8o1OvYUJJ5ZnAjTqsRWT2sd&#10;dvHlPWb9+ny7nwAAAP//AwBQSwMEFAAGAAgAAAAhADcJosHgAAAADAEAAA8AAABkcnMvZG93bnJl&#10;di54bWxMj0FPwkAUhO8m/IfNI/Em2xYkULslxOjJxFjqweO2fbQbum9rd4H6732e8DiZycw32W6y&#10;vbjg6I0jBfEiAoFUu8ZQq+CzfH3YgPBBU6N7R6jgBz3s8tldptPGXanAyyG0gkvIp1pBF8KQSunr&#10;Dq32CzcgsXd0o9WB5djKZtRXLre9TKJoLa02xAudHvC5w/p0OFsF+y8qXsz3e/VRHAtTltuI3tYn&#10;pe7n0/4JRMAp3MLwh8/okDNT5c7UeNGzXi35S1CwXS0TEJx4TGI+U7EVb9iTeSb/n8h/AQAA//8D&#10;AFBLAQItABQABgAIAAAAIQC2gziS/gAAAOEBAAATAAAAAAAAAAAAAAAAAAAAAABbQ29udGVudF9U&#10;eXBlc10ueG1sUEsBAi0AFAAGAAgAAAAhADj9If/WAAAAlAEAAAsAAAAAAAAAAAAAAAAALwEAAF9y&#10;ZWxzLy5yZWxzUEsBAi0AFAAGAAgAAAAhAFAd+EDyAQAAxAMAAA4AAAAAAAAAAAAAAAAALgIAAGRy&#10;cy9lMm9Eb2MueG1sUEsBAi0AFAAGAAgAAAAhADcJosHgAAAADAEAAA8AAAAAAAAAAAAAAAAATAQA&#10;AGRycy9kb3ducmV2LnhtbFBLBQYAAAAABAAEAPMAAABZBQAAAAA=&#10;" filled="f" stroked="f">
                <v:textbox inset="0,0,0,0">
                  <w:txbxContent>
                    <w:p w14:paraId="736ADEFE" w14:textId="77777777" w:rsidR="00490F33" w:rsidRDefault="00490F33">
                      <w:pPr>
                        <w:spacing w:line="239" w:lineRule="exact"/>
                        <w:textAlignment w:val="baseline"/>
                        <w:rPr>
                          <w:rFonts w:ascii="Tahoma" w:eastAsia="Tahoma" w:hAnsi="Tahoma"/>
                          <w:color w:val="414042"/>
                          <w:spacing w:val="8"/>
                          <w:sz w:val="18"/>
                        </w:rPr>
                      </w:pPr>
                      <w:r>
                        <w:rPr>
                          <w:rFonts w:ascii="Tahoma" w:eastAsia="Tahoma" w:hAnsi="Tahoma"/>
                          <w:color w:val="414042"/>
                          <w:spacing w:val="8"/>
                          <w:sz w:val="18"/>
                        </w:rPr>
                        <w:t>Students are provided with an industry-supported pathway to a STEM-related diploma, advanced diploma or associate degree. The program is currently supporting pathways in industry sectors including defence, shipbuilding, aviation, laboratory skills, food science, health, IT, engineering, electrotechnology, energy, agriculture, data analytics, cybersecurity and business.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4064" behindDoc="1" locked="0" layoutInCell="1" allowOverlap="1" wp14:anchorId="35E492AD" wp14:editId="1CDBCF1E">
                <wp:simplePos x="0" y="0"/>
                <wp:positionH relativeFrom="page">
                  <wp:posOffset>6272530</wp:posOffset>
                </wp:positionH>
                <wp:positionV relativeFrom="page">
                  <wp:posOffset>6645275</wp:posOffset>
                </wp:positionV>
                <wp:extent cx="478790" cy="190500"/>
                <wp:effectExtent l="0" t="0" r="0" b="0"/>
                <wp:wrapSquare wrapText="bothSides"/>
                <wp:docPr id="630"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3EB65" w14:textId="77777777" w:rsidR="00490F33" w:rsidRDefault="00490F33">
                            <w:pPr>
                              <w:spacing w:before="55" w:line="236" w:lineRule="exact"/>
                              <w:textAlignment w:val="baseline"/>
                              <w:rPr>
                                <w:rFonts w:ascii="Tahoma" w:eastAsia="Tahoma" w:hAnsi="Tahoma"/>
                                <w:i/>
                                <w:color w:val="037891"/>
                                <w:spacing w:val="-9"/>
                                <w:sz w:val="21"/>
                              </w:rPr>
                            </w:pPr>
                            <w:r>
                              <w:rPr>
                                <w:rFonts w:ascii="Tahoma" w:eastAsia="Tahoma" w:hAnsi="Tahoma"/>
                                <w:i/>
                                <w:color w:val="037891"/>
                                <w:spacing w:val="-9"/>
                                <w:sz w:val="21"/>
                              </w:rPr>
                              <w:t>Student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492AD" id="Text Box 351" o:spid="_x0000_s1221" type="#_x0000_t202" style="position:absolute;margin-left:493.9pt;margin-top:523.25pt;width:37.7pt;height:15pt;z-index:-251772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078AEAAMIDAAAOAAAAZHJzL2Uyb0RvYy54bWysU8tu2zAQvBfoPxC815KSOokFy0GaIEWB&#10;9AEk/QCKIi2iEpdd0pbcr++SstykuRW9EEvucjgzu1xfj33H9gq9AVvxYpFzpqyExthtxb8/3b+7&#10;4swHYRvRgVUVPyjPrzdv36wHV6ozaKFrFDICsb4cXMXbEFyZZV62qhd+AU5ZSmrAXgTa4jZrUAyE&#10;3nfZWZ5fZANg4xCk8p5O76Yk3yR8rZUMX7X2KrCu4sQtpBXTWsc126xFuUXhWiOPNMQ/sOiFsfTo&#10;CepOBMF2aF5B9UYieNBhIaHPQGsjVdJAaor8LzWPrXAqaSFzvDvZ5P8frPyy/4bMNBW/OCd/rOip&#10;SU9qDOwDjOx8WUSHBudLKnx0VBpGSlCnk1rvHkD+8MzCbSvsVt0gwtAq0RDDdDN7dnXC8RGkHj5D&#10;Qw+JXYAENGrso31kCCN0YnI4dSeSkXT4/vLqckUZSalilS/z1L1MlPNlhz58VNCzGFQcqfkJXOwf&#10;fCAZVDqXxLcs3JuuSwPQ2RcHVBhPEvnId2IexnpMThWr5exKDc2B9CBMg0UfgYIW8BdnAw1Vxf3P&#10;nUDFWffJkidxAucA56CeA2ElXa144GwKb8M0qTuHZtsS8uS6hRvyTZukKRo8sTgSpkFJUo9DHSfx&#10;+T5V/fl6m98AAAD//wMAUEsDBBQABgAIAAAAIQDcogwT4gAAAA4BAAAPAAAAZHJzL2Rvd25yZXYu&#10;eG1sTI/BTsMwEETvSPyDtUjcqN0CaZvGqSoEJyREGg4cndhNrMbrELtt+Hs2p3Lb3RnNvsm2o+vY&#10;2QzBepQwnwlgBmuvLTYSvsq3hxWwEBVq1Xk0En5NgG1+e5OpVPsLFua8jw2jEAypktDG2Kech7o1&#10;ToWZ7w2SdvCDU5HWoeF6UBcKdx1fCJFwpyzSh1b15qU19XF/chJ231i82p+P6rM4FLYs1wLfk6OU&#10;93fjbgMsmjFezTDhEzrkxFT5E+rAOgnr1ZLQIwniKXkGNllE8rgAVk3Tkm48z/j/GvkfAAAA//8D&#10;AFBLAQItABQABgAIAAAAIQC2gziS/gAAAOEBAAATAAAAAAAAAAAAAAAAAAAAAABbQ29udGVudF9U&#10;eXBlc10ueG1sUEsBAi0AFAAGAAgAAAAhADj9If/WAAAAlAEAAAsAAAAAAAAAAAAAAAAALwEAAF9y&#10;ZWxzLy5yZWxzUEsBAi0AFAAGAAgAAAAhAI1DDTvwAQAAwgMAAA4AAAAAAAAAAAAAAAAALgIAAGRy&#10;cy9lMm9Eb2MueG1sUEsBAi0AFAAGAAgAAAAhANyiDBPiAAAADgEAAA8AAAAAAAAAAAAAAAAASgQA&#10;AGRycy9kb3ducmV2LnhtbFBLBQYAAAAABAAEAPMAAABZBQAAAAA=&#10;" filled="f" stroked="f">
                <v:textbox inset="0,0,0,0">
                  <w:txbxContent>
                    <w:p w14:paraId="38F3EB65" w14:textId="77777777" w:rsidR="00490F33" w:rsidRDefault="00490F33">
                      <w:pPr>
                        <w:spacing w:before="55" w:line="236" w:lineRule="exact"/>
                        <w:textAlignment w:val="baseline"/>
                        <w:rPr>
                          <w:rFonts w:ascii="Tahoma" w:eastAsia="Tahoma" w:hAnsi="Tahoma"/>
                          <w:i/>
                          <w:color w:val="037891"/>
                          <w:spacing w:val="-9"/>
                          <w:sz w:val="21"/>
                        </w:rPr>
                      </w:pPr>
                      <w:r>
                        <w:rPr>
                          <w:rFonts w:ascii="Tahoma" w:eastAsia="Tahoma" w:hAnsi="Tahoma"/>
                          <w:i/>
                          <w:color w:val="037891"/>
                          <w:spacing w:val="-9"/>
                          <w:sz w:val="21"/>
                        </w:rPr>
                        <w:t>Student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5088" behindDoc="1" locked="0" layoutInCell="1" allowOverlap="1" wp14:anchorId="37A56453" wp14:editId="5F06A75B">
                <wp:simplePos x="0" y="0"/>
                <wp:positionH relativeFrom="page">
                  <wp:posOffset>905510</wp:posOffset>
                </wp:positionH>
                <wp:positionV relativeFrom="page">
                  <wp:posOffset>7636510</wp:posOffset>
                </wp:positionV>
                <wp:extent cx="2462530" cy="588645"/>
                <wp:effectExtent l="0" t="0" r="0" b="0"/>
                <wp:wrapSquare wrapText="bothSides"/>
                <wp:docPr id="629"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839BF" w14:textId="77777777" w:rsidR="00490F33" w:rsidRDefault="00490F33">
                            <w:pPr>
                              <w:spacing w:line="229" w:lineRule="exact"/>
                              <w:textAlignment w:val="baseline"/>
                              <w:rPr>
                                <w:rFonts w:ascii="Verdana" w:eastAsia="Verdana" w:hAnsi="Verdana"/>
                                <w:color w:val="414042"/>
                                <w:sz w:val="17"/>
                              </w:rPr>
                            </w:pPr>
                            <w:r>
                              <w:rPr>
                                <w:rFonts w:ascii="Verdana" w:eastAsia="Verdana" w:hAnsi="Verdana"/>
                                <w:color w:val="414042"/>
                                <w:sz w:val="17"/>
                              </w:rPr>
                              <w:t xml:space="preserve">P-TECH models have the flexibility to adapt </w:t>
                            </w:r>
                            <w:r>
                              <w:rPr>
                                <w:rFonts w:ascii="Tahoma" w:eastAsia="Tahoma" w:hAnsi="Tahoma"/>
                                <w:color w:val="414042"/>
                                <w:sz w:val="18"/>
                              </w:rPr>
                              <w:t xml:space="preserve">to local contexts, with STEM-focused learning pathways able to be delivered in school, </w:t>
                            </w:r>
                            <w:r>
                              <w:rPr>
                                <w:rFonts w:ascii="Verdana" w:eastAsia="Verdana" w:hAnsi="Verdana"/>
                                <w:color w:val="414042"/>
                                <w:sz w:val="17"/>
                              </w:rPr>
                              <w:t>offsite, or a combination of both.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6453" id="Text Box 350" o:spid="_x0000_s1222" type="#_x0000_t202" style="position:absolute;margin-left:71.3pt;margin-top:601.3pt;width:193.9pt;height:46.35pt;z-index:-251771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7y8wEAAMMDAAAOAAAAZHJzL2Uyb0RvYy54bWysU9tu2zAMfR+wfxD0vjhJmyA14hRdiw4D&#10;ugvQ7gMYWY6F2aJGKbGzrx8lx2m3vRV9EWiROjznkF5f920jDpq8QVvI2WQqhbYKS2N3hfzxdP9h&#10;JYUPYEto0OpCHrWX15v379ady/Uca2xKTYJBrM87V8g6BJdnmVe1bsFP0GnLyQqphcCftMtKgo7R&#10;2yabT6fLrEMqHaHS3vPt3ZCUm4RfVVqFb1XldRBNIZlbSCelcxvPbLOGfEfgaqNONOAVLFowlpue&#10;oe4ggNiT+Q+qNYrQYxUmCtsMq8oonTSwmtn0HzWPNTidtLA53p1t8m8Hq74evpMwZSGX8yspLLQ8&#10;pCfdB/ERe3GxSA51zudc+Oi4NPSc4Ekntd49oPrphcXbGuxO3xBhV2someEsepu9eBpn4nMfQbbd&#10;Fyy5EewDJqC+ojbax4YIRudJHc/TiWQUX84vl/PFBacU5xar1fJykVpAPr525MMnja2IQSGJp5/Q&#10;4fDgQ2QD+VgSm1m8N02TNqCxf11wYbxJ7CPhgXrot32yana1jJ2jnC2WRxZEOGwW/wkc1Ei/peh4&#10;qwrpf+2BtBTNZ8umxBUcAxqD7RiAVfy0kEGKIbwNw6ruHZldzciD7RZv2LjKJE3PLE6EeVOS1NNW&#10;x1V8+Z2qnv+9zR8AAAD//wMAUEsDBBQABgAIAAAAIQAOmpCM4AAAAA0BAAAPAAAAZHJzL2Rvd25y&#10;ZXYueG1sTI/BTsMwEETvSPyDtUjcqE3aRjTEqSoEJyREGg4cndhNrMbrELtt+Hs2p3Kb2R3Nvs23&#10;k+vZ2YzBepTwuBDADDZeW2wlfFVvD0/AQlSoVe/RSPg1AbbF7U2uMu0vWJrzPraMSjBkSkIX45Bx&#10;HprOOBUWfjBIu4MfnYpkx5brUV2o3PU8ESLlTlmkC50azEtnmuP+5CTsvrF8tT8f9Wd5KG1VbQS+&#10;p0cp7++m3TOwaKZ4DcOMT+hQEFPtT6gD68mvkpSiJBIxK4qsl2IFrJ5Hm/USeJHz/18UfwAAAP//&#10;AwBQSwECLQAUAAYACAAAACEAtoM4kv4AAADhAQAAEwAAAAAAAAAAAAAAAAAAAAAAW0NvbnRlbnRf&#10;VHlwZXNdLnhtbFBLAQItABQABgAIAAAAIQA4/SH/1gAAAJQBAAALAAAAAAAAAAAAAAAAAC8BAABf&#10;cmVscy8ucmVsc1BLAQItABQABgAIAAAAIQCW7n7y8wEAAMMDAAAOAAAAAAAAAAAAAAAAAC4CAABk&#10;cnMvZTJvRG9jLnhtbFBLAQItABQABgAIAAAAIQAOmpCM4AAAAA0BAAAPAAAAAAAAAAAAAAAAAE0E&#10;AABkcnMvZG93bnJldi54bWxQSwUGAAAAAAQABADzAAAAWgUAAAAA&#10;" filled="f" stroked="f">
                <v:textbox inset="0,0,0,0">
                  <w:txbxContent>
                    <w:p w14:paraId="3AA839BF" w14:textId="77777777" w:rsidR="00490F33" w:rsidRDefault="00490F33">
                      <w:pPr>
                        <w:spacing w:line="229" w:lineRule="exact"/>
                        <w:textAlignment w:val="baseline"/>
                        <w:rPr>
                          <w:rFonts w:ascii="Verdana" w:eastAsia="Verdana" w:hAnsi="Verdana"/>
                          <w:color w:val="414042"/>
                          <w:sz w:val="17"/>
                        </w:rPr>
                      </w:pPr>
                      <w:r>
                        <w:rPr>
                          <w:rFonts w:ascii="Verdana" w:eastAsia="Verdana" w:hAnsi="Verdana"/>
                          <w:color w:val="414042"/>
                          <w:sz w:val="17"/>
                        </w:rPr>
                        <w:t xml:space="preserve">P-TECH models have the flexibility to adapt </w:t>
                      </w:r>
                      <w:r>
                        <w:rPr>
                          <w:rFonts w:ascii="Tahoma" w:eastAsia="Tahoma" w:hAnsi="Tahoma"/>
                          <w:color w:val="414042"/>
                          <w:sz w:val="18"/>
                        </w:rPr>
                        <w:t xml:space="preserve">to local contexts, with STEM-focused learning pathways able to be delivered in school, </w:t>
                      </w:r>
                      <w:r>
                        <w:rPr>
                          <w:rFonts w:ascii="Verdana" w:eastAsia="Verdana" w:hAnsi="Verdana"/>
                          <w:color w:val="414042"/>
                          <w:sz w:val="17"/>
                        </w:rPr>
                        <w:t>offsite, or a combination of both.</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6112" behindDoc="1" locked="0" layoutInCell="1" allowOverlap="1" wp14:anchorId="1D4F3AC8" wp14:editId="038ED3A4">
                <wp:simplePos x="0" y="0"/>
                <wp:positionH relativeFrom="page">
                  <wp:posOffset>905510</wp:posOffset>
                </wp:positionH>
                <wp:positionV relativeFrom="page">
                  <wp:posOffset>8339455</wp:posOffset>
                </wp:positionV>
                <wp:extent cx="2425700" cy="913130"/>
                <wp:effectExtent l="0" t="0" r="0" b="0"/>
                <wp:wrapSquare wrapText="bothSides"/>
                <wp:docPr id="628"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DFB9D" w14:textId="77777777" w:rsidR="00490F33" w:rsidRDefault="00490F33">
                            <w:pPr>
                              <w:spacing w:line="237" w:lineRule="exact"/>
                              <w:textAlignment w:val="baseline"/>
                              <w:rPr>
                                <w:rFonts w:ascii="Tahoma" w:eastAsia="Tahoma" w:hAnsi="Tahoma"/>
                                <w:color w:val="414042"/>
                                <w:spacing w:val="5"/>
                                <w:sz w:val="18"/>
                              </w:rPr>
                            </w:pPr>
                            <w:r>
                              <w:rPr>
                                <w:rFonts w:ascii="Tahoma" w:eastAsia="Tahoma" w:hAnsi="Tahoma"/>
                                <w:color w:val="414042"/>
                                <w:spacing w:val="5"/>
                                <w:sz w:val="18"/>
                              </w:rPr>
                              <w:t>P-TECH sites are currently located in 13 government and non-government school sites across all states and territories except the ACT, involving approximately 50 industry partners and 14 tertiary education partners across the network.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F3AC8" id="Text Box 349" o:spid="_x0000_s1223" type="#_x0000_t202" style="position:absolute;margin-left:71.3pt;margin-top:656.65pt;width:191pt;height:71.9pt;z-index:-251770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Lg8QEAAMMDAAAOAAAAZHJzL2Uyb0RvYy54bWysU21v0zAQ/o7Ef7D8naZpx0ajptPYNIQ0&#10;BtLGD7g6TmOR+MzZbVJ+PWenKQO+Ib5Y53t5/Nxz5/X10LXioMkbtKXMZ3MptFVYGbsr5dfn+zfv&#10;pPABbAUtWl3Ko/byevP61bp3hV5gg22lSTCI9UXvStmE4Ios86rRHfgZOm05WCN1EPhKu6wi6Bm9&#10;a7PFfH6Z9UiVI1Tae/bejUG5Sfh1rVX4XNdeB9GWkrmFdFI6t/HMNmsodgSuMepEA/6BRQfG8qNn&#10;qDsIIPZk/oLqjCL0WIeZwi7DujZKpx64m3z+RzdPDTidemFxvDvL5P8frHo8fCFhqlJeLnhUFjoe&#10;0rMegniPg1herKJCvfMFJz45Tg0DB3jSqVvvHlB988LibQN2p2+IsG80VMwwj5XZi9IRx0eQbf8J&#10;K34I9gET0FBTF+VjQQSj86SO5+lEMoqdi4vF26s5hxTHVvkyX6bxZVBM1Y58+KCxE9EoJfH0Ezoc&#10;HnyIbKCYUuJjFu9N26YNaO1vDk6MnsQ+Eh6ph2E7JKny1dUkyxarIzdEOG4W/wQ2GqQfUvS8VaX0&#10;3/dAWor2o2VR4gpOBk3GdjLAKi4tZZBiNG/DuKp7R2bXMPIou8UbFq42qaeo8MjiRJg3JbV62uq4&#10;ii/vKevX39v8BAAA//8DAFBLAwQUAAYACAAAACEAYWKZkeEAAAANAQAADwAAAGRycy9kb3ducmV2&#10;LnhtbEyPzU7DMBCE70i8g7VI3Kjz04YS4lQVghMSIg2HHp3YTazG6xC7bXh7tie47eyMZr8tNrMd&#10;2FlP3jgUEC8iYBpbpwx2Ar7qt4c1MB8kKjk41AJ+tIdNeXtTyFy5C1b6vAsdoxL0uRTQhzDmnPu2&#10;11b6hRs1kndwk5WB5NRxNckLlduBJ1GUcSsN0oVejvql1+1xd7ICtnusXs33R/NZHSpT108RvmdH&#10;Ie7v5u0zsKDn8BeGKz6hQ0lMjTuh8mwgvUwyitKQxmkKjCKrZEmr5uqtHmPgZcH/f1H+AgAA//8D&#10;AFBLAQItABQABgAIAAAAIQC2gziS/gAAAOEBAAATAAAAAAAAAAAAAAAAAAAAAABbQ29udGVudF9U&#10;eXBlc10ueG1sUEsBAi0AFAAGAAgAAAAhADj9If/WAAAAlAEAAAsAAAAAAAAAAAAAAAAALwEAAF9y&#10;ZWxzLy5yZWxzUEsBAi0AFAAGAAgAAAAhAMpsUuDxAQAAwwMAAA4AAAAAAAAAAAAAAAAALgIAAGRy&#10;cy9lMm9Eb2MueG1sUEsBAi0AFAAGAAgAAAAhAGFimZHhAAAADQEAAA8AAAAAAAAAAAAAAAAASwQA&#10;AGRycy9kb3ducmV2LnhtbFBLBQYAAAAABAAEAPMAAABZBQAAAAA=&#10;" filled="f" stroked="f">
                <v:textbox inset="0,0,0,0">
                  <w:txbxContent>
                    <w:p w14:paraId="663DFB9D" w14:textId="77777777" w:rsidR="00490F33" w:rsidRDefault="00490F33">
                      <w:pPr>
                        <w:spacing w:line="237" w:lineRule="exact"/>
                        <w:textAlignment w:val="baseline"/>
                        <w:rPr>
                          <w:rFonts w:ascii="Tahoma" w:eastAsia="Tahoma" w:hAnsi="Tahoma"/>
                          <w:color w:val="414042"/>
                          <w:spacing w:val="5"/>
                          <w:sz w:val="18"/>
                        </w:rPr>
                      </w:pPr>
                      <w:r>
                        <w:rPr>
                          <w:rFonts w:ascii="Tahoma" w:eastAsia="Tahoma" w:hAnsi="Tahoma"/>
                          <w:color w:val="414042"/>
                          <w:spacing w:val="5"/>
                          <w:sz w:val="18"/>
                        </w:rPr>
                        <w:t>P-TECH sites are currently located in 13 government and non-government school sites across all states and territories except the ACT, involving approximately 50 industry partners and 14 tertiary education partners across the network.</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7136" behindDoc="1" locked="0" layoutInCell="1" allowOverlap="1" wp14:anchorId="1959EAE9" wp14:editId="2995A631">
                <wp:simplePos x="0" y="0"/>
                <wp:positionH relativeFrom="page">
                  <wp:posOffset>4182110</wp:posOffset>
                </wp:positionH>
                <wp:positionV relativeFrom="page">
                  <wp:posOffset>8914765</wp:posOffset>
                </wp:positionV>
                <wp:extent cx="1758315" cy="342265"/>
                <wp:effectExtent l="0" t="0" r="0" b="0"/>
                <wp:wrapSquare wrapText="bothSides"/>
                <wp:docPr id="627"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074E" w14:textId="77777777" w:rsidR="00490F33" w:rsidRDefault="00490F33">
                            <w:pPr>
                              <w:spacing w:before="7" w:line="171" w:lineRule="exact"/>
                              <w:textAlignment w:val="baseline"/>
                              <w:rPr>
                                <w:rFonts w:ascii="Tahoma" w:eastAsia="Tahoma" w:hAnsi="Tahoma"/>
                                <w:color w:val="000000"/>
                                <w:sz w:val="14"/>
                              </w:rPr>
                            </w:pPr>
                            <w:r>
                              <w:rPr>
                                <w:rFonts w:ascii="Tahoma" w:eastAsia="Tahoma" w:hAnsi="Tahoma"/>
                                <w:color w:val="000000"/>
                                <w:sz w:val="14"/>
                              </w:rPr>
                              <w:t>Source:</w:t>
                            </w:r>
                          </w:p>
                          <w:p w14:paraId="0FB30B4A" w14:textId="77777777" w:rsidR="00490F33" w:rsidRDefault="00490F33">
                            <w:pPr>
                              <w:spacing w:before="12" w:line="171" w:lineRule="exact"/>
                              <w:textAlignment w:val="baseline"/>
                              <w:rPr>
                                <w:rFonts w:ascii="Tahoma" w:eastAsia="Tahoma" w:hAnsi="Tahoma"/>
                                <w:color w:val="000000"/>
                                <w:spacing w:val="4"/>
                                <w:sz w:val="14"/>
                              </w:rPr>
                            </w:pPr>
                            <w:r>
                              <w:rPr>
                                <w:rFonts w:ascii="Tahoma" w:eastAsia="Tahoma" w:hAnsi="Tahoma"/>
                                <w:color w:val="000000"/>
                                <w:spacing w:val="4"/>
                                <w:sz w:val="14"/>
                              </w:rPr>
                              <w:t>Australian Government</w:t>
                            </w:r>
                          </w:p>
                          <w:p w14:paraId="62C4C217" w14:textId="77777777" w:rsidR="00490F33" w:rsidRDefault="00490F33">
                            <w:pPr>
                              <w:spacing w:before="6" w:line="166" w:lineRule="exact"/>
                              <w:textAlignment w:val="baseline"/>
                              <w:rPr>
                                <w:rFonts w:ascii="Tahoma" w:eastAsia="Tahoma" w:hAnsi="Tahoma"/>
                                <w:color w:val="000000"/>
                                <w:spacing w:val="-2"/>
                                <w:sz w:val="14"/>
                              </w:rPr>
                            </w:pPr>
                            <w:r>
                              <w:rPr>
                                <w:rFonts w:ascii="Tahoma" w:eastAsia="Tahoma" w:hAnsi="Tahoma"/>
                                <w:color w:val="000000"/>
                                <w:spacing w:val="-2"/>
                                <w:sz w:val="14"/>
                              </w:rPr>
                              <w:t xml:space="preserve">P-TECH website, </w:t>
                            </w:r>
                            <w:hyperlink r:id="rId195">
                              <w:r>
                                <w:rPr>
                                  <w:rFonts w:ascii="Tahoma" w:eastAsia="Tahoma" w:hAnsi="Tahoma"/>
                                  <w:color w:val="0000FF"/>
                                  <w:spacing w:val="-2"/>
                                  <w:sz w:val="14"/>
                                  <w:u w:val="single"/>
                                </w:rPr>
                                <w:t>https://www.ptech.org.au</w:t>
                              </w:r>
                            </w:hyperlink>
                            <w:r>
                              <w:rPr>
                                <w:rFonts w:ascii="Tahoma" w:eastAsia="Tahoma" w:hAnsi="Tahoma"/>
                                <w:color w:val="000000"/>
                                <w:spacing w:val="-2"/>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9EAE9" id="Text Box 348" o:spid="_x0000_s1224" type="#_x0000_t202" style="position:absolute;margin-left:329.3pt;margin-top:701.95pt;width:138.45pt;height:26.95pt;z-index:-251769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N48QEAAMMDAAAOAAAAZHJzL2Uyb0RvYy54bWysU9tu2zAMfR+wfxD0vjiXJs2MOEXXosOA&#10;7gK0+wBGlmNhtqhRSuzs60fJcdZtb8NeBEokDw8Pqc1N3zbiqMkbtIWcTaZSaKuwNHZfyK/PD2/W&#10;UvgAtoQGrS7kSXt5s339atO5XM+xxqbUJBjE+rxzhaxDcHmWeVXrFvwEnbbsrJBaCHylfVYSdIze&#10;Ntl8Ol1lHVLpCJX2nl/vB6fcJvyq0ip8riqvg2gKydxCOimdu3hm2w3kewJXG3WmAf/AogVjuegF&#10;6h4CiAOZv6Baowg9VmGisM2wqozSqQfuZjb9o5unGpxOvbA43l1k8v8PVn06fiFhykKu5tdSWGh5&#10;SM+6D+Id9mJxtY4Kdc7nHPjkODT07OBJp269e0T1zQuLdzXYvb4lwq7WUDLDWczMXqQOOD6C7LqP&#10;WHIhOARMQH1FbZSPBRGMzpM6XaYTyahY8nq5XsyWUij2La7m89UylYB8zHbkw3uNrYhGIYmnn9Dh&#10;+OhDZAP5GBKLWXwwTZM2oLG/PXBgfEnsI+GBeuh3fZJq9vYiyw7LEzdEOGwW/wQ2aqQfUnS8VYX0&#10;3w9AWormg2VR4gqOBo3GbjTAKk4tZJBiMO/CsKoHR2ZfM/Igu8VbFq4yqaeo8MDiTJg3JbV63uq4&#10;ii/vKerX39v+BAAA//8DAFBLAwQUAAYACAAAACEANSFHnOIAAAANAQAADwAAAGRycy9kb3ducmV2&#10;LnhtbEyPwU7DMAyG70i8Q2Qkbiwdo6Xtmk4TghMSWlcOHNPGa6M1Tmmyrbw92QmO9v/p9+diM5uB&#10;nXFy2pKA5SIChtRapakT8Fm/PaTAnJek5GAJBfygg015e1PIXNkLVXje+46FEnK5FNB7P+acu7ZH&#10;I93CjkghO9jJSB/GqeNqkpdQbgb+GEUJN1JTuNDLEV96bI/7kxGw/aLqVX9/NLvqUOm6ziJ6T45C&#10;3N/N2zUwj7P/g+GqH9ShDE6NPZFybBCQxGkS0BA8RasMWECyVRwDa66r+DkFXhb8/xflLwAAAP//&#10;AwBQSwECLQAUAAYACAAAACEAtoM4kv4AAADhAQAAEwAAAAAAAAAAAAAAAAAAAAAAW0NvbnRlbnRf&#10;VHlwZXNdLnhtbFBLAQItABQABgAIAAAAIQA4/SH/1gAAAJQBAAALAAAAAAAAAAAAAAAAAC8BAABf&#10;cmVscy8ucmVsc1BLAQItABQABgAIAAAAIQD4aYN48QEAAMMDAAAOAAAAAAAAAAAAAAAAAC4CAABk&#10;cnMvZTJvRG9jLnhtbFBLAQItABQABgAIAAAAIQA1IUec4gAAAA0BAAAPAAAAAAAAAAAAAAAAAEsE&#10;AABkcnMvZG93bnJldi54bWxQSwUGAAAAAAQABADzAAAAWgUAAAAA&#10;" filled="f" stroked="f">
                <v:textbox inset="0,0,0,0">
                  <w:txbxContent>
                    <w:p w14:paraId="2CE6074E" w14:textId="77777777" w:rsidR="00490F33" w:rsidRDefault="00490F33">
                      <w:pPr>
                        <w:spacing w:before="7" w:line="171" w:lineRule="exact"/>
                        <w:textAlignment w:val="baseline"/>
                        <w:rPr>
                          <w:rFonts w:ascii="Tahoma" w:eastAsia="Tahoma" w:hAnsi="Tahoma"/>
                          <w:color w:val="000000"/>
                          <w:sz w:val="14"/>
                        </w:rPr>
                      </w:pPr>
                      <w:r>
                        <w:rPr>
                          <w:rFonts w:ascii="Tahoma" w:eastAsia="Tahoma" w:hAnsi="Tahoma"/>
                          <w:color w:val="000000"/>
                          <w:sz w:val="14"/>
                        </w:rPr>
                        <w:t>Source:</w:t>
                      </w:r>
                    </w:p>
                    <w:p w14:paraId="0FB30B4A" w14:textId="77777777" w:rsidR="00490F33" w:rsidRDefault="00490F33">
                      <w:pPr>
                        <w:spacing w:before="12" w:line="171" w:lineRule="exact"/>
                        <w:textAlignment w:val="baseline"/>
                        <w:rPr>
                          <w:rFonts w:ascii="Tahoma" w:eastAsia="Tahoma" w:hAnsi="Tahoma"/>
                          <w:color w:val="000000"/>
                          <w:spacing w:val="4"/>
                          <w:sz w:val="14"/>
                        </w:rPr>
                      </w:pPr>
                      <w:r>
                        <w:rPr>
                          <w:rFonts w:ascii="Tahoma" w:eastAsia="Tahoma" w:hAnsi="Tahoma"/>
                          <w:color w:val="000000"/>
                          <w:spacing w:val="4"/>
                          <w:sz w:val="14"/>
                        </w:rPr>
                        <w:t>Australian Government</w:t>
                      </w:r>
                    </w:p>
                    <w:p w14:paraId="62C4C217" w14:textId="77777777" w:rsidR="00490F33" w:rsidRDefault="00490F33">
                      <w:pPr>
                        <w:spacing w:before="6" w:line="166" w:lineRule="exact"/>
                        <w:textAlignment w:val="baseline"/>
                        <w:rPr>
                          <w:rFonts w:ascii="Tahoma" w:eastAsia="Tahoma" w:hAnsi="Tahoma"/>
                          <w:color w:val="000000"/>
                          <w:spacing w:val="-2"/>
                          <w:sz w:val="14"/>
                        </w:rPr>
                      </w:pPr>
                      <w:r>
                        <w:rPr>
                          <w:rFonts w:ascii="Tahoma" w:eastAsia="Tahoma" w:hAnsi="Tahoma"/>
                          <w:color w:val="000000"/>
                          <w:spacing w:val="-2"/>
                          <w:sz w:val="14"/>
                        </w:rPr>
                        <w:t xml:space="preserve">P-TECH website, </w:t>
                      </w:r>
                      <w:hyperlink r:id="rId196">
                        <w:r>
                          <w:rPr>
                            <w:rFonts w:ascii="Tahoma" w:eastAsia="Tahoma" w:hAnsi="Tahoma"/>
                            <w:color w:val="0000FF"/>
                            <w:spacing w:val="-2"/>
                            <w:sz w:val="14"/>
                            <w:u w:val="single"/>
                          </w:rPr>
                          <w:t>https://www.ptech.org.au</w:t>
                        </w:r>
                      </w:hyperlink>
                      <w:r>
                        <w:rPr>
                          <w:rFonts w:ascii="Tahoma" w:eastAsia="Tahoma" w:hAnsi="Tahoma"/>
                          <w:color w:val="000000"/>
                          <w:spacing w:val="-2"/>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48160" behindDoc="1" locked="0" layoutInCell="1" allowOverlap="1" wp14:anchorId="6D156C75" wp14:editId="69EEA95B">
                <wp:simplePos x="0" y="0"/>
                <wp:positionH relativeFrom="page">
                  <wp:posOffset>5114290</wp:posOffset>
                </wp:positionH>
                <wp:positionV relativeFrom="page">
                  <wp:posOffset>9686925</wp:posOffset>
                </wp:positionV>
                <wp:extent cx="1892935" cy="144780"/>
                <wp:effectExtent l="0" t="0" r="0" b="0"/>
                <wp:wrapSquare wrapText="bothSides"/>
                <wp:docPr id="626"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572B6" w14:textId="77777777" w:rsidR="00490F33" w:rsidRDefault="00490F33">
                            <w:pPr>
                              <w:tabs>
                                <w:tab w:val="right" w:pos="3024"/>
                              </w:tabs>
                              <w:spacing w:after="19" w:line="206" w:lineRule="exact"/>
                              <w:textAlignment w:val="baseline"/>
                              <w:rPr>
                                <w:rFonts w:ascii="Tahoma" w:eastAsia="Tahoma" w:hAnsi="Tahoma"/>
                                <w:color w:val="414042"/>
                                <w:sz w:val="14"/>
                              </w:rPr>
                            </w:pPr>
                            <w:r>
                              <w:rPr>
                                <w:rFonts w:ascii="Tahoma" w:eastAsia="Tahoma" w:hAnsi="Tahoma"/>
                                <w:color w:val="414042"/>
                                <w:sz w:val="14"/>
                              </w:rPr>
                              <w:t>Chapter 3: VET and the world of work</w:t>
                            </w:r>
                            <w:r>
                              <w:rPr>
                                <w:rFonts w:ascii="Arial" w:eastAsia="Arial" w:hAnsi="Arial"/>
                                <w:b/>
                                <w:color w:val="52579D"/>
                                <w:sz w:val="19"/>
                              </w:rPr>
                              <w:tab/>
                              <w:t>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6C75" id="Text Box 347" o:spid="_x0000_s1225" type="#_x0000_t202" style="position:absolute;margin-left:402.7pt;margin-top:762.75pt;width:149.05pt;height:11.4pt;z-index:-251768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lr8gEAAMMDAAAOAAAAZHJzL2Uyb0RvYy54bWysU9tu2zAMfR+wfxD0vjhJszQx4hRdiw4D&#10;ugvQ7gMYWY6F2aJGKbGzrx8lx1m3vQ17ESiRPDw8pDY3fduIoyZv0BZyNplKoa3C0th9Ib8+P7xZ&#10;SeED2BIatLqQJ+3lzfb1q03ncj3HGptSk2AQ6/POFbIOweVZ5lWtW/ATdNqys0JqIfCV9llJ0DF6&#10;22Tz6XSZdUilI1Tae369H5xym/CrSqvwuaq8DqIpJHML6aR07uKZbTeQ7wlcbdSZBvwDixaM5aIX&#10;qHsIIA5k/oJqjSL0WIWJwjbDqjJKpx64m9n0j26eanA69cLieHeRyf8/WPXp+IWEKQu5nC+lsNDy&#10;kJ51H8Q77MXV4joq1Dmfc+CT49DQs4Mnnbr17hHVNy8s3tVg9/qWCLtaQ8kMZzEze5E64PgIsus+&#10;YsmF4BAwAfUVtVE+FkQwOk/qdJlOJKNiydV6vr56K4Vi32yxuF6l8WWQj9mOfHivsRXRKCTx9BM6&#10;HB99iGwgH0NiMYsPpmnSBjT2twcOjC+JfSQ8UA/9rk9SzdbrUZYdliduiHDYLP4JbNRIP6ToeKsK&#10;6b8fgLQUzQfLosQVHA0ajd1ogFWcWsggxWDehWFVD47MvmbkQXaLtyxcZVJPUeGBxZkwb0pq9bzV&#10;cRVf3lPUr7+3/QkAAP//AwBQSwMEFAAGAAgAAAAhAIA8yFHiAAAADgEAAA8AAABkcnMvZG93bnJl&#10;di54bWxMj81OwzAQhO9IvIO1SNyo3Z9UIcSpKgQnJEQaDhydeJtYjdchdtvw9jgnuO3ujGa/yXeT&#10;7dkFR28cSVguBDCkxmlDrYTP6vUhBeaDIq16RyjhBz3situbXGXaXanEyyG0LIaQz5SELoQh49w3&#10;HVrlF25AitrRjVaFuI4t16O6xnDb85UQW26VofihUwM+d9icDmcrYf9F5Yv5fq8/ymNpqupR0Nv2&#10;JOX93bR/AhZwCn9mmPEjOhSRqXZn0p71ElKRbKI1CskqSYDNlqVYx6meb5t0DbzI+f8axS8AAAD/&#10;/wMAUEsBAi0AFAAGAAgAAAAhALaDOJL+AAAA4QEAABMAAAAAAAAAAAAAAAAAAAAAAFtDb250ZW50&#10;X1R5cGVzXS54bWxQSwECLQAUAAYACAAAACEAOP0h/9YAAACUAQAACwAAAAAAAAAAAAAAAAAvAQAA&#10;X3JlbHMvLnJlbHNQSwECLQAUAAYACAAAACEAjprZa/IBAADDAwAADgAAAAAAAAAAAAAAAAAuAgAA&#10;ZHJzL2Uyb0RvYy54bWxQSwECLQAUAAYACAAAACEAgDzIUeIAAAAOAQAADwAAAAAAAAAAAAAAAABM&#10;BAAAZHJzL2Rvd25yZXYueG1sUEsFBgAAAAAEAAQA8wAAAFsFAAAAAA==&#10;" filled="f" stroked="f">
                <v:textbox inset="0,0,0,0">
                  <w:txbxContent>
                    <w:p w14:paraId="69F572B6" w14:textId="77777777" w:rsidR="00490F33" w:rsidRDefault="00490F33">
                      <w:pPr>
                        <w:tabs>
                          <w:tab w:val="right" w:pos="3024"/>
                        </w:tabs>
                        <w:spacing w:after="19" w:line="206" w:lineRule="exact"/>
                        <w:textAlignment w:val="baseline"/>
                        <w:rPr>
                          <w:rFonts w:ascii="Tahoma" w:eastAsia="Tahoma" w:hAnsi="Tahoma"/>
                          <w:color w:val="414042"/>
                          <w:sz w:val="14"/>
                        </w:rPr>
                      </w:pPr>
                      <w:r>
                        <w:rPr>
                          <w:rFonts w:ascii="Tahoma" w:eastAsia="Tahoma" w:hAnsi="Tahoma"/>
                          <w:color w:val="414042"/>
                          <w:sz w:val="14"/>
                        </w:rPr>
                        <w:t>Chapter 3: VET and the world of work</w:t>
                      </w:r>
                      <w:r>
                        <w:rPr>
                          <w:rFonts w:ascii="Arial" w:eastAsia="Arial" w:hAnsi="Arial"/>
                          <w:b/>
                          <w:color w:val="52579D"/>
                          <w:sz w:val="19"/>
                        </w:rPr>
                        <w:tab/>
                        <w:t>91</w:t>
                      </w:r>
                    </w:p>
                  </w:txbxContent>
                </v:textbox>
                <w10:wrap type="square" anchorx="page" anchory="page"/>
              </v:shape>
            </w:pict>
          </mc:Fallback>
        </mc:AlternateContent>
      </w:r>
    </w:p>
    <w:p w14:paraId="4620A49A" w14:textId="77777777" w:rsidR="009757A9" w:rsidRDefault="009757A9">
      <w:pPr>
        <w:sectPr w:rsidR="009757A9">
          <w:pgSz w:w="11909" w:h="16838"/>
          <w:pgMar w:top="0" w:right="1440" w:bottom="0" w:left="1440" w:header="720" w:footer="720" w:gutter="0"/>
          <w:cols w:space="720"/>
        </w:sectPr>
      </w:pPr>
    </w:p>
    <w:p w14:paraId="6D5784B4"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49184" behindDoc="1" locked="0" layoutInCell="1" allowOverlap="1" wp14:anchorId="03E3F4C9" wp14:editId="5B3265A3">
                <wp:simplePos x="0" y="0"/>
                <wp:positionH relativeFrom="page">
                  <wp:posOffset>0</wp:posOffset>
                </wp:positionH>
                <wp:positionV relativeFrom="page">
                  <wp:posOffset>0</wp:posOffset>
                </wp:positionV>
                <wp:extent cx="7562215" cy="10692130"/>
                <wp:effectExtent l="0" t="0" r="0" b="0"/>
                <wp:wrapSquare wrapText="bothSides"/>
                <wp:docPr id="625"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F1C03" w14:textId="77777777" w:rsidR="00490F33" w:rsidRDefault="00490F33">
                            <w:pPr>
                              <w:textAlignment w:val="baseline"/>
                            </w:pPr>
                            <w:r>
                              <w:rPr>
                                <w:noProof/>
                                <w:lang w:val="en-AU" w:eastAsia="en-AU"/>
                              </w:rPr>
                              <w:drawing>
                                <wp:inline distT="0" distB="0" distL="0" distR="0" wp14:anchorId="1AEB4B7B" wp14:editId="4FBB6102">
                                  <wp:extent cx="7562215" cy="10692130"/>
                                  <wp:effectExtent l="0" t="0" r="0" b="0"/>
                                  <wp:docPr id="148" name="Picture"/>
                                  <wp:cNvGraphicFramePr/>
                                  <a:graphic xmlns:a="http://schemas.openxmlformats.org/drawingml/2006/main">
                                    <a:graphicData uri="http://schemas.openxmlformats.org/drawingml/2006/picture">
                                      <pic:pic xmlns:pic="http://schemas.openxmlformats.org/drawingml/2006/picture">
                                        <pic:nvPicPr>
                                          <pic:cNvPr id="148" name="Picture"/>
                                          <pic:cNvPicPr preferRelativeResize="0"/>
                                        </pic:nvPicPr>
                                        <pic:blipFill>
                                          <a:blip r:embed="rId197"/>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3F4C9" id="Text Box 346" o:spid="_x0000_s1226" type="#_x0000_t202" style="position:absolute;margin-left:0;margin-top:0;width:595.45pt;height:841.9pt;z-index:-251767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8Rp8gEAAMUDAAAOAAAAZHJzL2Uyb0RvYy54bWysU1Fv0zAQfkfiP1h+p2kyViBqOo1NQ0hj&#10;IG38gKvjNBaJz5zdJuXXc3aaMuAN8WKdz+fP3333eX019p04aPIGbSXzxVIKbRXWxu4q+fXp7tVb&#10;KXwAW0OHVlfyqL282rx8sR5cqQtssas1CQaxvhxcJdsQXJllXrW6B79Apy0fNkg9BN7SLqsJBkbv&#10;u6xYLlfZgFQ7QqW95+ztdCg3Cb9ptAqfm8brILpKMreQVkrrNq7ZZg3ljsC1Rp1owD+w6MFYfvQM&#10;dQsBxJ7MX1C9UYQem7BQ2GfYNEbp1AN3ky//6OaxBadTLyyOd2eZ/P+DVQ+HLyRMXclVcSmFhZ6H&#10;9KTHIN7jKC5er6JCg/MlFz46Lg0jH/CkU7fe3aP65oXFmxbsTl8T4dBqqJlhHm9mz65OOD6CbIdP&#10;WPNDsA+YgMaG+igfCyIYnSd1PE8nklGcfHO5KoqcSSo+y5erd0V+kQaYQTnfd+TDB429iEElieef&#10;8OFw70PkA+VcEp+zeGe6Lnmgs78luDBmEv9IeSIfxu2YxGLrzcJssT5yS4STt/gvcNAi/ZBiYF9V&#10;0n/fA2kpuo+WZYkmnAOag+0cgFV8tZJBiim8CZNZ947MrmXkSXiL1yxdY1JPUeOJxYkweyW1evJ1&#10;NOPzfar69fs2PwE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Lt7xGnyAQAAxQMAAA4AAAAAAAAAAAAAAAAALgIAAGRycy9l&#10;Mm9Eb2MueG1sUEsBAi0AFAAGAAgAAAAhAHsiySLdAAAABwEAAA8AAAAAAAAAAAAAAAAATAQAAGRy&#10;cy9kb3ducmV2LnhtbFBLBQYAAAAABAAEAPMAAABWBQAAAAA=&#10;" filled="f" stroked="f">
                <v:textbox inset="0,0,0,0">
                  <w:txbxContent>
                    <w:p w14:paraId="668F1C03" w14:textId="77777777" w:rsidR="00490F33" w:rsidRDefault="00490F33">
                      <w:pPr>
                        <w:textAlignment w:val="baseline"/>
                      </w:pPr>
                      <w:r>
                        <w:rPr>
                          <w:noProof/>
                          <w:lang w:val="en-AU" w:eastAsia="en-AU"/>
                        </w:rPr>
                        <w:drawing>
                          <wp:inline distT="0" distB="0" distL="0" distR="0" wp14:anchorId="1AEB4B7B" wp14:editId="4FBB6102">
                            <wp:extent cx="7562215" cy="10692130"/>
                            <wp:effectExtent l="0" t="0" r="0" b="0"/>
                            <wp:docPr id="148" name="Picture"/>
                            <wp:cNvGraphicFramePr/>
                            <a:graphic xmlns:a="http://schemas.openxmlformats.org/drawingml/2006/main">
                              <a:graphicData uri="http://schemas.openxmlformats.org/drawingml/2006/picture">
                                <pic:pic xmlns:pic="http://schemas.openxmlformats.org/drawingml/2006/picture">
                                  <pic:nvPicPr>
                                    <pic:cNvPr id="148" name="Picture"/>
                                    <pic:cNvPicPr preferRelativeResize="0"/>
                                  </pic:nvPicPr>
                                  <pic:blipFill>
                                    <a:blip r:embed="rId197"/>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50208" behindDoc="1" locked="0" layoutInCell="1" allowOverlap="1" wp14:anchorId="3771F4E8" wp14:editId="29CD4831">
                <wp:simplePos x="0" y="0"/>
                <wp:positionH relativeFrom="page">
                  <wp:posOffset>542290</wp:posOffset>
                </wp:positionH>
                <wp:positionV relativeFrom="page">
                  <wp:posOffset>9692640</wp:posOffset>
                </wp:positionV>
                <wp:extent cx="1222375" cy="144780"/>
                <wp:effectExtent l="0" t="0" r="0" b="0"/>
                <wp:wrapSquare wrapText="bothSides"/>
                <wp:docPr id="624"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A33E" w14:textId="77777777" w:rsidR="00490F33" w:rsidRDefault="00490F33">
                            <w:pPr>
                              <w:tabs>
                                <w:tab w:val="right" w:pos="1944"/>
                              </w:tabs>
                              <w:spacing w:after="17" w:line="199" w:lineRule="exact"/>
                              <w:textAlignment w:val="baseline"/>
                              <w:rPr>
                                <w:rFonts w:ascii="Arial" w:eastAsia="Arial" w:hAnsi="Arial"/>
                                <w:b/>
                                <w:color w:val="5556A1"/>
                                <w:sz w:val="19"/>
                              </w:rPr>
                            </w:pPr>
                            <w:r>
                              <w:rPr>
                                <w:rFonts w:ascii="Arial" w:eastAsia="Arial" w:hAnsi="Arial"/>
                                <w:b/>
                                <w:color w:val="5556A1"/>
                                <w:sz w:val="19"/>
                              </w:rPr>
                              <w:t>92</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F4E8" id="Text Box 345" o:spid="_x0000_s1227" type="#_x0000_t202" style="position:absolute;margin-left:42.7pt;margin-top:763.2pt;width:96.25pt;height:11.4pt;z-index:-251766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oS8QEAAMMDAAAOAAAAZHJzL2Uyb0RvYy54bWysU9tu2zAMfR+wfxD0vjhx0wuMOEXXosOA&#10;bh3Q7gMYWY6F2aJGKbGzrx8lx1m3vRV9ESiRPDw8pFbXQ9eKvSZv0JZyMZtLoa3CythtKb8/33+4&#10;ksIHsBW0aHUpD9rL6/X7d6veFTrHBttKk2AQ64velbIJwRVZ5lWjO/AzdNqys0bqIPCVtllF0DN6&#10;12b5fH6R9UiVI1Tae369G51ynfDrWqvwWNdeB9GWkrmFdFI6N/HM1isotgSuMepIA17BogNjuegJ&#10;6g4CiB2Z/6A6owg91mGmsMuwro3SqQfuZjH/p5unBpxOvbA43p1k8m8Hq77uv5EwVSkv8qUUFjoe&#10;0rMegviIgzhbnkeFeucLDnxyHBoGdvCkU7fePaD64YXF2wbsVt8QYd9oqJjhImZmL1JHHB9BNv0X&#10;rLgQ7AImoKGmLsrHgghG50kdTtOJZFQsmef52eW5FIp9i+Xy8iqNL4NiynbkwyeNnYhGKYmnn9Bh&#10;/+BDZAPFFBKLWbw3bZs2oLV/PXBgfEnsI+GRehg2Q5KKRzXJssHqwA0RjpvFP4GNBumXFD1vVSn9&#10;zx2QlqL9bFmUuIKTQZOxmQywilNLGaQYzdswrurOkdk2jDzKbvGGhatN6ikqPLI4EuZNSa0etzqu&#10;4st7ivrz99a/AQAA//8DAFBLAwQUAAYACAAAACEAkC25NOEAAAAMAQAADwAAAGRycy9kb3ducmV2&#10;LnhtbEyPQU+DQBCF7yb+h82YeLOLpKUFWZrG6MnESPHgcWGnQMrOIrtt8d87Pelt5r2XN9/k29kO&#10;4oyT7x0peFxEIJAaZ3pqFXxWrw8bED5oMnpwhAp+0MO2uL3JdWbchUo870MruIR8phV0IYyZlL7p&#10;0Gq/cCMSewc3WR14nVppJn3hcjvIOIoSaXVPfKHTIz532Bz3J6tg90XlS//9Xn+Uh7KvqjSit+So&#10;1P3dvHsCEXAOf2G44jM6FMxUuxMZLwYFm9WSk6yv4oQnTsTrdQqivkrLNAZZ5PL/E8UvAAAA//8D&#10;AFBLAQItABQABgAIAAAAIQC2gziS/gAAAOEBAAATAAAAAAAAAAAAAAAAAAAAAABbQ29udGVudF9U&#10;eXBlc10ueG1sUEsBAi0AFAAGAAgAAAAhADj9If/WAAAAlAEAAAsAAAAAAAAAAAAAAAAALwEAAF9y&#10;ZWxzLy5yZWxzUEsBAi0AFAAGAAgAAAAhAEWQmhLxAQAAwwMAAA4AAAAAAAAAAAAAAAAALgIAAGRy&#10;cy9lMm9Eb2MueG1sUEsBAi0AFAAGAAgAAAAhAJAtuTThAAAADAEAAA8AAAAAAAAAAAAAAAAASwQA&#10;AGRycy9kb3ducmV2LnhtbFBLBQYAAAAABAAEAPMAAABZBQAAAAA=&#10;" filled="f" stroked="f">
                <v:textbox inset="0,0,0,0">
                  <w:txbxContent>
                    <w:p w14:paraId="7E94A33E" w14:textId="77777777" w:rsidR="00490F33" w:rsidRDefault="00490F33">
                      <w:pPr>
                        <w:tabs>
                          <w:tab w:val="right" w:pos="1944"/>
                        </w:tabs>
                        <w:spacing w:after="17" w:line="199" w:lineRule="exact"/>
                        <w:textAlignment w:val="baseline"/>
                        <w:rPr>
                          <w:rFonts w:ascii="Arial" w:eastAsia="Arial" w:hAnsi="Arial"/>
                          <w:b/>
                          <w:color w:val="5556A1"/>
                          <w:sz w:val="19"/>
                        </w:rPr>
                      </w:pPr>
                      <w:r>
                        <w:rPr>
                          <w:rFonts w:ascii="Arial" w:eastAsia="Arial" w:hAnsi="Arial"/>
                          <w:b/>
                          <w:color w:val="5556A1"/>
                          <w:sz w:val="19"/>
                        </w:rPr>
                        <w:t>92</w:t>
                      </w:r>
                      <w:r>
                        <w:rPr>
                          <w:rFonts w:ascii="Tahoma" w:eastAsia="Tahoma" w:hAnsi="Tahoma"/>
                          <w:color w:val="404042"/>
                          <w:sz w:val="14"/>
                        </w:rPr>
                        <w:tab/>
                        <w:t>Looking to the future</w:t>
                      </w:r>
                    </w:p>
                  </w:txbxContent>
                </v:textbox>
                <w10:wrap type="square" anchorx="page" anchory="page"/>
              </v:shape>
            </w:pict>
          </mc:Fallback>
        </mc:AlternateContent>
      </w:r>
    </w:p>
    <w:p w14:paraId="518AE8A6" w14:textId="77777777" w:rsidR="009757A9" w:rsidRDefault="009757A9">
      <w:pPr>
        <w:sectPr w:rsidR="009757A9">
          <w:pgSz w:w="11909" w:h="16838"/>
          <w:pgMar w:top="0" w:right="1440" w:bottom="0" w:left="1440" w:header="720" w:footer="720" w:gutter="0"/>
          <w:cols w:space="720"/>
        </w:sectPr>
      </w:pPr>
    </w:p>
    <w:p w14:paraId="3B95E44E" w14:textId="7E1E2B92" w:rsidR="009757A9" w:rsidRPr="00E3371A" w:rsidRDefault="000D2E34" w:rsidP="00E3371A">
      <w:pPr>
        <w:spacing w:before="2" w:line="474" w:lineRule="exact"/>
        <w:ind w:left="2410" w:hanging="2410"/>
        <w:jc w:val="both"/>
        <w:textAlignment w:val="baseline"/>
        <w:rPr>
          <w:rFonts w:ascii="Arial" w:eastAsia="Arial" w:hAnsi="Arial"/>
          <w:color w:val="00708B"/>
          <w:spacing w:val="10"/>
          <w:w w:val="95"/>
          <w:sz w:val="39"/>
          <w:szCs w:val="39"/>
        </w:rPr>
      </w:pPr>
      <w:r w:rsidRPr="00E3371A">
        <w:rPr>
          <w:b/>
          <w:bCs/>
          <w:noProof/>
          <w:sz w:val="39"/>
          <w:szCs w:val="39"/>
          <w:lang w:val="en-AU" w:eastAsia="en-AU"/>
        </w:rPr>
        <w:lastRenderedPageBreak/>
        <mc:AlternateContent>
          <mc:Choice Requires="wps">
            <w:drawing>
              <wp:anchor distT="0" distB="0" distL="0" distR="0" simplePos="0" relativeHeight="251551232" behindDoc="1" locked="0" layoutInCell="1" allowOverlap="1" wp14:anchorId="43574675" wp14:editId="0636DB5C">
                <wp:simplePos x="0" y="0"/>
                <wp:positionH relativeFrom="page">
                  <wp:posOffset>804545</wp:posOffset>
                </wp:positionH>
                <wp:positionV relativeFrom="page">
                  <wp:posOffset>0</wp:posOffset>
                </wp:positionV>
                <wp:extent cx="6757670" cy="6692900"/>
                <wp:effectExtent l="0" t="0" r="0" b="0"/>
                <wp:wrapSquare wrapText="bothSides"/>
                <wp:docPr id="623"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9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BF4F7" w14:textId="77777777" w:rsidR="00490F33" w:rsidRDefault="00490F33">
                            <w:pPr>
                              <w:spacing w:after="1828"/>
                              <w:textAlignment w:val="baseline"/>
                            </w:pPr>
                            <w:r>
                              <w:rPr>
                                <w:noProof/>
                                <w:lang w:val="en-AU" w:eastAsia="en-AU"/>
                              </w:rPr>
                              <w:drawing>
                                <wp:inline distT="0" distB="0" distL="0" distR="0" wp14:anchorId="628573D3" wp14:editId="34B94749">
                                  <wp:extent cx="6757670" cy="5532120"/>
                                  <wp:effectExtent l="0" t="0" r="0" b="0"/>
                                  <wp:docPr id="1079" name="Picture"/>
                                  <wp:cNvGraphicFramePr/>
                                  <a:graphic xmlns:a="http://schemas.openxmlformats.org/drawingml/2006/main">
                                    <a:graphicData uri="http://schemas.openxmlformats.org/drawingml/2006/picture">
                                      <pic:pic xmlns:pic="http://schemas.openxmlformats.org/drawingml/2006/picture">
                                        <pic:nvPicPr>
                                          <pic:cNvPr id="149" name="Picture"/>
                                          <pic:cNvPicPr preferRelativeResize="0"/>
                                        </pic:nvPicPr>
                                        <pic:blipFill>
                                          <a:blip r:embed="rId198"/>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74675" id="Text Box 344" o:spid="_x0000_s1228" type="#_x0000_t202" style="position:absolute;left:0;text-align:left;margin-left:63.35pt;margin-top:0;width:532.1pt;height:527pt;z-index:-251765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5k8gEAAMQDAAAOAAAAZHJzL2Uyb0RvYy54bWysU9tu1DAQfUfiHyy/s8mmJUujzValVRFS&#10;KUgtH+A4TmKReMzYu8ny9YydzVLgDfFijedyfObMeHs9DT07KHQaTMnXq5QzZSTU2rQl//p8/+Yd&#10;Z84LU4sejCr5UTl+vXv9ajvaQmXQQV8rZARiXDHaknfe2yJJnOzUINwKrDIUbAAH4emKbVKjGAl9&#10;6JMsTfNkBKwtglTOkfduDvJdxG8aJf3npnHKs77kxM3HE+NZhTPZbUXRorCdlica4h9YDEIbevQM&#10;dSe8YHvUf0ENWiI4aPxKwpBA02ipYg/UzTr9o5unTlgVeyFxnD3L5P4frHw8fEGm65Ln2QVnRgw0&#10;pGc1efYeJnZxeRkUGq0rKPHJUqqfKECTjt06+wDym2MGbjthWnWDCGOnRE0M16EyeVE647gAUo2f&#10;oKaHxN5DBJoaHIJ8JAgjdJrU8TydQEaSM9+83eQbCkmK5flVdpXG+SWiWMotOv9BwcCCUXKk8Ud4&#10;cXhwPtARxZISXjNwr/s+rkBvfnNQYvBE+oHxzN1P1RS1ytJs0aWC+kgdIcyrRV+BjA7wB2cjrVXJ&#10;3fe9QMVZ/9GQKmEHFwMXo1oMYSSVltxzNpu3ft7VvUXddoQ8627ghpRrdOwpSDyzOBGmVYmtntY6&#10;7OLLe8z69fl2PwEAAP//AwBQSwMEFAAGAAgAAAAhADR1Uy/eAAAACgEAAA8AAABkcnMvZG93bnJl&#10;di54bWxMj8FOwzAQRO9I/IO1SNyo3QoCCXGqCsEJCZGGA0cn2SZW43WI3Tb8PdsTve1oRrNv8vXs&#10;BnHEKVhPGpYLBQKp8a2lTsNX9Xb3BCJEQ60ZPKGGXwywLq6vcpO1/kQlHrexE1xCITMa+hjHTMrQ&#10;9OhMWPgRib2dn5yJLKdOtpM5cbkb5EqpRDpjiT/0ZsSXHpv99uA0bL6pfLU/H/VnuSttVaWK3pO9&#10;1rc38+YZRMQ5/ofhjM/oUDBT7Q/UBjGwXiWPHNXAi872MlUpiJov9XCvQBa5vJxQ/AEAAP//AwBQ&#10;SwECLQAUAAYACAAAACEAtoM4kv4AAADhAQAAEwAAAAAAAAAAAAAAAAAAAAAAW0NvbnRlbnRfVHlw&#10;ZXNdLnhtbFBLAQItABQABgAIAAAAIQA4/SH/1gAAAJQBAAALAAAAAAAAAAAAAAAAAC8BAABfcmVs&#10;cy8ucmVsc1BLAQItABQABgAIAAAAIQAmEx5k8gEAAMQDAAAOAAAAAAAAAAAAAAAAAC4CAABkcnMv&#10;ZTJvRG9jLnhtbFBLAQItABQABgAIAAAAIQA0dVMv3gAAAAoBAAAPAAAAAAAAAAAAAAAAAEwEAABk&#10;cnMvZG93bnJldi54bWxQSwUGAAAAAAQABADzAAAAVwUAAAAA&#10;" filled="f" stroked="f">
                <v:textbox inset="0,0,0,0">
                  <w:txbxContent>
                    <w:p w14:paraId="7F7BF4F7" w14:textId="77777777" w:rsidR="00490F33" w:rsidRDefault="00490F33">
                      <w:pPr>
                        <w:spacing w:after="1828"/>
                        <w:textAlignment w:val="baseline"/>
                      </w:pPr>
                      <w:r>
                        <w:rPr>
                          <w:noProof/>
                          <w:lang w:val="en-AU" w:eastAsia="en-AU"/>
                        </w:rPr>
                        <w:drawing>
                          <wp:inline distT="0" distB="0" distL="0" distR="0" wp14:anchorId="628573D3" wp14:editId="34B94749">
                            <wp:extent cx="6757670" cy="5532120"/>
                            <wp:effectExtent l="0" t="0" r="0" b="0"/>
                            <wp:docPr id="1079" name="Picture"/>
                            <wp:cNvGraphicFramePr/>
                            <a:graphic xmlns:a="http://schemas.openxmlformats.org/drawingml/2006/main">
                              <a:graphicData uri="http://schemas.openxmlformats.org/drawingml/2006/picture">
                                <pic:pic xmlns:pic="http://schemas.openxmlformats.org/drawingml/2006/picture">
                                  <pic:nvPicPr>
                                    <pic:cNvPr id="149" name="Picture"/>
                                    <pic:cNvPicPr preferRelativeResize="0"/>
                                  </pic:nvPicPr>
                                  <pic:blipFill>
                                    <a:blip r:embed="rId198"/>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sidRPr="00E3371A">
        <w:rPr>
          <w:rFonts w:ascii="Arial" w:eastAsia="Arial" w:hAnsi="Arial"/>
          <w:b/>
          <w:bCs/>
          <w:color w:val="00708B"/>
          <w:spacing w:val="10"/>
          <w:w w:val="95"/>
          <w:sz w:val="39"/>
          <w:szCs w:val="39"/>
        </w:rPr>
        <w:t>CHAPTER 4:</w:t>
      </w:r>
      <w:r w:rsidR="00083242" w:rsidRPr="00E3371A">
        <w:rPr>
          <w:rFonts w:ascii="Arial" w:eastAsia="Arial" w:hAnsi="Arial"/>
          <w:color w:val="00708B"/>
          <w:spacing w:val="10"/>
          <w:w w:val="95"/>
          <w:sz w:val="39"/>
          <w:szCs w:val="39"/>
        </w:rPr>
        <w:t xml:space="preserve"> </w:t>
      </w:r>
      <w:r w:rsidR="00083242" w:rsidRPr="00E3371A">
        <w:rPr>
          <w:rFonts w:ascii="Tahoma" w:eastAsia="Tahoma" w:hAnsi="Tahoma"/>
          <w:color w:val="00708B"/>
          <w:spacing w:val="10"/>
          <w:w w:val="95"/>
          <w:sz w:val="39"/>
          <w:szCs w:val="39"/>
        </w:rPr>
        <w:t>BUILDING SCHOOL</w:t>
      </w:r>
      <w:r w:rsidR="00E3371A">
        <w:rPr>
          <w:rFonts w:ascii="Tahoma" w:eastAsia="Tahoma" w:hAnsi="Tahoma"/>
          <w:color w:val="00708B"/>
          <w:spacing w:val="10"/>
          <w:w w:val="95"/>
          <w:sz w:val="39"/>
          <w:szCs w:val="39"/>
        </w:rPr>
        <w:t>-</w:t>
      </w:r>
      <w:r w:rsidR="00083242" w:rsidRPr="00E3371A">
        <w:rPr>
          <w:rFonts w:ascii="Tahoma" w:eastAsia="Tahoma" w:hAnsi="Tahoma"/>
          <w:color w:val="00708B"/>
          <w:spacing w:val="10"/>
          <w:w w:val="95"/>
          <w:sz w:val="39"/>
          <w:szCs w:val="39"/>
        </w:rPr>
        <w:t>INDUSTRY</w:t>
      </w:r>
      <w:r w:rsidR="00E3371A">
        <w:rPr>
          <w:rFonts w:ascii="Arial" w:eastAsia="Arial" w:hAnsi="Arial"/>
          <w:color w:val="00708B"/>
          <w:spacing w:val="10"/>
          <w:w w:val="95"/>
          <w:sz w:val="39"/>
          <w:szCs w:val="39"/>
        </w:rPr>
        <w:t xml:space="preserve"> </w:t>
      </w:r>
      <w:r w:rsidR="00083242" w:rsidRPr="00E3371A">
        <w:rPr>
          <w:rFonts w:ascii="Tahoma" w:eastAsia="Tahoma" w:hAnsi="Tahoma"/>
          <w:color w:val="00708B"/>
          <w:spacing w:val="11"/>
          <w:w w:val="95"/>
          <w:sz w:val="39"/>
          <w:szCs w:val="39"/>
        </w:rPr>
        <w:t>PARTNERSHIPS</w:t>
      </w:r>
    </w:p>
    <w:p w14:paraId="7EF94A39" w14:textId="77777777" w:rsidR="009757A9" w:rsidRDefault="009757A9">
      <w:pPr>
        <w:spacing w:before="6" w:after="3786" w:line="456" w:lineRule="exact"/>
      </w:pPr>
    </w:p>
    <w:p w14:paraId="00645C15" w14:textId="3CA16AE3" w:rsidR="00E3371A" w:rsidRDefault="00E3371A">
      <w:pPr>
        <w:spacing w:before="6" w:after="3786" w:line="456" w:lineRule="exact"/>
        <w:sectPr w:rsidR="00E3371A">
          <w:pgSz w:w="11909" w:h="16838"/>
          <w:pgMar w:top="0" w:right="3320" w:bottom="0" w:left="869" w:header="720" w:footer="720" w:gutter="0"/>
          <w:cols w:space="720"/>
        </w:sectPr>
      </w:pPr>
    </w:p>
    <w:p w14:paraId="252D39A5" w14:textId="59F1D2A0" w:rsidR="009757A9" w:rsidRDefault="00E3371A">
      <w:pPr>
        <w:spacing w:before="9" w:after="607" w:line="209" w:lineRule="exact"/>
        <w:ind w:left="10800"/>
        <w:textAlignment w:val="baseline"/>
        <w:rPr>
          <w:rFonts w:ascii="Arial" w:eastAsia="Arial" w:hAnsi="Arial"/>
          <w:color w:val="5556A1"/>
          <w:spacing w:val="35"/>
          <w:sz w:val="19"/>
        </w:rPr>
      </w:pPr>
      <w:r>
        <w:rPr>
          <w:noProof/>
          <w:lang w:val="en-AU" w:eastAsia="en-AU"/>
        </w:rPr>
        <w:drawing>
          <wp:anchor distT="0" distB="0" distL="114300" distR="114300" simplePos="0" relativeHeight="252081664" behindDoc="1" locked="0" layoutInCell="1" allowOverlap="1" wp14:anchorId="018A1EA2" wp14:editId="2D2A3425">
            <wp:simplePos x="0" y="0"/>
            <wp:positionH relativeFrom="page">
              <wp:align>left</wp:align>
            </wp:positionH>
            <wp:positionV relativeFrom="paragraph">
              <wp:posOffset>213360</wp:posOffset>
            </wp:positionV>
            <wp:extent cx="7562215" cy="462915"/>
            <wp:effectExtent l="0" t="0" r="635" b="0"/>
            <wp:wrapNone/>
            <wp:docPr id="150" name="Picture"/>
            <wp:cNvGraphicFramePr/>
            <a:graphic xmlns:a="http://schemas.openxmlformats.org/drawingml/2006/main">
              <a:graphicData uri="http://schemas.openxmlformats.org/drawingml/2006/picture">
                <pic:pic xmlns:pic="http://schemas.openxmlformats.org/drawingml/2006/picture">
                  <pic:nvPicPr>
                    <pic:cNvPr id="150"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color w:val="5556A1"/>
          <w:spacing w:val="35"/>
          <w:sz w:val="19"/>
        </w:rPr>
        <w:t>93</w:t>
      </w:r>
    </w:p>
    <w:p w14:paraId="53092245" w14:textId="50EAC76F" w:rsidR="009757A9" w:rsidRDefault="009757A9">
      <w:pPr>
        <w:textAlignment w:val="baseline"/>
      </w:pPr>
    </w:p>
    <w:p w14:paraId="20748331" w14:textId="77777777" w:rsidR="009757A9" w:rsidRDefault="009757A9">
      <w:pPr>
        <w:sectPr w:rsidR="009757A9">
          <w:type w:val="continuous"/>
          <w:pgSz w:w="11909" w:h="16838"/>
          <w:pgMar w:top="0" w:right="0" w:bottom="0" w:left="0" w:header="720" w:footer="720" w:gutter="0"/>
          <w:cols w:space="720"/>
        </w:sectPr>
      </w:pPr>
    </w:p>
    <w:p w14:paraId="30D9A546" w14:textId="42E87D4E" w:rsidR="009757A9" w:rsidRDefault="000D2E34">
      <w:pPr>
        <w:spacing w:after="547" w:line="240" w:lineRule="exact"/>
        <w:ind w:left="864" w:right="1656"/>
        <w:textAlignment w:val="baseline"/>
        <w:rPr>
          <w:rFonts w:ascii="Tahoma" w:eastAsia="Tahoma" w:hAnsi="Tahoma"/>
          <w:color w:val="404042"/>
          <w:sz w:val="18"/>
        </w:rPr>
      </w:pPr>
      <w:r>
        <w:rPr>
          <w:noProof/>
          <w:lang w:val="en-AU" w:eastAsia="en-AU"/>
        </w:rPr>
        <w:lastRenderedPageBreak/>
        <mc:AlternateContent>
          <mc:Choice Requires="wps">
            <w:drawing>
              <wp:anchor distT="0" distB="295910" distL="545465" distR="536575" simplePos="0" relativeHeight="251552256" behindDoc="1" locked="0" layoutInCell="1" allowOverlap="1" wp14:anchorId="055E1B21" wp14:editId="06782098">
                <wp:simplePos x="0" y="0"/>
                <wp:positionH relativeFrom="page">
                  <wp:posOffset>545465</wp:posOffset>
                </wp:positionH>
                <wp:positionV relativeFrom="page">
                  <wp:posOffset>723900</wp:posOffset>
                </wp:positionV>
                <wp:extent cx="6480175" cy="2637155"/>
                <wp:effectExtent l="0" t="0" r="15875" b="10795"/>
                <wp:wrapSquare wrapText="bothSides"/>
                <wp:docPr id="622"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637155"/>
                        </a:xfrm>
                        <a:prstGeom prst="rect">
                          <a:avLst/>
                        </a:prstGeom>
                        <a:solidFill>
                          <a:srgbClr val="DFE6EB"/>
                        </a:solidFill>
                        <a:ln w="9525">
                          <a:solidFill>
                            <a:srgbClr val="000000"/>
                          </a:solidFill>
                          <a:miter lim="800000"/>
                          <a:headEnd/>
                          <a:tailEnd/>
                        </a:ln>
                      </wps:spPr>
                      <wps:txbx>
                        <w:txbxContent>
                          <w:p w14:paraId="10EDE605"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E1B21" id="Text Box 343" o:spid="_x0000_s1229" type="#_x0000_t202" style="position:absolute;left:0;text-align:left;margin-left:42.95pt;margin-top:57pt;width:510.25pt;height:207.65pt;z-index:-251764224;visibility:visible;mso-wrap-style:square;mso-width-percent:0;mso-height-percent:0;mso-wrap-distance-left:42.95pt;mso-wrap-distance-top:0;mso-wrap-distance-right:42.25pt;mso-wrap-distance-bottom:23.3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adLQIAAE4EAAAOAAAAZHJzL2Uyb0RvYy54bWysVMtu2zAQvBfoPxC815Ll2HEFy0HiR1Eg&#10;fQBJP4CiKIkoxWVJ2lL69VlStpu+LkV9IJbicjg7s+vVzdApchTWSdAFnU5SSoTmUEndFPTL4/7N&#10;khLnma6YAi0K+iQcvVm/frXqTS4yaEFVwhIE0S7vTUFb702eJI63omNuAkZoPKzBdszj1jZJZVmP&#10;6J1KsjRdJD3Yyljgwjn8uh0P6Tri17Xg/lNdO+GJKihy83G1cS3DmqxXLG8sM63kJxrsH1h0TGp8&#10;9AK1ZZ6Rg5W/QXWSW3BQ+wmHLoG6llzEGrCaafpLNQ8tMyLWguI4c5HJ/T9Y/vH42RJZFXSRZZRo&#10;1qFJj2Lw5A4GMruaBYV643JMfDCY6gc8QKdjtc7cA//qiIZNy3Qjbq2FvhWsQobTcDN5cXXEcQGk&#10;7D9AhQ+xg4cINNS2C/KhIATR0amnizuBDMePi6tlOr2eU8LxLFvMrqfzeXyD5efrxjr/TkBHQlBQ&#10;i/ZHeHa8dz7QYfk5JbzmQMlqL5WKG9uUG2XJkWGrbPe7xe7uhP5TmtKkL+jbeTYfFfgrRBp/f4Lo&#10;pMeeV7Ir6PKSxPKg205XsSM9k2qMkbLSJyGDdqOKfiiH6FqWXhwqoXpCbS2MTY5DiUEL9jslPTZ4&#10;Qd23A7OCEvVeoz9hGs6BPQflOWCa49WCekrGcOPHqTkYK5sWkccO0HCLHtYyqhvMHlmcCGPTRtFP&#10;Axam4uU+Zv34G1g/AwAA//8DAFBLAwQUAAYACAAAACEAPvq9c+AAAAALAQAADwAAAGRycy9kb3du&#10;cmV2LnhtbEyPQU+DQBCF7yb+h82YeLMLWAhFlqYxmmg8WfXgbWGnQMrOEnZL8d87PelxZt57871y&#10;u9hBzDj53pGCeBWBQGqc6alV8PnxfJeD8EGT0YMjVPCDHrbV9VWpC+PO9I7zPrSCQ8gXWkEXwlhI&#10;6ZsOrfYrNyLx7eAmqwOPUyvNpM8cbgeZRFEmre6JP3R6xMcOm+P+ZBkjmQ9P7XGn317SLB5fv/o6&#10;/+6Vur1Zdg8gAi7hTwwXfPZAxUy1O5HxYlCQpxtW8j5ec6eLII6yNYhaQZps7kFWpfzfofoFAAD/&#10;/wMAUEsBAi0AFAAGAAgAAAAhALaDOJL+AAAA4QEAABMAAAAAAAAAAAAAAAAAAAAAAFtDb250ZW50&#10;X1R5cGVzXS54bWxQSwECLQAUAAYACAAAACEAOP0h/9YAAACUAQAACwAAAAAAAAAAAAAAAAAvAQAA&#10;X3JlbHMvLnJlbHNQSwECLQAUAAYACAAAACEAiWGGnS0CAABOBAAADgAAAAAAAAAAAAAAAAAuAgAA&#10;ZHJzL2Uyb0RvYy54bWxQSwECLQAUAAYACAAAACEAPvq9c+AAAAALAQAADwAAAAAAAAAAAAAAAACH&#10;BAAAZHJzL2Rvd25yZXYueG1sUEsFBgAAAAAEAAQA8wAAAJQFAAAAAA==&#10;" fillcolor="#dfe6eb">
                <v:textbox inset="0,0,0,0">
                  <w:txbxContent>
                    <w:p w14:paraId="10EDE605"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554304" behindDoc="1" locked="0" layoutInCell="1" allowOverlap="1" wp14:anchorId="5EFCCF68" wp14:editId="46A41282">
                <wp:simplePos x="0" y="0"/>
                <wp:positionH relativeFrom="page">
                  <wp:posOffset>597535</wp:posOffset>
                </wp:positionH>
                <wp:positionV relativeFrom="page">
                  <wp:posOffset>964565</wp:posOffset>
                </wp:positionV>
                <wp:extent cx="6428105" cy="285115"/>
                <wp:effectExtent l="0" t="0" r="0" b="0"/>
                <wp:wrapSquare wrapText="bothSides"/>
                <wp:docPr id="62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0B7C" w14:textId="77777777" w:rsidR="00490F33" w:rsidRDefault="00490F33">
                            <w:pPr>
                              <w:spacing w:line="439" w:lineRule="exact"/>
                              <w:ind w:left="432"/>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CCF68" id="Text Box 341" o:spid="_x0000_s1230" type="#_x0000_t202" style="position:absolute;left:0;text-align:left;margin-left:47.05pt;margin-top:75.95pt;width:506.15pt;height:22.45pt;z-index:-251762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Ky7gEAAMMDAAAOAAAAZHJzL2Uyb0RvYy54bWysU9uO0zAQfUfiHyy/01xoqypqulp2tQhp&#10;uUi7fIDjOIlF4jFjt0n5esZOUxZ4Q7xY47kcnzkz3t9MQ89OCp0GU/JslXKmjIRam7bkX58f3uw4&#10;c16YWvRgVMnPyvGbw+tX+9EWKocO+lohIxDjitGWvPPeFkniZKcG4VZglaFgAzgIT1dskxrFSOhD&#10;n+Rpuk1GwNoiSOUcee/nID9E/KZR0n9uGqc860tO3Hw8MZ5VOJPDXhQtCttpeaEh/oHFILShR69Q&#10;98ILdkT9F9SgJYKDxq8kDAk0jZYq9kDdZOkf3Tx1wqrYC4nj7FUm9/9g5afTF2S6Lvk2J32MGGhI&#10;z2ry7B1M7O06CwqN1hWU+GQp1U8UoEnHbp19BPnNMQN3nTCtukWEsVOiJoaxMnlROuO4AFKNH6Gm&#10;h8TRQwSaGhyCfCQII3Ricr5OJ5CR5Nyu812WbjiTFMt3myzbBHKJKJZqi86/VzCwYJQcafoRXZwe&#10;nZ9Tl5TwmIEH3fdxA3rzm4MwgyeyD4Rn6n6qpihVnq4XWSqoz9QQwrxZ9BPI6AB/cDbSVpXcfT8K&#10;VJz1HwyJElZwMXAxqsUQRlJpyT1ns3nn51U9WtRtR8iz7AZuSbhGx56CwjOLC2HalKjKZavDKr68&#10;x6xff+/wEwAA//8DAFBLAwQUAAYACAAAACEADuYVt+AAAAALAQAADwAAAGRycy9kb3ducmV2Lnht&#10;bEyPPU/DMBCGdyT+g3VIbNQOaqMmxKkqBBMSIg0DoxNfE6vxOcRuG/593Ylu9/HoveeKzWwHdsLJ&#10;G0cSkoUAhtQ6baiT8F2/P62B+aBIq8ERSvhDD5vy/q5QuXZnqvC0Cx2LIeRzJaEPYcw5922PVvmF&#10;G5Hibu8mq0Jsp47rSZ1juB34sxApt8pQvNCrEV97bA+7o5Ww/aHqzfx+Nl/VvjJ1nQn6SA9SPj7M&#10;2xdgAefwD8NVP6pDGZ0adyTt2SAhWyaRjPNVkgG7AolIl8CaWGXpGnhZ8NsfygsAAAD//wMAUEsB&#10;Ai0AFAAGAAgAAAAhALaDOJL+AAAA4QEAABMAAAAAAAAAAAAAAAAAAAAAAFtDb250ZW50X1R5cGVz&#10;XS54bWxQSwECLQAUAAYACAAAACEAOP0h/9YAAACUAQAACwAAAAAAAAAAAAAAAAAvAQAAX3JlbHMv&#10;LnJlbHNQSwECLQAUAAYACAAAACEAlY1isu4BAADDAwAADgAAAAAAAAAAAAAAAAAuAgAAZHJzL2Uy&#10;b0RvYy54bWxQSwECLQAUAAYACAAAACEADuYVt+AAAAALAQAADwAAAAAAAAAAAAAAAABIBAAAZHJz&#10;L2Rvd25yZXYueG1sUEsFBgAAAAAEAAQA8wAAAFUFAAAAAA==&#10;" filled="f" stroked="f">
                <v:textbox inset="0,0,0,0">
                  <w:txbxContent>
                    <w:p w14:paraId="4B2D0B7C" w14:textId="77777777" w:rsidR="00490F33" w:rsidRDefault="00490F33">
                      <w:pPr>
                        <w:spacing w:line="439" w:lineRule="exact"/>
                        <w:ind w:left="432"/>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55328" behindDoc="1" locked="0" layoutInCell="1" allowOverlap="1" wp14:anchorId="59C86277" wp14:editId="77764638">
                <wp:simplePos x="0" y="0"/>
                <wp:positionH relativeFrom="page">
                  <wp:posOffset>597535</wp:posOffset>
                </wp:positionH>
                <wp:positionV relativeFrom="page">
                  <wp:posOffset>1249680</wp:posOffset>
                </wp:positionV>
                <wp:extent cx="6428105" cy="1969135"/>
                <wp:effectExtent l="0" t="0" r="0" b="0"/>
                <wp:wrapSquare wrapText="bothSides"/>
                <wp:docPr id="619"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196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C0FC9" w14:textId="77777777" w:rsidR="00490F33" w:rsidRDefault="00490F33">
                            <w:pPr>
                              <w:spacing w:before="235" w:line="240" w:lineRule="exact"/>
                              <w:ind w:left="792" w:right="648" w:hanging="360"/>
                              <w:textAlignment w:val="baseline"/>
                              <w:rPr>
                                <w:rFonts w:ascii="Tahoma" w:eastAsia="Tahoma" w:hAnsi="Tahoma"/>
                                <w:color w:val="404042"/>
                                <w:spacing w:val="5"/>
                                <w:sz w:val="18"/>
                              </w:rPr>
                            </w:pPr>
                            <w:r>
                              <w:rPr>
                                <w:rFonts w:ascii="Tahoma" w:eastAsia="Tahoma" w:hAnsi="Tahoma"/>
                                <w:color w:val="404042"/>
                                <w:spacing w:val="5"/>
                                <w:sz w:val="18"/>
                              </w:rPr>
                              <w:t>4.1 One of the important goals of schooling is to provide a foundation that prepares young people for the world of work. Industry has an essential role to play in supporting schools to achieve this. While there are notable exceptions at the school level, effective partnerships with industry have proven hard to establish and are not adequately embedded in education systems. Industry collaboration needs to be accorded more weight and pursued with greater vigour.</w:t>
                            </w:r>
                          </w:p>
                          <w:p w14:paraId="12D659A7" w14:textId="77777777" w:rsidR="00490F33" w:rsidRDefault="00490F33">
                            <w:pPr>
                              <w:spacing w:before="168" w:after="297" w:line="240" w:lineRule="exact"/>
                              <w:ind w:left="792" w:right="864" w:hanging="360"/>
                              <w:textAlignment w:val="baseline"/>
                              <w:rPr>
                                <w:rFonts w:ascii="Tahoma" w:eastAsia="Tahoma" w:hAnsi="Tahoma"/>
                                <w:color w:val="404042"/>
                                <w:spacing w:val="5"/>
                                <w:sz w:val="18"/>
                              </w:rPr>
                            </w:pPr>
                            <w:r>
                              <w:rPr>
                                <w:rFonts w:ascii="Tahoma" w:eastAsia="Tahoma" w:hAnsi="Tahoma"/>
                                <w:color w:val="404042"/>
                                <w:spacing w:val="5"/>
                                <w:sz w:val="18"/>
                              </w:rPr>
                              <w:t>4.2 It is essential that schools and industry engage more systematically with employers in order to help senior secondary students gain an understanding of the world of work, undertake effective career planning, and access opportunities for employment and training. Programs that support school– industry partnerships at scale, such as hubs and brokerage arrangements, should be put in place to increase the quality and longevity of school–industry partnerships.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6277" id="Text Box 340" o:spid="_x0000_s1231" type="#_x0000_t202" style="position:absolute;left:0;text-align:left;margin-left:47.05pt;margin-top:98.4pt;width:506.15pt;height:155.05pt;z-index:-251761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ik9AEAAMQDAAAOAAAAZHJzL2Uyb0RvYy54bWysU9tu2zAMfR+wfxD0vthO26Ax4hRdiw4D&#10;ugvQ7gMYWY6F2aJGKbGzrx8lJ2m3vQ17ESiJOjznkFrdjH0n9pq8QVvJYpZLoa3C2thtJb89P7y7&#10;lsIHsDV0aHUlD9rLm/XbN6vBlXqOLXa1JsEg1peDq2QbgiuzzKtW9+Bn6LTlywaph8Bb2mY1wcDo&#10;fZfN83yRDUi1I1Taez69ny7lOuE3jVbhS9N4HURXSeYW0kpp3cQ1W6+g3BK41qgjDfgHFj0Yy0XP&#10;UPcQQOzI/AXVG0XosQkzhX2GTWOUThpYTZH/oeapBaeTFjbHu7NN/v/Bqs/7ryRMXclFsZTCQs9N&#10;etZjEO9xFBeXyaHB+ZITnxynhpEvuNNJrXePqL57YfGuBbvVt0Q4tBpqZlhEb7NXT2NPfOkjyGb4&#10;hDUXgl3ABDQ21Ef72BDB6Nypw7k7kYziw8Xl/LrIr6RQfFcsF8vi4irVgPL03JEPHzT2IgaVJG5/&#10;gof9ow+RDpSnlFjN4oPpujQCnf3tgBPjSaIfGU/cw7gZk1dzpsHPop4N1gdWRDiNFn8FDlqkn1IM&#10;PFaV9D92QFqK7qNlV+IMngI6BZtTAFbx00oGKabwLkyzunNkti0jT75bvGXnGpM0vbA4EuZRSVKP&#10;Yx1n8fU+Zb18vvUvAAAA//8DAFBLAwQUAAYACAAAACEAYnTKk98AAAALAQAADwAAAGRycy9kb3du&#10;cmV2LnhtbEyPwU7DMAyG70i8Q2QkbiwpGhEtTacJwQkJ0ZUDx7Tx2miNU5psK29PdoKj7U+/v7/c&#10;LG5kJ5yD9aQgWwlgSJ03lnoFn83r3SOwEDUZPXpCBT8YYFNdX5W6MP5MNZ52sWcphEKhFQwxTgXn&#10;oRvQ6bDyE1K67f3sdEzj3HMz63MKdyO/F0Jypy2lD4Oe8HnA7rA7OgXbL6pf7Pd7+1Hva9s0uaA3&#10;eVDq9mbZPgGLuMQ/GC76SR2q5NT6I5nARgX5Oktk2ucyVbgAmZBrYK2CByFz4FXJ/3eofgEAAP//&#10;AwBQSwECLQAUAAYACAAAACEAtoM4kv4AAADhAQAAEwAAAAAAAAAAAAAAAAAAAAAAW0NvbnRlbnRf&#10;VHlwZXNdLnhtbFBLAQItABQABgAIAAAAIQA4/SH/1gAAAJQBAAALAAAAAAAAAAAAAAAAAC8BAABf&#10;cmVscy8ucmVsc1BLAQItABQABgAIAAAAIQB4USik9AEAAMQDAAAOAAAAAAAAAAAAAAAAAC4CAABk&#10;cnMvZTJvRG9jLnhtbFBLAQItABQABgAIAAAAIQBidMqT3wAAAAsBAAAPAAAAAAAAAAAAAAAAAE4E&#10;AABkcnMvZG93bnJldi54bWxQSwUGAAAAAAQABADzAAAAWgUAAAAA&#10;" filled="f" stroked="f">
                <v:textbox inset="0,0,0,0">
                  <w:txbxContent>
                    <w:p w14:paraId="1C5C0FC9" w14:textId="77777777" w:rsidR="00490F33" w:rsidRDefault="00490F33">
                      <w:pPr>
                        <w:spacing w:before="235" w:line="240" w:lineRule="exact"/>
                        <w:ind w:left="792" w:right="648" w:hanging="360"/>
                        <w:textAlignment w:val="baseline"/>
                        <w:rPr>
                          <w:rFonts w:ascii="Tahoma" w:eastAsia="Tahoma" w:hAnsi="Tahoma"/>
                          <w:color w:val="404042"/>
                          <w:spacing w:val="5"/>
                          <w:sz w:val="18"/>
                        </w:rPr>
                      </w:pPr>
                      <w:r>
                        <w:rPr>
                          <w:rFonts w:ascii="Tahoma" w:eastAsia="Tahoma" w:hAnsi="Tahoma"/>
                          <w:color w:val="404042"/>
                          <w:spacing w:val="5"/>
                          <w:sz w:val="18"/>
                        </w:rPr>
                        <w:t>4.1 One of the important goals of schooling is to provide a foundation that prepares young people for the world of work. Industry has an essential role to play in supporting schools to achieve this. While there are notable exceptions at the school level, effective partnerships with industry have proven hard to establish and are not adequately embedded in education systems. Industry collaboration needs to be accorded more weight and pursued with greater vigour.</w:t>
                      </w:r>
                    </w:p>
                    <w:p w14:paraId="12D659A7" w14:textId="77777777" w:rsidR="00490F33" w:rsidRDefault="00490F33">
                      <w:pPr>
                        <w:spacing w:before="168" w:after="297" w:line="240" w:lineRule="exact"/>
                        <w:ind w:left="792" w:right="864" w:hanging="360"/>
                        <w:textAlignment w:val="baseline"/>
                        <w:rPr>
                          <w:rFonts w:ascii="Tahoma" w:eastAsia="Tahoma" w:hAnsi="Tahoma"/>
                          <w:color w:val="404042"/>
                          <w:spacing w:val="5"/>
                          <w:sz w:val="18"/>
                        </w:rPr>
                      </w:pPr>
                      <w:r>
                        <w:rPr>
                          <w:rFonts w:ascii="Tahoma" w:eastAsia="Tahoma" w:hAnsi="Tahoma"/>
                          <w:color w:val="404042"/>
                          <w:spacing w:val="5"/>
                          <w:sz w:val="18"/>
                        </w:rPr>
                        <w:t>4.2 It is essential that schools and industry engage more systematically with employers in order to help senior secondary students gain an understanding of the world of work, undertake effective career planning, and access opportunities for employment and training. Programs that support school– industry partnerships at scale, such as hubs and brokerage arrangements, should be put in place to increase the quality and longevity of school–industry partnerships.</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915776" behindDoc="0" locked="0" layoutInCell="1" allowOverlap="1" wp14:anchorId="2914D140" wp14:editId="7617F14B">
                <wp:simplePos x="0" y="0"/>
                <wp:positionH relativeFrom="page">
                  <wp:posOffset>545465</wp:posOffset>
                </wp:positionH>
                <wp:positionV relativeFrom="page">
                  <wp:posOffset>723900</wp:posOffset>
                </wp:positionV>
                <wp:extent cx="6480175" cy="0"/>
                <wp:effectExtent l="0" t="0" r="0" b="0"/>
                <wp:wrapNone/>
                <wp:docPr id="617"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0BC2E" id="Line 338" o:spid="_x0000_s1026" style="position:absolute;z-index:25191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553.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iz0AEAAIYDAAAOAAAAZHJzL2Uyb0RvYy54bWysU8FuGjEQvVfqP1i+l11CA2jFkgMkvdAW&#10;KekHDLaXter1WLZh4e879gJJ21uUizX2zLx582a8eDh1hh2VDxptzcejkjNlBUpt9zX/9fL0Zc5Z&#10;iGAlGLSq5mcV+MPy86dF7yp1hy0aqTwjEBuq3tW8jdFVRRFEqzoII3TKkrNB30Gkq98X0kNP6J0p&#10;7spyWvTopfMoVAj0uh6cfJnxm0aJ+LNpgorM1Jy4xXz6fO7SWSwXUO09uFaLCw14B4sOtKWiN6g1&#10;RGAHr/+D6rTwGLCJI4FdgU2jhco9UDfj8p9unltwKvdC4gR3kyl8HKz4cdx6pmXNp+MZZxY6GtJG&#10;W8Umk3lSp3ehoqCV3frUnzjZZ7dB8Tswi6sW7F5lli9nR4njlFH8lZIuwVGNXf8dJcXAIWKW6tT4&#10;LkGSCOyUJ3K+TUSdIhP0OP06L8eze87E1VdAdU10PsRvCjuWjJobYp2B4bgJMRGB6hqS6lh80sbk&#10;gRvLegKf3Jc5IaDRMjlTWPD73cp4doS0MuWsnD/mrsjzNiwhryG0Q1x2Dcvk8WBlrtIqkI8XO4I2&#10;g02sjL2olIQZJN6hPG/9VT0adqZ/Wcy0TW/vOfv1+yz/AAAA//8DAFBLAwQUAAYACAAAACEAhOQn&#10;2N4AAAALAQAADwAAAGRycy9kb3ducmV2LnhtbEyPXUvDMBSG7wX/QziCdy7tmGPWpkMK6lAGbip4&#10;mTXHppiclCbb6r/3DAS9PO95eD/K5eidOOAQu0AK8kkGAqkJpqNWwdvr/dUCREyajHaBUME3RlhW&#10;52elLkw40gYP29QKNqFYaAU2pb6QMjYWvY6T0CPx7zMMXic+h1aaQR/Z3Ds5zbK59LojTrC6x9pi&#10;87XdewWmXq2e1nV6tKN7GN5fnqfyY+OVurwY725BJBzTHwyn+lwdKu60C3syUTgFi+sbJlnPZ7zp&#10;BOTZfAZi9yvJqpT/N1Q/AAAA//8DAFBLAQItABQABgAIAAAAIQC2gziS/gAAAOEBAAATAAAAAAAA&#10;AAAAAAAAAAAAAABbQ29udGVudF9UeXBlc10ueG1sUEsBAi0AFAAGAAgAAAAhADj9If/WAAAAlAEA&#10;AAsAAAAAAAAAAAAAAAAALwEAAF9yZWxzLy5yZWxzUEsBAi0AFAAGAAgAAAAhAElUeLPQAQAAhgMA&#10;AA4AAAAAAAAAAAAAAAAALgIAAGRycy9lMm9Eb2MueG1sUEsBAi0AFAAGAAgAAAAhAITkJ9jeAAAA&#10;CwEAAA8AAAAAAAAAAAAAAAAAKgQAAGRycy9kb3ducmV2LnhtbFBLBQYAAAAABAAEAPMAAAA1BQAA&#10;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1916800" behindDoc="0" locked="0" layoutInCell="1" allowOverlap="1" wp14:anchorId="509AA3F7" wp14:editId="579118EA">
                <wp:simplePos x="0" y="0"/>
                <wp:positionH relativeFrom="page">
                  <wp:posOffset>545465</wp:posOffset>
                </wp:positionH>
                <wp:positionV relativeFrom="page">
                  <wp:posOffset>723900</wp:posOffset>
                </wp:positionV>
                <wp:extent cx="0" cy="2637155"/>
                <wp:effectExtent l="0" t="0" r="0" b="0"/>
                <wp:wrapNone/>
                <wp:docPr id="616"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7155"/>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59670" id="Line 337" o:spid="_x0000_s1026" style="position:absolute;z-index:2519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42.95pt,2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CdzwEAAIYDAAAOAAAAZHJzL2Uyb0RvYy54bWysU8GO2yAQvVfqPyDuje1ESVZWnD0ku72k&#10;baTdfsAEsI0KDAISO39fwNm0296qXtAAb968eQObx1ErchHOSzQNrWYlJcIw5NJ0Df3++vzpgRIf&#10;wHBQaERDr8LTx+3HD5vB1mKOPSouHIkkxteDbWgfgq2LwrNeaPAztMLEyxadhhC3riu4gyGya1XM&#10;y3JVDOi4dciE9/F0P13SbeZvW8HCt7b1IhDV0Kgt5NXl9ZTWYruBunNge8luMuAfVGiQJha9U+0h&#10;ADk7+ReVlsyhxzbMGOoC21YykXuI3VTlH9289GBF7iWa4+3dJv//aNnXy9ERyRu6qlaUGNBxSAdp&#10;BFks1smdwfo6gnbm6FJ/bDQv9oDshycGdz2YTmSVr1cbE6uUUbxLSRtvY43T8AV5xMA5YLZqbJ1O&#10;lNEEMuaJXO8TEWMgbDpk8XS+Wqyr5TKzQ/2WaJ0PnwVqkoKGqqg6E8Pl4EMSAvUbJNUx+CyVygNX&#10;hgyx48WyzAkeleTpMsG860475cgF0pMp1+XD063uO1hi3oPvJ1y+SjCoHZ4Nz1EvgD/d4gBSTXFU&#10;pczNpWTMZPEJ+fXokuhkWBx2ln97mOk1/b7PqF/fZ/sTAAD//wMAUEsDBBQABgAIAAAAIQBro7JO&#10;3gAAAAkBAAAPAAAAZHJzL2Rvd25yZXYueG1sTI9NS8NAEIbvgv9hGcGb3TRaaWM2RQJqsQi2Knjc&#10;ZsckuDsbdrdt/PeOXvQ47zy8H+VydFYcMMTek4LpJAOB1HjTU6vg9eXuYg4iJk1GW0+o4AsjLKvT&#10;k1IXxh9pg4dtagWbUCy0gi6loZAyNh06HSd+QOLfhw9OJz5DK03QRzZ3VuZZdi2d7okTOj1g3WHz&#10;ud07BaZerR6f6vTQjfY+vD2vc/m+cUqdn423NyASjukPhp/6XB0q7rTzezJRWAXz2YJJ1qdXvImB&#10;X2GnYJYvLkFWpfy/oPoGAAD//wMAUEsBAi0AFAAGAAgAAAAhALaDOJL+AAAA4QEAABMAAAAAAAAA&#10;AAAAAAAAAAAAAFtDb250ZW50X1R5cGVzXS54bWxQSwECLQAUAAYACAAAACEAOP0h/9YAAACUAQAA&#10;CwAAAAAAAAAAAAAAAAAvAQAAX3JlbHMvLnJlbHNQSwECLQAUAAYACAAAACEAzwYQnc8BAACGAwAA&#10;DgAAAAAAAAAAAAAAAAAuAgAAZHJzL2Uyb0RvYy54bWxQSwECLQAUAAYACAAAACEAa6OyTt4AAAAJ&#10;AQAADwAAAAAAAAAAAAAAAAApBAAAZHJzL2Rvd25yZXYueG1sUEsFBgAAAAAEAAQA8wAAADQFAAAA&#10;AA==&#10;" strokecolor="#00708e" strokeweight=".5pt">
                <w10:wrap anchorx="page" anchory="page"/>
              </v:line>
            </w:pict>
          </mc:Fallback>
        </mc:AlternateContent>
      </w:r>
      <w:r w:rsidR="00083242">
        <w:rPr>
          <w:rFonts w:ascii="Tahoma" w:eastAsia="Tahoma" w:hAnsi="Tahoma"/>
          <w:color w:val="404042"/>
          <w:sz w:val="18"/>
        </w:rPr>
        <w:t>In 2019, the Alice Springs (Mparntwe) Education Declaration committed all Australian governments to building partnerships that support learners’ progress through the education system.</w:t>
      </w:r>
    </w:p>
    <w:p w14:paraId="28A64A4B" w14:textId="00F9D90B" w:rsidR="009757A9" w:rsidRDefault="000D2E34">
      <w:pPr>
        <w:spacing w:before="109" w:line="299" w:lineRule="exact"/>
        <w:ind w:left="1296" w:right="1296"/>
        <w:textAlignment w:val="baseline"/>
        <w:rPr>
          <w:rFonts w:ascii="Tahoma" w:eastAsia="Tahoma" w:hAnsi="Tahoma"/>
          <w:i/>
          <w:color w:val="007994"/>
          <w:spacing w:val="-3"/>
        </w:rPr>
      </w:pPr>
      <w:r>
        <w:rPr>
          <w:noProof/>
          <w:lang w:val="en-AU" w:eastAsia="en-AU"/>
        </w:rPr>
        <mc:AlternateContent>
          <mc:Choice Requires="wps">
            <w:drawing>
              <wp:anchor distT="0" distB="0" distL="114300" distR="114300" simplePos="0" relativeHeight="251917824" behindDoc="0" locked="0" layoutInCell="1" allowOverlap="1" wp14:anchorId="7475AF35" wp14:editId="2E92E4A9">
                <wp:simplePos x="0" y="0"/>
                <wp:positionH relativeFrom="page">
                  <wp:posOffset>826135</wp:posOffset>
                </wp:positionH>
                <wp:positionV relativeFrom="page">
                  <wp:posOffset>4304030</wp:posOffset>
                </wp:positionV>
                <wp:extent cx="5907405" cy="0"/>
                <wp:effectExtent l="0" t="0" r="0" b="0"/>
                <wp:wrapNone/>
                <wp:docPr id="615"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F893" id="Line 336" o:spid="_x0000_s1026" style="position:absolute;z-index:2519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38.9pt" to="530.2pt,3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Ax0QEAAIYDAAAOAAAAZHJzL2Uyb0RvYy54bWysU01v2zAMvQ/YfxB0X+w0TboYcXpI1l2y&#10;LUDbH8BIcixMFgVJiZ1/P0r5WLfehl0EySQf33ukF49DZ9hR+aDR1nw8KjlTVqDUdl/z15enT585&#10;CxGsBINW1fykAn9cfvyw6F2l7rBFI5VnBGJD1buatzG6qiiCaFUHYYROWQo26DuI9PT7QnroCb0z&#10;xV1ZzooevXQehQqBvq7PQb7M+E2jRPzRNEFFZmpO3GI+fT536SyWC6j2HlyrxYUG/AOLDrSlpjeo&#10;NURgB6/fQXVaeAzYxJHArsCm0UJlDaRmXP6l5rkFp7IWMie4m03h/8GK78etZ1rWfDaecmahoyFt&#10;tFVsMpkld3oXKkpa2a1P+sRgn90Gxc/ALK5asHuVWb6cHBWOU0XxR0l6BEc9dv03lJQDh4jZqqHx&#10;XYIkE9iQJ3K6TUQNkQn6OJ2XD/clERPXWAHVtdD5EL8q7Fi61NwQ6wwMx02IiQhU15TUx+KTNiYP&#10;3FjWk+LJtMwFAY2WKZjSgt/vVsazI6SVKR/m8/usiiJv0xLyGkJ7zsuh8zJ5PFiZu7QK5JfLPYI2&#10;5zuxMvbiUjLmbPEO5Wnrr+7RsDP9y2KmbXr7ztW/f5/lLwAAAP//AwBQSwMEFAAGAAgAAAAhAIAz&#10;v8XcAAAADAEAAA8AAABkcnMvZG93bnJldi54bWxMj81OwzAQhO9IvIO1SNyoXX5SFOJUqKinXqBF&#10;4rqNlyQQr6PYTdO3ZyshwXFmP83OFMvJd2qkIbaBLcxnBhRxFVzLtYX33frmEVRMyA67wGThRBGW&#10;5eVFgbkLR36jcZtqJSEcc7TQpNTnWseqIY9xFnpiuX2GwWMSOdTaDXiUcN/pW2My7bFl+dBgT6uG&#10;qu/twVtYo9m9us0mfMWPh9MKk3YvNFp7fTU9P4FKNKU/GM71pTqU0mkfDuyi6kTfmbmgFrLFQjac&#10;CZOZe1D7X0uXhf4/ovwBAAD//wMAUEsBAi0AFAAGAAgAAAAhALaDOJL+AAAA4QEAABMAAAAAAAAA&#10;AAAAAAAAAAAAAFtDb250ZW50X1R5cGVzXS54bWxQSwECLQAUAAYACAAAACEAOP0h/9YAAACUAQAA&#10;CwAAAAAAAAAAAAAAAAAvAQAAX3JlbHMvLnJlbHNQSwECLQAUAAYACAAAACEAArDwMdEBAACGAwAA&#10;DgAAAAAAAAAAAAAAAAAuAgAAZHJzL2Uyb0RvYy54bWxQSwECLQAUAAYACAAAACEAgDO/x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pacing w:val="-3"/>
        </w:rPr>
        <w:t>“... partnerships create opportunities for young Australians to connect with their communities, business and industry and support the development and wellbeing of young people and their families. These connections and associations can facilitate development, training and employment opportunities, promote a sense of responsible citizenship and encourage lifelong learning. These partnerships should aim to enhance learner engagement, progress and achievement.”</w:t>
      </w:r>
    </w:p>
    <w:p w14:paraId="0E7CED40" w14:textId="0E03A568" w:rsidR="009757A9" w:rsidRDefault="00083242">
      <w:pPr>
        <w:spacing w:before="44" w:after="225" w:line="254" w:lineRule="exact"/>
        <w:ind w:left="5904"/>
        <w:textAlignment w:val="baseline"/>
        <w:rPr>
          <w:rFonts w:ascii="Tahoma" w:eastAsia="Tahoma" w:hAnsi="Tahoma"/>
          <w:i/>
          <w:color w:val="007994"/>
          <w:spacing w:val="-5"/>
        </w:rPr>
      </w:pPr>
      <w:r>
        <w:rPr>
          <w:rFonts w:ascii="Tahoma" w:eastAsia="Tahoma" w:hAnsi="Tahoma"/>
          <w:i/>
          <w:color w:val="007994"/>
          <w:spacing w:val="-5"/>
        </w:rPr>
        <w:t>Alice Springs (Mparntwe) Education Declaration</w:t>
      </w:r>
      <w:r>
        <w:rPr>
          <w:rFonts w:ascii="Tahoma" w:eastAsia="Tahoma" w:hAnsi="Tahoma"/>
          <w:i/>
          <w:color w:val="007994"/>
          <w:spacing w:val="-5"/>
          <w:vertAlign w:val="superscript"/>
        </w:rPr>
        <w:t>126</w:t>
      </w:r>
      <w:r>
        <w:rPr>
          <w:rFonts w:ascii="Tahoma" w:eastAsia="Tahoma" w:hAnsi="Tahoma"/>
          <w:i/>
          <w:color w:val="007994"/>
          <w:spacing w:val="-5"/>
          <w:sz w:val="12"/>
        </w:rPr>
        <w:t xml:space="preserve"> </w:t>
      </w:r>
    </w:p>
    <w:p w14:paraId="69A66718" w14:textId="3F4C1DFF" w:rsidR="009757A9" w:rsidRDefault="000D2E34">
      <w:pPr>
        <w:spacing w:before="467" w:line="240" w:lineRule="exact"/>
        <w:ind w:left="864" w:right="1080"/>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918848" behindDoc="0" locked="0" layoutInCell="1" allowOverlap="1" wp14:anchorId="6FB4DE49" wp14:editId="1793D65E">
                <wp:simplePos x="0" y="0"/>
                <wp:positionH relativeFrom="page">
                  <wp:posOffset>826135</wp:posOffset>
                </wp:positionH>
                <wp:positionV relativeFrom="page">
                  <wp:posOffset>5657215</wp:posOffset>
                </wp:positionV>
                <wp:extent cx="5907405" cy="0"/>
                <wp:effectExtent l="0" t="0" r="0" b="0"/>
                <wp:wrapNone/>
                <wp:docPr id="614"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0DE9D" id="Line 335" o:spid="_x0000_s1026" style="position:absolute;z-index:25191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45.45pt" to="530.2pt,4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yO0QEAAIYDAAAOAAAAZHJzL2Uyb0RvYy54bWysU01v2zAMvQ/YfxB0X+w0SbsYcXpI1l2y&#10;LUDbH8BIcixMFgVJiZ1/P0r5WLfehl0EySQf33ukF49DZ9hR+aDR1nw8KjlTVqDUdl/z15enT585&#10;CxGsBINW1fykAn9cfvyw6F2l7rBFI5VnBGJD1buatzG6qiiCaFUHYYROWQo26DuI9PT7QnroCb0z&#10;xV1Z3hc9euk8ChUCfV2fg3yZ8ZtGifijaYKKzNScuMV8+nzu0lksF1DtPbhWiwsN+AcWHWhLTW9Q&#10;a4jADl6/g+q08BiwiSOBXYFNo4XKGkjNuPxLzXMLTmUtZE5wN5vC/4MV349bz7Ss+f14ypmFjoa0&#10;0VaxyWSW3OldqChpZbc+6RODfXYbFD8Ds7hqwe5VZvlyclQ4ThXFHyXpERz12PXfUFIOHCJmq4bG&#10;dwmSTGBDnsjpNhE1RCbo42xePkzLGWfiGiuguhY6H+JXhR1Ll5obYp2B4bgJMRGB6pqS+lh80sbk&#10;gRvLelI8mZW5IKDRMgVTWvD73cp4doS0MuXDfD7NqijyNi0hryG057wcOi+Tx4OVuUurQH653CNo&#10;c74TK2MvLiVjzhbvUJ62/uoeDTvTvyxm2qa371z9+/dZ/gIAAP//AwBQSwMEFAAGAAgAAAAhAGG5&#10;skvcAAAADAEAAA8AAABkcnMvZG93bnJldi54bWxMj01PwzAMhu9I/IfISNxYMj6mrTSd0NBOu8CG&#10;xNVrTFtonKrJuu7f40lI4/jaj14/zpejb9VAfWwCW5hODCjiMriGKwsfu/XdHFRMyA7bwGThRBGW&#10;xfVVjpkLR36nYZsqJSUcM7RQp9RlWseyJo9xEjpi2X2F3mOS2Ffa9XiUct/qe2Nm2mPDcqHGjlY1&#10;lT/bg7ewRrN7c5tN+I6fT6cVJu1eabD29mZ8eQaVaEwXGM76og6FOO3DgV1UreQHMxXUwnxhFqDO&#10;hJmZR1D7v5Eucv3/ieIXAAD//wMAUEsBAi0AFAAGAAgAAAAhALaDOJL+AAAA4QEAABMAAAAAAAAA&#10;AAAAAAAAAAAAAFtDb250ZW50X1R5cGVzXS54bWxQSwECLQAUAAYACAAAACEAOP0h/9YAAACUAQAA&#10;CwAAAAAAAAAAAAAAAAAvAQAAX3JlbHMvLnJlbHNQSwECLQAUAAYACAAAACEAwKw8jtEBAACGAwAA&#10;DgAAAAAAAAAAAAAAAAAuAgAAZHJzL2Uyb0RvYy54bWxQSwECLQAUAAYACAAAACEAYbmyS9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z w:val="18"/>
        </w:rPr>
        <w:t>Throughout consultations, stakeholders showed widespread support for school–industry partnerships at all schools, from primary school. They were regarded as particularly important at the senior secondary level. It was widely recognised that school–industry collaborations improve education and employment outcomes.</w:t>
      </w:r>
    </w:p>
    <w:p w14:paraId="2FCE026C" w14:textId="2BC0BE8E" w:rsidR="009757A9" w:rsidRDefault="00083242">
      <w:pPr>
        <w:spacing w:before="172" w:line="240" w:lineRule="exact"/>
        <w:ind w:left="864" w:right="1368"/>
        <w:jc w:val="both"/>
        <w:textAlignment w:val="baseline"/>
        <w:rPr>
          <w:rFonts w:ascii="Tahoma" w:eastAsia="Tahoma" w:hAnsi="Tahoma"/>
          <w:color w:val="404042"/>
          <w:spacing w:val="5"/>
          <w:sz w:val="18"/>
        </w:rPr>
      </w:pPr>
      <w:r>
        <w:rPr>
          <w:rFonts w:ascii="Tahoma" w:eastAsia="Tahoma" w:hAnsi="Tahoma"/>
          <w:color w:val="404042"/>
          <w:spacing w:val="5"/>
          <w:sz w:val="18"/>
        </w:rPr>
        <w:t>Partnerships can range from individual schools working with local employers, to regional economic development initiatives involving multiple schools and industry partners. Intermediaries that facilitate partnerships can play an important role in the creation of these education relationships, including industry associations, employer bodies, universities, registered training providers, not-for-profit organisations and government departments.</w:t>
      </w:r>
      <w:r>
        <w:rPr>
          <w:rFonts w:ascii="Tahoma" w:eastAsia="Tahoma" w:hAnsi="Tahoma"/>
          <w:color w:val="404042"/>
          <w:spacing w:val="5"/>
          <w:sz w:val="18"/>
          <w:vertAlign w:val="superscript"/>
        </w:rPr>
        <w:t>127</w:t>
      </w:r>
      <w:r>
        <w:rPr>
          <w:rFonts w:ascii="Tahoma" w:eastAsia="Tahoma" w:hAnsi="Tahoma"/>
          <w:color w:val="404042"/>
          <w:spacing w:val="5"/>
          <w:sz w:val="10"/>
        </w:rPr>
        <w:t xml:space="preserve"> </w:t>
      </w:r>
    </w:p>
    <w:p w14:paraId="0D3FC8FF" w14:textId="2F4814D0" w:rsidR="009757A9" w:rsidRDefault="00083242">
      <w:pPr>
        <w:spacing w:before="168" w:after="1402"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School–industry partnerships enable students to engage with the world of work and support the development of skills valued in current and future workplaces as part of school learning. They provide a variety of opportunities for students to meet and learn from industry professionals. They can engage students in thinking about how to solve real-world problems and learn to use state-of-the-art technology.</w:t>
      </w:r>
    </w:p>
    <w:p w14:paraId="630E975B" w14:textId="79D6F6B7" w:rsidR="009757A9" w:rsidRDefault="000D2E34">
      <w:pPr>
        <w:spacing w:before="80" w:line="171" w:lineRule="exact"/>
        <w:ind w:left="864"/>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1919872" behindDoc="0" locked="0" layoutInCell="1" allowOverlap="1" wp14:anchorId="5C74CAC8" wp14:editId="60436D52">
                <wp:simplePos x="0" y="0"/>
                <wp:positionH relativeFrom="page">
                  <wp:posOffset>539750</wp:posOffset>
                </wp:positionH>
                <wp:positionV relativeFrom="page">
                  <wp:posOffset>8744585</wp:posOffset>
                </wp:positionV>
                <wp:extent cx="917575" cy="0"/>
                <wp:effectExtent l="0" t="0" r="0" b="0"/>
                <wp:wrapNone/>
                <wp:docPr id="61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75948" id="Line 334" o:spid="_x0000_s1026" style="position:absolute;z-index:25191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88.55pt" to="114.75pt,6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h8zgEAAIYDAAAOAAAAZHJzL2Uyb0RvYy54bWysU8GS0zAMvTPDP3h8p0lb2oVM0z20LJcC&#10;ndnlA1TbaTw4lsd2m/TvkZ22LHBjyMFjWdLT05Oyehw6w87KB4225tNJyZmyAqW2x5p/f3l694Gz&#10;EMFKMGhVzS8q8Mf12zer3lVqhi0aqTwjEBuq3tW8jdFVRRFEqzoIE3TKkrNB30Ek0x8L6aEn9M4U&#10;s7JcFj166TwKFQK9bkcnX2f8plEifmuaoCIzNSduMZ8+n4d0FusVVEcPrtXiSgP+gUUH2lLRO9QW&#10;IrCT139BdVp4DNjEicCuwKbRQuUeqJtp+Uc3zy04lXshcYK7yxT+H6z4et57pmXNl9M5ZxY6GtJO&#10;W8Xm8/dJnd6FioI2du9Tf2Kwz26H4kdgFjct2KPKLF8ujhKnKaP4LSUZwVGNQ/8FJcXAKWKWamh8&#10;lyBJBDbkiVzuE1FDZIIeP04fFg8LzsTNVUB1y3M+xM8KO5YuNTdEOuPCeRdi4gHVLSSVsfikjcnz&#10;Npb1RHZWLhc5I6DRMnlTXPDHw8Z4doa0MvnLXZHndViC3kJox7jsGpfJ48nKXKZVID9d7xG0Ge9E&#10;y9irSkmYUeIDysve39SjYWf+18VM2/Taztm/fp/1TwAAAP//AwBQSwMEFAAGAAgAAAAhAJa4Pxvg&#10;AAAADAEAAA8AAABkcnMvZG93bnJldi54bWxMj81OwzAQhO9IvIO1SFxQ6zT0J6RxKlQJblS0BdGj&#10;G2+TiHgdxW4T3p7lgOC4s6OZb7LVYBtxwc7XjhRMxhEIpMKZmkoFb/unUQLCB01GN45QwRd6WOXX&#10;V5lOjetpi5ddKAWHkE+1giqENpXSFxVa7ceuReLfyXVWBz67UppO9xxuGxlH0VxaXRM3VLrFdYXF&#10;5+5sFUgZJdPh/aN/md75pD6sy8Pz5lWp25vhcQki4BD+zPCDz+iQM9PRncl40ShIZjwlsH6/WExA&#10;sCOOH2Ygjr+SzDP5f0T+DQAA//8DAFBLAQItABQABgAIAAAAIQC2gziS/gAAAOEBAAATAAAAAAAA&#10;AAAAAAAAAAAAAABbQ29udGVudF9UeXBlc10ueG1sUEsBAi0AFAAGAAgAAAAhADj9If/WAAAAlAEA&#10;AAsAAAAAAAAAAAAAAAAALwEAAF9yZWxzLy5yZWxzUEsBAi0AFAAGAAgAAAAhAAZp+HzOAQAAhgMA&#10;AA4AAAAAAAAAAAAAAAAALgIAAGRycy9lMm9Eb2MueG1sUEsBAi0AFAAGAAgAAAAhAJa4PxvgAAAA&#10;DAEAAA8AAAAAAAAAAAAAAAAAKAQAAGRycy9kb3ducmV2LnhtbFBLBQYAAAAABAAEAPMAAAA1BQAA&#10;AAA=&#10;" strokeweight=".95pt">
                <w10:wrap anchorx="page" anchory="page"/>
              </v:line>
            </w:pict>
          </mc:Fallback>
        </mc:AlternateContent>
      </w:r>
      <w:r w:rsidR="00083242">
        <w:rPr>
          <w:rFonts w:ascii="Tahoma" w:eastAsia="Tahoma" w:hAnsi="Tahoma"/>
          <w:color w:val="404042"/>
          <w:spacing w:val="4"/>
          <w:sz w:val="14"/>
        </w:rPr>
        <w:t>126 Council of Australian Governments Education Council (2019), p. 14.</w:t>
      </w:r>
    </w:p>
    <w:p w14:paraId="41D16B28" w14:textId="207E466E" w:rsidR="009757A9" w:rsidRDefault="00083242">
      <w:pPr>
        <w:spacing w:before="26" w:line="176" w:lineRule="exact"/>
        <w:ind w:left="864"/>
        <w:textAlignment w:val="baseline"/>
        <w:rPr>
          <w:rFonts w:ascii="Tahoma" w:eastAsia="Tahoma" w:hAnsi="Tahoma"/>
          <w:color w:val="404042"/>
          <w:spacing w:val="2"/>
          <w:sz w:val="14"/>
        </w:rPr>
      </w:pPr>
      <w:r>
        <w:rPr>
          <w:rFonts w:ascii="Tahoma" w:eastAsia="Tahoma" w:hAnsi="Tahoma"/>
          <w:color w:val="404042"/>
          <w:spacing w:val="2"/>
          <w:sz w:val="14"/>
        </w:rPr>
        <w:t xml:space="preserve">127 Torii, K. (2018), </w:t>
      </w:r>
      <w:r>
        <w:rPr>
          <w:rFonts w:ascii="Arial" w:eastAsia="Arial" w:hAnsi="Arial"/>
          <w:i/>
          <w:color w:val="404042"/>
          <w:spacing w:val="2"/>
          <w:sz w:val="14"/>
        </w:rPr>
        <w:t>Connecting the Worlds of Learning and Work: Prioritising school–industry partnerships in Australia’s education system</w:t>
      </w:r>
      <w:r>
        <w:rPr>
          <w:rFonts w:ascii="Tahoma" w:eastAsia="Tahoma" w:hAnsi="Tahoma"/>
          <w:color w:val="404042"/>
          <w:spacing w:val="2"/>
          <w:sz w:val="14"/>
        </w:rPr>
        <w:t>, Mitchell Report</w:t>
      </w:r>
    </w:p>
    <w:p w14:paraId="1A08A2FE" w14:textId="65D5BB67" w:rsidR="009757A9" w:rsidRDefault="00083242">
      <w:pPr>
        <w:spacing w:line="199" w:lineRule="exact"/>
        <w:ind w:left="1080" w:right="1080"/>
        <w:jc w:val="both"/>
        <w:textAlignment w:val="baseline"/>
        <w:rPr>
          <w:rFonts w:ascii="Tahoma" w:eastAsia="Tahoma" w:hAnsi="Tahoma"/>
          <w:color w:val="404042"/>
          <w:sz w:val="14"/>
        </w:rPr>
      </w:pPr>
      <w:r>
        <w:rPr>
          <w:rFonts w:ascii="Tahoma" w:eastAsia="Tahoma" w:hAnsi="Tahoma"/>
          <w:color w:val="404042"/>
          <w:sz w:val="14"/>
        </w:rPr>
        <w:t xml:space="preserve">No. 02/2018, Mitchell Institute: Victoria University, July 2018, p. iv, </w:t>
      </w:r>
      <w:hyperlink r:id="rId199">
        <w:r>
          <w:rPr>
            <w:rFonts w:ascii="Tahoma" w:eastAsia="Tahoma" w:hAnsi="Tahoma"/>
            <w:color w:val="0000FF"/>
            <w:sz w:val="14"/>
            <w:u w:val="single"/>
          </w:rPr>
          <w:t>http://www.mitchellinstitute.org.au/wp-content/uploads/2018/07/Connecting-t he-worlds-of-learning-and-work.pdf</w:t>
        </w:r>
      </w:hyperlink>
      <w:r>
        <w:rPr>
          <w:rFonts w:ascii="Tahoma" w:eastAsia="Tahoma" w:hAnsi="Tahoma"/>
          <w:color w:val="404042"/>
          <w:sz w:val="14"/>
        </w:rPr>
        <w:t>.</w:t>
      </w:r>
    </w:p>
    <w:p w14:paraId="5861AC5C" w14:textId="1C599522" w:rsidR="009757A9" w:rsidRDefault="00666F4A">
      <w:pPr>
        <w:tabs>
          <w:tab w:val="left" w:pos="1368"/>
        </w:tabs>
        <w:spacing w:before="645" w:after="638" w:line="205" w:lineRule="exact"/>
        <w:ind w:left="864"/>
        <w:textAlignment w:val="baseline"/>
        <w:rPr>
          <w:rFonts w:ascii="Arial" w:eastAsia="Arial" w:hAnsi="Arial"/>
          <w:b/>
          <w:color w:val="5556A1"/>
          <w:spacing w:val="4"/>
          <w:sz w:val="18"/>
        </w:rPr>
      </w:pPr>
      <w:r>
        <w:rPr>
          <w:noProof/>
          <w:lang w:val="en-AU" w:eastAsia="en-AU"/>
        </w:rPr>
        <w:drawing>
          <wp:anchor distT="0" distB="0" distL="114300" distR="114300" simplePos="0" relativeHeight="252080640" behindDoc="1" locked="0" layoutInCell="1" allowOverlap="1" wp14:anchorId="5DEAC412" wp14:editId="6FA2E1D6">
            <wp:simplePos x="0" y="0"/>
            <wp:positionH relativeFrom="margin">
              <wp:align>right</wp:align>
            </wp:positionH>
            <wp:positionV relativeFrom="paragraph">
              <wp:posOffset>920750</wp:posOffset>
            </wp:positionV>
            <wp:extent cx="7562215" cy="462915"/>
            <wp:effectExtent l="0" t="0" r="635" b="0"/>
            <wp:wrapNone/>
            <wp:docPr id="153" name="Picture"/>
            <wp:cNvGraphicFramePr/>
            <a:graphic xmlns:a="http://schemas.openxmlformats.org/drawingml/2006/main">
              <a:graphicData uri="http://schemas.openxmlformats.org/drawingml/2006/picture">
                <pic:pic xmlns:pic="http://schemas.openxmlformats.org/drawingml/2006/picture">
                  <pic:nvPicPr>
                    <pic:cNvPr id="153" name="Picture"/>
                    <pic:cNvPicPr preferRelativeResize="0"/>
                  </pic:nvPicPr>
                  <pic:blipFill>
                    <a:blip r:embed="rId20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8"/>
        </w:rPr>
        <w:t>94</w:t>
      </w:r>
      <w:r w:rsidR="00083242">
        <w:rPr>
          <w:rFonts w:ascii="Tahoma" w:eastAsia="Tahoma" w:hAnsi="Tahoma"/>
          <w:color w:val="404042"/>
          <w:spacing w:val="4"/>
          <w:sz w:val="14"/>
        </w:rPr>
        <w:tab/>
        <w:t>Looking to the future</w:t>
      </w:r>
    </w:p>
    <w:p w14:paraId="3DD2D14E" w14:textId="24138A31" w:rsidR="009757A9" w:rsidRDefault="009757A9">
      <w:pPr>
        <w:sectPr w:rsidR="009757A9">
          <w:pgSz w:w="11909" w:h="16838"/>
          <w:pgMar w:top="5741" w:right="0" w:bottom="0" w:left="0" w:header="720" w:footer="720" w:gutter="0"/>
          <w:cols w:space="720"/>
        </w:sectPr>
      </w:pPr>
    </w:p>
    <w:p w14:paraId="5BB467E3" w14:textId="77777777" w:rsidR="009757A9" w:rsidRDefault="00083242">
      <w:pPr>
        <w:spacing w:before="13" w:line="289" w:lineRule="exact"/>
        <w:textAlignment w:val="baseline"/>
        <w:rPr>
          <w:rFonts w:ascii="Tahoma" w:eastAsia="Tahoma" w:hAnsi="Tahoma"/>
          <w:b/>
          <w:color w:val="007793"/>
          <w:spacing w:val="4"/>
          <w:sz w:val="23"/>
        </w:rPr>
      </w:pPr>
      <w:r>
        <w:rPr>
          <w:rFonts w:ascii="Tahoma" w:eastAsia="Tahoma" w:hAnsi="Tahoma"/>
          <w:b/>
          <w:color w:val="007793"/>
          <w:spacing w:val="4"/>
          <w:sz w:val="23"/>
        </w:rPr>
        <w:lastRenderedPageBreak/>
        <w:t>The benefits of school–industry partnerships</w:t>
      </w:r>
    </w:p>
    <w:p w14:paraId="33026567" w14:textId="77777777" w:rsidR="009757A9" w:rsidRDefault="00083242">
      <w:pPr>
        <w:spacing w:after="258" w:line="404" w:lineRule="exact"/>
        <w:jc w:val="both"/>
        <w:textAlignment w:val="baseline"/>
        <w:rPr>
          <w:rFonts w:ascii="Verdana" w:eastAsia="Verdana" w:hAnsi="Verdana"/>
          <w:color w:val="404042"/>
          <w:sz w:val="17"/>
        </w:rPr>
      </w:pPr>
      <w:r>
        <w:rPr>
          <w:rFonts w:ascii="Verdana" w:eastAsia="Verdana" w:hAnsi="Verdana"/>
          <w:color w:val="404042"/>
          <w:sz w:val="17"/>
        </w:rPr>
        <w:t xml:space="preserve">Students, schools and business all benefit from school–industry partnerships (Figure 9). </w:t>
      </w:r>
      <w:r>
        <w:rPr>
          <w:rFonts w:ascii="Arial" w:eastAsia="Arial" w:hAnsi="Arial"/>
          <w:b/>
          <w:color w:val="404042"/>
          <w:sz w:val="19"/>
        </w:rPr>
        <w:t xml:space="preserve">Figure 9: </w:t>
      </w:r>
      <w:r>
        <w:rPr>
          <w:rFonts w:ascii="Verdana" w:eastAsia="Verdana" w:hAnsi="Verdana"/>
          <w:color w:val="404042"/>
          <w:sz w:val="17"/>
        </w:rPr>
        <w:t>Benefits of school–industry partnerships</w:t>
      </w:r>
    </w:p>
    <w:p w14:paraId="7DF8F682" w14:textId="77777777" w:rsidR="009757A9" w:rsidRDefault="009757A9">
      <w:pPr>
        <w:spacing w:after="258" w:line="404" w:lineRule="exact"/>
        <w:sectPr w:rsidR="009757A9">
          <w:pgSz w:w="11909" w:h="16838"/>
          <w:pgMar w:top="1080" w:right="3575" w:bottom="0" w:left="854" w:header="720" w:footer="720" w:gutter="0"/>
          <w:cols w:space="720"/>
        </w:sectPr>
      </w:pPr>
    </w:p>
    <w:p w14:paraId="5315CE1D" w14:textId="77777777" w:rsidR="009757A9" w:rsidRDefault="00083242">
      <w:pPr>
        <w:spacing w:after="209"/>
        <w:ind w:left="229" w:right="270"/>
        <w:textAlignment w:val="baseline"/>
      </w:pPr>
      <w:r>
        <w:rPr>
          <w:noProof/>
          <w:lang w:val="en-AU" w:eastAsia="en-AU"/>
        </w:rPr>
        <w:drawing>
          <wp:inline distT="0" distB="0" distL="0" distR="0" wp14:anchorId="0E14D26F" wp14:editId="4E1A7358">
            <wp:extent cx="393065" cy="368935"/>
            <wp:effectExtent l="0" t="0" r="0" b="0"/>
            <wp:docPr id="15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4" name="Picture">
                      <a:extLst>
                        <a:ext uri="{C183D7F6-B498-43B3-948B-1728B52AA6E4}">
                          <adec:decorative xmlns:adec="http://schemas.microsoft.com/office/drawing/2017/decorative" val="1"/>
                        </a:ext>
                      </a:extLst>
                    </pic:cNvPr>
                    <pic:cNvPicPr preferRelativeResize="0"/>
                  </pic:nvPicPr>
                  <pic:blipFill>
                    <a:blip r:embed="rId201"/>
                    <a:stretch>
                      <a:fillRect/>
                    </a:stretch>
                  </pic:blipFill>
                  <pic:spPr>
                    <a:xfrm>
                      <a:off x="0" y="0"/>
                      <a:ext cx="393065" cy="368935"/>
                    </a:xfrm>
                    <a:prstGeom prst="rect">
                      <a:avLst/>
                    </a:prstGeom>
                  </pic:spPr>
                </pic:pic>
              </a:graphicData>
            </a:graphic>
          </wp:inline>
        </w:drawing>
      </w:r>
    </w:p>
    <w:p w14:paraId="0691162A" w14:textId="77777777" w:rsidR="009757A9" w:rsidRDefault="00083242">
      <w:pPr>
        <w:spacing w:before="9" w:after="177" w:line="171" w:lineRule="exact"/>
        <w:ind w:left="72"/>
        <w:textAlignment w:val="baseline"/>
        <w:rPr>
          <w:rFonts w:ascii="Arial" w:eastAsia="Arial" w:hAnsi="Arial"/>
          <w:b/>
          <w:color w:val="25586D"/>
          <w:spacing w:val="13"/>
          <w:sz w:val="15"/>
        </w:rPr>
      </w:pPr>
      <w:r>
        <w:rPr>
          <w:rFonts w:ascii="Arial" w:eastAsia="Arial" w:hAnsi="Arial"/>
          <w:b/>
          <w:color w:val="25586D"/>
          <w:spacing w:val="13"/>
          <w:sz w:val="15"/>
        </w:rPr>
        <w:t>Students</w:t>
      </w:r>
    </w:p>
    <w:p w14:paraId="070C04C1" w14:textId="77777777" w:rsidR="009757A9" w:rsidRDefault="00083242">
      <w:pPr>
        <w:spacing w:line="188" w:lineRule="exact"/>
        <w:ind w:left="72"/>
        <w:textAlignment w:val="baseline"/>
        <w:rPr>
          <w:rFonts w:ascii="Tahoma" w:eastAsia="Tahoma" w:hAnsi="Tahoma"/>
          <w:color w:val="000000"/>
          <w:sz w:val="14"/>
        </w:rPr>
      </w:pPr>
      <w:r>
        <w:rPr>
          <w:rFonts w:ascii="Tahoma" w:eastAsia="Tahoma" w:hAnsi="Tahoma"/>
          <w:color w:val="000000"/>
          <w:sz w:val="14"/>
        </w:rPr>
        <w:t>Engagement and Participation</w:t>
      </w:r>
    </w:p>
    <w:p w14:paraId="731F1C21" w14:textId="77777777" w:rsidR="009757A9" w:rsidRDefault="00083242">
      <w:pPr>
        <w:spacing w:before="182" w:line="192" w:lineRule="exact"/>
        <w:ind w:left="72"/>
        <w:textAlignment w:val="baseline"/>
        <w:rPr>
          <w:rFonts w:ascii="Tahoma" w:eastAsia="Tahoma" w:hAnsi="Tahoma"/>
          <w:color w:val="000000"/>
          <w:sz w:val="14"/>
        </w:rPr>
      </w:pPr>
      <w:r>
        <w:rPr>
          <w:rFonts w:ascii="Tahoma" w:eastAsia="Tahoma" w:hAnsi="Tahoma"/>
          <w:color w:val="000000"/>
          <w:sz w:val="14"/>
        </w:rPr>
        <w:t>Awareness of emerging jobs</w:t>
      </w:r>
    </w:p>
    <w:p w14:paraId="0B870ACA" w14:textId="77777777" w:rsidR="009757A9" w:rsidRDefault="00083242">
      <w:pPr>
        <w:spacing w:before="186" w:after="187" w:line="188" w:lineRule="exact"/>
        <w:ind w:left="72"/>
        <w:textAlignment w:val="baseline"/>
        <w:rPr>
          <w:rFonts w:ascii="Tahoma" w:eastAsia="Tahoma" w:hAnsi="Tahoma"/>
          <w:color w:val="000000"/>
          <w:sz w:val="14"/>
        </w:rPr>
      </w:pPr>
      <w:r>
        <w:rPr>
          <w:rFonts w:ascii="Tahoma" w:eastAsia="Tahoma" w:hAnsi="Tahoma"/>
          <w:color w:val="000000"/>
          <w:sz w:val="14"/>
        </w:rPr>
        <w:t>Capabilities for future workforce</w:t>
      </w:r>
    </w:p>
    <w:p w14:paraId="56B590F8" w14:textId="77777777" w:rsidR="009757A9" w:rsidRDefault="00083242">
      <w:pPr>
        <w:spacing w:line="184" w:lineRule="exact"/>
        <w:ind w:left="72"/>
        <w:textAlignment w:val="baseline"/>
        <w:rPr>
          <w:rFonts w:ascii="Tahoma" w:eastAsia="Tahoma" w:hAnsi="Tahoma"/>
          <w:color w:val="000000"/>
          <w:sz w:val="14"/>
        </w:rPr>
      </w:pPr>
      <w:r>
        <w:rPr>
          <w:rFonts w:ascii="Tahoma" w:eastAsia="Tahoma" w:hAnsi="Tahoma"/>
          <w:color w:val="000000"/>
          <w:sz w:val="14"/>
        </w:rPr>
        <w:t>Transitions from school to work</w:t>
      </w:r>
    </w:p>
    <w:p w14:paraId="0E874CAB" w14:textId="77777777" w:rsidR="009757A9" w:rsidRDefault="00083242">
      <w:pPr>
        <w:spacing w:after="204"/>
        <w:ind w:left="216" w:right="302"/>
        <w:textAlignment w:val="baseline"/>
      </w:pPr>
      <w:r>
        <w:br w:type="column"/>
      </w:r>
      <w:r>
        <w:rPr>
          <w:noProof/>
          <w:lang w:val="en-AU" w:eastAsia="en-AU"/>
        </w:rPr>
        <w:drawing>
          <wp:inline distT="0" distB="0" distL="0" distR="0" wp14:anchorId="6CEDD4F5" wp14:editId="67C7CA96">
            <wp:extent cx="381000" cy="368935"/>
            <wp:effectExtent l="0" t="0" r="0" b="0"/>
            <wp:docPr id="15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5" name="Picture">
                      <a:extLst>
                        <a:ext uri="{C183D7F6-B498-43B3-948B-1728B52AA6E4}">
                          <adec:decorative xmlns:adec="http://schemas.microsoft.com/office/drawing/2017/decorative" val="1"/>
                        </a:ext>
                      </a:extLst>
                    </pic:cNvPr>
                    <pic:cNvPicPr preferRelativeResize="0"/>
                  </pic:nvPicPr>
                  <pic:blipFill>
                    <a:blip r:embed="rId202"/>
                    <a:stretch>
                      <a:fillRect/>
                    </a:stretch>
                  </pic:blipFill>
                  <pic:spPr>
                    <a:xfrm>
                      <a:off x="0" y="0"/>
                      <a:ext cx="381000" cy="368935"/>
                    </a:xfrm>
                    <a:prstGeom prst="rect">
                      <a:avLst/>
                    </a:prstGeom>
                  </pic:spPr>
                </pic:pic>
              </a:graphicData>
            </a:graphic>
          </wp:inline>
        </w:drawing>
      </w:r>
    </w:p>
    <w:p w14:paraId="7794F60A" w14:textId="77777777" w:rsidR="009757A9" w:rsidRDefault="00083242">
      <w:pPr>
        <w:spacing w:before="9" w:after="167" w:line="171" w:lineRule="exact"/>
        <w:jc w:val="center"/>
        <w:textAlignment w:val="baseline"/>
        <w:rPr>
          <w:rFonts w:ascii="Arial" w:eastAsia="Arial" w:hAnsi="Arial"/>
          <w:b/>
          <w:color w:val="25586D"/>
          <w:spacing w:val="9"/>
          <w:sz w:val="15"/>
        </w:rPr>
      </w:pPr>
      <w:r>
        <w:rPr>
          <w:rFonts w:ascii="Arial" w:eastAsia="Arial" w:hAnsi="Arial"/>
          <w:b/>
          <w:color w:val="25586D"/>
          <w:spacing w:val="9"/>
          <w:sz w:val="15"/>
        </w:rPr>
        <w:t>Schools</w:t>
      </w:r>
    </w:p>
    <w:p w14:paraId="28AFC722" w14:textId="77777777" w:rsidR="009757A9" w:rsidRDefault="00083242">
      <w:pPr>
        <w:spacing w:line="192" w:lineRule="exact"/>
        <w:jc w:val="center"/>
        <w:textAlignment w:val="baseline"/>
        <w:rPr>
          <w:rFonts w:ascii="Tahoma" w:eastAsia="Tahoma" w:hAnsi="Tahoma"/>
          <w:color w:val="000000"/>
          <w:sz w:val="14"/>
        </w:rPr>
      </w:pPr>
      <w:r>
        <w:rPr>
          <w:rFonts w:ascii="Tahoma" w:eastAsia="Tahoma" w:hAnsi="Tahoma"/>
          <w:color w:val="000000"/>
          <w:sz w:val="14"/>
        </w:rPr>
        <w:t xml:space="preserve">Leadership </w:t>
      </w:r>
      <w:r>
        <w:rPr>
          <w:rFonts w:ascii="Tahoma" w:eastAsia="Tahoma" w:hAnsi="Tahoma"/>
          <w:color w:val="000000"/>
          <w:sz w:val="14"/>
        </w:rPr>
        <w:br/>
        <w:t>development</w:t>
      </w:r>
    </w:p>
    <w:p w14:paraId="7A773399" w14:textId="77777777" w:rsidR="009757A9" w:rsidRDefault="00083242">
      <w:pPr>
        <w:spacing w:before="188" w:line="187" w:lineRule="exact"/>
        <w:jc w:val="center"/>
        <w:textAlignment w:val="baseline"/>
        <w:rPr>
          <w:rFonts w:ascii="Tahoma" w:eastAsia="Tahoma" w:hAnsi="Tahoma"/>
          <w:color w:val="000000"/>
          <w:sz w:val="14"/>
        </w:rPr>
      </w:pPr>
      <w:r>
        <w:rPr>
          <w:rFonts w:ascii="Tahoma" w:eastAsia="Tahoma" w:hAnsi="Tahoma"/>
          <w:color w:val="000000"/>
          <w:sz w:val="14"/>
        </w:rPr>
        <w:t xml:space="preserve">Up-to-date </w:t>
      </w:r>
      <w:r>
        <w:rPr>
          <w:rFonts w:ascii="Tahoma" w:eastAsia="Tahoma" w:hAnsi="Tahoma"/>
          <w:color w:val="000000"/>
          <w:sz w:val="14"/>
        </w:rPr>
        <w:br/>
        <w:t>industry insights</w:t>
      </w:r>
    </w:p>
    <w:p w14:paraId="4A036307" w14:textId="77777777" w:rsidR="009757A9" w:rsidRDefault="00083242">
      <w:pPr>
        <w:spacing w:before="192" w:line="187" w:lineRule="exact"/>
        <w:ind w:left="144" w:hanging="144"/>
        <w:textAlignment w:val="baseline"/>
        <w:rPr>
          <w:rFonts w:ascii="Tahoma" w:eastAsia="Tahoma" w:hAnsi="Tahoma"/>
          <w:color w:val="000000"/>
          <w:sz w:val="14"/>
        </w:rPr>
      </w:pPr>
      <w:r>
        <w:rPr>
          <w:rFonts w:ascii="Tahoma" w:eastAsia="Tahoma" w:hAnsi="Tahoma"/>
          <w:color w:val="000000"/>
          <w:sz w:val="14"/>
        </w:rPr>
        <w:t>Industry-standard technologies</w:t>
      </w:r>
    </w:p>
    <w:p w14:paraId="7EFAD37D" w14:textId="77777777" w:rsidR="009757A9" w:rsidRDefault="00083242">
      <w:pPr>
        <w:spacing w:before="192" w:line="187" w:lineRule="exact"/>
        <w:ind w:left="144"/>
        <w:textAlignment w:val="baseline"/>
        <w:rPr>
          <w:rFonts w:ascii="Tahoma" w:eastAsia="Tahoma" w:hAnsi="Tahoma"/>
          <w:color w:val="000000"/>
          <w:sz w:val="14"/>
        </w:rPr>
      </w:pPr>
      <w:r>
        <w:rPr>
          <w:rFonts w:ascii="Tahoma" w:eastAsia="Tahoma" w:hAnsi="Tahoma"/>
          <w:color w:val="000000"/>
          <w:sz w:val="14"/>
        </w:rPr>
        <w:t>Teaching and learning innovations</w:t>
      </w:r>
    </w:p>
    <w:p w14:paraId="77905B57" w14:textId="77777777" w:rsidR="009757A9" w:rsidRDefault="00083242">
      <w:pPr>
        <w:spacing w:after="209"/>
        <w:ind w:left="241" w:right="282"/>
        <w:textAlignment w:val="baseline"/>
      </w:pPr>
      <w:r>
        <w:br w:type="column"/>
      </w:r>
      <w:r>
        <w:rPr>
          <w:noProof/>
          <w:lang w:val="en-AU" w:eastAsia="en-AU"/>
        </w:rPr>
        <w:drawing>
          <wp:inline distT="0" distB="0" distL="0" distR="0" wp14:anchorId="24FB1886" wp14:editId="76B3D19A">
            <wp:extent cx="377825" cy="368935"/>
            <wp:effectExtent l="0" t="0" r="0" b="0"/>
            <wp:docPr id="15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6" name="Picture">
                      <a:extLst>
                        <a:ext uri="{C183D7F6-B498-43B3-948B-1728B52AA6E4}">
                          <adec:decorative xmlns:adec="http://schemas.microsoft.com/office/drawing/2017/decorative" val="1"/>
                        </a:ext>
                      </a:extLst>
                    </pic:cNvPr>
                    <pic:cNvPicPr preferRelativeResize="0"/>
                  </pic:nvPicPr>
                  <pic:blipFill>
                    <a:blip r:embed="rId203"/>
                    <a:stretch>
                      <a:fillRect/>
                    </a:stretch>
                  </pic:blipFill>
                  <pic:spPr>
                    <a:xfrm>
                      <a:off x="0" y="0"/>
                      <a:ext cx="377825" cy="368935"/>
                    </a:xfrm>
                    <a:prstGeom prst="rect">
                      <a:avLst/>
                    </a:prstGeom>
                  </pic:spPr>
                </pic:pic>
              </a:graphicData>
            </a:graphic>
          </wp:inline>
        </w:drawing>
      </w:r>
    </w:p>
    <w:p w14:paraId="780D1F66" w14:textId="77777777" w:rsidR="009757A9" w:rsidRDefault="00083242">
      <w:pPr>
        <w:spacing w:before="9" w:after="177" w:line="171" w:lineRule="exact"/>
        <w:ind w:left="216"/>
        <w:textAlignment w:val="baseline"/>
        <w:rPr>
          <w:rFonts w:ascii="Arial" w:eastAsia="Arial" w:hAnsi="Arial"/>
          <w:b/>
          <w:color w:val="25586D"/>
          <w:spacing w:val="14"/>
          <w:sz w:val="15"/>
        </w:rPr>
      </w:pPr>
      <w:r>
        <w:rPr>
          <w:rFonts w:ascii="Arial" w:eastAsia="Arial" w:hAnsi="Arial"/>
          <w:b/>
          <w:color w:val="25586D"/>
          <w:spacing w:val="14"/>
          <w:sz w:val="15"/>
        </w:rPr>
        <w:t>Industry</w:t>
      </w:r>
    </w:p>
    <w:p w14:paraId="2A7A8391" w14:textId="77777777" w:rsidR="009757A9" w:rsidRDefault="00083242">
      <w:pPr>
        <w:spacing w:after="192" w:line="188" w:lineRule="exact"/>
        <w:ind w:left="216" w:hanging="216"/>
        <w:textAlignment w:val="baseline"/>
        <w:rPr>
          <w:rFonts w:ascii="Tahoma" w:eastAsia="Tahoma" w:hAnsi="Tahoma"/>
          <w:color w:val="000000"/>
          <w:sz w:val="14"/>
        </w:rPr>
      </w:pPr>
      <w:r>
        <w:rPr>
          <w:rFonts w:ascii="Tahoma" w:eastAsia="Tahoma" w:hAnsi="Tahoma"/>
          <w:color w:val="000000"/>
          <w:sz w:val="14"/>
        </w:rPr>
        <w:t>Match workforce skills needs</w:t>
      </w:r>
    </w:p>
    <w:p w14:paraId="391620BA" w14:textId="77777777" w:rsidR="009757A9" w:rsidRDefault="00083242">
      <w:pPr>
        <w:spacing w:after="173" w:line="187" w:lineRule="exact"/>
        <w:jc w:val="center"/>
        <w:textAlignment w:val="baseline"/>
        <w:rPr>
          <w:rFonts w:ascii="Tahoma" w:eastAsia="Tahoma" w:hAnsi="Tahoma"/>
          <w:color w:val="000000"/>
          <w:sz w:val="14"/>
        </w:rPr>
      </w:pPr>
      <w:r>
        <w:rPr>
          <w:rFonts w:ascii="Tahoma" w:eastAsia="Tahoma" w:hAnsi="Tahoma"/>
          <w:color w:val="000000"/>
          <w:sz w:val="14"/>
        </w:rPr>
        <w:t xml:space="preserve">Grow STEM </w:t>
      </w:r>
      <w:r>
        <w:rPr>
          <w:rFonts w:ascii="Tahoma" w:eastAsia="Tahoma" w:hAnsi="Tahoma"/>
          <w:color w:val="000000"/>
          <w:sz w:val="14"/>
        </w:rPr>
        <w:br/>
        <w:t>workforce</w:t>
      </w:r>
    </w:p>
    <w:p w14:paraId="20F24B40" w14:textId="77777777" w:rsidR="009757A9" w:rsidRDefault="00083242">
      <w:pPr>
        <w:spacing w:line="190" w:lineRule="exact"/>
        <w:jc w:val="center"/>
        <w:textAlignment w:val="baseline"/>
        <w:rPr>
          <w:rFonts w:ascii="Tahoma" w:eastAsia="Tahoma" w:hAnsi="Tahoma"/>
          <w:color w:val="000000"/>
          <w:sz w:val="14"/>
        </w:rPr>
      </w:pPr>
      <w:r>
        <w:rPr>
          <w:rFonts w:ascii="Tahoma" w:eastAsia="Tahoma" w:hAnsi="Tahoma"/>
          <w:color w:val="000000"/>
          <w:sz w:val="14"/>
        </w:rPr>
        <w:t xml:space="preserve">Employee </w:t>
      </w:r>
      <w:r>
        <w:rPr>
          <w:rFonts w:ascii="Tahoma" w:eastAsia="Tahoma" w:hAnsi="Tahoma"/>
          <w:color w:val="000000"/>
          <w:sz w:val="14"/>
        </w:rPr>
        <w:br/>
        <w:t xml:space="preserve">engagement </w:t>
      </w:r>
      <w:r>
        <w:rPr>
          <w:rFonts w:ascii="Tahoma" w:eastAsia="Tahoma" w:hAnsi="Tahoma"/>
          <w:color w:val="000000"/>
          <w:sz w:val="14"/>
        </w:rPr>
        <w:br/>
        <w:t>opportunities</w:t>
      </w:r>
    </w:p>
    <w:p w14:paraId="0A3D9B43" w14:textId="77777777" w:rsidR="009757A9" w:rsidRDefault="00083242">
      <w:pPr>
        <w:spacing w:before="182" w:line="187" w:lineRule="exact"/>
        <w:ind w:left="216" w:hanging="216"/>
        <w:textAlignment w:val="baseline"/>
        <w:rPr>
          <w:rFonts w:ascii="Tahoma" w:eastAsia="Tahoma" w:hAnsi="Tahoma"/>
          <w:color w:val="000000"/>
          <w:sz w:val="14"/>
        </w:rPr>
      </w:pPr>
      <w:r>
        <w:rPr>
          <w:rFonts w:ascii="Tahoma" w:eastAsia="Tahoma" w:hAnsi="Tahoma"/>
          <w:color w:val="000000"/>
          <w:sz w:val="14"/>
        </w:rPr>
        <w:t>Corporate social responisbility</w:t>
      </w:r>
    </w:p>
    <w:p w14:paraId="787A17FA" w14:textId="77777777" w:rsidR="009757A9" w:rsidRDefault="009757A9">
      <w:pPr>
        <w:sectPr w:rsidR="009757A9">
          <w:type w:val="continuous"/>
          <w:pgSz w:w="11909" w:h="16838"/>
          <w:pgMar w:top="1080" w:right="3832" w:bottom="0" w:left="3563" w:header="720" w:footer="720" w:gutter="0"/>
          <w:cols w:num="3" w:space="0" w:equalWidth="0">
            <w:col w:w="1118" w:space="580"/>
            <w:col w:w="1118" w:space="580"/>
            <w:col w:w="1118" w:space="0"/>
          </w:cols>
        </w:sectPr>
      </w:pPr>
    </w:p>
    <w:p w14:paraId="7EF6CC53" w14:textId="77777777" w:rsidR="009757A9" w:rsidRDefault="00083242">
      <w:pPr>
        <w:spacing w:before="246" w:line="182" w:lineRule="exact"/>
        <w:ind w:left="864" w:right="864"/>
        <w:textAlignment w:val="baseline"/>
        <w:rPr>
          <w:rFonts w:ascii="Tahoma" w:eastAsia="Tahoma" w:hAnsi="Tahoma"/>
          <w:color w:val="000000"/>
          <w:sz w:val="14"/>
        </w:rPr>
      </w:pPr>
      <w:r>
        <w:rPr>
          <w:rFonts w:ascii="Tahoma" w:eastAsia="Tahoma" w:hAnsi="Tahoma"/>
          <w:color w:val="000000"/>
          <w:sz w:val="14"/>
        </w:rPr>
        <w:t xml:space="preserve">Source: Torii, K. (2018), </w:t>
      </w:r>
      <w:r>
        <w:rPr>
          <w:rFonts w:ascii="Arial" w:eastAsia="Arial" w:hAnsi="Arial"/>
          <w:i/>
          <w:color w:val="000000"/>
          <w:sz w:val="14"/>
        </w:rPr>
        <w:t>Connecting the Worlds of Learning and Work: Prioritising school–industry partnerships in Australia’s education system</w:t>
      </w:r>
      <w:r>
        <w:rPr>
          <w:rFonts w:ascii="Tahoma" w:eastAsia="Tahoma" w:hAnsi="Tahoma"/>
          <w:color w:val="000000"/>
          <w:sz w:val="14"/>
        </w:rPr>
        <w:t xml:space="preserve">, Mitchell Report </w:t>
      </w:r>
      <w:r>
        <w:rPr>
          <w:rFonts w:ascii="Verdana" w:eastAsia="Verdana" w:hAnsi="Verdana"/>
          <w:color w:val="000000"/>
          <w:sz w:val="13"/>
        </w:rPr>
        <w:t>No. 02/2018, Mitchell Institute: Victoria University, July 2018, p. 12.</w:t>
      </w:r>
    </w:p>
    <w:p w14:paraId="5D098BC1" w14:textId="77777777" w:rsidR="009757A9" w:rsidRDefault="00083242">
      <w:pPr>
        <w:spacing w:before="232" w:after="545" w:line="240" w:lineRule="exact"/>
        <w:ind w:left="864" w:right="1584"/>
        <w:textAlignment w:val="baseline"/>
        <w:rPr>
          <w:rFonts w:ascii="Verdana" w:eastAsia="Verdana" w:hAnsi="Verdana"/>
          <w:color w:val="404042"/>
          <w:sz w:val="17"/>
        </w:rPr>
      </w:pPr>
      <w:r>
        <w:rPr>
          <w:rFonts w:ascii="Verdana" w:eastAsia="Verdana" w:hAnsi="Verdana"/>
          <w:color w:val="404042"/>
          <w:sz w:val="17"/>
        </w:rPr>
        <w:t xml:space="preserve">Through effective school–industry partnerships, students gain a far better understanding of how their senior </w:t>
      </w:r>
      <w:r>
        <w:rPr>
          <w:rFonts w:ascii="Tahoma" w:eastAsia="Tahoma" w:hAnsi="Tahoma"/>
          <w:color w:val="404042"/>
          <w:sz w:val="18"/>
        </w:rPr>
        <w:t xml:space="preserve">secondary subjects translate beyond Year 12 into the workplace, and what skills are required for their desired pathway. They gain a better understanding of the local labour market and the full range of opportunities within </w:t>
      </w:r>
      <w:r>
        <w:rPr>
          <w:rFonts w:ascii="Verdana" w:eastAsia="Verdana" w:hAnsi="Verdana"/>
          <w:color w:val="404042"/>
          <w:sz w:val="17"/>
        </w:rPr>
        <w:t>different industries.</w:t>
      </w:r>
    </w:p>
    <w:p w14:paraId="524351D7" w14:textId="77777777" w:rsidR="009757A9" w:rsidRDefault="000D2E34">
      <w:pPr>
        <w:spacing w:before="157" w:line="247" w:lineRule="exact"/>
        <w:ind w:left="1296"/>
        <w:textAlignment w:val="baseline"/>
        <w:rPr>
          <w:rFonts w:ascii="Tahoma" w:eastAsia="Tahoma" w:hAnsi="Tahoma"/>
          <w:i/>
          <w:color w:val="007793"/>
          <w:sz w:val="21"/>
        </w:rPr>
      </w:pPr>
      <w:r>
        <w:rPr>
          <w:noProof/>
          <w:lang w:val="en-AU" w:eastAsia="en-AU"/>
        </w:rPr>
        <mc:AlternateContent>
          <mc:Choice Requires="wps">
            <w:drawing>
              <wp:anchor distT="0" distB="0" distL="114300" distR="114300" simplePos="0" relativeHeight="251920896" behindDoc="0" locked="0" layoutInCell="1" allowOverlap="1" wp14:anchorId="283B312B" wp14:editId="01D9FA0B">
                <wp:simplePos x="0" y="0"/>
                <wp:positionH relativeFrom="page">
                  <wp:posOffset>826135</wp:posOffset>
                </wp:positionH>
                <wp:positionV relativeFrom="page">
                  <wp:posOffset>5230495</wp:posOffset>
                </wp:positionV>
                <wp:extent cx="5907405" cy="0"/>
                <wp:effectExtent l="0" t="0" r="0" b="0"/>
                <wp:wrapNone/>
                <wp:docPr id="612"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79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F2C37" id="Line 333" o:spid="_x0000_s1026" style="position:absolute;z-index:2519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11.85pt" to="530.2pt,4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sg0AEAAIYDAAAOAAAAZHJzL2Uyb0RvYy54bWysU01v2zAMvQ/YfxB0X+wkS7MacXpI1l2y&#10;LUDbH8BIsi1MFgVJiZN/P0r56Lrdil0ESiQfHx+pxcOxN+ygfNBoaz4elZwpK1Bq29b85fnx0xfO&#10;QgQrwaBVNT+pwB+WHz8sBlepCXZopPKMQGyoBlfzLkZXFUUQneohjNApS84GfQ+Rrr4tpIeB0HtT&#10;TMryrhjQS+dRqBDodX128mXGbxol4s+mCSoyU3PiFvPp87lLZ7FcQNV6cJ0WFxrwDhY9aEtFb1Br&#10;iMD2Xv8D1WvhMWATRwL7AptGC5V7oG7G5V/dPHXgVO6FxAnuJlP4f7Dix2HrmZY1vxtPOLPQ05A2&#10;2io2nU6TOoMLFQWt7Nan/sTRPrkNil+BWVx1YFuVWT6fHCWOU0bxJiVdgqMau+E7SoqBfcQs1bHx&#10;fYIkEdgxT+R0m4g6RibocXZfzj+XM87E1VdAdU10PsRvCnuWjJobYp2B4bAJMRGB6hqS6lh81Mbk&#10;gRvLBup4OitzQkCjZXKmsODb3cp4doC0MuV8fp91ILA3YQl5DaE7x2XXeZk87q3MVToF8uvFjqDN&#10;2SYgYy8qJWHOEu9Qnrb+qh4NO9O/LGbapj/vOfv1+yx/AwAA//8DAFBLAwQUAAYACAAAACEAe0uG&#10;jN4AAAAMAQAADwAAAGRycy9kb3ducmV2LnhtbEyP3W7CMAxG75H2DpEn7Q4SKDDWNUXTfqRdMuAB&#10;TGPassapmgCFp1+QJm2Xn330+Thb9rYRJ+p87VjDeKRAEBfO1Fxq2G4+hgsQPiAbbByThgt5WOZ3&#10;gwxT4878Rad1KEUsYZ+ihiqENpXSFxVZ9CPXEsfd3nUWQ4xdKU2H51huGzlRai4t1hwvVNjSa0XF&#10;9/poNST94XO1mh2uT9f3zd6EmeG3rdH64b5/eQYRqA9/MNz0ozrk0Wnnjmy8aGJO1DiiGhaT5BHE&#10;jVBzNQWx+x3JPJP/n8h/AAAA//8DAFBLAQItABQABgAIAAAAIQC2gziS/gAAAOEBAAATAAAAAAAA&#10;AAAAAAAAAAAAAABbQ29udGVudF9UeXBlc10ueG1sUEsBAi0AFAAGAAgAAAAhADj9If/WAAAAlAEA&#10;AAsAAAAAAAAAAAAAAAAALwEAAF9yZWxzLy5yZWxzUEsBAi0AFAAGAAgAAAAhACS+iyDQAQAAhgMA&#10;AA4AAAAAAAAAAAAAAAAALgIAAGRycy9lMm9Eb2MueG1sUEsBAi0AFAAGAAgAAAAhAHtLhozeAAAA&#10;DAEAAA8AAAAAAAAAAAAAAAAAKgQAAGRycy9kb3ducmV2LnhtbFBLBQYAAAAABAAEAPMAAAA1BQAA&#10;AAA=&#10;" strokecolor="#007793" strokeweight=".5pt">
                <w10:wrap anchorx="page" anchory="page"/>
              </v:line>
            </w:pict>
          </mc:Fallback>
        </mc:AlternateContent>
      </w:r>
      <w:r w:rsidR="00083242">
        <w:rPr>
          <w:rFonts w:ascii="Tahoma" w:eastAsia="Tahoma" w:hAnsi="Tahoma"/>
          <w:i/>
          <w:color w:val="007793"/>
          <w:sz w:val="21"/>
        </w:rPr>
        <w:t>“Work experience is key – until students do hands-on work, they don’t realise what it will be like in</w:t>
      </w:r>
    </w:p>
    <w:p w14:paraId="7BA78011" w14:textId="77777777" w:rsidR="009757A9" w:rsidRDefault="00083242">
      <w:pPr>
        <w:spacing w:before="56" w:line="247" w:lineRule="exact"/>
        <w:ind w:left="1296"/>
        <w:textAlignment w:val="baseline"/>
        <w:rPr>
          <w:rFonts w:ascii="Tahoma" w:eastAsia="Tahoma" w:hAnsi="Tahoma"/>
          <w:i/>
          <w:color w:val="007793"/>
          <w:spacing w:val="1"/>
          <w:sz w:val="21"/>
        </w:rPr>
      </w:pPr>
      <w:r>
        <w:rPr>
          <w:rFonts w:ascii="Tahoma" w:eastAsia="Tahoma" w:hAnsi="Tahoma"/>
          <w:i/>
          <w:color w:val="007793"/>
          <w:spacing w:val="1"/>
          <w:sz w:val="21"/>
        </w:rPr>
        <w:t>the workplace.”</w:t>
      </w:r>
    </w:p>
    <w:p w14:paraId="63E8F9A5" w14:textId="77777777" w:rsidR="009757A9" w:rsidRDefault="00083242">
      <w:pPr>
        <w:spacing w:before="50" w:after="225" w:line="247" w:lineRule="exact"/>
        <w:ind w:left="6696"/>
        <w:textAlignment w:val="baseline"/>
        <w:rPr>
          <w:rFonts w:ascii="Tahoma" w:eastAsia="Tahoma" w:hAnsi="Tahoma"/>
          <w:i/>
          <w:color w:val="007793"/>
          <w:spacing w:val="3"/>
          <w:sz w:val="21"/>
        </w:rPr>
      </w:pPr>
      <w:r>
        <w:rPr>
          <w:rFonts w:ascii="Tahoma" w:eastAsia="Tahoma" w:hAnsi="Tahoma"/>
          <w:i/>
          <w:color w:val="007793"/>
          <w:spacing w:val="3"/>
          <w:sz w:val="21"/>
        </w:rPr>
        <w:t>Brisbane expert consultation participant</w:t>
      </w:r>
    </w:p>
    <w:p w14:paraId="7BBE1750" w14:textId="77777777" w:rsidR="009757A9" w:rsidRDefault="000D2E34">
      <w:pPr>
        <w:spacing w:before="347" w:after="590" w:line="240" w:lineRule="exact"/>
        <w:ind w:left="864" w:right="1080"/>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921920" behindDoc="0" locked="0" layoutInCell="1" allowOverlap="1" wp14:anchorId="225A2D0C" wp14:editId="787EEFEA">
                <wp:simplePos x="0" y="0"/>
                <wp:positionH relativeFrom="page">
                  <wp:posOffset>826135</wp:posOffset>
                </wp:positionH>
                <wp:positionV relativeFrom="page">
                  <wp:posOffset>6013450</wp:posOffset>
                </wp:positionV>
                <wp:extent cx="5907405" cy="0"/>
                <wp:effectExtent l="0" t="0" r="0" b="0"/>
                <wp:wrapNone/>
                <wp:docPr id="611"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79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414C7" id="Line 332" o:spid="_x0000_s1026" style="position:absolute;z-index:25192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73.5pt" to="530.2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P90QEAAIYDAAAOAAAAZHJzL2Uyb0RvYy54bWysU01v2zAMvQ/YfxB0X2wnS7MacXpI1l2y&#10;LUDbH8BIcixMFgVJiZN/P0r5aLfdil0EySQf33uk5w/H3rCD8kGjbXg1KjlTVqDUdtfwl+fHT184&#10;CxGsBINWNfykAn9YfPwwH1ytxtihkcozArGhHlzDuxhdXRRBdKqHMEKnLAVb9D1EevpdIT0MhN6b&#10;YlyWd8WAXjqPQoVAX1fnIF9k/LZVIv5s26AiMw0nbjGfPp/bdBaLOdQ7D67T4kID3sGiB22p6Q1q&#10;BRHY3ut/oHotPAZs40hgX2DbaqGyBlJTlX+peerAqayFzAnuZlP4f7Dix2HjmZYNv6sqziz0NKS1&#10;topNJuPkzuBCTUlLu/FJnzjaJ7dG8Sswi8sO7E5lls8nR4VVqij+KEmP4KjHdviOknJgHzFbdWx9&#10;nyDJBHbMEzndJqKOkQn6OL0vZ5/LKWfiGiugvhY6H+I3hT1Ll4YbYp2B4bAOMRGB+pqS+lh81Mbk&#10;gRvLBlI8mZa5IKDRMgVTWvC77dJ4doC0MuVsdj/JqijyNi0hryB057wcOi+Tx72VuUunQH693CNo&#10;c74TK2MvLiVjzhZvUZ42/uoeDTvTvyxm2qa371z9+vssfgMAAP//AwBQSwMEFAAGAAgAAAAhABdu&#10;IyPeAAAADAEAAA8AAABkcnMvZG93bnJldi54bWxMj81uwjAQhO9IfQdrkXoDm/LTksZBiLZSjxR4&#10;ABMvSSBeR7GBlKfvIlVqjzP7aXYmXXSuFhdsQ+VJw2ioQCDl3lZUaNhtPwYvIEI0ZE3tCTV8Y4BF&#10;9tBLTWL9lb7wsomF4BAKidFQxtgkUoa8RGfC0DdIfDv41pnIsi2kbc2Vw10tn5SaSWcq4g+laXBV&#10;Yn7anJ2GcXf8XK+nx9v89r492Di19LazWj/2u+UriIhd/IPhXp+rQ8ad9v5MNoia9ViNGNUwnzzz&#10;qDuhZmoCYv9rySyV/0dkPwAAAP//AwBQSwECLQAUAAYACAAAACEAtoM4kv4AAADhAQAAEwAAAAAA&#10;AAAAAAAAAAAAAAAAW0NvbnRlbnRfVHlwZXNdLnhtbFBLAQItABQABgAIAAAAIQA4/SH/1gAAAJQB&#10;AAALAAAAAAAAAAAAAAAAAC8BAABfcmVscy8ucmVsc1BLAQItABQABgAIAAAAIQCCwfP90QEAAIYD&#10;AAAOAAAAAAAAAAAAAAAAAC4CAABkcnMvZTJvRG9jLnhtbFBLAQItABQABgAIAAAAIQAXbiMj3gAA&#10;AAwBAAAPAAAAAAAAAAAAAAAAACsEAABkcnMvZG93bnJldi54bWxQSwUGAAAAAAQABADzAAAANgUA&#10;AAAA&#10;" strokecolor="#007793" strokeweight=".5pt">
                <w10:wrap anchorx="page" anchory="page"/>
              </v:line>
            </w:pict>
          </mc:Fallback>
        </mc:AlternateContent>
      </w:r>
      <w:r w:rsidR="00083242">
        <w:rPr>
          <w:rFonts w:ascii="Tahoma" w:eastAsia="Tahoma" w:hAnsi="Tahoma"/>
          <w:color w:val="404042"/>
          <w:sz w:val="18"/>
        </w:rPr>
        <w:t>Many students themselves are keen to use school to help prepare for work. The Foundation for Young Australians found that three out of four young people do not presently believe they possess the relevant vocational and practical work experience to gain full-time work.</w:t>
      </w:r>
      <w:r w:rsidR="00083242">
        <w:rPr>
          <w:rFonts w:ascii="Tahoma" w:eastAsia="Tahoma" w:hAnsi="Tahoma"/>
          <w:color w:val="404042"/>
          <w:sz w:val="18"/>
          <w:vertAlign w:val="superscript"/>
        </w:rPr>
        <w:t>128</w:t>
      </w:r>
      <w:r w:rsidR="00083242">
        <w:rPr>
          <w:rFonts w:ascii="Tahoma" w:eastAsia="Tahoma" w:hAnsi="Tahoma"/>
          <w:color w:val="404042"/>
          <w:sz w:val="18"/>
        </w:rPr>
        <w:t xml:space="preserve"> A Year13 survey revealed that 60 per cent of young people wanted access to mentors or industry professionals as part of their career advice.</w:t>
      </w:r>
      <w:r w:rsidR="00083242">
        <w:rPr>
          <w:rFonts w:ascii="Tahoma" w:eastAsia="Tahoma" w:hAnsi="Tahoma"/>
          <w:color w:val="404042"/>
          <w:sz w:val="18"/>
          <w:vertAlign w:val="superscript"/>
        </w:rPr>
        <w:t>129</w:t>
      </w:r>
      <w:r w:rsidR="00083242">
        <w:rPr>
          <w:rFonts w:ascii="Tahoma" w:eastAsia="Tahoma" w:hAnsi="Tahoma"/>
          <w:color w:val="404042"/>
          <w:sz w:val="10"/>
        </w:rPr>
        <w:t xml:space="preserve"> </w:t>
      </w:r>
    </w:p>
    <w:p w14:paraId="4691593D" w14:textId="77777777" w:rsidR="009757A9" w:rsidRDefault="000D2E34">
      <w:pPr>
        <w:spacing w:before="153" w:line="246" w:lineRule="exact"/>
        <w:ind w:left="1296"/>
        <w:textAlignment w:val="baseline"/>
        <w:rPr>
          <w:rFonts w:ascii="Tahoma" w:eastAsia="Tahoma" w:hAnsi="Tahoma"/>
          <w:i/>
          <w:color w:val="007793"/>
          <w:spacing w:val="1"/>
          <w:sz w:val="21"/>
        </w:rPr>
      </w:pPr>
      <w:r>
        <w:rPr>
          <w:noProof/>
          <w:lang w:val="en-AU" w:eastAsia="en-AU"/>
        </w:rPr>
        <mc:AlternateContent>
          <mc:Choice Requires="wps">
            <w:drawing>
              <wp:anchor distT="0" distB="0" distL="114300" distR="114300" simplePos="0" relativeHeight="251922944" behindDoc="0" locked="0" layoutInCell="1" allowOverlap="1" wp14:anchorId="38C6CA96" wp14:editId="3D56A998">
                <wp:simplePos x="0" y="0"/>
                <wp:positionH relativeFrom="page">
                  <wp:posOffset>826135</wp:posOffset>
                </wp:positionH>
                <wp:positionV relativeFrom="page">
                  <wp:posOffset>7226935</wp:posOffset>
                </wp:positionV>
                <wp:extent cx="5907405" cy="0"/>
                <wp:effectExtent l="0" t="0" r="0" b="0"/>
                <wp:wrapNone/>
                <wp:docPr id="610"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79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8B4C" id="Line 331" o:spid="_x0000_s1026" style="position:absolute;z-index:2519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69.05pt" to="530.2pt,5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9C0AEAAIYDAAAOAAAAZHJzL2Uyb0RvYy54bWysU01v2zAMvQ/YfxB0X+w0S7MacXpI1l2y&#10;LUC7H8BIsi1MFgVJiZ1/P0r56Lrdhl0EiXx8JB+p5ePYG3ZUPmi0NZ9OSs6UFSi1bWv+4+XpwyfO&#10;QgQrwaBVNT+pwB9X798tB1epO+zQSOUZkdhQDa7mXYyuKoogOtVDmKBTlpwN+h4iPX1bSA8Dsfem&#10;uCvL+2JAL51HoUIg6+bs5KvM3zRKxO9NE1RkpuZUW8ynz+c+ncVqCVXrwXVaXMqAf6iiB20p6Y1q&#10;AxHYweu/qHotPAZs4kRgX2DTaKFyD9TNtPyjm+cOnMq9kDjB3WQK/49WfDvuPNOy5vdT0sdCT0Pa&#10;aqvYbDZN6gwuVARa251P/YnRPrstip+BWVx3YFuVq3w5OQrMEcWbkPQIjnLsh68oCQOHiFmqsfF9&#10;oiQR2JgncrpNRI2RCTLOH8rFx3LOmbj6Cqiugc6H+EVhz9Kl5oaqzsRw3IZIpRP0Ckl5LD5pY/LA&#10;jWUDdTyblzkgoNEyORMs+Ha/Np4dIa1MuVg8zJIORPYGlpg3ELozLrvOy+TxYGXO0imQny/3CNqc&#10;70RkLPFdhTlLvEd52vmUJ9lp2DnjZTHTNv3+zqjX77P6BQAA//8DAFBLAwQUAAYACAAAACEAqT4e&#10;aN4AAAAOAQAADwAAAGRycy9kb3ducmV2LnhtbEyPzW7CMBCE75V4B2uReit2SEE0jYNQf6QeKfAA&#10;Jl6S0HgdxQZSnr7LoWpvM7uj2W/z5eBaccY+NJ40JBMFAqn0tqFKw277/rAAEaIha1pPqOEbAyyL&#10;0V1uMusv9InnTawEl1DIjIY6xi6TMpQ1OhMmvkPi3cH3zkS2fSVtby5c7lo5VWounWmIL9Smw5ca&#10;y6/NyWlIh+PHej07Xp+ub9uDjTNLrzur9f14WD2DiDjEvzDc8BkdCmba+xPZIFr2qUo4yiJJF6xu&#10;ETVXjyD2vzNZ5PL/G8UPAAAA//8DAFBLAQItABQABgAIAAAAIQC2gziS/gAAAOEBAAATAAAAAAAA&#10;AAAAAAAAAAAAAABbQ29udGVudF9UeXBlc10ueG1sUEsBAi0AFAAGAAgAAAAhADj9If/WAAAAlAEA&#10;AAsAAAAAAAAAAAAAAAAALwEAAF9yZWxzLy5yZWxzUEsBAi0AFAAGAAgAAAAhAEDdP0LQAQAAhgMA&#10;AA4AAAAAAAAAAAAAAAAALgIAAGRycy9lMm9Eb2MueG1sUEsBAi0AFAAGAAgAAAAhAKk+HmjeAAAA&#10;DgEAAA8AAAAAAAAAAAAAAAAAKgQAAGRycy9kb3ducmV2LnhtbFBLBQYAAAAABAAEAPMAAAA1BQAA&#10;AAA=&#10;" strokecolor="#007793" strokeweight=".5pt">
                <w10:wrap anchorx="page" anchory="page"/>
              </v:line>
            </w:pict>
          </mc:Fallback>
        </mc:AlternateContent>
      </w:r>
      <w:r w:rsidR="00083242">
        <w:rPr>
          <w:rFonts w:ascii="Tahoma" w:eastAsia="Tahoma" w:hAnsi="Tahoma"/>
          <w:i/>
          <w:color w:val="007793"/>
          <w:spacing w:val="1"/>
          <w:sz w:val="21"/>
        </w:rPr>
        <w:t>“There needs to be a link between schools, industry and community to show students how the</w:t>
      </w:r>
    </w:p>
    <w:p w14:paraId="511958B1" w14:textId="77777777" w:rsidR="009757A9" w:rsidRDefault="00083242">
      <w:pPr>
        <w:spacing w:before="56" w:line="247" w:lineRule="exact"/>
        <w:ind w:left="1296"/>
        <w:textAlignment w:val="baseline"/>
        <w:rPr>
          <w:rFonts w:ascii="Tahoma" w:eastAsia="Tahoma" w:hAnsi="Tahoma"/>
          <w:i/>
          <w:color w:val="007793"/>
          <w:spacing w:val="1"/>
          <w:sz w:val="21"/>
        </w:rPr>
      </w:pPr>
      <w:r>
        <w:rPr>
          <w:rFonts w:ascii="Tahoma" w:eastAsia="Tahoma" w:hAnsi="Tahoma"/>
          <w:i/>
          <w:color w:val="007793"/>
          <w:spacing w:val="1"/>
          <w:sz w:val="21"/>
        </w:rPr>
        <w:t>learning they are undertaking connects with the world of work.”</w:t>
      </w:r>
    </w:p>
    <w:p w14:paraId="546C6ED8" w14:textId="77777777" w:rsidR="009757A9" w:rsidRDefault="00083242">
      <w:pPr>
        <w:spacing w:before="51" w:after="227" w:line="245" w:lineRule="exact"/>
        <w:ind w:left="5256"/>
        <w:textAlignment w:val="baseline"/>
        <w:rPr>
          <w:rFonts w:ascii="Tahoma" w:eastAsia="Tahoma" w:hAnsi="Tahoma"/>
          <w:i/>
          <w:color w:val="007793"/>
          <w:spacing w:val="1"/>
          <w:sz w:val="21"/>
        </w:rPr>
      </w:pPr>
      <w:r>
        <w:rPr>
          <w:rFonts w:ascii="Tahoma" w:eastAsia="Tahoma" w:hAnsi="Tahoma"/>
          <w:i/>
          <w:color w:val="007793"/>
          <w:spacing w:val="1"/>
          <w:sz w:val="21"/>
        </w:rPr>
        <w:t>Careers Advisers Association of NSW &amp; ACT submission</w:t>
      </w:r>
    </w:p>
    <w:p w14:paraId="5EE52790" w14:textId="77777777" w:rsidR="009757A9" w:rsidRDefault="000D2E34">
      <w:pPr>
        <w:spacing w:before="418" w:line="240" w:lineRule="exact"/>
        <w:ind w:left="864" w:right="1008"/>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923968" behindDoc="0" locked="0" layoutInCell="1" allowOverlap="1" wp14:anchorId="40B50289" wp14:editId="7B2F2532">
                <wp:simplePos x="0" y="0"/>
                <wp:positionH relativeFrom="page">
                  <wp:posOffset>826135</wp:posOffset>
                </wp:positionH>
                <wp:positionV relativeFrom="page">
                  <wp:posOffset>8007350</wp:posOffset>
                </wp:positionV>
                <wp:extent cx="5907405" cy="0"/>
                <wp:effectExtent l="0" t="0" r="0" b="0"/>
                <wp:wrapNone/>
                <wp:docPr id="609"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79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A188C" id="Line 330" o:spid="_x0000_s1026" style="position:absolute;z-index:2519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630.5pt" to="530.2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2V0gEAAIYDAAAOAAAAZHJzL2Uyb0RvYy54bWysU01v2zAMvQ/YfxB0X+w0S7MYcXpI1l2y&#10;LUDbH8BIsi1MFgVRiZN/P0n5aLfdil0EySQf33ukFw/H3rCD8qTR1nw8KjlTVqDUtq35y/Pjpy+c&#10;UQArwaBVNT8p4g/Ljx8Wg6vUHXZopPIsgliqBlfzLgRXFQWJTvVAI3TKxmCDvocQn74tpIchovem&#10;uCvL+2JAL51HoYji1/U5yJcZv2mUCD+bhlRgpuaRW8inz+cuncVyAVXrwXVaXGjAO1j0oG1seoNa&#10;QwC29/ofqF4Lj4RNGAnsC2waLVTWENWMy7/UPHXgVNYSzSF3s4n+H6z4cdh6pmXN78s5Zxb6OKSN&#10;topNJtmdwVEVk1Z265M+cbRPboPiFzGLqw5sqzLL55OLhePkZ/FHSXqQiz12w3eUMQf2AbNVx8b3&#10;CTKawI55IqfbRNQxMBE/Tufl7HM55UxcYwVU10LnKXxT2LN0qbmJrDMwHDYUEhGorimpj8VHbUwe&#10;uLFsiIon0zIXEBotUzClkW93K+PZAdLKlLPZfJJVxcjbtIS8BurOeTl0XiaPeytzl06B/Hq5B9Dm&#10;fI+sjL24lIxJq0rVDuVp66/uxWFn+pfFTNv09p2rX3+f5W8AAAD//wMAUEsDBBQABgAIAAAAIQCl&#10;NDWu3gAAAA4BAAAPAAAAZHJzL2Rvd25yZXYueG1sTI/BbsIwEETvlfgHa5F6K3agRG0aByHaSj1S&#10;4ANMvCSh8TqKDaR8fZdD1d52dkezb/LF4Fpxxj40njQkEwUCqfS2oUrDbvv+8AQiREPWtJ5QwzcG&#10;WBSju9xk1l/oE8+bWAkOoZAZDXWMXSZlKGt0Jkx8h8S3g++diSz7StreXDjctXKqVCqdaYg/1KbD&#10;VY3l1+bkNMyG48d6PT9en69v24ONc0uvO6v1/XhYvoCIOMQ/M9zwGR0KZtr7E9kgWtYzlbCVh2ma&#10;cKubRaXqEcT+dyeLXP6vUfwAAAD//wMAUEsBAi0AFAAGAAgAAAAhALaDOJL+AAAA4QEAABMAAAAA&#10;AAAAAAAAAAAAAAAAAFtDb250ZW50X1R5cGVzXS54bWxQSwECLQAUAAYACAAAACEAOP0h/9YAAACU&#10;AQAACwAAAAAAAAAAAAAAAAAvAQAAX3JlbHMvLnJlbHNQSwECLQAUAAYACAAAACEAGSCtldIBAACG&#10;AwAADgAAAAAAAAAAAAAAAAAuAgAAZHJzL2Uyb0RvYy54bWxQSwECLQAUAAYACAAAACEApTQ1rt4A&#10;AAAOAQAADwAAAAAAAAAAAAAAAAAsBAAAZHJzL2Rvd25yZXYueG1sUEsFBgAAAAAEAAQA8wAAADcF&#10;AAAAAA==&#10;" strokecolor="#007793" strokeweight=".5pt">
                <w10:wrap anchorx="page" anchory="page"/>
              </v:line>
            </w:pict>
          </mc:Fallback>
        </mc:AlternateContent>
      </w:r>
      <w:r w:rsidR="00083242">
        <w:rPr>
          <w:rFonts w:ascii="Tahoma" w:eastAsia="Tahoma" w:hAnsi="Tahoma"/>
          <w:color w:val="404042"/>
          <w:sz w:val="18"/>
        </w:rPr>
        <w:t xml:space="preserve">All states and territories already engage with industry and provide opportunities for work-based learning, particularly where students are required to participate in mandatory work placements through VET courses. Most states and </w:t>
      </w:r>
      <w:r w:rsidR="00083242">
        <w:rPr>
          <w:rFonts w:ascii="Verdana" w:eastAsia="Verdana" w:hAnsi="Verdana"/>
          <w:color w:val="404042"/>
          <w:sz w:val="17"/>
        </w:rPr>
        <w:t>territories also offer work exploration short courses that can be completed as part of the SSCE.</w:t>
      </w:r>
    </w:p>
    <w:p w14:paraId="182BAA03" w14:textId="18E8FC69" w:rsidR="009757A9" w:rsidRDefault="00B02931">
      <w:pPr>
        <w:spacing w:before="168" w:after="235" w:line="240" w:lineRule="exact"/>
        <w:ind w:left="864" w:right="936"/>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924992" behindDoc="0" locked="0" layoutInCell="1" allowOverlap="1" wp14:anchorId="5AB2F0CA" wp14:editId="3D27F7B9">
                <wp:simplePos x="0" y="0"/>
                <wp:positionH relativeFrom="margin">
                  <wp:align>left</wp:align>
                </wp:positionH>
                <wp:positionV relativeFrom="page">
                  <wp:posOffset>9705975</wp:posOffset>
                </wp:positionV>
                <wp:extent cx="917575" cy="0"/>
                <wp:effectExtent l="0" t="0" r="0" b="0"/>
                <wp:wrapNone/>
                <wp:docPr id="608"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EC24E" id="Line 329" o:spid="_x0000_s1026" style="position:absolute;z-index:2519249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764.25pt" to="72.25pt,7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MTzgEAAIYDAAAOAAAAZHJzL2Uyb0RvYy54bWysU01v2zAMvQ/YfxB0X+ykSLoacXpI1l2y&#10;LUC7H8BIsi1UFgVJiZ1/P0r5aLfdhvkgiCL5+PhILx/H3rCj8kGjrfl0UnKmrECpbVvzny9Pnz5z&#10;FiJYCQatqvlJBf64+vhhObhKzbBDI5VnBGJDNbiadzG6qiiC6FQPYYJOWXI26HuIZPq2kB4GQu9N&#10;MSvLRTGgl86jUCHQ6+bs5KuM3zRKxB9NE1RkpubELebT53OfzmK1hKr14DotLjTgH1j0oC0VvUFt&#10;IAI7eP0XVK+Fx4BNnAjsC2waLVTugbqZln9089yBU7kXEie4m0zh/8GK78edZ1rWfFHSqCz0NKSt&#10;tordzR6SOoMLFQWt7c6n/sRon90WxWtgFtcd2FZlli8nR4nTlFH8lpKM4KjGfviGkmLgEDFLNTa+&#10;T5AkAhvzRE63iagxMkGPD9P7+f2cM3F1FVBd85wP8avCnqVLzQ2Rzrhw3IaYeEB1DUllLD5pY/K8&#10;jWUDkZ2Vi3nOCGi0TN4UF3y7XxvPjpBWJn+5K/K8D0vQGwjdOS67zsvk8WBlLtMpkF8u9wjanO9E&#10;y9iLSkmYs8R7lKedv6pHw878L4uZtum9nbPffp/VLwAAAP//AwBQSwMEFAAGAAgAAAAhAEx39fbc&#10;AAAACgEAAA8AAABkcnMvZG93bnJldi54bWxMj0FLw0AQhe+C/2EZwYu0G0sqIWZTpKA3RavSHqfZ&#10;MQlmZ0N228R/7/Qg9Tbz3vDme8Vqcp060hBazwZu5wko4srblmsDH++PswxUiMgWO89k4IcCrMrL&#10;iwJz60d+o+Mm1kpCOORooImxz7UOVUMOw9z3xOJ9+cFhlHWotR1wlHDX6UWS3GmHLcuHBntaN1R9&#10;bw7OgNZJlk6f2/E5vQlZu1vXu6eXV2Our6aHe1CRpng+hhO+oEMpTHt/YBtUZ0CKRFGXi2wJ6uSn&#10;qQz7P0mXhf5fofwFAAD//wMAUEsBAi0AFAAGAAgAAAAhALaDOJL+AAAA4QEAABMAAAAAAAAAAAAA&#10;AAAAAAAAAFtDb250ZW50X1R5cGVzXS54bWxQSwECLQAUAAYACAAAACEAOP0h/9YAAACUAQAACwAA&#10;AAAAAAAAAAAAAAAvAQAAX3JlbHMvLnJlbHNQSwECLQAUAAYACAAAACEAQUkjE84BAACGAwAADgAA&#10;AAAAAAAAAAAAAAAuAgAAZHJzL2Uyb0RvYy54bWxQSwECLQAUAAYACAAAACEATHf19twAAAAKAQAA&#10;DwAAAAAAAAAAAAAAAAAoBAAAZHJzL2Rvd25yZXYueG1sUEsFBgAAAAAEAAQA8wAAADEFAAAAAA==&#10;" strokeweight=".95pt">
                <w10:wrap anchorx="margin" anchory="page"/>
              </v:line>
            </w:pict>
          </mc:Fallback>
        </mc:AlternateContent>
      </w:r>
      <w:r w:rsidR="00083242">
        <w:rPr>
          <w:rFonts w:ascii="Tahoma" w:eastAsia="Tahoma" w:hAnsi="Tahoma"/>
          <w:color w:val="404042"/>
          <w:sz w:val="18"/>
        </w:rPr>
        <w:t>It is clear to the Panel, however, that the quality of school–industry partnerships and work-based learning varies across states and territories. A number of recent reviews have emphasised the importance of strengthening and scaling up school–industry partnerships. Both the Review to Achieve Educational Excellence in Australian Schools and the Expert Review of Australia’s Vocational Education and Training System came to this conclusion.</w:t>
      </w:r>
      <w:r w:rsidR="00083242">
        <w:rPr>
          <w:rFonts w:ascii="Tahoma" w:eastAsia="Tahoma" w:hAnsi="Tahoma"/>
          <w:color w:val="404042"/>
          <w:sz w:val="18"/>
          <w:vertAlign w:val="superscript"/>
        </w:rPr>
        <w:t>130</w:t>
      </w:r>
      <w:r w:rsidR="00083242">
        <w:rPr>
          <w:rFonts w:ascii="Tahoma" w:eastAsia="Tahoma" w:hAnsi="Tahoma"/>
          <w:color w:val="404042"/>
          <w:sz w:val="10"/>
        </w:rPr>
        <w:t xml:space="preserve"> </w:t>
      </w:r>
    </w:p>
    <w:p w14:paraId="5E2601BD" w14:textId="6FF8051C" w:rsidR="009757A9" w:rsidRDefault="009757A9">
      <w:pPr>
        <w:spacing w:before="52" w:line="20" w:lineRule="exact"/>
      </w:pPr>
    </w:p>
    <w:tbl>
      <w:tblPr>
        <w:tblW w:w="0" w:type="auto"/>
        <w:tblLayout w:type="fixed"/>
        <w:tblCellMar>
          <w:left w:w="0" w:type="dxa"/>
          <w:right w:w="0" w:type="dxa"/>
        </w:tblCellMar>
        <w:tblLook w:val="04A0" w:firstRow="1" w:lastRow="0" w:firstColumn="1" w:lastColumn="0" w:noHBand="0" w:noVBand="1"/>
      </w:tblPr>
      <w:tblGrid>
        <w:gridCol w:w="6240"/>
        <w:gridCol w:w="5669"/>
      </w:tblGrid>
      <w:tr w:rsidR="009757A9" w14:paraId="354AF9B3" w14:textId="77777777">
        <w:trPr>
          <w:trHeight w:hRule="exact" w:val="604"/>
        </w:trPr>
        <w:tc>
          <w:tcPr>
            <w:tcW w:w="6240" w:type="dxa"/>
            <w:tcBorders>
              <w:top w:val="none" w:sz="0" w:space="0" w:color="000000"/>
              <w:left w:val="none" w:sz="0" w:space="0" w:color="000000"/>
              <w:bottom w:val="none" w:sz="0" w:space="0" w:color="000000"/>
              <w:right w:val="none" w:sz="0" w:space="0" w:color="000000"/>
            </w:tcBorders>
          </w:tcPr>
          <w:p w14:paraId="731DA8E4" w14:textId="77777777" w:rsidR="009757A9" w:rsidRDefault="00083242">
            <w:pPr>
              <w:spacing w:line="170" w:lineRule="exact"/>
              <w:ind w:left="864"/>
              <w:textAlignment w:val="baseline"/>
              <w:rPr>
                <w:rFonts w:ascii="Verdana" w:eastAsia="Verdana" w:hAnsi="Verdana"/>
                <w:color w:val="404042"/>
                <w:sz w:val="13"/>
              </w:rPr>
            </w:pPr>
            <w:r>
              <w:rPr>
                <w:rFonts w:ascii="Verdana" w:eastAsia="Verdana" w:hAnsi="Verdana"/>
                <w:color w:val="404042"/>
                <w:sz w:val="13"/>
              </w:rPr>
              <w:t>128 Foundation for Young Australians (2018), p. 14.</w:t>
            </w:r>
          </w:p>
          <w:p w14:paraId="53E52EFC" w14:textId="77777777" w:rsidR="009757A9" w:rsidRDefault="00083242">
            <w:pPr>
              <w:spacing w:before="30" w:line="172" w:lineRule="exact"/>
              <w:ind w:left="864"/>
              <w:textAlignment w:val="baseline"/>
              <w:rPr>
                <w:rFonts w:ascii="Tahoma" w:eastAsia="Tahoma" w:hAnsi="Tahoma"/>
                <w:color w:val="404042"/>
                <w:sz w:val="14"/>
              </w:rPr>
            </w:pPr>
            <w:r>
              <w:rPr>
                <w:rFonts w:ascii="Tahoma" w:eastAsia="Tahoma" w:hAnsi="Tahoma"/>
                <w:color w:val="404042"/>
                <w:sz w:val="14"/>
              </w:rPr>
              <w:t>129 Shipley and Stubley (2018), p. 37.</w:t>
            </w:r>
          </w:p>
          <w:p w14:paraId="1A4852A4" w14:textId="77777777" w:rsidR="009757A9" w:rsidRDefault="00083242">
            <w:pPr>
              <w:spacing w:before="31" w:after="24" w:line="170" w:lineRule="exact"/>
              <w:ind w:left="864"/>
              <w:textAlignment w:val="baseline"/>
              <w:rPr>
                <w:rFonts w:ascii="Verdana" w:eastAsia="Verdana" w:hAnsi="Verdana"/>
                <w:color w:val="404042"/>
                <w:sz w:val="13"/>
              </w:rPr>
            </w:pPr>
            <w:r>
              <w:rPr>
                <w:rFonts w:ascii="Verdana" w:eastAsia="Verdana" w:hAnsi="Verdana"/>
                <w:color w:val="404042"/>
                <w:sz w:val="13"/>
              </w:rPr>
              <w:t>130 Australian Government (2018), p. xv; and Joyce (2019), p. 100.</w:t>
            </w:r>
          </w:p>
        </w:tc>
        <w:tc>
          <w:tcPr>
            <w:tcW w:w="5669" w:type="dxa"/>
            <w:tcBorders>
              <w:top w:val="none" w:sz="0" w:space="0" w:color="000000"/>
              <w:left w:val="none" w:sz="0" w:space="0" w:color="000000"/>
              <w:bottom w:val="none" w:sz="0" w:space="0" w:color="000000"/>
              <w:right w:val="none" w:sz="0" w:space="0" w:color="000000"/>
            </w:tcBorders>
          </w:tcPr>
          <w:p w14:paraId="63970FEE" w14:textId="77777777" w:rsidR="009757A9" w:rsidRDefault="00083242" w:rsidP="00B02931">
            <w:pPr>
              <w:tabs>
                <w:tab w:val="left" w:pos="4108"/>
              </w:tabs>
              <w:spacing w:before="70" w:after="314" w:line="217" w:lineRule="exact"/>
              <w:ind w:right="853" w:firstLine="848"/>
              <w:jc w:val="center"/>
              <w:textAlignment w:val="baseline"/>
              <w:rPr>
                <w:rFonts w:ascii="Tahoma" w:eastAsia="Tahoma" w:hAnsi="Tahoma"/>
                <w:color w:val="404042"/>
                <w:sz w:val="14"/>
              </w:rPr>
            </w:pPr>
            <w:r>
              <w:rPr>
                <w:rFonts w:ascii="Tahoma" w:eastAsia="Tahoma" w:hAnsi="Tahoma"/>
                <w:color w:val="404042"/>
                <w:sz w:val="14"/>
              </w:rPr>
              <w:t>Chapter 4: Building school–industry partnerships</w:t>
            </w:r>
            <w:r>
              <w:rPr>
                <w:rFonts w:ascii="Arial" w:eastAsia="Arial" w:hAnsi="Arial"/>
                <w:b/>
                <w:color w:val="5556A1"/>
                <w:sz w:val="19"/>
              </w:rPr>
              <w:tab/>
              <w:t>95</w:t>
            </w:r>
          </w:p>
        </w:tc>
      </w:tr>
    </w:tbl>
    <w:p w14:paraId="185A1282" w14:textId="3A3B4DB2" w:rsidR="009757A9" w:rsidRDefault="00B02931">
      <w:pPr>
        <w:spacing w:after="304" w:line="20" w:lineRule="exact"/>
      </w:pPr>
      <w:r>
        <w:rPr>
          <w:noProof/>
          <w:lang w:val="en-AU" w:eastAsia="en-AU"/>
        </w:rPr>
        <w:drawing>
          <wp:anchor distT="0" distB="0" distL="114300" distR="114300" simplePos="0" relativeHeight="252083712" behindDoc="1" locked="0" layoutInCell="1" allowOverlap="1" wp14:anchorId="74740E68" wp14:editId="10206CED">
            <wp:simplePos x="0" y="0"/>
            <wp:positionH relativeFrom="page">
              <wp:align>left</wp:align>
            </wp:positionH>
            <wp:positionV relativeFrom="paragraph">
              <wp:posOffset>72390</wp:posOffset>
            </wp:positionV>
            <wp:extent cx="7562215" cy="462915"/>
            <wp:effectExtent l="0" t="0" r="635" b="0"/>
            <wp:wrapNone/>
            <wp:docPr id="1066" name="Picture"/>
            <wp:cNvGraphicFramePr/>
            <a:graphic xmlns:a="http://schemas.openxmlformats.org/drawingml/2006/main">
              <a:graphicData uri="http://schemas.openxmlformats.org/drawingml/2006/picture">
                <pic:pic xmlns:pic="http://schemas.openxmlformats.org/drawingml/2006/picture">
                  <pic:nvPicPr>
                    <pic:cNvPr id="150"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5284CDD5" w14:textId="7FBCF081" w:rsidR="009757A9" w:rsidRDefault="009757A9">
      <w:pPr>
        <w:textAlignment w:val="baseline"/>
      </w:pPr>
    </w:p>
    <w:p w14:paraId="4BD93E98" w14:textId="2E2E1DD5" w:rsidR="009757A9" w:rsidRDefault="009757A9">
      <w:pPr>
        <w:sectPr w:rsidR="009757A9">
          <w:type w:val="continuous"/>
          <w:pgSz w:w="11909" w:h="16838"/>
          <w:pgMar w:top="1080" w:right="0" w:bottom="0" w:left="0" w:header="720" w:footer="720" w:gutter="0"/>
          <w:cols w:space="720"/>
        </w:sectPr>
      </w:pPr>
    </w:p>
    <w:p w14:paraId="68431B5E"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57376" behindDoc="1" locked="0" layoutInCell="1" allowOverlap="1" wp14:anchorId="1A0128DC" wp14:editId="39893CFD">
                <wp:simplePos x="0" y="0"/>
                <wp:positionH relativeFrom="page">
                  <wp:posOffset>539750</wp:posOffset>
                </wp:positionH>
                <wp:positionV relativeFrom="page">
                  <wp:posOffset>966470</wp:posOffset>
                </wp:positionV>
                <wp:extent cx="6692900" cy="7948930"/>
                <wp:effectExtent l="0" t="0" r="0" b="0"/>
                <wp:wrapSquare wrapText="bothSides"/>
                <wp:docPr id="607"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0" cy="794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B72A5" w14:textId="77777777" w:rsidR="00490F33" w:rsidRDefault="00490F33">
                            <w:pPr>
                              <w:textAlignment w:val="baseline"/>
                            </w:pPr>
                            <w:r>
                              <w:rPr>
                                <w:noProof/>
                                <w:lang w:val="en-AU" w:eastAsia="en-AU"/>
                              </w:rPr>
                              <w:drawing>
                                <wp:inline distT="0" distB="0" distL="0" distR="0" wp14:anchorId="46AB72EC" wp14:editId="6B7CFD79">
                                  <wp:extent cx="6692900" cy="7948930"/>
                                  <wp:effectExtent l="0" t="0" r="0" b="0"/>
                                  <wp:docPr id="15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8" name="Picture">
                                            <a:extLst>
                                              <a:ext uri="{C183D7F6-B498-43B3-948B-1728B52AA6E4}">
                                                <adec:decorative xmlns:adec="http://schemas.microsoft.com/office/drawing/2017/decorative" val="1"/>
                                              </a:ext>
                                            </a:extLst>
                                          </pic:cNvPr>
                                          <pic:cNvPicPr preferRelativeResize="0"/>
                                        </pic:nvPicPr>
                                        <pic:blipFill>
                                          <a:blip r:embed="rId204"/>
                                          <a:stretch>
                                            <a:fillRect/>
                                          </a:stretch>
                                        </pic:blipFill>
                                        <pic:spPr>
                                          <a:xfrm>
                                            <a:off x="0" y="0"/>
                                            <a:ext cx="6692900" cy="79489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128DC" id="Text Box 328" o:spid="_x0000_s1232" type="#_x0000_t202" style="position:absolute;margin-left:42.5pt;margin-top:76.1pt;width:527pt;height:625.9pt;z-index:-251759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yM8gEAAMQDAAAOAAAAZHJzL2Uyb0RvYy54bWysU9tu2zAMfR+wfxD0vthJhzQx4hRdiw4D&#10;ugvQ7gMYWY6F2aJGKbGzrx8lx1m3vQ17EShejg4Pqc3N0LXiqMkbtKWcz3IptFVYGbsv5dfnhzcr&#10;KXwAW0GLVpfypL282b5+teldoRfYYFtpEgxifdG7UjYhuCLLvGp0B36GTlsO1kgdBL7SPqsIekbv&#10;2myR58usR6ocodLes/d+DMptwq9rrcLnuvY6iLaUzC2kk9K5i2e23UCxJ3CNUWca8A8sOjCWH71A&#10;3UMAcSDzF1RnFKHHOswUdhnWtVE69cDdzPM/unlqwOnUC4vj3UUm//9g1afjFxKmKuUyv5bCQsdD&#10;etZDEO9wEFeLVVSod77gxCfHqWHgAE86devdI6pvXli8a8Du9S0R9o2GihnOY2X2onTE8RFk13/E&#10;ih+CQ8AENNTURflYEMHoPKnTZTqRjGLncrlerHMOKY5dr9+u1ldpfhkUU7kjH95r7EQ0Skk8/gQP&#10;x0cfIh0oppT4msUH07ZpBVr7m4MToyfRj4xH7mHYDUmrRb6cdNlhdeKOCMfV4q/ARoP0Q4qe16qU&#10;/vsBSEvRfrCsStzByaDJ2E0GWMWlpQxSjOZdGHf14MjsG0Yedbd4y8rVJvUUJR5ZnAnzqqRWz2sd&#10;d/HlPWX9+nzbnwAAAP//AwBQSwMEFAAGAAgAAAAhANPupzfhAAAADAEAAA8AAABkcnMvZG93bnJl&#10;di54bWxMj0FPwzAMhe9I/IfISNxYsrJNW2k6TQhOSIiuHDimjddWa5zSZFv593gnuNnPT8/fy7aT&#10;68UZx9B50jCfKRBItbcdNRo+y9eHNYgQDVnTe0INPxhgm9/eZCa1/kIFnvexERxCITUa2hiHVMpQ&#10;t+hMmPkBiW8HPzoTeR0baUdz4XDXy0SplXSmI/7QmgGfW6yP+5PTsPui4qX7fq8+ikPRleVG0dvq&#10;qPX93bR7AhFxin9muOIzOuTMVPkT2SB6DeslV4msL5MExNUwf9ywVPG0UAsFMs/k/xL5LwAAAP//&#10;AwBQSwECLQAUAAYACAAAACEAtoM4kv4AAADhAQAAEwAAAAAAAAAAAAAAAAAAAAAAW0NvbnRlbnRf&#10;VHlwZXNdLnhtbFBLAQItABQABgAIAAAAIQA4/SH/1gAAAJQBAAALAAAAAAAAAAAAAAAAAC8BAABf&#10;cmVscy8ucmVsc1BLAQItABQABgAIAAAAIQAg7vyM8gEAAMQDAAAOAAAAAAAAAAAAAAAAAC4CAABk&#10;cnMvZTJvRG9jLnhtbFBLAQItABQABgAIAAAAIQDT7qc34QAAAAwBAAAPAAAAAAAAAAAAAAAAAEwE&#10;AABkcnMvZG93bnJldi54bWxQSwUGAAAAAAQABADzAAAAWgUAAAAA&#10;" filled="f" stroked="f">
                <v:textbox inset="0,0,0,0">
                  <w:txbxContent>
                    <w:p w14:paraId="059B72A5" w14:textId="77777777" w:rsidR="00490F33" w:rsidRDefault="00490F33">
                      <w:pPr>
                        <w:textAlignment w:val="baseline"/>
                      </w:pPr>
                      <w:r>
                        <w:rPr>
                          <w:noProof/>
                          <w:lang w:val="en-AU" w:eastAsia="en-AU"/>
                        </w:rPr>
                        <w:drawing>
                          <wp:inline distT="0" distB="0" distL="0" distR="0" wp14:anchorId="46AB72EC" wp14:editId="6B7CFD79">
                            <wp:extent cx="6692900" cy="7948930"/>
                            <wp:effectExtent l="0" t="0" r="0" b="0"/>
                            <wp:docPr id="15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8" name="Picture">
                                      <a:extLst>
                                        <a:ext uri="{C183D7F6-B498-43B3-948B-1728B52AA6E4}">
                                          <adec:decorative xmlns:adec="http://schemas.microsoft.com/office/drawing/2017/decorative" val="1"/>
                                        </a:ext>
                                      </a:extLst>
                                    </pic:cNvPr>
                                    <pic:cNvPicPr preferRelativeResize="0"/>
                                  </pic:nvPicPr>
                                  <pic:blipFill>
                                    <a:blip r:embed="rId204"/>
                                    <a:stretch>
                                      <a:fillRect/>
                                    </a:stretch>
                                  </pic:blipFill>
                                  <pic:spPr>
                                    <a:xfrm>
                                      <a:off x="0" y="0"/>
                                      <a:ext cx="6692900" cy="79489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58400" behindDoc="1" locked="0" layoutInCell="1" allowOverlap="1" wp14:anchorId="60F5912C" wp14:editId="47CF27F7">
                <wp:simplePos x="0" y="0"/>
                <wp:positionH relativeFrom="page">
                  <wp:posOffset>4182110</wp:posOffset>
                </wp:positionH>
                <wp:positionV relativeFrom="page">
                  <wp:posOffset>1205230</wp:posOffset>
                </wp:positionV>
                <wp:extent cx="2438400" cy="906780"/>
                <wp:effectExtent l="0" t="0" r="0" b="0"/>
                <wp:wrapSquare wrapText="bothSides"/>
                <wp:docPr id="606"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FEB32" w14:textId="77777777" w:rsidR="00490F33" w:rsidRDefault="00490F33">
                            <w:pPr>
                              <w:spacing w:line="235" w:lineRule="exact"/>
                              <w:textAlignment w:val="baseline"/>
                              <w:rPr>
                                <w:rFonts w:ascii="Tahoma" w:eastAsia="Tahoma" w:hAnsi="Tahoma"/>
                                <w:color w:val="000000"/>
                                <w:sz w:val="18"/>
                              </w:rPr>
                            </w:pPr>
                            <w:r>
                              <w:rPr>
                                <w:rFonts w:ascii="Tahoma" w:eastAsia="Tahoma" w:hAnsi="Tahoma"/>
                                <w:color w:val="000000"/>
                                <w:sz w:val="18"/>
                              </w:rPr>
                              <w:t xml:space="preserve">A career presentation is delivered by a CTF </w:t>
                            </w:r>
                            <w:r>
                              <w:rPr>
                                <w:rFonts w:ascii="Verdana" w:eastAsia="Verdana" w:hAnsi="Verdana"/>
                                <w:color w:val="000000"/>
                                <w:sz w:val="17"/>
                              </w:rPr>
                              <w:t xml:space="preserve">industry training adviser on the final day of </w:t>
                            </w:r>
                            <w:r>
                              <w:rPr>
                                <w:rFonts w:ascii="Tahoma" w:eastAsia="Tahoma" w:hAnsi="Tahoma"/>
                                <w:color w:val="000000"/>
                                <w:sz w:val="18"/>
                              </w:rPr>
                              <w:t>Try-a-Trade and students are encouraged to take the next step in their learning by visiting the CTF Construction Futures Centre for a uniquely interactive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5912C" id="Text Box 327" o:spid="_x0000_s1233" type="#_x0000_t202" style="position:absolute;margin-left:329.3pt;margin-top:94.9pt;width:192pt;height:71.4pt;z-index:-251758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E38AEAAMMDAAAOAAAAZHJzL2Uyb0RvYy54bWysU9tu2zAMfR+wfxD0vthJizQz4hRdiw4D&#10;ugvQ7gMYWY6F2aJGKbGzrx8lx1m3vRV9EShejg4PqfX10LXioMkbtKWcz3IptFVYGbsr5fen+3cr&#10;KXwAW0GLVpfyqL283rx9s+5doRfYYFtpEgxifdG7UjYhuCLLvGp0B36GTlsO1kgdBL7SLqsIekbv&#10;2myR58usR6ocodLes/duDMpNwq9rrcLXuvY6iLaUzC2kk9K5jWe2WUOxI3CNUSca8AIWHRjLj56h&#10;7iCA2JP5D6ozitBjHWYKuwzr2iideuBu5vk/3Tw24HTqhcXx7iyTfz1Y9eXwjYSpSrnMl1JY6HhI&#10;T3oI4gMO4mJxFRXqnS848dFxahg4wJNO3Xr3gOqHFxZvG7A7fUOEfaOhYobzWJk9Kx1xfATZ9p+x&#10;4odgHzABDTV1UT4WRDA6T+p4nk4ko9i5uLxYXeYcUhx7ny+vVml8GRRTtSMfPmrsRDRKSTz9hA6H&#10;Bx8iGyimlPiYxXvTtmkDWvuXgxOjJ7GPhEfqYdgOSapFfpZli9WRGyIcN4t/AhsN0i8pet6qUvqf&#10;eyAtRfvJsihxBSeDJmM7GWAVl5YySDGat2Fc1b0js2sYeZTd4g0LV5vUU1R4ZHEizJuSWj1tdVzF&#10;5/eU9efvbX4DAAD//wMAUEsDBBQABgAIAAAAIQAgkHx24AAAAAwBAAAPAAAAZHJzL2Rvd25yZXYu&#10;eG1sTI9BT8MwDIXvSPyHyEjcWMIGVVeaThOCExKiKweOaeO11RqnNNlW/j3eCW6239Pz9/LN7AZx&#10;win0njTcLxQIpMbbnloNn9XrXQoiREPWDJ5Qww8G2BTXV7nJrD9TiaddbAWHUMiMhi7GMZMyNB06&#10;ExZ+RGJt7ydnIq9TK+1kzhzuBrlUKpHO9MQfOjPic4fNYXd0GrZfVL703+/1R7kv+6paK3pLDlrf&#10;3szbJxAR5/hnhgs+o0PBTLU/kg1i0JA8pglbWUjX3OHiUA9LPtUaViseZJHL/yWKXwAAAP//AwBQ&#10;SwECLQAUAAYACAAAACEAtoM4kv4AAADhAQAAEwAAAAAAAAAAAAAAAAAAAAAAW0NvbnRlbnRfVHlw&#10;ZXNdLnhtbFBLAQItABQABgAIAAAAIQA4/SH/1gAAAJQBAAALAAAAAAAAAAAAAAAAAC8BAABfcmVs&#10;cy8ucmVsc1BLAQItABQABgAIAAAAIQBgG5E38AEAAMMDAAAOAAAAAAAAAAAAAAAAAC4CAABkcnMv&#10;ZTJvRG9jLnhtbFBLAQItABQABgAIAAAAIQAgkHx24AAAAAwBAAAPAAAAAAAAAAAAAAAAAEoEAABk&#10;cnMvZG93bnJldi54bWxQSwUGAAAAAAQABADzAAAAVwUAAAAA&#10;" filled="f" stroked="f">
                <v:textbox inset="0,0,0,0">
                  <w:txbxContent>
                    <w:p w14:paraId="3EFFEB32" w14:textId="77777777" w:rsidR="00490F33" w:rsidRDefault="00490F33">
                      <w:pPr>
                        <w:spacing w:line="235" w:lineRule="exact"/>
                        <w:textAlignment w:val="baseline"/>
                        <w:rPr>
                          <w:rFonts w:ascii="Tahoma" w:eastAsia="Tahoma" w:hAnsi="Tahoma"/>
                          <w:color w:val="000000"/>
                          <w:sz w:val="18"/>
                        </w:rPr>
                      </w:pPr>
                      <w:r>
                        <w:rPr>
                          <w:rFonts w:ascii="Tahoma" w:eastAsia="Tahoma" w:hAnsi="Tahoma"/>
                          <w:color w:val="000000"/>
                          <w:sz w:val="18"/>
                        </w:rPr>
                        <w:t xml:space="preserve">A career presentation is delivered by a CTF </w:t>
                      </w:r>
                      <w:r>
                        <w:rPr>
                          <w:rFonts w:ascii="Verdana" w:eastAsia="Verdana" w:hAnsi="Verdana"/>
                          <w:color w:val="000000"/>
                          <w:sz w:val="17"/>
                        </w:rPr>
                        <w:t xml:space="preserve">industry training adviser on the final day of </w:t>
                      </w:r>
                      <w:r>
                        <w:rPr>
                          <w:rFonts w:ascii="Tahoma" w:eastAsia="Tahoma" w:hAnsi="Tahoma"/>
                          <w:color w:val="000000"/>
                          <w:sz w:val="18"/>
                        </w:rPr>
                        <w:t>Try-a-Trade and students are encouraged to take the next step in their learning by visiting the CTF Construction Futures Centre for a uniquely interactive experience.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59424" behindDoc="1" locked="0" layoutInCell="1" allowOverlap="1" wp14:anchorId="713D068B" wp14:editId="4D30FE34">
                <wp:simplePos x="0" y="0"/>
                <wp:positionH relativeFrom="page">
                  <wp:posOffset>835025</wp:posOffset>
                </wp:positionH>
                <wp:positionV relativeFrom="page">
                  <wp:posOffset>1229995</wp:posOffset>
                </wp:positionV>
                <wp:extent cx="2764790" cy="858520"/>
                <wp:effectExtent l="0" t="0" r="0" b="0"/>
                <wp:wrapSquare wrapText="bothSides"/>
                <wp:docPr id="60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18EA"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AAC8793" w14:textId="77777777" w:rsidR="00490F33" w:rsidRDefault="00490F33">
                            <w:pPr>
                              <w:spacing w:line="449" w:lineRule="exact"/>
                              <w:textAlignment w:val="baseline"/>
                              <w:rPr>
                                <w:rFonts w:ascii="Tahoma" w:eastAsia="Tahoma" w:hAnsi="Tahoma"/>
                                <w:color w:val="BF5B1F"/>
                                <w:spacing w:val="13"/>
                                <w:w w:val="95"/>
                                <w:sz w:val="38"/>
                              </w:rPr>
                            </w:pPr>
                            <w:r>
                              <w:rPr>
                                <w:rFonts w:ascii="Tahoma" w:eastAsia="Tahoma" w:hAnsi="Tahoma"/>
                                <w:color w:val="BF5B1F"/>
                                <w:spacing w:val="13"/>
                                <w:w w:val="95"/>
                                <w:sz w:val="38"/>
                              </w:rPr>
                              <w:t>TRY-A-TRADE PROGRAM</w:t>
                            </w:r>
                          </w:p>
                          <w:p w14:paraId="37D9DF94" w14:textId="77777777" w:rsidR="00490F33" w:rsidRDefault="00490F33">
                            <w:pPr>
                              <w:spacing w:before="5" w:line="450" w:lineRule="exact"/>
                              <w:textAlignment w:val="baseline"/>
                              <w:rPr>
                                <w:rFonts w:ascii="Tahoma" w:eastAsia="Tahoma" w:hAnsi="Tahoma"/>
                                <w:color w:val="BF5B1F"/>
                                <w:spacing w:val="8"/>
                                <w:w w:val="95"/>
                                <w:sz w:val="38"/>
                              </w:rPr>
                            </w:pPr>
                            <w:r>
                              <w:rPr>
                                <w:rFonts w:ascii="Tahoma" w:eastAsia="Tahoma" w:hAnsi="Tahoma"/>
                                <w:color w:val="BF5B1F"/>
                                <w:spacing w:val="8"/>
                                <w:w w:val="95"/>
                                <w:sz w:val="38"/>
                              </w:rPr>
                              <w:t>IN WESTERN AUSTRALIA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D068B" id="Text Box 326" o:spid="_x0000_s1234" type="#_x0000_t202" style="position:absolute;margin-left:65.75pt;margin-top:96.85pt;width:217.7pt;height:67.6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ykh8QEAAMMDAAAOAAAAZHJzL2Uyb0RvYy54bWysU9uO0zAQfUfiHyy/06SBdkvUdLXsahHS&#10;cpF2+QDHsRuLxGPGbpPy9YydpizwhnixxnM5PnNmvL0e+44dFXoDtuLLRc6ZshIaY/cV//p0/2rD&#10;mQ/CNqIDqyp+Up5f716+2A6uVAW00DUKGYFYXw6u4m0IrswyL1vVC78ApywFNWAvAl1xnzUoBkLv&#10;u6zI83U2ADYOQSrvyXs3Bfku4WutZPistVeBdRUnbiGdmM46ntluK8o9CtcaeaYh/oFFL4ylRy9Q&#10;dyIIdkDzF1RvJIIHHRYS+gy0NlKlHqibZf5HN4+tcCr1QuJ4d5HJ/z9Y+en4BZlpKr7OV5xZ0dOQ&#10;ntQY2DsY2etiHRUanC8p8dFRahgpQJNO3Xr3APKbZxZuW2H36gYRhlaJhhguY2X2rHTC8RGkHj5C&#10;Qw+JQ4AENGrso3wkCCN0mtTpMp1IRpKzuFq/uXpLIUmxzWqzKtL4MlHO1Q59eK+gZ9GoONL0E7o4&#10;PvgQ2YhyTomPWbg3XZc2oLO/OSgxehL7SHiiHsZ6TFIV+WaWpYbmRA0hTJtFP4GMFvAHZwNtVcX9&#10;94NAxVn3wZIocQVnA2ejng1hJZVWPHA2mbdhWtWDQ7NvCXmS3cINCadN6ikqPLE4E6ZNSa2etzqu&#10;4vN7yvr193Y/AQAA//8DAFBLAwQUAAYACAAAACEAppYEGuAAAAALAQAADwAAAGRycy9kb3ducmV2&#10;LnhtbEyPwU6DQBCG7ya+w2ZMvNmlJcWCLE1j9GRipHjwuMAUNmVnkd22+PaOJ3ubP/Pln2/y7WwH&#10;ccbJG0cKlosIBFLjWkOdgs/q9WEDwgdNrR4coYIf9LAtbm9ynbXuQiWe96ETXEI+0wr6EMZMSt/0&#10;aLVfuBGJdwc3WR04Tp1sJ33hcjvIVRQl0mpDfKHXIz732Bz3J6tg90Xli/l+rz/KQ2mqKo3oLTkq&#10;dX83755ABJzDPwx/+qwOBTvV7kStFwPneLlmlIc0fgTBxDpJUhC1gni1SUEWubz+ofgFAAD//wMA&#10;UEsBAi0AFAAGAAgAAAAhALaDOJL+AAAA4QEAABMAAAAAAAAAAAAAAAAAAAAAAFtDb250ZW50X1R5&#10;cGVzXS54bWxQSwECLQAUAAYACAAAACEAOP0h/9YAAACUAQAACwAAAAAAAAAAAAAAAAAvAQAAX3Jl&#10;bHMvLnJlbHNQSwECLQAUAAYACAAAACEAsd8pIfEBAADDAwAADgAAAAAAAAAAAAAAAAAuAgAAZHJz&#10;L2Uyb0RvYy54bWxQSwECLQAUAAYACAAAACEAppYEGuAAAAALAQAADwAAAAAAAAAAAAAAAABLBAAA&#10;ZHJzL2Rvd25yZXYueG1sUEsFBgAAAAAEAAQA8wAAAFgFAAAAAA==&#10;" filled="f" stroked="f">
                <v:textbox inset="0,0,0,0">
                  <w:txbxContent>
                    <w:p w14:paraId="353418EA"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AAC8793" w14:textId="77777777" w:rsidR="00490F33" w:rsidRDefault="00490F33">
                      <w:pPr>
                        <w:spacing w:line="449" w:lineRule="exact"/>
                        <w:textAlignment w:val="baseline"/>
                        <w:rPr>
                          <w:rFonts w:ascii="Tahoma" w:eastAsia="Tahoma" w:hAnsi="Tahoma"/>
                          <w:color w:val="BF5B1F"/>
                          <w:spacing w:val="13"/>
                          <w:w w:val="95"/>
                          <w:sz w:val="38"/>
                        </w:rPr>
                      </w:pPr>
                      <w:r>
                        <w:rPr>
                          <w:rFonts w:ascii="Tahoma" w:eastAsia="Tahoma" w:hAnsi="Tahoma"/>
                          <w:color w:val="BF5B1F"/>
                          <w:spacing w:val="13"/>
                          <w:w w:val="95"/>
                          <w:sz w:val="38"/>
                        </w:rPr>
                        <w:t>TRY-A-TRADE PROGRAM</w:t>
                      </w:r>
                    </w:p>
                    <w:p w14:paraId="37D9DF94" w14:textId="77777777" w:rsidR="00490F33" w:rsidRDefault="00490F33">
                      <w:pPr>
                        <w:spacing w:before="5" w:line="450" w:lineRule="exact"/>
                        <w:textAlignment w:val="baseline"/>
                        <w:rPr>
                          <w:rFonts w:ascii="Tahoma" w:eastAsia="Tahoma" w:hAnsi="Tahoma"/>
                          <w:color w:val="BF5B1F"/>
                          <w:spacing w:val="8"/>
                          <w:w w:val="95"/>
                          <w:sz w:val="38"/>
                        </w:rPr>
                      </w:pPr>
                      <w:r>
                        <w:rPr>
                          <w:rFonts w:ascii="Tahoma" w:eastAsia="Tahoma" w:hAnsi="Tahoma"/>
                          <w:color w:val="BF5B1F"/>
                          <w:spacing w:val="8"/>
                          <w:w w:val="95"/>
                          <w:sz w:val="38"/>
                        </w:rPr>
                        <w:t>IN WESTERN AUSTRALIA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0448" behindDoc="1" locked="0" layoutInCell="1" allowOverlap="1" wp14:anchorId="6B94E688" wp14:editId="4A5CE0D9">
                <wp:simplePos x="0" y="0"/>
                <wp:positionH relativeFrom="page">
                  <wp:posOffset>4182110</wp:posOffset>
                </wp:positionH>
                <wp:positionV relativeFrom="page">
                  <wp:posOffset>2229485</wp:posOffset>
                </wp:positionV>
                <wp:extent cx="2249170" cy="754380"/>
                <wp:effectExtent l="0" t="0" r="0" b="0"/>
                <wp:wrapSquare wrapText="bothSides"/>
                <wp:docPr id="604"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E808" w14:textId="77777777" w:rsidR="00490F33" w:rsidRDefault="00490F33">
                            <w:pPr>
                              <w:spacing w:line="236" w:lineRule="exact"/>
                              <w:textAlignment w:val="baseline"/>
                              <w:rPr>
                                <w:rFonts w:ascii="Tahoma" w:eastAsia="Tahoma" w:hAnsi="Tahoma"/>
                                <w:color w:val="000000"/>
                                <w:spacing w:val="4"/>
                                <w:sz w:val="18"/>
                              </w:rPr>
                            </w:pPr>
                            <w:r>
                              <w:rPr>
                                <w:rFonts w:ascii="Tahoma" w:eastAsia="Tahoma" w:hAnsi="Tahoma"/>
                                <w:color w:val="000000"/>
                                <w:spacing w:val="4"/>
                                <w:sz w:val="18"/>
                              </w:rPr>
                              <w:t xml:space="preserve">All students are informed of a $250 pre-apprenticeship reward if they </w:t>
                            </w:r>
                            <w:r>
                              <w:rPr>
                                <w:rFonts w:ascii="Verdana" w:eastAsia="Verdana" w:hAnsi="Verdana"/>
                                <w:color w:val="000000"/>
                                <w:spacing w:val="4"/>
                                <w:sz w:val="17"/>
                              </w:rPr>
                              <w:t xml:space="preserve">successfully complete a Certificate II in </w:t>
                            </w:r>
                            <w:r>
                              <w:rPr>
                                <w:rFonts w:ascii="Tahoma" w:eastAsia="Tahoma" w:hAnsi="Tahoma"/>
                                <w:color w:val="000000"/>
                                <w:spacing w:val="4"/>
                                <w:sz w:val="18"/>
                              </w:rPr>
                              <w:t>Building and Construction as part of their Year 11 and 12 schooling.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4E688" id="Text Box 325" o:spid="_x0000_s1235" type="#_x0000_t202" style="position:absolute;margin-left:329.3pt;margin-top:175.55pt;width:177.1pt;height:59.4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ie8QEAAMMDAAAOAAAAZHJzL2Uyb0RvYy54bWysU9tu1DAQfUfiHyy/s8mm21u02aq0KkIq&#10;BanlAxzH3lgkHjP2brJ8PWNnsxR4Q7xY47kcnzkzXt+Mfcf2Cr0BW/HlIudMWQmNsduKf315eHfF&#10;mQ/CNqIDqyp+UJ7fbN6+WQ+uVAW00DUKGYFYXw6u4m0IrswyL1vVC78ApywFNWAvAl1xmzUoBkLv&#10;u6zI84tsAGwcglTek/d+CvJNwtdayfBZa68C6ypO3EI6MZ11PLPNWpRbFK418khD/AOLXhhLj56g&#10;7kUQbIfmL6jeSAQPOiwk9BlobaRKPVA3y/yPbp5b4VTqhcTx7iST/3+w8mn/BZlpKn6Rrzizoqch&#10;vagxsPcwsrPiPCo0OF9S4rOj1DBSgCaduvXuEeQ3zyzctcJu1S0iDK0SDTFcxsrsVemE4yNIPXyC&#10;hh4SuwAJaNTYR/lIEEboNKnDaTqRjCRnUayul5cUkhS7PF+dXaXxZaKcqx368EFBz6JRcaTpJ3Sx&#10;f/QhshHlnBIfs/Bgui5tQGd/c1Bi9CT2kfBEPYz1mKQq8utZlhqaAzWEMG0W/QQyWsAfnA20VRX3&#10;33cCFWfdR0uixBWcDZyNejaElVRa8cDZZN6FaVV3Ds22JeRJdgu3JJw2qaeo8MTiSJg2JbV63Oq4&#10;iq/vKevX39v8BAAA//8DAFBLAwQUAAYACAAAACEA5opBB+EAAAAMAQAADwAAAGRycy9kb3ducmV2&#10;LnhtbEyPwU7DMBBE70j8g7VI3KidQq0mxKkqBCckRBoOHJ1km1iN1yF22/D3uKdyXO3TzJt8M9uB&#10;nXDyxpGCZCGAITWuNdQp+KreHtbAfNDU6sERKvhFD5vi9ibXWevOVOJpFzoWQ8hnWkEfwphx7pse&#10;rfYLNyLF395NVod4Th1vJ32O4XbgSyEkt9pQbOj1iC89Nofd0SrYflP5an4+6s9yX5qqSgW9y4NS&#10;93fz9hlYwDlcYbjoR3UoolPtjtR6NiiQq7WMqILHVZIAuxAiWcY1tYInmabAi5z/H1H8AQAA//8D&#10;AFBLAQItABQABgAIAAAAIQC2gziS/gAAAOEBAAATAAAAAAAAAAAAAAAAAAAAAABbQ29udGVudF9U&#10;eXBlc10ueG1sUEsBAi0AFAAGAAgAAAAhADj9If/WAAAAlAEAAAsAAAAAAAAAAAAAAAAALwEAAF9y&#10;ZWxzLy5yZWxzUEsBAi0AFAAGAAgAAAAhAAwMOJ7xAQAAwwMAAA4AAAAAAAAAAAAAAAAALgIAAGRy&#10;cy9lMm9Eb2MueG1sUEsBAi0AFAAGAAgAAAAhAOaKQQfhAAAADAEAAA8AAAAAAAAAAAAAAAAASwQA&#10;AGRycy9kb3ducmV2LnhtbFBLBQYAAAAABAAEAPMAAABZBQAAAAA=&#10;" filled="f" stroked="f">
                <v:textbox inset="0,0,0,0">
                  <w:txbxContent>
                    <w:p w14:paraId="3F1EE808" w14:textId="77777777" w:rsidR="00490F33" w:rsidRDefault="00490F33">
                      <w:pPr>
                        <w:spacing w:line="236" w:lineRule="exact"/>
                        <w:textAlignment w:val="baseline"/>
                        <w:rPr>
                          <w:rFonts w:ascii="Tahoma" w:eastAsia="Tahoma" w:hAnsi="Tahoma"/>
                          <w:color w:val="000000"/>
                          <w:spacing w:val="4"/>
                          <w:sz w:val="18"/>
                        </w:rPr>
                      </w:pPr>
                      <w:r>
                        <w:rPr>
                          <w:rFonts w:ascii="Tahoma" w:eastAsia="Tahoma" w:hAnsi="Tahoma"/>
                          <w:color w:val="000000"/>
                          <w:spacing w:val="4"/>
                          <w:sz w:val="18"/>
                        </w:rPr>
                        <w:t xml:space="preserve">All students are informed of a $250 pre-apprenticeship reward if they </w:t>
                      </w:r>
                      <w:r>
                        <w:rPr>
                          <w:rFonts w:ascii="Verdana" w:eastAsia="Verdana" w:hAnsi="Verdana"/>
                          <w:color w:val="000000"/>
                          <w:spacing w:val="4"/>
                          <w:sz w:val="17"/>
                        </w:rPr>
                        <w:t xml:space="preserve">successfully complete a Certificate II in </w:t>
                      </w:r>
                      <w:r>
                        <w:rPr>
                          <w:rFonts w:ascii="Tahoma" w:eastAsia="Tahoma" w:hAnsi="Tahoma"/>
                          <w:color w:val="000000"/>
                          <w:spacing w:val="4"/>
                          <w:sz w:val="18"/>
                        </w:rPr>
                        <w:t>Building and Construction as part of their Year 11 and 12 schooling.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1472" behindDoc="1" locked="0" layoutInCell="1" allowOverlap="1" wp14:anchorId="682ABEF8" wp14:editId="4AED1DA3">
                <wp:simplePos x="0" y="0"/>
                <wp:positionH relativeFrom="page">
                  <wp:posOffset>905510</wp:posOffset>
                </wp:positionH>
                <wp:positionV relativeFrom="page">
                  <wp:posOffset>2256790</wp:posOffset>
                </wp:positionV>
                <wp:extent cx="2471420" cy="1363980"/>
                <wp:effectExtent l="0" t="0" r="0" b="0"/>
                <wp:wrapSquare wrapText="bothSides"/>
                <wp:docPr id="60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136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CF1F4" w14:textId="77777777" w:rsidR="00490F33" w:rsidRDefault="00490F33">
                            <w:pPr>
                              <w:spacing w:line="237" w:lineRule="exact"/>
                              <w:textAlignment w:val="baseline"/>
                              <w:rPr>
                                <w:rFonts w:ascii="Tahoma" w:eastAsia="Tahoma" w:hAnsi="Tahoma"/>
                                <w:color w:val="000000"/>
                                <w:spacing w:val="4"/>
                                <w:sz w:val="18"/>
                              </w:rPr>
                            </w:pPr>
                            <w:r>
                              <w:rPr>
                                <w:rFonts w:ascii="Tahoma" w:eastAsia="Tahoma" w:hAnsi="Tahoma"/>
                                <w:color w:val="000000"/>
                                <w:spacing w:val="4"/>
                                <w:sz w:val="18"/>
                              </w:rPr>
                              <w:t xml:space="preserve">Try-a-Trade is a fully funded Construction </w:t>
                            </w:r>
                            <w:r>
                              <w:rPr>
                                <w:rFonts w:ascii="Verdana" w:eastAsia="Verdana" w:hAnsi="Verdana"/>
                                <w:color w:val="000000"/>
                                <w:spacing w:val="4"/>
                                <w:sz w:val="17"/>
                              </w:rPr>
                              <w:t xml:space="preserve">Training Fund (CTF) program specifically for </w:t>
                            </w:r>
                            <w:r>
                              <w:rPr>
                                <w:rFonts w:ascii="Tahoma" w:eastAsia="Tahoma" w:hAnsi="Tahoma"/>
                                <w:color w:val="000000"/>
                                <w:spacing w:val="4"/>
                                <w:sz w:val="18"/>
                              </w:rPr>
                              <w:t>Western Australian school students aimed at promoting construction careers. CTF engages nine registered training providers to market and deliver the program, focusing on Year 9 and 10 students who express an interest in an apprenticeship or traineeship in a construction trade.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ABEF8" id="Text Box 324" o:spid="_x0000_s1236" type="#_x0000_t202" style="position:absolute;margin-left:71.3pt;margin-top:177.7pt;width:194.6pt;height:107.4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o48QEAAMQDAAAOAAAAZHJzL2Uyb0RvYy54bWysU9tu2zAMfR+wfxD0vjh2gqwz4hRdiw4D&#10;ugvQ7gMYWY6F2aJGKbGzrx8lJ2m3vQ17ESiROjrnkFpfj30nDpq8QVvJfDaXQluFtbG7Sn57un9z&#10;JYUPYGvo0OpKHrWX15vXr9aDK3WBLXa1JsEg1peDq2QbgiuzzKtW9+Bn6LTlZIPUQ+At7bKaYGD0&#10;vsuK+XyVDUi1I1Taez69m5Jyk/CbRqvwpWm8DqKrJHMLaaW0buOabdZQ7ghca9SJBvwDix6M5Ucv&#10;UHcQQOzJ/AXVG0XosQkzhX2GTWOUThpYTT7/Q81jC04nLWyOdxeb/P+DVZ8PX0mYupKr+UIKCz03&#10;6UmPQbzHUSyKZXRocL7kwkfHpWHkBHc6qfXuAdV3LyzetmB3+oYIh1ZDzQzzeDN7cXXC8RFkO3zC&#10;mh+CfcAENDbUR/vYEMHo3KnjpTuRjOLDYvk2XxacUpzLF6vFu6vUvwzK83VHPnzQ2IsYVJK4/Qke&#10;Dg8+RDpQnkviaxbvTdelEejsbwdcGE8S/ch44h7G7Zi8KvL0chS3xfrIigin0eKvwEGL9FOKgceq&#10;kv7HHkhL0X207EqcwXNA52B7DsAqvlrJIMUU3oZpVveOzK5l5Ml3izfsXGOSpmcWJ8I8Kknqaazj&#10;LL7cp6rnz7f5BQAA//8DAFBLAwQUAAYACAAAACEAFMjJ2+AAAAALAQAADwAAAGRycy9kb3ducmV2&#10;LnhtbEyPPU/DMBCGdyT+g3VIbNRu2gQIcaoKwYSEmoaB0YndxGp8DrHbhn/PMcF2r+7R+1FsZjew&#10;s5mC9ShhuRDADLZeW+wkfNSvdw/AQlSo1eDRSPg2ATbl9VWhcu0vWJnzPnaMTDDkSkIf45hzHtre&#10;OBUWfjRIv4OfnIokp47rSV3I3A08ESLjTlmkhF6N5rk37XF/chK2n1i92K/3ZlcdKlvXjwLfsqOU&#10;tzfz9glYNHP8g+G3PlWHkjo1/oQ6sIH0OskIlbBK0zUwItLVksY0dNyLBHhZ8P8byh8AAAD//wMA&#10;UEsBAi0AFAAGAAgAAAAhALaDOJL+AAAA4QEAABMAAAAAAAAAAAAAAAAAAAAAAFtDb250ZW50X1R5&#10;cGVzXS54bWxQSwECLQAUAAYACAAAACEAOP0h/9YAAACUAQAACwAAAAAAAAAAAAAAAAAvAQAAX3Jl&#10;bHMvLnJlbHNQSwECLQAUAAYACAAAACEA2QaaOPEBAADEAwAADgAAAAAAAAAAAAAAAAAuAgAAZHJz&#10;L2Uyb0RvYy54bWxQSwECLQAUAAYACAAAACEAFMjJ2+AAAAALAQAADwAAAAAAAAAAAAAAAABLBAAA&#10;ZHJzL2Rvd25yZXYueG1sUEsFBgAAAAAEAAQA8wAAAFgFAAAAAA==&#10;" filled="f" stroked="f">
                <v:textbox inset="0,0,0,0">
                  <w:txbxContent>
                    <w:p w14:paraId="7DDCF1F4" w14:textId="77777777" w:rsidR="00490F33" w:rsidRDefault="00490F33">
                      <w:pPr>
                        <w:spacing w:line="237" w:lineRule="exact"/>
                        <w:textAlignment w:val="baseline"/>
                        <w:rPr>
                          <w:rFonts w:ascii="Tahoma" w:eastAsia="Tahoma" w:hAnsi="Tahoma"/>
                          <w:color w:val="000000"/>
                          <w:spacing w:val="4"/>
                          <w:sz w:val="18"/>
                        </w:rPr>
                      </w:pPr>
                      <w:r>
                        <w:rPr>
                          <w:rFonts w:ascii="Tahoma" w:eastAsia="Tahoma" w:hAnsi="Tahoma"/>
                          <w:color w:val="000000"/>
                          <w:spacing w:val="4"/>
                          <w:sz w:val="18"/>
                        </w:rPr>
                        <w:t xml:space="preserve">Try-a-Trade is a fully funded Construction </w:t>
                      </w:r>
                      <w:r>
                        <w:rPr>
                          <w:rFonts w:ascii="Verdana" w:eastAsia="Verdana" w:hAnsi="Verdana"/>
                          <w:color w:val="000000"/>
                          <w:spacing w:val="4"/>
                          <w:sz w:val="17"/>
                        </w:rPr>
                        <w:t xml:space="preserve">Training Fund (CTF) program specifically for </w:t>
                      </w:r>
                      <w:r>
                        <w:rPr>
                          <w:rFonts w:ascii="Tahoma" w:eastAsia="Tahoma" w:hAnsi="Tahoma"/>
                          <w:color w:val="000000"/>
                          <w:spacing w:val="4"/>
                          <w:sz w:val="18"/>
                        </w:rPr>
                        <w:t>Western Australian school students aimed at promoting construction careers. CTF engages nine registered training providers to market and deliver the program, focusing on Year 9 and 10 students who express an interest in an apprenticeship or traineeship in a construction trade.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2496" behindDoc="1" locked="0" layoutInCell="1" allowOverlap="1" wp14:anchorId="0596E57D" wp14:editId="08EE95C6">
                <wp:simplePos x="0" y="0"/>
                <wp:positionH relativeFrom="page">
                  <wp:posOffset>4191000</wp:posOffset>
                </wp:positionH>
                <wp:positionV relativeFrom="page">
                  <wp:posOffset>3098165</wp:posOffset>
                </wp:positionV>
                <wp:extent cx="731520" cy="144780"/>
                <wp:effectExtent l="0" t="0" r="0" b="0"/>
                <wp:wrapSquare wrapText="bothSides"/>
                <wp:docPr id="602"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0A046" w14:textId="77777777" w:rsidR="00490F33" w:rsidRDefault="00490F33">
                            <w:pPr>
                              <w:spacing w:before="8" w:line="210" w:lineRule="exact"/>
                              <w:textAlignment w:val="baseline"/>
                              <w:rPr>
                                <w:rFonts w:ascii="Tahoma" w:eastAsia="Tahoma" w:hAnsi="Tahoma"/>
                                <w:color w:val="000000"/>
                                <w:spacing w:val="-10"/>
                                <w:sz w:val="18"/>
                              </w:rPr>
                            </w:pPr>
                            <w:r>
                              <w:rPr>
                                <w:rFonts w:ascii="Tahoma" w:eastAsia="Tahoma" w:hAnsi="Tahoma"/>
                                <w:color w:val="000000"/>
                                <w:spacing w:val="-10"/>
                                <w:sz w:val="18"/>
                              </w:rPr>
                              <w:t>In 2019–2020: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6E57D" id="Text Box 323" o:spid="_x0000_s1237" type="#_x0000_t202" style="position:absolute;margin-left:330pt;margin-top:243.95pt;width:57.6pt;height:11.4pt;z-index:-251753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dD7wEAAMIDAAAOAAAAZHJzL2Uyb0RvYy54bWysU8Fu2zAMvQ/YPwi6L46dri2MOEXXosOA&#10;bh3Q7gMYWY6F2aJGKbGzrx8lJ2m33opdBEqknt57pJZXY9+JnSZv0FYyn82l0FZhbeymkj+e7j5c&#10;SuED2Bo6tLqSe+3l1er9u+XgSl1gi12tSTCI9eXgKtmG4Mos86rVPfgZOm052SD1EHhLm6wmGBi9&#10;77JiPj/PBqTaESrtPZ/eTkm5SvhNo1V4aBqvg+gqydxCWimt67hmqyWUGwLXGnWgAW9g0YOx/OgJ&#10;6hYCiC2ZV1C9UYQemzBT2GfYNEbppIHV5PN/1Dy24HTSwuZ4d7LJ/z9Y9W33nYSpK3k+L6Sw0HOT&#10;nvQYxCccxaJYRIcG50sufHRcGkZOcKeTWu/uUf30wuJNC3ajr4lwaDXUzDCPN7MXVyccH0HWw1es&#10;+SHYBkxAY0N9tI8NEYzOndqfuhPJKD68WOQfC84oTuVnZxeXqXsZlMfLjnz4rLEXMagkcfMTOOzu&#10;fYhkoDyWxLcs3pmuSwPQ2b8OuDCeJPKR78Q8jOsxOVXkSVuUtsZ6z3oIp8Hij8BBi/RbioGHqpL+&#10;1xZIS9F9sexJnMBjQMdgfQzAKr5aySDFFN6EaVK3jsymZeTJdYvX7FtjkqZnFgfCPChJ6mGo4yS+&#10;3Keq56+3+gMAAP//AwBQSwMEFAAGAAgAAAAhAICq+HDhAAAACwEAAA8AAABkcnMvZG93bnJldi54&#10;bWxMjzFPwzAUhHek/gfrVWKjdiuatCEvVYVgQkKkYWB0YjexGj+H2G3Dv8dMZTzd6e67fDfZnl30&#10;6I0jhOVCANPUOGWoRfisXh82wHyQpGTvSCP8aA+7YnaXy0y5K5X6cggtiyXkM4nQhTBknPum01b6&#10;hRs0Re/oRitDlGPL1Sivsdz2fCVEwq00FBc6OejnTjenw9ki7L+ofDHf7/VHeSxNVW0FvSUnxPv5&#10;tH8CFvQUbmH4w4/oUESm2p1JedYjJImIXwLC4ybdAouJNF2vgNUI66VIgRc5//+h+AUAAP//AwBQ&#10;SwECLQAUAAYACAAAACEAtoM4kv4AAADhAQAAEwAAAAAAAAAAAAAAAAAAAAAAW0NvbnRlbnRfVHlw&#10;ZXNdLnhtbFBLAQItABQABgAIAAAAIQA4/SH/1gAAAJQBAAALAAAAAAAAAAAAAAAAAC8BAABfcmVs&#10;cy8ucmVsc1BLAQItABQABgAIAAAAIQBEbydD7wEAAMIDAAAOAAAAAAAAAAAAAAAAAC4CAABkcnMv&#10;ZTJvRG9jLnhtbFBLAQItABQABgAIAAAAIQCAqvhw4QAAAAsBAAAPAAAAAAAAAAAAAAAAAEkEAABk&#10;cnMvZG93bnJldi54bWxQSwUGAAAAAAQABADzAAAAVwUAAAAA&#10;" filled="f" stroked="f">
                <v:textbox inset="0,0,0,0">
                  <w:txbxContent>
                    <w:p w14:paraId="1390A046" w14:textId="77777777" w:rsidR="00490F33" w:rsidRDefault="00490F33">
                      <w:pPr>
                        <w:spacing w:before="8" w:line="210" w:lineRule="exact"/>
                        <w:textAlignment w:val="baseline"/>
                        <w:rPr>
                          <w:rFonts w:ascii="Tahoma" w:eastAsia="Tahoma" w:hAnsi="Tahoma"/>
                          <w:color w:val="000000"/>
                          <w:spacing w:val="-10"/>
                          <w:sz w:val="18"/>
                        </w:rPr>
                      </w:pPr>
                      <w:r>
                        <w:rPr>
                          <w:rFonts w:ascii="Tahoma" w:eastAsia="Tahoma" w:hAnsi="Tahoma"/>
                          <w:color w:val="000000"/>
                          <w:spacing w:val="-10"/>
                          <w:sz w:val="18"/>
                        </w:rPr>
                        <w:t>In 2019–2020:</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3520" behindDoc="1" locked="0" layoutInCell="1" allowOverlap="1" wp14:anchorId="43F48A99" wp14:editId="1775D5DE">
                <wp:simplePos x="0" y="0"/>
                <wp:positionH relativeFrom="page">
                  <wp:posOffset>4191000</wp:posOffset>
                </wp:positionH>
                <wp:positionV relativeFrom="page">
                  <wp:posOffset>3275330</wp:posOffset>
                </wp:positionV>
                <wp:extent cx="2487295" cy="1196340"/>
                <wp:effectExtent l="0" t="0" r="0" b="0"/>
                <wp:wrapSquare wrapText="bothSides"/>
                <wp:docPr id="60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D5D79" w14:textId="77777777" w:rsidR="00490F33" w:rsidRDefault="00490F33">
                            <w:pPr>
                              <w:numPr>
                                <w:ilvl w:val="0"/>
                                <w:numId w:val="6"/>
                              </w:numPr>
                              <w:spacing w:before="36" w:line="240" w:lineRule="exact"/>
                              <w:ind w:left="216" w:hanging="216"/>
                              <w:textAlignment w:val="baseline"/>
                              <w:rPr>
                                <w:rFonts w:ascii="Tahoma" w:eastAsia="Tahoma" w:hAnsi="Tahoma"/>
                                <w:color w:val="000000"/>
                                <w:sz w:val="18"/>
                              </w:rPr>
                            </w:pPr>
                            <w:r>
                              <w:rPr>
                                <w:rFonts w:ascii="Tahoma" w:eastAsia="Tahoma" w:hAnsi="Tahoma"/>
                                <w:color w:val="000000"/>
                                <w:sz w:val="18"/>
                              </w:rPr>
                              <w:t>more than 1,700 students from 100 schools participated in the program</w:t>
                            </w:r>
                          </w:p>
                          <w:p w14:paraId="5227D2CF" w14:textId="77777777" w:rsidR="00490F33" w:rsidRDefault="00490F33">
                            <w:pPr>
                              <w:numPr>
                                <w:ilvl w:val="0"/>
                                <w:numId w:val="6"/>
                              </w:numPr>
                              <w:spacing w:before="86" w:line="240" w:lineRule="exact"/>
                              <w:ind w:left="216" w:right="144" w:hanging="216"/>
                              <w:textAlignment w:val="baseline"/>
                              <w:rPr>
                                <w:rFonts w:ascii="Tahoma" w:eastAsia="Tahoma" w:hAnsi="Tahoma"/>
                                <w:color w:val="000000"/>
                                <w:sz w:val="18"/>
                              </w:rPr>
                            </w:pPr>
                            <w:r>
                              <w:rPr>
                                <w:rFonts w:ascii="Tahoma" w:eastAsia="Tahoma" w:hAnsi="Tahoma"/>
                                <w:color w:val="000000"/>
                                <w:sz w:val="18"/>
                              </w:rPr>
                              <w:t>one-third of the participants were located regionally, stretching from the Kimberley region down to the Great Southern region</w:t>
                            </w:r>
                          </w:p>
                          <w:p w14:paraId="5CCF1F99" w14:textId="77777777" w:rsidR="00490F33" w:rsidRDefault="00490F33">
                            <w:pPr>
                              <w:numPr>
                                <w:ilvl w:val="0"/>
                                <w:numId w:val="6"/>
                              </w:numPr>
                              <w:spacing w:before="82" w:line="239" w:lineRule="exact"/>
                              <w:ind w:left="216" w:right="432" w:hanging="216"/>
                              <w:textAlignment w:val="baseline"/>
                              <w:rPr>
                                <w:rFonts w:ascii="Tahoma" w:eastAsia="Tahoma" w:hAnsi="Tahoma"/>
                                <w:color w:val="000000"/>
                                <w:sz w:val="18"/>
                              </w:rPr>
                            </w:pPr>
                            <w:r>
                              <w:rPr>
                                <w:rFonts w:ascii="Tahoma" w:eastAsia="Tahoma" w:hAnsi="Tahoma"/>
                                <w:color w:val="000000"/>
                                <w:sz w:val="18"/>
                              </w:rPr>
                              <w:t>65 per cent were Year 10 students and 35 per cent were Year 9 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48A99" id="Text Box 322" o:spid="_x0000_s1238" type="#_x0000_t202" style="position:absolute;margin-left:330pt;margin-top:257.9pt;width:195.85pt;height:94.2pt;z-index:-251752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Qw8gEAAMQDAAAOAAAAZHJzL2Uyb0RvYy54bWysU9tu2zAMfR+wfxD0vjh2u6w14hRdiw4D&#10;um5A2w9gZDkWZosapcTOvn6UnGTd+jbsRaB4OTo8pJZXY9+JnSZv0FYyn82l0FZhbeymks9Pd+8u&#10;pPABbA0dWl3JvfbyavX2zXJwpS6wxa7WJBjE+nJwlWxDcGWWedXqHvwMnbYcbJB6CHylTVYTDIze&#10;d1kxny+yAal2hEp7z97bKShXCb9ptApfm8brILpKMreQTkrnOp7ZagnlhsC1Rh1owD+w6MFYfvQE&#10;dQsBxJbMK6jeKEKPTZgp7DNsGqN06oG7yed/dfPYgtOpFxbHu5NM/v/BqofdNxKmruRinkthoech&#10;PekxiI84irOiiAoNzpec+Og4NYwc4Emnbr27R/XdC4s3LdiNvibCodVQM8M8VmYvSiccH0HWwxes&#10;+SHYBkxAY0N9lI8FEYzOk9qfphPJKHYW5xcfisv3UiiO5fnl4uw8zS+D8ljuyIdPGnsRjUoSjz/B&#10;w+7eh0gHymNKfM3inem6tAKd/cPBidGT6EfGE/cwrsekVZGfdFljveeOCKfV4q/ARov0U4qB16qS&#10;/scWSEvRfbasStzBo0FHY300wCourWSQYjJvwrSrW0dm0zLypLvFa1auMamnKPHE4kCYVyW1eljr&#10;uIsv7ynr9+db/QIAAP//AwBQSwMEFAAGAAgAAAAhAJdsUE/hAAAADAEAAA8AAABkcnMvZG93bnJl&#10;di54bWxMj8FOwzAQRO9I/IO1SNyonYqkEOJUFYITUtU0HDg68TaxGq9D7Lbh73FPcFztaOa9Yj3b&#10;gZ1x8saRhGQhgCG1ThvqJHzW7w9PwHxQpNXgCCX8oId1eXtTqFy7C1V43oeOxRLyuZLQhzDmnPu2&#10;R6v8wo1I8Xdwk1UhnlPH9aQusdwOfClExq0yFBd6NeJrj+1xf7ISNl9UvZnvbbOrDpWp62dBH9lR&#10;yvu7efMCLOAc/sJwxY/oUEamxp1IezZIyDIRXYKENEmjwzUh0mQFrJGwEo9L4GXB/0uUvwAAAP//&#10;AwBQSwECLQAUAAYACAAAACEAtoM4kv4AAADhAQAAEwAAAAAAAAAAAAAAAAAAAAAAW0NvbnRlbnRf&#10;VHlwZXNdLnhtbFBLAQItABQABgAIAAAAIQA4/SH/1gAAAJQBAAALAAAAAAAAAAAAAAAAAC8BAABf&#10;cmVscy8ucmVsc1BLAQItABQABgAIAAAAIQBxObQw8gEAAMQDAAAOAAAAAAAAAAAAAAAAAC4CAABk&#10;cnMvZTJvRG9jLnhtbFBLAQItABQABgAIAAAAIQCXbFBP4QAAAAwBAAAPAAAAAAAAAAAAAAAAAEwE&#10;AABkcnMvZG93bnJldi54bWxQSwUGAAAAAAQABADzAAAAWgUAAAAA&#10;" filled="f" stroked="f">
                <v:textbox inset="0,0,0,0">
                  <w:txbxContent>
                    <w:p w14:paraId="69ED5D79" w14:textId="77777777" w:rsidR="00490F33" w:rsidRDefault="00490F33">
                      <w:pPr>
                        <w:numPr>
                          <w:ilvl w:val="0"/>
                          <w:numId w:val="6"/>
                        </w:numPr>
                        <w:spacing w:before="36" w:line="240" w:lineRule="exact"/>
                        <w:ind w:left="216" w:hanging="216"/>
                        <w:textAlignment w:val="baseline"/>
                        <w:rPr>
                          <w:rFonts w:ascii="Tahoma" w:eastAsia="Tahoma" w:hAnsi="Tahoma"/>
                          <w:color w:val="000000"/>
                          <w:sz w:val="18"/>
                        </w:rPr>
                      </w:pPr>
                      <w:r>
                        <w:rPr>
                          <w:rFonts w:ascii="Tahoma" w:eastAsia="Tahoma" w:hAnsi="Tahoma"/>
                          <w:color w:val="000000"/>
                          <w:sz w:val="18"/>
                        </w:rPr>
                        <w:t>more than 1,700 students from 100 schools participated in the program</w:t>
                      </w:r>
                    </w:p>
                    <w:p w14:paraId="5227D2CF" w14:textId="77777777" w:rsidR="00490F33" w:rsidRDefault="00490F33">
                      <w:pPr>
                        <w:numPr>
                          <w:ilvl w:val="0"/>
                          <w:numId w:val="6"/>
                        </w:numPr>
                        <w:spacing w:before="86" w:line="240" w:lineRule="exact"/>
                        <w:ind w:left="216" w:right="144" w:hanging="216"/>
                        <w:textAlignment w:val="baseline"/>
                        <w:rPr>
                          <w:rFonts w:ascii="Tahoma" w:eastAsia="Tahoma" w:hAnsi="Tahoma"/>
                          <w:color w:val="000000"/>
                          <w:sz w:val="18"/>
                        </w:rPr>
                      </w:pPr>
                      <w:r>
                        <w:rPr>
                          <w:rFonts w:ascii="Tahoma" w:eastAsia="Tahoma" w:hAnsi="Tahoma"/>
                          <w:color w:val="000000"/>
                          <w:sz w:val="18"/>
                        </w:rPr>
                        <w:t>one-third of the participants were located regionally, stretching from the Kimberley region down to the Great Southern region</w:t>
                      </w:r>
                    </w:p>
                    <w:p w14:paraId="5CCF1F99" w14:textId="77777777" w:rsidR="00490F33" w:rsidRDefault="00490F33">
                      <w:pPr>
                        <w:numPr>
                          <w:ilvl w:val="0"/>
                          <w:numId w:val="6"/>
                        </w:numPr>
                        <w:spacing w:before="82" w:line="239" w:lineRule="exact"/>
                        <w:ind w:left="216" w:right="432" w:hanging="216"/>
                        <w:textAlignment w:val="baseline"/>
                        <w:rPr>
                          <w:rFonts w:ascii="Tahoma" w:eastAsia="Tahoma" w:hAnsi="Tahoma"/>
                          <w:color w:val="000000"/>
                          <w:sz w:val="18"/>
                        </w:rPr>
                      </w:pPr>
                      <w:r>
                        <w:rPr>
                          <w:rFonts w:ascii="Tahoma" w:eastAsia="Tahoma" w:hAnsi="Tahoma"/>
                          <w:color w:val="000000"/>
                          <w:sz w:val="18"/>
                        </w:rPr>
                        <w:t>65 per cent were Year 10 students and 35 per cent were Year 9 students.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4544" behindDoc="1" locked="0" layoutInCell="1" allowOverlap="1" wp14:anchorId="1E9A67AA" wp14:editId="24879936">
                <wp:simplePos x="0" y="0"/>
                <wp:positionH relativeFrom="page">
                  <wp:posOffset>905510</wp:posOffset>
                </wp:positionH>
                <wp:positionV relativeFrom="page">
                  <wp:posOffset>3735070</wp:posOffset>
                </wp:positionV>
                <wp:extent cx="2477770" cy="3028315"/>
                <wp:effectExtent l="0" t="0" r="0" b="0"/>
                <wp:wrapSquare wrapText="bothSides"/>
                <wp:docPr id="60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302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0981" w14:textId="77777777" w:rsidR="00490F33" w:rsidRDefault="00490F33">
                            <w:pPr>
                              <w:spacing w:line="238" w:lineRule="exact"/>
                              <w:textAlignment w:val="baseline"/>
                              <w:rPr>
                                <w:rFonts w:ascii="Tahoma" w:eastAsia="Tahoma" w:hAnsi="Tahoma"/>
                                <w:color w:val="000000"/>
                                <w:spacing w:val="6"/>
                                <w:sz w:val="18"/>
                              </w:rPr>
                            </w:pPr>
                            <w:r>
                              <w:rPr>
                                <w:rFonts w:ascii="Tahoma" w:eastAsia="Tahoma" w:hAnsi="Tahoma"/>
                                <w:color w:val="000000"/>
                                <w:spacing w:val="6"/>
                                <w:sz w:val="18"/>
                              </w:rPr>
                              <w:t>CTF requires the registered training providers to provide students with a hands-on experience in a minimum of two of the following trades over three consecutive days to work on projects individually or as part of a group:</w:t>
                            </w:r>
                          </w:p>
                          <w:p w14:paraId="29F75F40" w14:textId="77777777" w:rsidR="00490F33" w:rsidRDefault="00490F33">
                            <w:pPr>
                              <w:numPr>
                                <w:ilvl w:val="0"/>
                                <w:numId w:val="6"/>
                              </w:numPr>
                              <w:spacing w:before="106" w:line="221" w:lineRule="exact"/>
                              <w:textAlignment w:val="baseline"/>
                              <w:rPr>
                                <w:rFonts w:ascii="Tahoma" w:eastAsia="Tahoma" w:hAnsi="Tahoma"/>
                                <w:color w:val="000000"/>
                                <w:spacing w:val="7"/>
                                <w:sz w:val="18"/>
                              </w:rPr>
                            </w:pPr>
                            <w:r>
                              <w:rPr>
                                <w:rFonts w:ascii="Tahoma" w:eastAsia="Tahoma" w:hAnsi="Tahoma"/>
                                <w:color w:val="000000"/>
                                <w:spacing w:val="7"/>
                                <w:sz w:val="18"/>
                              </w:rPr>
                              <w:t>Bricklaying</w:t>
                            </w:r>
                          </w:p>
                          <w:p w14:paraId="120DD55F" w14:textId="77777777" w:rsidR="00490F33" w:rsidRDefault="00490F33">
                            <w:pPr>
                              <w:numPr>
                                <w:ilvl w:val="0"/>
                                <w:numId w:val="6"/>
                              </w:numPr>
                              <w:spacing w:before="105" w:line="221" w:lineRule="exact"/>
                              <w:textAlignment w:val="baseline"/>
                              <w:rPr>
                                <w:rFonts w:ascii="Tahoma" w:eastAsia="Tahoma" w:hAnsi="Tahoma"/>
                                <w:color w:val="000000"/>
                                <w:spacing w:val="8"/>
                                <w:sz w:val="18"/>
                              </w:rPr>
                            </w:pPr>
                            <w:r>
                              <w:rPr>
                                <w:rFonts w:ascii="Tahoma" w:eastAsia="Tahoma" w:hAnsi="Tahoma"/>
                                <w:color w:val="000000"/>
                                <w:spacing w:val="8"/>
                                <w:sz w:val="18"/>
                              </w:rPr>
                              <w:t>Carpentry and joinery</w:t>
                            </w:r>
                          </w:p>
                          <w:p w14:paraId="37BF5D0D" w14:textId="77777777" w:rsidR="00490F33" w:rsidRDefault="00490F33">
                            <w:pPr>
                              <w:numPr>
                                <w:ilvl w:val="0"/>
                                <w:numId w:val="6"/>
                              </w:numPr>
                              <w:spacing w:before="101" w:line="221" w:lineRule="exact"/>
                              <w:textAlignment w:val="baseline"/>
                              <w:rPr>
                                <w:rFonts w:ascii="Tahoma" w:eastAsia="Tahoma" w:hAnsi="Tahoma"/>
                                <w:color w:val="000000"/>
                                <w:spacing w:val="6"/>
                                <w:sz w:val="18"/>
                              </w:rPr>
                            </w:pPr>
                            <w:r>
                              <w:rPr>
                                <w:rFonts w:ascii="Tahoma" w:eastAsia="Tahoma" w:hAnsi="Tahoma"/>
                                <w:color w:val="000000"/>
                                <w:spacing w:val="6"/>
                                <w:sz w:val="18"/>
                              </w:rPr>
                              <w:t>Painting and decorating</w:t>
                            </w:r>
                          </w:p>
                          <w:p w14:paraId="436196C3" w14:textId="77777777" w:rsidR="00490F33" w:rsidRDefault="00490F33">
                            <w:pPr>
                              <w:numPr>
                                <w:ilvl w:val="0"/>
                                <w:numId w:val="6"/>
                              </w:numPr>
                              <w:spacing w:before="105" w:line="221" w:lineRule="exact"/>
                              <w:textAlignment w:val="baseline"/>
                              <w:rPr>
                                <w:rFonts w:ascii="Tahoma" w:eastAsia="Tahoma" w:hAnsi="Tahoma"/>
                                <w:color w:val="000000"/>
                                <w:spacing w:val="9"/>
                                <w:sz w:val="18"/>
                              </w:rPr>
                            </w:pPr>
                            <w:r>
                              <w:rPr>
                                <w:rFonts w:ascii="Tahoma" w:eastAsia="Tahoma" w:hAnsi="Tahoma"/>
                                <w:color w:val="000000"/>
                                <w:spacing w:val="9"/>
                                <w:sz w:val="18"/>
                              </w:rPr>
                              <w:t>Plumbing</w:t>
                            </w:r>
                          </w:p>
                          <w:p w14:paraId="11E184EB" w14:textId="77777777" w:rsidR="00490F33" w:rsidRDefault="00490F33">
                            <w:pPr>
                              <w:numPr>
                                <w:ilvl w:val="0"/>
                                <w:numId w:val="6"/>
                              </w:numPr>
                              <w:spacing w:before="106" w:line="221" w:lineRule="exact"/>
                              <w:textAlignment w:val="baseline"/>
                              <w:rPr>
                                <w:rFonts w:ascii="Tahoma" w:eastAsia="Tahoma" w:hAnsi="Tahoma"/>
                                <w:color w:val="000000"/>
                                <w:spacing w:val="6"/>
                                <w:sz w:val="18"/>
                              </w:rPr>
                            </w:pPr>
                            <w:r>
                              <w:rPr>
                                <w:rFonts w:ascii="Tahoma" w:eastAsia="Tahoma" w:hAnsi="Tahoma"/>
                                <w:color w:val="000000"/>
                                <w:spacing w:val="6"/>
                                <w:sz w:val="18"/>
                              </w:rPr>
                              <w:t>Electrical</w:t>
                            </w:r>
                          </w:p>
                          <w:p w14:paraId="13B4E931" w14:textId="77777777" w:rsidR="00490F33" w:rsidRDefault="00490F33">
                            <w:pPr>
                              <w:numPr>
                                <w:ilvl w:val="0"/>
                                <w:numId w:val="6"/>
                              </w:numPr>
                              <w:spacing w:before="100" w:line="221" w:lineRule="exact"/>
                              <w:textAlignment w:val="baseline"/>
                              <w:rPr>
                                <w:rFonts w:ascii="Tahoma" w:eastAsia="Tahoma" w:hAnsi="Tahoma"/>
                                <w:color w:val="000000"/>
                                <w:spacing w:val="8"/>
                                <w:sz w:val="18"/>
                              </w:rPr>
                            </w:pPr>
                            <w:r>
                              <w:rPr>
                                <w:rFonts w:ascii="Tahoma" w:eastAsia="Tahoma" w:hAnsi="Tahoma"/>
                                <w:color w:val="000000"/>
                                <w:spacing w:val="8"/>
                                <w:sz w:val="18"/>
                              </w:rPr>
                              <w:t>Para professional/business</w:t>
                            </w:r>
                          </w:p>
                          <w:p w14:paraId="1E62AAA9" w14:textId="77777777" w:rsidR="00490F33" w:rsidRDefault="00490F33">
                            <w:pPr>
                              <w:numPr>
                                <w:ilvl w:val="0"/>
                                <w:numId w:val="6"/>
                              </w:numPr>
                              <w:spacing w:before="106" w:line="221" w:lineRule="exact"/>
                              <w:textAlignment w:val="baseline"/>
                              <w:rPr>
                                <w:rFonts w:ascii="Tahoma" w:eastAsia="Tahoma" w:hAnsi="Tahoma"/>
                                <w:color w:val="000000"/>
                                <w:spacing w:val="6"/>
                                <w:sz w:val="18"/>
                              </w:rPr>
                            </w:pPr>
                            <w:r>
                              <w:rPr>
                                <w:rFonts w:ascii="Tahoma" w:eastAsia="Tahoma" w:hAnsi="Tahoma"/>
                                <w:color w:val="000000"/>
                                <w:spacing w:val="6"/>
                                <w:sz w:val="18"/>
                              </w:rPr>
                              <w:t>Air-con refrigeration</w:t>
                            </w:r>
                          </w:p>
                          <w:p w14:paraId="4A39CF2A" w14:textId="77777777" w:rsidR="00490F33" w:rsidRDefault="00490F33">
                            <w:pPr>
                              <w:numPr>
                                <w:ilvl w:val="0"/>
                                <w:numId w:val="6"/>
                              </w:numPr>
                              <w:spacing w:before="105" w:line="221" w:lineRule="exact"/>
                              <w:textAlignment w:val="baseline"/>
                              <w:rPr>
                                <w:rFonts w:ascii="Tahoma" w:eastAsia="Tahoma" w:hAnsi="Tahoma"/>
                                <w:color w:val="000000"/>
                                <w:spacing w:val="8"/>
                                <w:sz w:val="18"/>
                              </w:rPr>
                            </w:pPr>
                            <w:r>
                              <w:rPr>
                                <w:rFonts w:ascii="Tahoma" w:eastAsia="Tahoma" w:hAnsi="Tahoma"/>
                                <w:color w:val="000000"/>
                                <w:spacing w:val="8"/>
                                <w:sz w:val="18"/>
                              </w:rPr>
                              <w:t>Concreting</w:t>
                            </w:r>
                          </w:p>
                          <w:p w14:paraId="26CD59D2" w14:textId="77777777" w:rsidR="00490F33" w:rsidRDefault="00490F33">
                            <w:pPr>
                              <w:numPr>
                                <w:ilvl w:val="0"/>
                                <w:numId w:val="6"/>
                              </w:numPr>
                              <w:spacing w:before="105" w:line="221" w:lineRule="exact"/>
                              <w:textAlignment w:val="baseline"/>
                              <w:rPr>
                                <w:rFonts w:ascii="Tahoma" w:eastAsia="Tahoma" w:hAnsi="Tahoma"/>
                                <w:color w:val="000000"/>
                                <w:spacing w:val="8"/>
                                <w:sz w:val="18"/>
                              </w:rPr>
                            </w:pPr>
                            <w:r>
                              <w:rPr>
                                <w:rFonts w:ascii="Tahoma" w:eastAsia="Tahoma" w:hAnsi="Tahoma"/>
                                <w:color w:val="000000"/>
                                <w:spacing w:val="8"/>
                                <w:sz w:val="18"/>
                              </w:rPr>
                              <w:t>Plastering</w:t>
                            </w:r>
                          </w:p>
                          <w:p w14:paraId="2EFBA5C8" w14:textId="77777777" w:rsidR="00490F33" w:rsidRDefault="00490F33">
                            <w:pPr>
                              <w:numPr>
                                <w:ilvl w:val="0"/>
                                <w:numId w:val="21"/>
                              </w:numPr>
                              <w:spacing w:before="102" w:after="81" w:line="220" w:lineRule="exact"/>
                              <w:textAlignment w:val="baseline"/>
                              <w:rPr>
                                <w:rFonts w:ascii="Verdana" w:eastAsia="Verdana" w:hAnsi="Verdana"/>
                                <w:color w:val="000000"/>
                                <w:sz w:val="17"/>
                              </w:rPr>
                            </w:pPr>
                            <w:r>
                              <w:rPr>
                                <w:rFonts w:ascii="Verdana" w:eastAsia="Verdana" w:hAnsi="Verdana"/>
                                <w:color w:val="000000"/>
                                <w:sz w:val="17"/>
                              </w:rPr>
                              <w:t>Wall and floor tiling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67AA" id="Text Box 321" o:spid="_x0000_s1239" type="#_x0000_t202" style="position:absolute;margin-left:71.3pt;margin-top:294.1pt;width:195.1pt;height:238.45pt;z-index:-25175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0U7gEAAMQDAAAOAAAAZHJzL2Uyb0RvYy54bWysU9tu1DAQfUfiHyy/s7kslCrabFVaFSGV&#10;i9TyAY5jbywSjxl7N1m+nrGzWQp9q8iDNZnL8Zkz483VNPTsoNAbsDUvVjlnykpojd3V/Pvj3ZtL&#10;znwQthU9WFXzo/L8avv61WZ0lSqhg75VyAjE+mp0Ne9CcFWWedmpQfgVOGUpqAEHEegXd1mLYiT0&#10;oc/KPL/IRsDWIUjlPXlv5yDfJnytlQxftfYqsL7mxC2kE9PZxDPbbkS1Q+E6I080xAtYDMJYuvQM&#10;dSuCYHs0z6AGIxE86LCSMGSgtZEq9UDdFPk/3Tx0wqnUC4nj3Vkm//9g5ZfDN2SmrflFTvpYMdCQ&#10;HtUU2AeY2LosokKj8xUlPjhKDRMFaNKpW+/uQf7wzMJNJ+xOXSPC2CnREsNUmT0pnXF8BGnGz9DS&#10;RWIfIAFNGocoHwnCCJ2YHM/TiWQkOcu37+mjkKTYOi8v18W7yC4T1VLu0IePCgYWjZojjT/Bi8O9&#10;D3PqkhJvs3Bn+j6tQG//chBm9CT6kfHMPUzNlLQqi/WiSwPtkTpCmFeLngIZHeAvzkZaq5r7n3uB&#10;irP+kyVV4g4uBi5GsxjCSiqteeBsNm/CvKt7h2bXEfKsu4VrUk6b1FOUeGZxIkyrklQ5rXXcxaf/&#10;KevP49v+BgAA//8DAFBLAwQUAAYACAAAACEAmjti1uAAAAAMAQAADwAAAGRycy9kb3ducmV2Lnht&#10;bEyPMU/DMBSEdyT+g/WQ2KjdQKIQ4lQVggkJkYaB0YndxGr8HGK3Df+ex1TG053uvis3ixvZyczB&#10;epSwXglgBjuvLfYSPpvXuxxYiAq1Gj0aCT8mwKa6vipVof0Za3PaxZ5RCYZCSRhinArOQzcYp8LK&#10;TwbJ2/vZqUhy7rme1ZnK3cgTITLulEVaGNRkngfTHXZHJ2H7hfWL/X5vP+p9bZvmUeBbdpDy9mbZ&#10;PgGLZomXMPzhEzpUxNT6I+rARtIPSUZRCWmeJ8Aokd4ndKYlS2TpGnhV8v8nql8AAAD//wMAUEsB&#10;Ai0AFAAGAAgAAAAhALaDOJL+AAAA4QEAABMAAAAAAAAAAAAAAAAAAAAAAFtDb250ZW50X1R5cGVz&#10;XS54bWxQSwECLQAUAAYACAAAACEAOP0h/9YAAACUAQAACwAAAAAAAAAAAAAAAAAvAQAAX3JlbHMv&#10;LnJlbHNQSwECLQAUAAYACAAAACEAIvRdFO4BAADEAwAADgAAAAAAAAAAAAAAAAAuAgAAZHJzL2Uy&#10;b0RvYy54bWxQSwECLQAUAAYACAAAACEAmjti1uAAAAAMAQAADwAAAAAAAAAAAAAAAABIBAAAZHJz&#10;L2Rvd25yZXYueG1sUEsFBgAAAAAEAAQA8wAAAFUFAAAAAA==&#10;" filled="f" stroked="f">
                <v:textbox inset="0,0,0,0">
                  <w:txbxContent>
                    <w:p w14:paraId="2F960981" w14:textId="77777777" w:rsidR="00490F33" w:rsidRDefault="00490F33">
                      <w:pPr>
                        <w:spacing w:line="238" w:lineRule="exact"/>
                        <w:textAlignment w:val="baseline"/>
                        <w:rPr>
                          <w:rFonts w:ascii="Tahoma" w:eastAsia="Tahoma" w:hAnsi="Tahoma"/>
                          <w:color w:val="000000"/>
                          <w:spacing w:val="6"/>
                          <w:sz w:val="18"/>
                        </w:rPr>
                      </w:pPr>
                      <w:r>
                        <w:rPr>
                          <w:rFonts w:ascii="Tahoma" w:eastAsia="Tahoma" w:hAnsi="Tahoma"/>
                          <w:color w:val="000000"/>
                          <w:spacing w:val="6"/>
                          <w:sz w:val="18"/>
                        </w:rPr>
                        <w:t>CTF requires the registered training providers to provide students with a hands-on experience in a minimum of two of the following trades over three consecutive days to work on projects individually or as part of a group:</w:t>
                      </w:r>
                    </w:p>
                    <w:p w14:paraId="29F75F40" w14:textId="77777777" w:rsidR="00490F33" w:rsidRDefault="00490F33">
                      <w:pPr>
                        <w:numPr>
                          <w:ilvl w:val="0"/>
                          <w:numId w:val="6"/>
                        </w:numPr>
                        <w:spacing w:before="106" w:line="221" w:lineRule="exact"/>
                        <w:textAlignment w:val="baseline"/>
                        <w:rPr>
                          <w:rFonts w:ascii="Tahoma" w:eastAsia="Tahoma" w:hAnsi="Tahoma"/>
                          <w:color w:val="000000"/>
                          <w:spacing w:val="7"/>
                          <w:sz w:val="18"/>
                        </w:rPr>
                      </w:pPr>
                      <w:r>
                        <w:rPr>
                          <w:rFonts w:ascii="Tahoma" w:eastAsia="Tahoma" w:hAnsi="Tahoma"/>
                          <w:color w:val="000000"/>
                          <w:spacing w:val="7"/>
                          <w:sz w:val="18"/>
                        </w:rPr>
                        <w:t>Bricklaying</w:t>
                      </w:r>
                    </w:p>
                    <w:p w14:paraId="120DD55F" w14:textId="77777777" w:rsidR="00490F33" w:rsidRDefault="00490F33">
                      <w:pPr>
                        <w:numPr>
                          <w:ilvl w:val="0"/>
                          <w:numId w:val="6"/>
                        </w:numPr>
                        <w:spacing w:before="105" w:line="221" w:lineRule="exact"/>
                        <w:textAlignment w:val="baseline"/>
                        <w:rPr>
                          <w:rFonts w:ascii="Tahoma" w:eastAsia="Tahoma" w:hAnsi="Tahoma"/>
                          <w:color w:val="000000"/>
                          <w:spacing w:val="8"/>
                          <w:sz w:val="18"/>
                        </w:rPr>
                      </w:pPr>
                      <w:r>
                        <w:rPr>
                          <w:rFonts w:ascii="Tahoma" w:eastAsia="Tahoma" w:hAnsi="Tahoma"/>
                          <w:color w:val="000000"/>
                          <w:spacing w:val="8"/>
                          <w:sz w:val="18"/>
                        </w:rPr>
                        <w:t>Carpentry and joinery</w:t>
                      </w:r>
                    </w:p>
                    <w:p w14:paraId="37BF5D0D" w14:textId="77777777" w:rsidR="00490F33" w:rsidRDefault="00490F33">
                      <w:pPr>
                        <w:numPr>
                          <w:ilvl w:val="0"/>
                          <w:numId w:val="6"/>
                        </w:numPr>
                        <w:spacing w:before="101" w:line="221" w:lineRule="exact"/>
                        <w:textAlignment w:val="baseline"/>
                        <w:rPr>
                          <w:rFonts w:ascii="Tahoma" w:eastAsia="Tahoma" w:hAnsi="Tahoma"/>
                          <w:color w:val="000000"/>
                          <w:spacing w:val="6"/>
                          <w:sz w:val="18"/>
                        </w:rPr>
                      </w:pPr>
                      <w:r>
                        <w:rPr>
                          <w:rFonts w:ascii="Tahoma" w:eastAsia="Tahoma" w:hAnsi="Tahoma"/>
                          <w:color w:val="000000"/>
                          <w:spacing w:val="6"/>
                          <w:sz w:val="18"/>
                        </w:rPr>
                        <w:t>Painting and decorating</w:t>
                      </w:r>
                    </w:p>
                    <w:p w14:paraId="436196C3" w14:textId="77777777" w:rsidR="00490F33" w:rsidRDefault="00490F33">
                      <w:pPr>
                        <w:numPr>
                          <w:ilvl w:val="0"/>
                          <w:numId w:val="6"/>
                        </w:numPr>
                        <w:spacing w:before="105" w:line="221" w:lineRule="exact"/>
                        <w:textAlignment w:val="baseline"/>
                        <w:rPr>
                          <w:rFonts w:ascii="Tahoma" w:eastAsia="Tahoma" w:hAnsi="Tahoma"/>
                          <w:color w:val="000000"/>
                          <w:spacing w:val="9"/>
                          <w:sz w:val="18"/>
                        </w:rPr>
                      </w:pPr>
                      <w:r>
                        <w:rPr>
                          <w:rFonts w:ascii="Tahoma" w:eastAsia="Tahoma" w:hAnsi="Tahoma"/>
                          <w:color w:val="000000"/>
                          <w:spacing w:val="9"/>
                          <w:sz w:val="18"/>
                        </w:rPr>
                        <w:t>Plumbing</w:t>
                      </w:r>
                    </w:p>
                    <w:p w14:paraId="11E184EB" w14:textId="77777777" w:rsidR="00490F33" w:rsidRDefault="00490F33">
                      <w:pPr>
                        <w:numPr>
                          <w:ilvl w:val="0"/>
                          <w:numId w:val="6"/>
                        </w:numPr>
                        <w:spacing w:before="106" w:line="221" w:lineRule="exact"/>
                        <w:textAlignment w:val="baseline"/>
                        <w:rPr>
                          <w:rFonts w:ascii="Tahoma" w:eastAsia="Tahoma" w:hAnsi="Tahoma"/>
                          <w:color w:val="000000"/>
                          <w:spacing w:val="6"/>
                          <w:sz w:val="18"/>
                        </w:rPr>
                      </w:pPr>
                      <w:r>
                        <w:rPr>
                          <w:rFonts w:ascii="Tahoma" w:eastAsia="Tahoma" w:hAnsi="Tahoma"/>
                          <w:color w:val="000000"/>
                          <w:spacing w:val="6"/>
                          <w:sz w:val="18"/>
                        </w:rPr>
                        <w:t>Electrical</w:t>
                      </w:r>
                    </w:p>
                    <w:p w14:paraId="13B4E931" w14:textId="77777777" w:rsidR="00490F33" w:rsidRDefault="00490F33">
                      <w:pPr>
                        <w:numPr>
                          <w:ilvl w:val="0"/>
                          <w:numId w:val="6"/>
                        </w:numPr>
                        <w:spacing w:before="100" w:line="221" w:lineRule="exact"/>
                        <w:textAlignment w:val="baseline"/>
                        <w:rPr>
                          <w:rFonts w:ascii="Tahoma" w:eastAsia="Tahoma" w:hAnsi="Tahoma"/>
                          <w:color w:val="000000"/>
                          <w:spacing w:val="8"/>
                          <w:sz w:val="18"/>
                        </w:rPr>
                      </w:pPr>
                      <w:r>
                        <w:rPr>
                          <w:rFonts w:ascii="Tahoma" w:eastAsia="Tahoma" w:hAnsi="Tahoma"/>
                          <w:color w:val="000000"/>
                          <w:spacing w:val="8"/>
                          <w:sz w:val="18"/>
                        </w:rPr>
                        <w:t>Para professional/business</w:t>
                      </w:r>
                    </w:p>
                    <w:p w14:paraId="1E62AAA9" w14:textId="77777777" w:rsidR="00490F33" w:rsidRDefault="00490F33">
                      <w:pPr>
                        <w:numPr>
                          <w:ilvl w:val="0"/>
                          <w:numId w:val="6"/>
                        </w:numPr>
                        <w:spacing w:before="106" w:line="221" w:lineRule="exact"/>
                        <w:textAlignment w:val="baseline"/>
                        <w:rPr>
                          <w:rFonts w:ascii="Tahoma" w:eastAsia="Tahoma" w:hAnsi="Tahoma"/>
                          <w:color w:val="000000"/>
                          <w:spacing w:val="6"/>
                          <w:sz w:val="18"/>
                        </w:rPr>
                      </w:pPr>
                      <w:r>
                        <w:rPr>
                          <w:rFonts w:ascii="Tahoma" w:eastAsia="Tahoma" w:hAnsi="Tahoma"/>
                          <w:color w:val="000000"/>
                          <w:spacing w:val="6"/>
                          <w:sz w:val="18"/>
                        </w:rPr>
                        <w:t>Air-con refrigeration</w:t>
                      </w:r>
                    </w:p>
                    <w:p w14:paraId="4A39CF2A" w14:textId="77777777" w:rsidR="00490F33" w:rsidRDefault="00490F33">
                      <w:pPr>
                        <w:numPr>
                          <w:ilvl w:val="0"/>
                          <w:numId w:val="6"/>
                        </w:numPr>
                        <w:spacing w:before="105" w:line="221" w:lineRule="exact"/>
                        <w:textAlignment w:val="baseline"/>
                        <w:rPr>
                          <w:rFonts w:ascii="Tahoma" w:eastAsia="Tahoma" w:hAnsi="Tahoma"/>
                          <w:color w:val="000000"/>
                          <w:spacing w:val="8"/>
                          <w:sz w:val="18"/>
                        </w:rPr>
                      </w:pPr>
                      <w:r>
                        <w:rPr>
                          <w:rFonts w:ascii="Tahoma" w:eastAsia="Tahoma" w:hAnsi="Tahoma"/>
                          <w:color w:val="000000"/>
                          <w:spacing w:val="8"/>
                          <w:sz w:val="18"/>
                        </w:rPr>
                        <w:t>Concreting</w:t>
                      </w:r>
                    </w:p>
                    <w:p w14:paraId="26CD59D2" w14:textId="77777777" w:rsidR="00490F33" w:rsidRDefault="00490F33">
                      <w:pPr>
                        <w:numPr>
                          <w:ilvl w:val="0"/>
                          <w:numId w:val="6"/>
                        </w:numPr>
                        <w:spacing w:before="105" w:line="221" w:lineRule="exact"/>
                        <w:textAlignment w:val="baseline"/>
                        <w:rPr>
                          <w:rFonts w:ascii="Tahoma" w:eastAsia="Tahoma" w:hAnsi="Tahoma"/>
                          <w:color w:val="000000"/>
                          <w:spacing w:val="8"/>
                          <w:sz w:val="18"/>
                        </w:rPr>
                      </w:pPr>
                      <w:r>
                        <w:rPr>
                          <w:rFonts w:ascii="Tahoma" w:eastAsia="Tahoma" w:hAnsi="Tahoma"/>
                          <w:color w:val="000000"/>
                          <w:spacing w:val="8"/>
                          <w:sz w:val="18"/>
                        </w:rPr>
                        <w:t>Plastering</w:t>
                      </w:r>
                    </w:p>
                    <w:p w14:paraId="2EFBA5C8" w14:textId="77777777" w:rsidR="00490F33" w:rsidRDefault="00490F33">
                      <w:pPr>
                        <w:numPr>
                          <w:ilvl w:val="0"/>
                          <w:numId w:val="21"/>
                        </w:numPr>
                        <w:spacing w:before="102" w:after="81" w:line="220" w:lineRule="exact"/>
                        <w:textAlignment w:val="baseline"/>
                        <w:rPr>
                          <w:rFonts w:ascii="Verdana" w:eastAsia="Verdana" w:hAnsi="Verdana"/>
                          <w:color w:val="000000"/>
                          <w:sz w:val="17"/>
                        </w:rPr>
                      </w:pPr>
                      <w:r>
                        <w:rPr>
                          <w:rFonts w:ascii="Verdana" w:eastAsia="Verdana" w:hAnsi="Verdana"/>
                          <w:color w:val="000000"/>
                          <w:sz w:val="17"/>
                        </w:rPr>
                        <w:t>Wall and floor tiling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5568" behindDoc="1" locked="0" layoutInCell="1" allowOverlap="1" wp14:anchorId="010D65CB" wp14:editId="7A06C08F">
                <wp:simplePos x="0" y="0"/>
                <wp:positionH relativeFrom="page">
                  <wp:posOffset>4187825</wp:posOffset>
                </wp:positionH>
                <wp:positionV relativeFrom="page">
                  <wp:posOffset>4588510</wp:posOffset>
                </wp:positionV>
                <wp:extent cx="2472055" cy="297180"/>
                <wp:effectExtent l="0" t="0" r="0" b="0"/>
                <wp:wrapSquare wrapText="bothSides"/>
                <wp:docPr id="599"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9B0C1" w14:textId="77777777" w:rsidR="00490F33" w:rsidRDefault="00490F33">
                            <w:pPr>
                              <w:spacing w:line="231" w:lineRule="exact"/>
                              <w:jc w:val="both"/>
                              <w:textAlignment w:val="baseline"/>
                              <w:rPr>
                                <w:rFonts w:ascii="Tahoma" w:eastAsia="Tahoma" w:hAnsi="Tahoma"/>
                                <w:color w:val="000000"/>
                                <w:sz w:val="18"/>
                              </w:rPr>
                            </w:pPr>
                            <w:r>
                              <w:rPr>
                                <w:rFonts w:ascii="Tahoma" w:eastAsia="Tahoma" w:hAnsi="Tahoma"/>
                                <w:color w:val="000000"/>
                                <w:sz w:val="18"/>
                              </w:rPr>
                              <w:t>CTF currently invests approximately $550,000 in the Try-a-Trade program annually.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D65CB" id="Text Box 320" o:spid="_x0000_s1240" type="#_x0000_t202" style="position:absolute;margin-left:329.75pt;margin-top:361.3pt;width:194.65pt;height:23.4pt;z-index:-251750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Jj8wEAAMMDAAAOAAAAZHJzL2Uyb0RvYy54bWysU9tu2zAMfR+wfxD0vjjxmrUx4hRdiw4D&#10;ugvQ7gMYWY6F2aJGKbGzrx8lx2m3vQ17ESiKOjrnkFpfD10rDpq8QVvKxWwuhbYKK2N3pfz2dP/m&#10;SgofwFbQotWlPGovrzevX617V+gcG2wrTYJBrC96V8omBFdkmVeN7sDP0GnLhzVSB4G3tMsqgp7R&#10;uzbL5/N3WY9UOUKlvefs3XgoNwm/rrUKX+ra6yDaUjK3kFZK6zau2WYNxY7ANUadaMA/sOjAWH70&#10;DHUHAcSezF9QnVGEHuswU9hlWNdG6aSB1Szmf6h5bMDppIXN8e5sk/9/sOrz4SsJU5VyuVpJYaHj&#10;Jj3pIYj3OIi3eXKod77gwkfHpWHgA+50UuvdA6rvXli8bcDu9A0R9o2GihkuorfZi6uxJ77wEWTb&#10;f8KKH4J9wAQ01NRF+9gQwejcqeO5O5GM4mR+cZnPl0spFJ/lq8vFVSKXQTHdduTDB42diEEpibuf&#10;0OHw4ENkA8VUEh+zeG/aNk1Aa39LcGHMJPaR8Eg9DNshWZUvLqK4KGeL1ZEFEY6TxT+BgwbppxQ9&#10;T1Up/Y89kJai/WjZlDiCU0BTsJ0CsIqvljJIMYa3YRzVvSOzaxh5tN3iDRtXm6TpmcWJME9Kknqa&#10;6jiKL/ep6vnvbX4BAAD//wMAUEsDBBQABgAIAAAAIQCuAloD4QAAAAwBAAAPAAAAZHJzL2Rvd25y&#10;ZXYueG1sTI/BTsMwDIbvSLxDZCRuLKXawlqaThOCExKiKweOaZO10RqnNNlW3h7vxI62P/3+/mIz&#10;u4GdzBSsRwmPiwSYwdZri52Er/rtYQ0sRIVaDR6NhF8TYFPe3hQq1/6MlTntYscoBEOuJPQxjjnn&#10;oe2NU2HhR4N02/vJqUjj1HE9qTOFu4GnSSK4UxbpQ69G89Kb9rA7Ognbb6xe7c9H81ntK1vXWYLv&#10;4iDl/d28fQYWzRz/YbjokzqU5NT4I+rABglila0IlfCUpgLYhUiWa2rT0EpkS+Blwa9LlH8AAAD/&#10;/wMAUEsBAi0AFAAGAAgAAAAhALaDOJL+AAAA4QEAABMAAAAAAAAAAAAAAAAAAAAAAFtDb250ZW50&#10;X1R5cGVzXS54bWxQSwECLQAUAAYACAAAACEAOP0h/9YAAACUAQAACwAAAAAAAAAAAAAAAAAvAQAA&#10;X3JlbHMvLnJlbHNQSwECLQAUAAYACAAAACEA6nrSY/MBAADDAwAADgAAAAAAAAAAAAAAAAAuAgAA&#10;ZHJzL2Uyb0RvYy54bWxQSwECLQAUAAYACAAAACEArgJaA+EAAAAMAQAADwAAAAAAAAAAAAAAAABN&#10;BAAAZHJzL2Rvd25yZXYueG1sUEsFBgAAAAAEAAQA8wAAAFsFAAAAAA==&#10;" filled="f" stroked="f">
                <v:textbox inset="0,0,0,0">
                  <w:txbxContent>
                    <w:p w14:paraId="1979B0C1" w14:textId="77777777" w:rsidR="00490F33" w:rsidRDefault="00490F33">
                      <w:pPr>
                        <w:spacing w:line="231" w:lineRule="exact"/>
                        <w:jc w:val="both"/>
                        <w:textAlignment w:val="baseline"/>
                        <w:rPr>
                          <w:rFonts w:ascii="Tahoma" w:eastAsia="Tahoma" w:hAnsi="Tahoma"/>
                          <w:color w:val="000000"/>
                          <w:sz w:val="18"/>
                        </w:rPr>
                      </w:pPr>
                      <w:r>
                        <w:rPr>
                          <w:rFonts w:ascii="Tahoma" w:eastAsia="Tahoma" w:hAnsi="Tahoma"/>
                          <w:color w:val="000000"/>
                          <w:sz w:val="18"/>
                        </w:rPr>
                        <w:t>CTF currently invests approximately $550,000 in the Try-a-Trade program annually.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6592" behindDoc="1" locked="0" layoutInCell="1" allowOverlap="1" wp14:anchorId="70162768" wp14:editId="1CF2B718">
                <wp:simplePos x="0" y="0"/>
                <wp:positionH relativeFrom="page">
                  <wp:posOffset>4184650</wp:posOffset>
                </wp:positionH>
                <wp:positionV relativeFrom="page">
                  <wp:posOffset>5043805</wp:posOffset>
                </wp:positionV>
                <wp:extent cx="1807845" cy="226060"/>
                <wp:effectExtent l="0" t="0" r="0" b="0"/>
                <wp:wrapSquare wrapText="bothSides"/>
                <wp:docPr id="59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6E2FF" w14:textId="77777777" w:rsidR="00490F33" w:rsidRDefault="00490F33">
                            <w:pPr>
                              <w:spacing w:line="175" w:lineRule="exact"/>
                              <w:jc w:val="both"/>
                              <w:textAlignment w:val="baseline"/>
                              <w:rPr>
                                <w:rFonts w:ascii="Tahoma" w:eastAsia="Tahoma" w:hAnsi="Tahoma"/>
                                <w:color w:val="080607"/>
                                <w:sz w:val="14"/>
                              </w:rPr>
                            </w:pPr>
                            <w:r>
                              <w:rPr>
                                <w:rFonts w:ascii="Tahoma" w:eastAsia="Tahoma" w:hAnsi="Tahoma"/>
                                <w:color w:val="080607"/>
                                <w:sz w:val="14"/>
                              </w:rPr>
                              <w:t xml:space="preserve">Source: Construction Training Fund website, </w:t>
                            </w:r>
                            <w:hyperlink r:id="rId205">
                              <w:r>
                                <w:rPr>
                                  <w:rFonts w:ascii="Tahoma" w:eastAsia="Tahoma" w:hAnsi="Tahoma"/>
                                  <w:color w:val="0000FF"/>
                                  <w:sz w:val="14"/>
                                  <w:u w:val="single"/>
                                </w:rPr>
                                <w:t>https://ctf.wa.gov.au</w:t>
                              </w:r>
                            </w:hyperlink>
                            <w:r>
                              <w:rPr>
                                <w:rFonts w:ascii="Tahoma" w:eastAsia="Tahoma" w:hAnsi="Tahoma"/>
                                <w:color w:val="080607"/>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62768" id="Text Box 319" o:spid="_x0000_s1241" type="#_x0000_t202" style="position:absolute;margin-left:329.5pt;margin-top:397.15pt;width:142.35pt;height:17.8pt;z-index:-251749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V+8gEAAMMDAAAOAAAAZHJzL2Uyb0RvYy54bWysU9tu2zAMfR+wfxD0vtjJliw14hRdiw4D&#10;ugvQ7gMYWY6F2aJGKbGzrx8lx1m3vQ17ESiRPDw8pDbXQ9eKoyZv0JZyPsul0FZhZey+lF+f7l+t&#10;pfABbAUtWl3Kk/byevvyxaZ3hV5gg22lSTCI9UXvStmE4Ios86rRHfgZOm3ZWSN1EPhK+6wi6Bm9&#10;a7NFnq+yHqlyhEp7z693o1NuE35daxU+17XXQbSlZG4hnZTOXTyz7QaKPYFrjDrTgH9g0YGxXPQC&#10;dQcBxIHMX1CdUYQe6zBT2GVY10bp1AN3M8//6OaxAadTLyyOdxeZ/P+DVZ+OX0iYqpTLKx6VhY6H&#10;9KSHIN7hIF7Pr6JCvfMFBz46Dg0DO3jSqVvvHlB988LibQN2r2+IsG80VMxwHjOzZ6kjjo8gu/4j&#10;VlwIDgET0FBTF+VjQQSj86ROl+lEMiqWXOdv12+WUij2LRarfJXGl0ExZTvy4b3GTkSjlMTTT+hw&#10;fPAhsoFiConFLN6btk0b0NrfHjgwviT2kfBIPQy7IUm1mC8nWXZYnbghwnGz+Cew0SD9kKLnrSql&#10;/34A0lK0HyyLEldwMmgydpMBVnFqKYMUo3kbxlU9ODL7hpFH2S3esHC1ST1FhUcWZ8K8KanV81bH&#10;VXx+T1G//t72JwAAAP//AwBQSwMEFAAGAAgAAAAhAKudS+vhAAAACwEAAA8AAABkcnMvZG93bnJl&#10;di54bWxMj8FOwzAQRO9I/IO1SNyoQ4G0DtlUFYITEiINB45O7CZR43WI3Tb8PcsJTqPVjGbf5JvZ&#10;DeJkp9B7QrhdJCAsNd701CJ8VC83axAhajJ68GQRvm2ATXF5kevM+DOV9rSLreASCplG6GIcMylD&#10;01mnw8KPltjb+8npyOfUSjPpM5e7QS6TJJVO98QfOj3ap842h93RIWw/qXzuv97q93Jf9lWlEnpN&#10;D4jXV/P2EUS0c/wLwy8+o0PBTLU/kgliQEgfFG+JCCt1fweCE6wrEDXCeqkUyCKX/zcUPwAAAP//&#10;AwBQSwECLQAUAAYACAAAACEAtoM4kv4AAADhAQAAEwAAAAAAAAAAAAAAAAAAAAAAW0NvbnRlbnRf&#10;VHlwZXNdLnhtbFBLAQItABQABgAIAAAAIQA4/SH/1gAAAJQBAAALAAAAAAAAAAAAAAAAAC8BAABf&#10;cmVscy8ucmVsc1BLAQItABQABgAIAAAAIQABbDV+8gEAAMMDAAAOAAAAAAAAAAAAAAAAAC4CAABk&#10;cnMvZTJvRG9jLnhtbFBLAQItABQABgAIAAAAIQCrnUvr4QAAAAsBAAAPAAAAAAAAAAAAAAAAAEwE&#10;AABkcnMvZG93bnJldi54bWxQSwUGAAAAAAQABADzAAAAWgUAAAAA&#10;" filled="f" stroked="f">
                <v:textbox inset="0,0,0,0">
                  <w:txbxContent>
                    <w:p w14:paraId="5156E2FF" w14:textId="77777777" w:rsidR="00490F33" w:rsidRDefault="00490F33">
                      <w:pPr>
                        <w:spacing w:line="175" w:lineRule="exact"/>
                        <w:jc w:val="both"/>
                        <w:textAlignment w:val="baseline"/>
                        <w:rPr>
                          <w:rFonts w:ascii="Tahoma" w:eastAsia="Tahoma" w:hAnsi="Tahoma"/>
                          <w:color w:val="080607"/>
                          <w:sz w:val="14"/>
                        </w:rPr>
                      </w:pPr>
                      <w:r>
                        <w:rPr>
                          <w:rFonts w:ascii="Tahoma" w:eastAsia="Tahoma" w:hAnsi="Tahoma"/>
                          <w:color w:val="080607"/>
                          <w:sz w:val="14"/>
                        </w:rPr>
                        <w:t xml:space="preserve">Source: Construction Training Fund website, </w:t>
                      </w:r>
                      <w:hyperlink r:id="rId206">
                        <w:r>
                          <w:rPr>
                            <w:rFonts w:ascii="Tahoma" w:eastAsia="Tahoma" w:hAnsi="Tahoma"/>
                            <w:color w:val="0000FF"/>
                            <w:sz w:val="14"/>
                            <w:u w:val="single"/>
                          </w:rPr>
                          <w:t>https://ctf.wa.gov.au</w:t>
                        </w:r>
                      </w:hyperlink>
                      <w:r>
                        <w:rPr>
                          <w:rFonts w:ascii="Tahoma" w:eastAsia="Tahoma" w:hAnsi="Tahoma"/>
                          <w:color w:val="080607"/>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7616" behindDoc="1" locked="0" layoutInCell="1" allowOverlap="1" wp14:anchorId="2666E65E" wp14:editId="54A06509">
                <wp:simplePos x="0" y="0"/>
                <wp:positionH relativeFrom="page">
                  <wp:posOffset>908050</wp:posOffset>
                </wp:positionH>
                <wp:positionV relativeFrom="page">
                  <wp:posOffset>6823075</wp:posOffset>
                </wp:positionV>
                <wp:extent cx="2435860" cy="906780"/>
                <wp:effectExtent l="0" t="0" r="0" b="0"/>
                <wp:wrapSquare wrapText="bothSides"/>
                <wp:docPr id="59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3878F" w14:textId="77777777" w:rsidR="00490F33" w:rsidRDefault="00490F33">
                            <w:pPr>
                              <w:spacing w:line="237" w:lineRule="exact"/>
                              <w:textAlignment w:val="baseline"/>
                              <w:rPr>
                                <w:rFonts w:ascii="Tahoma" w:eastAsia="Tahoma" w:hAnsi="Tahoma"/>
                                <w:color w:val="000000"/>
                                <w:spacing w:val="7"/>
                                <w:sz w:val="18"/>
                              </w:rPr>
                            </w:pPr>
                            <w:r>
                              <w:rPr>
                                <w:rFonts w:ascii="Tahoma" w:eastAsia="Tahoma" w:hAnsi="Tahoma"/>
                                <w:color w:val="000000"/>
                                <w:spacing w:val="7"/>
                                <w:sz w:val="18"/>
                              </w:rPr>
                              <w:t>Lecturers delivering Try-a-Trade are the same lecturers delivering pre-apprenticeship and apprenticeship training, which provides students with an opportunity to learn more about what they can expect during apprenticeship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6E65E" id="Text Box 318" o:spid="_x0000_s1242" type="#_x0000_t202" style="position:absolute;margin-left:71.5pt;margin-top:537.25pt;width:191.8pt;height:71.4pt;z-index:-25174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MaG8gEAAMMDAAAOAAAAZHJzL2Uyb0RvYy54bWysU9tu2zAMfR+wfxD0vthJ1zQ14hRdiw4D&#10;ugvQ7gMYWY6F2aJGKbGzrx8lx1m3vQ17EShejg4PqfXN0LXioMkbtKWcz3IptFVYGbsr5dfnhzcr&#10;KXwAW0GLVpfyqL282bx+te5doRfYYFtpEgxifdG7UjYhuCLLvGp0B36GTlsO1kgdBL7SLqsIekbv&#10;2myR58usR6ocodLes/d+DMpNwq9rrcLnuvY6iLaUzC2kk9K5jWe2WUOxI3CNUSca8A8sOjCWHz1D&#10;3UMAsSfzF1RnFKHHOswUdhnWtVE69cDdzPM/unlqwOnUC4vj3Vkm//9g1afDFxKmKuXl9ZUUFjoe&#10;0rMegniHg7iYr6JCvfMFJz45Tg0DB3jSqVvvHlF988LiXQN2p2+JsG80VMxwHiuzF6Ujjo8g2/4j&#10;VvwQ7AMmoKGmLsrHgghG50kdz9OJZBQ7F28vLldLDimOXefLq1UaXwbFVO3Ih/caOxGNUhJPP6HD&#10;4dGHyAaKKSU+ZvHBtG3agNb+5uDE6EnsI+GRehi2Q5JqMV9OsmyxOnJDhONm8U9go0H6IUXPW1VK&#10;/30PpKVoP1gWJa7gZNBkbCcDrOLSUgYpRvMujKu6d2R2DSOPslu8ZeFqk3qKCo8sToR5U1Krp62O&#10;q/jynrJ+/b3NTwAAAP//AwBQSwMEFAAGAAgAAAAhAAJbNuDiAAAADQEAAA8AAABkcnMvZG93bnJl&#10;di54bWxMj8FOwzAQRO9I/IO1SNyo3bRNS4hTVQhOSIg0HHp0YjexGq9D7Lbh71lOcNvZHc2+ybeT&#10;69nFjMF6lDCfCWAGG68tthI+q9eHDbAQFWrVezQSvk2AbXF7k6tM+yuW5rKPLaMQDJmS0MU4ZJyH&#10;pjNOhZkfDNLt6EenIsmx5XpUVwp3PU+ESLlTFulDpwbz3JnmtD87CbsDli/2673+KI+lrapHgW/p&#10;Scr7u2n3BCyaKf6Z4Ref0KEgptqfUQfWk14uqEukQayXK2BkWSVpCqymVTJfL4AXOf/fovgBAAD/&#10;/wMAUEsBAi0AFAAGAAgAAAAhALaDOJL+AAAA4QEAABMAAAAAAAAAAAAAAAAAAAAAAFtDb250ZW50&#10;X1R5cGVzXS54bWxQSwECLQAUAAYACAAAACEAOP0h/9YAAACUAQAACwAAAAAAAAAAAAAAAAAvAQAA&#10;X3JlbHMvLnJlbHNQSwECLQAUAAYACAAAACEAfHDGhvIBAADDAwAADgAAAAAAAAAAAAAAAAAuAgAA&#10;ZHJzL2Uyb0RvYy54bWxQSwECLQAUAAYACAAAACEAAls24OIAAAANAQAADwAAAAAAAAAAAAAAAABM&#10;BAAAZHJzL2Rvd25yZXYueG1sUEsFBgAAAAAEAAQA8wAAAFsFAAAAAA==&#10;" filled="f" stroked="f">
                <v:textbox inset="0,0,0,0">
                  <w:txbxContent>
                    <w:p w14:paraId="32E3878F" w14:textId="77777777" w:rsidR="00490F33" w:rsidRDefault="00490F33">
                      <w:pPr>
                        <w:spacing w:line="237" w:lineRule="exact"/>
                        <w:textAlignment w:val="baseline"/>
                        <w:rPr>
                          <w:rFonts w:ascii="Tahoma" w:eastAsia="Tahoma" w:hAnsi="Tahoma"/>
                          <w:color w:val="000000"/>
                          <w:spacing w:val="7"/>
                          <w:sz w:val="18"/>
                        </w:rPr>
                      </w:pPr>
                      <w:r>
                        <w:rPr>
                          <w:rFonts w:ascii="Tahoma" w:eastAsia="Tahoma" w:hAnsi="Tahoma"/>
                          <w:color w:val="000000"/>
                          <w:spacing w:val="7"/>
                          <w:sz w:val="18"/>
                        </w:rPr>
                        <w:t>Lecturers delivering Try-a-Trade are the same lecturers delivering pre-apprenticeship and apprenticeship training, which provides students with an opportunity to learn more about what they can expect during apprenticeship training.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8640" behindDoc="1" locked="0" layoutInCell="1" allowOverlap="1" wp14:anchorId="2850EFA6" wp14:editId="440683ED">
                <wp:simplePos x="0" y="0"/>
                <wp:positionH relativeFrom="page">
                  <wp:posOffset>0</wp:posOffset>
                </wp:positionH>
                <wp:positionV relativeFrom="page">
                  <wp:posOffset>9692640</wp:posOffset>
                </wp:positionV>
                <wp:extent cx="7562215" cy="536575"/>
                <wp:effectExtent l="0" t="0" r="0" b="0"/>
                <wp:wrapSquare wrapText="bothSides"/>
                <wp:docPr id="59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FE005" w14:textId="77777777" w:rsidR="00490F33" w:rsidRDefault="00490F33">
                            <w:pPr>
                              <w:tabs>
                                <w:tab w:val="left" w:pos="1368"/>
                              </w:tabs>
                              <w:spacing w:after="636" w:line="199" w:lineRule="exact"/>
                              <w:ind w:left="864"/>
                              <w:textAlignment w:val="baseline"/>
                              <w:rPr>
                                <w:rFonts w:ascii="Arial" w:eastAsia="Arial" w:hAnsi="Arial"/>
                                <w:b/>
                                <w:color w:val="51588F"/>
                                <w:spacing w:val="4"/>
                                <w:sz w:val="19"/>
                              </w:rPr>
                            </w:pPr>
                            <w:r>
                              <w:rPr>
                                <w:rFonts w:ascii="Arial" w:eastAsia="Arial" w:hAnsi="Arial"/>
                                <w:b/>
                                <w:color w:val="51588F"/>
                                <w:spacing w:val="4"/>
                                <w:sz w:val="19"/>
                              </w:rPr>
                              <w:t>96</w:t>
                            </w:r>
                            <w:r>
                              <w:rPr>
                                <w:rFonts w:ascii="Tahoma" w:eastAsia="Tahoma" w:hAnsi="Tahoma"/>
                                <w:color w:val="000000"/>
                                <w:spacing w:val="4"/>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0EFA6" id="Text Box 317" o:spid="_x0000_s1243" type="#_x0000_t202" style="position:absolute;margin-left:0;margin-top:763.2pt;width:595.45pt;height:42.25pt;z-index:-25174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ie8AEAAMMDAAAOAAAAZHJzL2Uyb0RvYy54bWysU9tu2zAMfR+wfxD0vjhJ4WQz4hRdiw4D&#10;ugvQ7gMYWY6F2aJGKbGzrx8lx2m3vQ17ESiSOjw8pDbXQ9eKoyZv0JZyMZtLoa3Cyth9Kb893b95&#10;K4UPYCto0epSnrSX19vXrza9K/QSG2wrTYJBrC96V8omBFdkmVeN7sDP0GnLwRqpg8BX2mcVQc/o&#10;XZst5/NV1iNVjlBp79l7NwblNuHXtVbhS117HURbSuYW0knp3MUz226g2BO4xqgzDfgHFh0Yy0Uv&#10;UHcQQBzI/AXVGUXosQ4zhV2GdW2UTj1wN4v5H908NuB06oXF8e4ik/9/sOrz8SsJU5Uyf7eSwkLH&#10;Q3rSQxDvcRBXi3VUqHe+4MRHx6lh4ABPOnXr3QOq715YvG3A7vUNEfaNhooZLuLL7MXTEcdHkF3/&#10;CSsuBIeACWioqYvysSCC0XlSp8t0IhnFznW+Wi4XuRSKY/nVKl/nqQQU02tHPnzQ2IlolJJ4+gkd&#10;jg8+RDZQTCmxmMV707ZpA1r7m4MToyexj4RH6mHYDUmq5bMsO6xO3BDhuFn8E9hokH5K0fNWldL/&#10;OABpKdqPlkWJKzgZNBm7yQCr+GkpgxSjeRvGVT04MvuGkUfZLd6wcLVJPUWFRxZnwrwpqdXzVsdV&#10;fHlPWc9/b/sLAAD//wMAUEsDBBQABgAIAAAAIQBHaIRF3wAAAAsBAAAPAAAAZHJzL2Rvd25yZXYu&#10;eG1sTI9BT8MwDIXvSPyHyEjcWNIJKlqaThOCExKiKweOaeu10RqnNNlW/j3eCW7Pftbz94rN4kZx&#10;wjlYTxqSlQKB1PrOUq/hs369ewQRoqHOjJ5Qww8G2JTXV4XJO3+mCk+72AsOoZAbDUOMUy5laAd0&#10;Jqz8hMTe3s/ORB7nXnazOXO4G+VaqVQ6Y4k/DGbC5wHbw+7oNGy/qHqx3+/NR7WvbF1nit7Sg9a3&#10;N8v2CUTEJf4dwwWf0aFkpsYfqQti1MBFIm8f1uk9iIufZCoD0bBKE1ayLOT/DuUvAAAA//8DAFBL&#10;AQItABQABgAIAAAAIQC2gziS/gAAAOEBAAATAAAAAAAAAAAAAAAAAAAAAABbQ29udGVudF9UeXBl&#10;c10ueG1sUEsBAi0AFAAGAAgAAAAhADj9If/WAAAAlAEAAAsAAAAAAAAAAAAAAAAALwEAAF9yZWxz&#10;Ly5yZWxzUEsBAi0AFAAGAAgAAAAhAM6buJ7wAQAAwwMAAA4AAAAAAAAAAAAAAAAALgIAAGRycy9l&#10;Mm9Eb2MueG1sUEsBAi0AFAAGAAgAAAAhAEdohEXfAAAACwEAAA8AAAAAAAAAAAAAAAAASgQAAGRy&#10;cy9kb3ducmV2LnhtbFBLBQYAAAAABAAEAPMAAABWBQAAAAA=&#10;" filled="f" stroked="f">
                <v:textbox inset="0,0,0,0">
                  <w:txbxContent>
                    <w:p w14:paraId="358FE005" w14:textId="77777777" w:rsidR="00490F33" w:rsidRDefault="00490F33">
                      <w:pPr>
                        <w:tabs>
                          <w:tab w:val="left" w:pos="1368"/>
                        </w:tabs>
                        <w:spacing w:after="636" w:line="199" w:lineRule="exact"/>
                        <w:ind w:left="864"/>
                        <w:textAlignment w:val="baseline"/>
                        <w:rPr>
                          <w:rFonts w:ascii="Arial" w:eastAsia="Arial" w:hAnsi="Arial"/>
                          <w:b/>
                          <w:color w:val="51588F"/>
                          <w:spacing w:val="4"/>
                          <w:sz w:val="19"/>
                        </w:rPr>
                      </w:pPr>
                      <w:r>
                        <w:rPr>
                          <w:rFonts w:ascii="Arial" w:eastAsia="Arial" w:hAnsi="Arial"/>
                          <w:b/>
                          <w:color w:val="51588F"/>
                          <w:spacing w:val="4"/>
                          <w:sz w:val="19"/>
                        </w:rPr>
                        <w:t>96</w:t>
                      </w:r>
                      <w:r>
                        <w:rPr>
                          <w:rFonts w:ascii="Tahoma" w:eastAsia="Tahoma" w:hAnsi="Tahoma"/>
                          <w:color w:val="000000"/>
                          <w:spacing w:val="4"/>
                          <w:sz w:val="14"/>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69664" behindDoc="1" locked="0" layoutInCell="1" allowOverlap="1" wp14:anchorId="49000605" wp14:editId="20F3CF60">
                <wp:simplePos x="0" y="0"/>
                <wp:positionH relativeFrom="page">
                  <wp:posOffset>0</wp:posOffset>
                </wp:positionH>
                <wp:positionV relativeFrom="page">
                  <wp:posOffset>10229215</wp:posOffset>
                </wp:positionV>
                <wp:extent cx="7562215" cy="462915"/>
                <wp:effectExtent l="0" t="0" r="0" b="0"/>
                <wp:wrapSquare wrapText="bothSides"/>
                <wp:docPr id="59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2B2B" w14:textId="77777777" w:rsidR="00490F33" w:rsidRDefault="00490F33">
                            <w:pPr>
                              <w:textAlignment w:val="baseline"/>
                            </w:pPr>
                            <w:r>
                              <w:rPr>
                                <w:noProof/>
                                <w:lang w:val="en-AU" w:eastAsia="en-AU"/>
                              </w:rPr>
                              <w:drawing>
                                <wp:inline distT="0" distB="0" distL="0" distR="0" wp14:anchorId="431884BF" wp14:editId="1EA95DA5">
                                  <wp:extent cx="7562215" cy="462915"/>
                                  <wp:effectExtent l="0" t="0" r="0" b="0"/>
                                  <wp:docPr id="159" name="Picture"/>
                                  <wp:cNvGraphicFramePr/>
                                  <a:graphic xmlns:a="http://schemas.openxmlformats.org/drawingml/2006/main">
                                    <a:graphicData uri="http://schemas.openxmlformats.org/drawingml/2006/picture">
                                      <pic:pic xmlns:pic="http://schemas.openxmlformats.org/drawingml/2006/picture">
                                        <pic:nvPicPr>
                                          <pic:cNvPr id="159"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00605" id="Text Box 316" o:spid="_x0000_s1244" type="#_x0000_t202" style="position:absolute;margin-left:0;margin-top:805.45pt;width:595.45pt;height:36.45pt;z-index:-251746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3Q8AEAAMMDAAAOAAAAZHJzL2Uyb0RvYy54bWysU9tu2zAMfR+wfxD0vjj2lqw14hRdiw4D&#10;ugvQ7gMYWY6F2aJGKbG7rx8lx1m3vQ17ESiSOjw8pDZXY9+JoyZv0FYyXyyl0FZhbey+kl8f715d&#10;SOED2Bo6tLqST9rLq+3LF5vBlbrAFrtak2AQ68vBVbINwZVZ5lWre/ALdNpysEHqIfCV9llNMDB6&#10;32XFcrnOBqTaESrtPXtvp6DcJvym0Sp8bhqvg+gqydxCOimdu3hm2w2UewLXGnWiAf/AogdjuegZ&#10;6hYCiAOZv6B6owg9NmGhsM+waYzSqQfuJl/+0c1DC06nXlgc784y+f8Hqz4dv5AwdSVXlyspLPQ8&#10;pEc9BvEOR/E6X0eFBudLTnxwnBpGDvCkU7fe3aP65oXFmxbsXl8T4dBqqJlhHl9mz55OOD6C7IaP&#10;WHMhOARMQGNDfZSPBRGMzpN6Ok8nklHsfLtaF0XOJBXH3qyLS7ZjCSjn1458eK+xF9GoJPH0Ezoc&#10;732YUueUWMzinek69kPZ2d8cjBk9iX0kPFEP425MUhX5xSzLDusnbohw2iz+CWy0SD+kGHirKum/&#10;H4C0FN0Hy6LEFZwNmo3dbIBV/LSSQYrJvAnTqh4cmX3LyJPsFq9ZuMaknqLCE4sTYd6UpMppq+Mq&#10;Pr+nrF9/b/sT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hHmt0PABAADDAwAADgAAAAAAAAAAAAAAAAAuAgAAZHJzL2Uy&#10;b0RvYy54bWxQSwECLQAUAAYACAAAACEAOwbrv94AAAALAQAADwAAAAAAAAAAAAAAAABKBAAAZHJz&#10;L2Rvd25yZXYueG1sUEsFBgAAAAAEAAQA8wAAAFUFAAAAAA==&#10;" filled="f" stroked="f">
                <v:textbox inset="0,0,0,0">
                  <w:txbxContent>
                    <w:p w14:paraId="5AE12B2B" w14:textId="77777777" w:rsidR="00490F33" w:rsidRDefault="00490F33">
                      <w:pPr>
                        <w:textAlignment w:val="baseline"/>
                      </w:pPr>
                      <w:r>
                        <w:rPr>
                          <w:noProof/>
                          <w:lang w:val="en-AU" w:eastAsia="en-AU"/>
                        </w:rPr>
                        <w:drawing>
                          <wp:inline distT="0" distB="0" distL="0" distR="0" wp14:anchorId="431884BF" wp14:editId="1EA95DA5">
                            <wp:extent cx="7562215" cy="462915"/>
                            <wp:effectExtent l="0" t="0" r="0" b="0"/>
                            <wp:docPr id="159" name="Picture"/>
                            <wp:cNvGraphicFramePr/>
                            <a:graphic xmlns:a="http://schemas.openxmlformats.org/drawingml/2006/main">
                              <a:graphicData uri="http://schemas.openxmlformats.org/drawingml/2006/picture">
                                <pic:pic xmlns:pic="http://schemas.openxmlformats.org/drawingml/2006/picture">
                                  <pic:nvPicPr>
                                    <pic:cNvPr id="159"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717DD04B" w14:textId="77777777" w:rsidR="009757A9" w:rsidRDefault="009757A9">
      <w:pPr>
        <w:sectPr w:rsidR="009757A9">
          <w:pgSz w:w="11909" w:h="16838"/>
          <w:pgMar w:top="1152" w:right="0" w:bottom="0" w:left="0" w:header="720" w:footer="720" w:gutter="0"/>
          <w:cols w:space="720"/>
        </w:sectPr>
      </w:pPr>
    </w:p>
    <w:p w14:paraId="02ACC3B6" w14:textId="77777777" w:rsidR="009757A9" w:rsidRDefault="00083242">
      <w:pPr>
        <w:spacing w:before="24" w:line="286" w:lineRule="exact"/>
        <w:ind w:left="864"/>
        <w:textAlignment w:val="baseline"/>
        <w:rPr>
          <w:rFonts w:ascii="Arial" w:eastAsia="Arial" w:hAnsi="Arial"/>
          <w:b/>
          <w:color w:val="00708E"/>
          <w:spacing w:val="-1"/>
          <w:sz w:val="25"/>
        </w:rPr>
      </w:pPr>
      <w:r>
        <w:rPr>
          <w:rFonts w:ascii="Arial" w:eastAsia="Arial" w:hAnsi="Arial"/>
          <w:b/>
          <w:color w:val="00708E"/>
          <w:spacing w:val="-1"/>
          <w:sz w:val="25"/>
        </w:rPr>
        <w:lastRenderedPageBreak/>
        <w:t>What should industry do?</w:t>
      </w:r>
    </w:p>
    <w:p w14:paraId="38DCD756" w14:textId="77777777" w:rsidR="009757A9" w:rsidRDefault="00083242">
      <w:pPr>
        <w:spacing w:before="146" w:after="480" w:line="240" w:lineRule="exact"/>
        <w:ind w:left="864" w:right="1152"/>
        <w:textAlignment w:val="baseline"/>
        <w:rPr>
          <w:rFonts w:ascii="Tahoma" w:eastAsia="Tahoma" w:hAnsi="Tahoma"/>
          <w:color w:val="404042"/>
          <w:sz w:val="18"/>
        </w:rPr>
      </w:pPr>
      <w:r>
        <w:rPr>
          <w:rFonts w:ascii="Tahoma" w:eastAsia="Tahoma" w:hAnsi="Tahoma"/>
          <w:color w:val="404042"/>
          <w:sz w:val="18"/>
        </w:rPr>
        <w:t>Many employers have indicated they are disappointed with the work readiness of senior secondary graduates. If industry is encouraged and enabled to form mutually beneficial partnerships with schools, employers will be able to play an active role in shaping their future workforce.</w:t>
      </w:r>
    </w:p>
    <w:p w14:paraId="0B3DDD42" w14:textId="77777777" w:rsidR="009757A9" w:rsidRDefault="000D2E34">
      <w:pPr>
        <w:spacing w:before="99" w:line="300" w:lineRule="exact"/>
        <w:ind w:left="1296" w:right="1440"/>
        <w:textAlignment w:val="baseline"/>
        <w:rPr>
          <w:rFonts w:ascii="Verdana" w:eastAsia="Verdana" w:hAnsi="Verdana"/>
          <w:i/>
          <w:color w:val="007994"/>
          <w:sz w:val="19"/>
        </w:rPr>
      </w:pPr>
      <w:r>
        <w:rPr>
          <w:noProof/>
          <w:lang w:val="en-AU" w:eastAsia="en-AU"/>
        </w:rPr>
        <mc:AlternateContent>
          <mc:Choice Requires="wps">
            <w:drawing>
              <wp:anchor distT="0" distB="0" distL="114300" distR="114300" simplePos="0" relativeHeight="251926016" behindDoc="0" locked="0" layoutInCell="1" allowOverlap="1" wp14:anchorId="44675C62" wp14:editId="4C4FF285">
                <wp:simplePos x="0" y="0"/>
                <wp:positionH relativeFrom="page">
                  <wp:posOffset>826135</wp:posOffset>
                </wp:positionH>
                <wp:positionV relativeFrom="page">
                  <wp:posOffset>1743710</wp:posOffset>
                </wp:positionV>
                <wp:extent cx="5907405" cy="0"/>
                <wp:effectExtent l="0" t="0" r="0" b="0"/>
                <wp:wrapNone/>
                <wp:docPr id="594"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C491B" id="Line 315" o:spid="_x0000_s1026" style="position:absolute;z-index:25192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37.3pt" to="530.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0NW0QEAAIYDAAAOAAAAZHJzL2Uyb0RvYy54bWysU8Fy2yAQvXem/8BwryUnUVJrLOdgN724&#10;rWeSfMAakMQUWAawJf99Adlu09w6vTCgffv27dvV8nHUihyF8xJNQ+ezkhJhGHJpuoa+vjx9+kyJ&#10;D2A4KDSioSfh6ePq44flYGtxgz0qLhyJJMbXg21oH4Kti8KzXmjwM7TCxGCLTkOIT9cV3MEQ2bUq&#10;bsryvhjQceuQCe/j180UpKvM37aChR9t60UgqqFRW8iny+c+ncVqCXXnwPaSnWXAP6jQIE0seqXa&#10;QABycPIdlZbMocc2zBjqAttWMpF7iN3My7+6ee7BitxLNMfbq03+/9Gy78edI5I3tFrcUWJAxyFt&#10;pRHkdl4ldwbr6wham51L/bHRPNstsp+eGFz3YDqRVb6cbEycp4ziTUp6eBtr7IdvyCMGDgGzVWPr&#10;dKKMJpAxT+R0nYgYA2HxY7UoH+7KihJ2iRVQXxKt8+GrQE3SpaEqqs7EcNz6kIRAfYGkOgafpFJ5&#10;4MqQoaH3t1WZEzwqyVMwwbzr9mvlyBHSypQPi+jLRPYGlpg34PsJl0PTMjk8GJ6r9AL4l/M9gFTT&#10;PapS5uxSMmayeI/8tHOpTjIsDjvLPy9m2qY/3xn1+/dZ/QIAAP//AwBQSwMEFAAGAAgAAAAhAHlT&#10;XEvcAAAADAEAAA8AAABkcnMvZG93bnJldi54bWxMj8FuwjAMhu+T9g6RkXYbCYx1qGuKJiZOXDZA&#10;2tU0pu1onKoJpbz9gjQJjr/96ffnbDHYRvTU+dqxhslYgSAunKm51LDbrp7nIHxANtg4Jg0X8rDI&#10;Hx8yTI078zf1m1CKWMI+RQ1VCG0qpS8qsujHriWOu4PrLIYYu1KaDs+x3DZyqlQiLdYcL1TY0rKi&#10;4rg5WQ0rVNsvs167X//zellikOaTeq2fRsPHO4hAQ7jBcNWP6pBHp707sfGiiflFTSKqYfo2S0Bc&#10;CZWoGYj9/0jmmbx/Iv8DAAD//wMAUEsBAi0AFAAGAAgAAAAhALaDOJL+AAAA4QEAABMAAAAAAAAA&#10;AAAAAAAAAAAAAFtDb250ZW50X1R5cGVzXS54bWxQSwECLQAUAAYACAAAACEAOP0h/9YAAACUAQAA&#10;CwAAAAAAAAAAAAAAAAAvAQAAX3JlbHMvLnJlbHNQSwECLQAUAAYACAAAACEADe9DVtEBAACGAwAA&#10;DgAAAAAAAAAAAAAAAAAuAgAAZHJzL2Uyb0RvYy54bWxQSwECLQAUAAYACAAAACEAeVNcS9wAAAAM&#10;AQAADwAAAAAAAAAAAAAAAAArBAAAZHJzL2Rvd25yZXYueG1sUEsFBgAAAAAEAAQA8wAAADQFAAAA&#10;AA==&#10;" strokecolor="#007994" strokeweight=".5pt">
                <w10:wrap anchorx="page" anchory="page"/>
              </v:line>
            </w:pict>
          </mc:Fallback>
        </mc:AlternateContent>
      </w:r>
      <w:r w:rsidR="00083242">
        <w:rPr>
          <w:rFonts w:ascii="Verdana" w:eastAsia="Verdana" w:hAnsi="Verdana"/>
          <w:i/>
          <w:color w:val="007994"/>
          <w:sz w:val="19"/>
        </w:rPr>
        <w:t xml:space="preserve">“Employers want to be able to hire fully trained, qualified, skilled and motivated people who will </w:t>
      </w:r>
      <w:r w:rsidR="00083242">
        <w:rPr>
          <w:rFonts w:ascii="Tahoma" w:eastAsia="Tahoma" w:hAnsi="Tahoma"/>
          <w:i/>
          <w:color w:val="007994"/>
          <w:sz w:val="21"/>
        </w:rPr>
        <w:t>cost them as little as possible to employ. The provision of skilled workers, however, is not the sole purpose or responsibility of schools: both employers and the community have a role.”</w:t>
      </w:r>
    </w:p>
    <w:p w14:paraId="5F5DDD61" w14:textId="77777777" w:rsidR="009757A9" w:rsidRDefault="00083242">
      <w:pPr>
        <w:spacing w:before="56" w:after="230" w:line="237" w:lineRule="exact"/>
        <w:ind w:left="7344"/>
        <w:textAlignment w:val="baseline"/>
        <w:rPr>
          <w:rFonts w:ascii="Tahoma" w:eastAsia="Tahoma" w:hAnsi="Tahoma"/>
          <w:i/>
          <w:color w:val="007994"/>
          <w:spacing w:val="1"/>
          <w:sz w:val="21"/>
        </w:rPr>
      </w:pPr>
      <w:r>
        <w:rPr>
          <w:rFonts w:ascii="Tahoma" w:eastAsia="Tahoma" w:hAnsi="Tahoma"/>
          <w:i/>
          <w:color w:val="007994"/>
          <w:spacing w:val="1"/>
          <w:sz w:val="21"/>
        </w:rPr>
        <w:t>Catholic Schools NSW submission</w:t>
      </w:r>
    </w:p>
    <w:p w14:paraId="2F02B91E" w14:textId="77777777" w:rsidR="009757A9" w:rsidRDefault="000D2E34">
      <w:pPr>
        <w:spacing w:before="487" w:line="220" w:lineRule="exact"/>
        <w:ind w:left="864"/>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927040" behindDoc="0" locked="0" layoutInCell="1" allowOverlap="1" wp14:anchorId="3217A6C4" wp14:editId="50658DDC">
                <wp:simplePos x="0" y="0"/>
                <wp:positionH relativeFrom="page">
                  <wp:posOffset>826135</wp:posOffset>
                </wp:positionH>
                <wp:positionV relativeFrom="page">
                  <wp:posOffset>2715895</wp:posOffset>
                </wp:positionV>
                <wp:extent cx="5907405" cy="0"/>
                <wp:effectExtent l="0" t="0" r="0" b="0"/>
                <wp:wrapNone/>
                <wp:docPr id="593"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8E11" id="Line 314" o:spid="_x0000_s1026" style="position:absolute;z-index:2519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13.85pt" to="530.2pt,2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6I0QEAAIYDAAAOAAAAZHJzL2Uyb0RvYy54bWysU01v2zAMvQ/YfxB0X+w0TbsYcXpI1l2y&#10;LUC7H8BIsi1MFgVJiZ1/P0r52Lrdhl0ESiQfHx+p5dPYG3ZUPmi0NZ9OSs6UFSi1bWv+/fX5w0fO&#10;QgQrwaBVNT+pwJ9W798tB1epO+zQSOUZgdhQDa7mXYyuKoogOtVDmKBTlpwN+h4iXX1bSA8Dofem&#10;uCvLh2JAL51HoUKg183ZyVcZv2mUiN+aJqjITM2JW8ynz+c+ncVqCVXrwXVaXGjAP7DoQVsqeoPa&#10;QAR28PovqF4LjwGbOBHYF9g0WqjcA3UzLf/o5qUDp3IvJE5wN5nC/4MVX487z7Ss+Xwx48xCT0Pa&#10;aqvYbHqf1BlcqChobXc+9SdG++K2KH4EZnHdgW1VZvl6cpQ4TRnFm5R0CY5q7IcvKCkGDhGzVGPj&#10;+wRJIrAxT+R0m4gaIxP0OF+Uj/flnDNx9RVQXROdD/Gzwp4lo+aGWGdgOG5DTESguoakOhaftTF5&#10;4MayoeYPs3mZEwIaLZMzhQXf7tfGsyOklSkfF4usA4G9CUvIGwjdOS67zsvk8WBlrtIpkJ8udgRt&#10;zjYBGXtRKQlzlniP8rTzV/Vo2Jn+ZTHTNv1+z9m/vs/qJwAAAP//AwBQSwMEFAAGAAgAAAAhAMoa&#10;8fDcAAAADAEAAA8AAABkcnMvZG93bnJldi54bWxMj8FOwzAMhu9IvENkJG4s2RgbKk0nNLTTLrAh&#10;cfUa0xYap2qyrnt7PAkJjr/96ffnfDX6Vg3UxyawhenEgCIug2u4svC+39w9gooJ2WEbmCycKcKq&#10;uL7KMXPhxG807FKlpIRjhhbqlLpM61jW5DFOQkcsu8/Qe0wS+0q7Hk9S7ls9M2ahPTYsF2rsaF1T&#10;+b07egsbNPtXt92Gr/jxcF5j0u6FBmtvb8bnJ1CJxvQHw0Vf1KEQp0M4souqlXxvpoJamM+WS1AX&#10;wizMHNThd6SLXP9/ovgBAAD//wMAUEsBAi0AFAAGAAgAAAAhALaDOJL+AAAA4QEAABMAAAAAAAAA&#10;AAAAAAAAAAAAAFtDb250ZW50X1R5cGVzXS54bWxQSwECLQAUAAYACAAAACEAOP0h/9YAAACUAQAA&#10;CwAAAAAAAAAAAAAAAAAvAQAAX3JlbHMvLnJlbHNQSwECLQAUAAYACAAAACEAwgoOiNEBAACGAwAA&#10;DgAAAAAAAAAAAAAAAAAuAgAAZHJzL2Uyb0RvYy54bWxQSwECLQAUAAYACAAAACEAyhrx8N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5"/>
          <w:sz w:val="18"/>
        </w:rPr>
        <w:t>Industry has three key roles to play in partnerships with schools:</w:t>
      </w:r>
    </w:p>
    <w:p w14:paraId="16847670" w14:textId="77777777" w:rsidR="009757A9" w:rsidRDefault="00083242">
      <w:pPr>
        <w:numPr>
          <w:ilvl w:val="0"/>
          <w:numId w:val="6"/>
        </w:numPr>
        <w:tabs>
          <w:tab w:val="clear" w:pos="216"/>
          <w:tab w:val="left" w:pos="1080"/>
        </w:tabs>
        <w:spacing w:before="79" w:line="240" w:lineRule="exact"/>
        <w:ind w:left="1080" w:right="864" w:hanging="216"/>
        <w:textAlignment w:val="baseline"/>
        <w:rPr>
          <w:rFonts w:ascii="Tahoma" w:eastAsia="Tahoma" w:hAnsi="Tahoma"/>
          <w:color w:val="404042"/>
          <w:spacing w:val="4"/>
          <w:sz w:val="18"/>
        </w:rPr>
      </w:pPr>
      <w:r>
        <w:rPr>
          <w:rFonts w:ascii="Tahoma" w:eastAsia="Tahoma" w:hAnsi="Tahoma"/>
          <w:color w:val="404042"/>
          <w:spacing w:val="4"/>
          <w:sz w:val="18"/>
        </w:rPr>
        <w:t>First, to provide opportunities for senior secondary students to gain paid casual or part-time work, which is often the best avenue to build their initial work-based capabilities and understand the attributes that are required in the world of work.</w:t>
      </w:r>
    </w:p>
    <w:p w14:paraId="72C0658D" w14:textId="77777777" w:rsidR="009757A9" w:rsidRDefault="00083242">
      <w:pPr>
        <w:numPr>
          <w:ilvl w:val="0"/>
          <w:numId w:val="6"/>
        </w:numPr>
        <w:tabs>
          <w:tab w:val="clear" w:pos="216"/>
          <w:tab w:val="left" w:pos="1080"/>
        </w:tabs>
        <w:spacing w:before="89" w:line="240" w:lineRule="exact"/>
        <w:ind w:left="1080" w:right="1152" w:hanging="216"/>
        <w:textAlignment w:val="baseline"/>
        <w:rPr>
          <w:rFonts w:ascii="Tahoma" w:eastAsia="Tahoma" w:hAnsi="Tahoma"/>
          <w:color w:val="404042"/>
          <w:sz w:val="18"/>
        </w:rPr>
      </w:pPr>
      <w:r>
        <w:rPr>
          <w:rFonts w:ascii="Tahoma" w:eastAsia="Tahoma" w:hAnsi="Tahoma"/>
          <w:color w:val="404042"/>
          <w:sz w:val="18"/>
        </w:rPr>
        <w:t>Second, to provide specific information, insights and opportunities for young people, and those who advise them, about the world of work, the nature of different occupations and careers, current labour market conditions, anticipated future trends, and employer expectations of workers.</w:t>
      </w:r>
    </w:p>
    <w:p w14:paraId="5A04BB45" w14:textId="77777777" w:rsidR="009757A9" w:rsidRDefault="00083242">
      <w:pPr>
        <w:numPr>
          <w:ilvl w:val="0"/>
          <w:numId w:val="6"/>
        </w:numPr>
        <w:tabs>
          <w:tab w:val="clear" w:pos="216"/>
          <w:tab w:val="left" w:pos="1080"/>
        </w:tabs>
        <w:spacing w:before="86" w:line="240" w:lineRule="exact"/>
        <w:ind w:left="1080" w:right="864" w:hanging="216"/>
        <w:textAlignment w:val="baseline"/>
        <w:rPr>
          <w:rFonts w:ascii="Tahoma" w:eastAsia="Tahoma" w:hAnsi="Tahoma"/>
          <w:color w:val="404042"/>
          <w:sz w:val="18"/>
        </w:rPr>
      </w:pPr>
      <w:r>
        <w:rPr>
          <w:rFonts w:ascii="Tahoma" w:eastAsia="Tahoma" w:hAnsi="Tahoma"/>
          <w:color w:val="404042"/>
          <w:sz w:val="18"/>
        </w:rPr>
        <w:t>Third, to support the currency and relevance of what young people are learning at school by providing opportunities to students to ground theoretical learning in a real-world context. There is considerable benefit in showing real-world examples of how mathematics is useful and relevant across a broad range of occupations and industries, or how English comprehension is crucial to understanding written instructions at the workplace.</w:t>
      </w:r>
    </w:p>
    <w:p w14:paraId="02913963" w14:textId="77777777" w:rsidR="009757A9" w:rsidRDefault="00083242">
      <w:pPr>
        <w:spacing w:before="168" w:after="6489"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Not all of this can be the responsibility of schools themselves. Governments and school authorities need to authorise and actively encourage industry partnerships and, equally important, industry needs to step up to the plate. To deliver on these three key roles, industry will collectively be required to increase their involvement in senior secondary schools. Collaboration is a two-way street.</w:t>
      </w:r>
    </w:p>
    <w:p w14:paraId="18532CFC" w14:textId="77777777" w:rsidR="009757A9" w:rsidRDefault="009757A9">
      <w:pPr>
        <w:spacing w:before="168" w:after="6489" w:line="240" w:lineRule="exact"/>
        <w:sectPr w:rsidR="009757A9">
          <w:pgSz w:w="11909" w:h="16838"/>
          <w:pgMar w:top="1080" w:right="0" w:bottom="0" w:left="0" w:header="720" w:footer="720" w:gutter="0"/>
          <w:cols w:space="720"/>
        </w:sectPr>
      </w:pPr>
    </w:p>
    <w:p w14:paraId="49F184DC" w14:textId="77777777" w:rsidR="009757A9" w:rsidRDefault="00083242">
      <w:pPr>
        <w:tabs>
          <w:tab w:val="left" w:pos="10872"/>
        </w:tabs>
        <w:spacing w:after="639" w:line="205" w:lineRule="exact"/>
        <w:ind w:left="7200"/>
        <w:textAlignment w:val="baseline"/>
        <w:rPr>
          <w:rFonts w:ascii="Tahoma" w:eastAsia="Tahoma" w:hAnsi="Tahoma"/>
          <w:color w:val="404042"/>
          <w:sz w:val="14"/>
        </w:rPr>
      </w:pPr>
      <w:r>
        <w:rPr>
          <w:rFonts w:ascii="Tahoma" w:eastAsia="Tahoma" w:hAnsi="Tahoma"/>
          <w:color w:val="404042"/>
          <w:sz w:val="14"/>
        </w:rPr>
        <w:t>Chapter 4: Building school–industry partnerships</w:t>
      </w:r>
      <w:r>
        <w:rPr>
          <w:rFonts w:ascii="Arial" w:eastAsia="Arial" w:hAnsi="Arial"/>
          <w:b/>
          <w:color w:val="5556A1"/>
          <w:sz w:val="19"/>
        </w:rPr>
        <w:tab/>
        <w:t>97</w:t>
      </w:r>
    </w:p>
    <w:p w14:paraId="5182B713" w14:textId="77777777" w:rsidR="009757A9" w:rsidRDefault="00083242">
      <w:pPr>
        <w:textAlignment w:val="baseline"/>
      </w:pPr>
      <w:r>
        <w:rPr>
          <w:noProof/>
          <w:lang w:val="en-AU" w:eastAsia="en-AU"/>
        </w:rPr>
        <w:drawing>
          <wp:inline distT="0" distB="0" distL="0" distR="0" wp14:anchorId="630016E6" wp14:editId="157B5790">
            <wp:extent cx="7562215" cy="462915"/>
            <wp:effectExtent l="0" t="0" r="0" b="0"/>
            <wp:docPr id="160" name="Picture"/>
            <wp:cNvGraphicFramePr/>
            <a:graphic xmlns:a="http://schemas.openxmlformats.org/drawingml/2006/main">
              <a:graphicData uri="http://schemas.openxmlformats.org/drawingml/2006/picture">
                <pic:pic xmlns:pic="http://schemas.openxmlformats.org/drawingml/2006/picture">
                  <pic:nvPicPr>
                    <pic:cNvPr id="160" name="Picture"/>
                    <pic:cNvPicPr preferRelativeResize="0"/>
                  </pic:nvPicPr>
                  <pic:blipFill>
                    <a:blip r:embed="rId207"/>
                    <a:stretch>
                      <a:fillRect/>
                    </a:stretch>
                  </pic:blipFill>
                  <pic:spPr>
                    <a:xfrm>
                      <a:off x="0" y="0"/>
                      <a:ext cx="7562215" cy="462915"/>
                    </a:xfrm>
                    <a:prstGeom prst="rect">
                      <a:avLst/>
                    </a:prstGeom>
                  </pic:spPr>
                </pic:pic>
              </a:graphicData>
            </a:graphic>
          </wp:inline>
        </w:drawing>
      </w:r>
    </w:p>
    <w:p w14:paraId="1EB634DD" w14:textId="77777777" w:rsidR="009757A9" w:rsidRDefault="009757A9">
      <w:pPr>
        <w:sectPr w:rsidR="009757A9">
          <w:type w:val="continuous"/>
          <w:pgSz w:w="11909" w:h="16838"/>
          <w:pgMar w:top="1080" w:right="0" w:bottom="0" w:left="0" w:header="720" w:footer="720" w:gutter="0"/>
          <w:cols w:space="720"/>
        </w:sectPr>
      </w:pPr>
    </w:p>
    <w:p w14:paraId="4F16B769"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70688" behindDoc="1" locked="0" layoutInCell="1" allowOverlap="1" wp14:anchorId="37DAF944" wp14:editId="66998A41">
                <wp:simplePos x="0" y="0"/>
                <wp:positionH relativeFrom="page">
                  <wp:posOffset>539750</wp:posOffset>
                </wp:positionH>
                <wp:positionV relativeFrom="page">
                  <wp:posOffset>719455</wp:posOffset>
                </wp:positionV>
                <wp:extent cx="6619875" cy="8485505"/>
                <wp:effectExtent l="0" t="0" r="0" b="0"/>
                <wp:wrapSquare wrapText="bothSides"/>
                <wp:docPr id="59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48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0943" w14:textId="77777777" w:rsidR="00490F33" w:rsidRDefault="00490F33">
                            <w:pPr>
                              <w:textAlignment w:val="baseline"/>
                            </w:pPr>
                            <w:r>
                              <w:rPr>
                                <w:noProof/>
                                <w:lang w:val="en-AU" w:eastAsia="en-AU"/>
                              </w:rPr>
                              <w:drawing>
                                <wp:inline distT="0" distB="0" distL="0" distR="0" wp14:anchorId="627A36A4" wp14:editId="058F1829">
                                  <wp:extent cx="6619875" cy="8485505"/>
                                  <wp:effectExtent l="0" t="0" r="0" b="0"/>
                                  <wp:docPr id="161" name="Picture"/>
                                  <wp:cNvGraphicFramePr/>
                                  <a:graphic xmlns:a="http://schemas.openxmlformats.org/drawingml/2006/main">
                                    <a:graphicData uri="http://schemas.openxmlformats.org/drawingml/2006/picture">
                                      <pic:pic xmlns:pic="http://schemas.openxmlformats.org/drawingml/2006/picture">
                                        <pic:nvPicPr>
                                          <pic:cNvPr id="161" name="Picture"/>
                                          <pic:cNvPicPr preferRelativeResize="0"/>
                                        </pic:nvPicPr>
                                        <pic:blipFill>
                                          <a:blip r:embed="rId208"/>
                                          <a:stretch>
                                            <a:fillRect/>
                                          </a:stretch>
                                        </pic:blipFill>
                                        <pic:spPr>
                                          <a:xfrm>
                                            <a:off x="0" y="0"/>
                                            <a:ext cx="6619875" cy="84855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AF944" id="Text Box 313" o:spid="_x0000_s1245" type="#_x0000_t202" style="position:absolute;margin-left:42.5pt;margin-top:56.65pt;width:521.25pt;height:668.15pt;z-index:-251745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a/8wEAAMQDAAAOAAAAZHJzL2Uyb0RvYy54bWysU1Fv0zAQfkfiP1h+p0k6Wtqo6TQ2DSGN&#10;gbTxAxzHSSwSnzm7Tcqv5+w0ZcAb4sU6352/++678+567Dt2VOg0mIJni5QzZSRU2jQF//p8/2bD&#10;mfPCVKIDowp+Uo5f71+/2g02V0tooasUMgIxLh9swVvvbZ4kTraqF24BVhkK1oC98HTFJqlQDITe&#10;d8kyTdfJAFhZBKmcI+/dFOT7iF/XSvrPde2UZ13BiZuPJ8azDGey34m8QWFbLc80xD+w6IU2VPQC&#10;dSe8YAfUf0H1WiI4qP1CQp9AXWupYg/UTZb+0c1TK6yKvZA4zl5kcv8PVj4evyDTVcFX2yVnRvQ0&#10;pGc1evYeRnaVXQWFButySnyylOpHCtCkY7fOPoD85piB21aYRt0gwtAqURHDLLxMXjydcFwAKYdP&#10;UFEhcfAQgcYa+yAfCcIInSZ1ukwnkJHkXK+z7ebdijNJsc3bzWqVrmINkc/PLTr/QUHPglFwpPFH&#10;eHF8cD7QEfmcEqoZuNddF1egM785KDF4Iv3AeOLux3KMWi2z7axLCdWJOkKYVou+Ahkt4A/OBlqr&#10;grvvB4GKs+6jIVXCDs4GzkY5G8JIelpwz9lk3vppVw8WddMS8qS7gRtSrtaxpyDxxOJMmFYltnpe&#10;67CLL+8x69fn2/8EAAD//wMAUEsDBBQABgAIAAAAIQArNxhy4gAAAAwBAAAPAAAAZHJzL2Rvd25y&#10;ZXYueG1sTI/NTsMwEITvSLyDtUjcqJP+hDbEqSoEJyREGg4cnXibRI3XIXbb8PZsT3Db3RnNfpNt&#10;J9uLM46+c6QgnkUgkGpnOmoUfJavD2sQPmgyuneECn7Qwza/vcl0atyFCjzvQyM4hHyqFbQhDKmU&#10;vm7Raj9zAxJrBzdaHXgdG2lGfeFw28t5FCXS6o74Q6sHfG6xPu5PVsHui4qX7vu9+igORVeWm4je&#10;kqNS93fT7glEwCn8meGKz+iQM1PlTmS86BWsV1wl8D1eLEBcDfH8cQWi4mm53CQg80z+L5H/AgAA&#10;//8DAFBLAQItABQABgAIAAAAIQC2gziS/gAAAOEBAAATAAAAAAAAAAAAAAAAAAAAAABbQ29udGVu&#10;dF9UeXBlc10ueG1sUEsBAi0AFAAGAAgAAAAhADj9If/WAAAAlAEAAAsAAAAAAAAAAAAAAAAALwEA&#10;AF9yZWxzLy5yZWxzUEsBAi0AFAAGAAgAAAAhAAUnVr/zAQAAxAMAAA4AAAAAAAAAAAAAAAAALgIA&#10;AGRycy9lMm9Eb2MueG1sUEsBAi0AFAAGAAgAAAAhACs3GHLiAAAADAEAAA8AAAAAAAAAAAAAAAAA&#10;TQQAAGRycy9kb3ducmV2LnhtbFBLBQYAAAAABAAEAPMAAABcBQAAAAA=&#10;" filled="f" stroked="f">
                <v:textbox inset="0,0,0,0">
                  <w:txbxContent>
                    <w:p w14:paraId="7A370943" w14:textId="77777777" w:rsidR="00490F33" w:rsidRDefault="00490F33">
                      <w:pPr>
                        <w:textAlignment w:val="baseline"/>
                      </w:pPr>
                      <w:r>
                        <w:rPr>
                          <w:noProof/>
                          <w:lang w:val="en-AU" w:eastAsia="en-AU"/>
                        </w:rPr>
                        <w:drawing>
                          <wp:inline distT="0" distB="0" distL="0" distR="0" wp14:anchorId="627A36A4" wp14:editId="058F1829">
                            <wp:extent cx="6619875" cy="8485505"/>
                            <wp:effectExtent l="0" t="0" r="0" b="0"/>
                            <wp:docPr id="161" name="Picture"/>
                            <wp:cNvGraphicFramePr/>
                            <a:graphic xmlns:a="http://schemas.openxmlformats.org/drawingml/2006/main">
                              <a:graphicData uri="http://schemas.openxmlformats.org/drawingml/2006/picture">
                                <pic:pic xmlns:pic="http://schemas.openxmlformats.org/drawingml/2006/picture">
                                  <pic:nvPicPr>
                                    <pic:cNvPr id="161" name="Picture"/>
                                    <pic:cNvPicPr preferRelativeResize="0"/>
                                  </pic:nvPicPr>
                                  <pic:blipFill>
                                    <a:blip r:embed="rId208"/>
                                    <a:stretch>
                                      <a:fillRect/>
                                    </a:stretch>
                                  </pic:blipFill>
                                  <pic:spPr>
                                    <a:xfrm>
                                      <a:off x="0" y="0"/>
                                      <a:ext cx="6619875" cy="848550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1712" behindDoc="1" locked="0" layoutInCell="1" allowOverlap="1" wp14:anchorId="2B59D6AD" wp14:editId="308D7660">
                <wp:simplePos x="0" y="0"/>
                <wp:positionH relativeFrom="page">
                  <wp:posOffset>847090</wp:posOffset>
                </wp:positionH>
                <wp:positionV relativeFrom="page">
                  <wp:posOffset>982980</wp:posOffset>
                </wp:positionV>
                <wp:extent cx="3398520" cy="858520"/>
                <wp:effectExtent l="0" t="0" r="0" b="0"/>
                <wp:wrapSquare wrapText="bothSides"/>
                <wp:docPr id="59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4B570"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79153B8" w14:textId="77777777" w:rsidR="00490F33" w:rsidRDefault="00490F33">
                            <w:pPr>
                              <w:spacing w:line="45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MASTER BUILDERS TASMANIA</w:t>
                            </w:r>
                          </w:p>
                          <w:p w14:paraId="3D457F01" w14:textId="77777777" w:rsidR="00490F33" w:rsidRDefault="00490F33">
                            <w:pPr>
                              <w:spacing w:line="454" w:lineRule="exact"/>
                              <w:textAlignment w:val="baseline"/>
                              <w:rPr>
                                <w:rFonts w:ascii="Tahoma" w:eastAsia="Tahoma" w:hAnsi="Tahoma"/>
                                <w:color w:val="BF5B1F"/>
                                <w:spacing w:val="21"/>
                                <w:w w:val="95"/>
                                <w:sz w:val="38"/>
                              </w:rPr>
                            </w:pPr>
                            <w:r>
                              <w:rPr>
                                <w:rFonts w:ascii="Tahoma" w:eastAsia="Tahoma" w:hAnsi="Tahoma"/>
                                <w:color w:val="BF5B1F"/>
                                <w:spacing w:val="21"/>
                                <w:w w:val="95"/>
                                <w:sz w:val="38"/>
                              </w:rPr>
                              <w:t>EDUCATIONAL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9D6AD" id="Text Box 312" o:spid="_x0000_s1246" type="#_x0000_t202" style="position:absolute;margin-left:66.7pt;margin-top:77.4pt;width:267.6pt;height:67.6pt;z-index:-251744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Sga7gEAAMMDAAAOAAAAZHJzL2Uyb0RvYy54bWysU9tu2zAMfR+wfxD0vjhxkCE14hRdiw4D&#10;uq1Auw9gZNkWZosapcTOvn6UnKTd9jbsRaB4OTo8pDbXY9+JgyZv0JZyMZtLoa3CytimlN+e79+t&#10;pfABbAUdWl3Ko/byevv2zWZwhc6xxa7SJBjE+mJwpWxDcEWWedXqHvwMnbYcrJF6CHylJqsIBkbv&#10;uyyfz99nA1LlCJX2nr13U1BuE35daxW+1rXXQXSlZG4hnZTOXTyz7QaKhsC1Rp1owD+w6MFYfvQC&#10;dQcBxJ7MX1C9UYQe6zBT2GdY10bp1AN3s5j/0c1TC06nXlgc7y4y+f8Hq74cHkmYqpSrq4UUFnoe&#10;0rMeg/iAo1gu8qjQ4HzBiU+OU8PIAZ506ta7B1TfvbB424Jt9A0RDq2GihkuYmX2qnTC8RFkN3zG&#10;ih+CfcAENNbUR/lYEMHoPKnjZTqRjGLncnm1XuUcUhxbr5Idn4DiXO3Ih48aexGNUhJPP6HD4cGH&#10;KfWcEh+zeG+6jv1QdPY3B2NGT2IfCU/Uw7gbk1Q5s+Cy2NsOqyM3RDhtFv8ENlqkn1IMvFWl9D/2&#10;QFqK7pNlUeIKng06G7uzAVZxaSmDFJN5G6ZV3TsyTcvIk+wWb1i42qSeXlicCPOmJFVOWx1X8fU9&#10;Zb38ve0vAAAA//8DAFBLAwQUAAYACAAAACEA1c4Snt8AAAALAQAADwAAAGRycy9kb3ducmV2Lnht&#10;bEyPPU/DMBCGdyT+g3VIbNSmLVYb4lQVggmpIg0DoxO7idX4HGK3Df+e6wTbvbpH70e+mXzPznaM&#10;LqCCx5kAZrEJxmGr4LN6e1gBi0mj0X1Aq+DHRtgUtze5zky4YGnP+9QyMsGYaQVdSkPGeWw663Wc&#10;hcEi/Q5h9DqRHFtuRn0hc9/zuRCSe+2QEjo92JfONsf9ySvYfmH56r539Ud5KF1VrQW+y6NS93fT&#10;9hlYslP6g+Fan6pDQZ3qcEITWU96sVgSSsfTkjYQIeVKAqsVzNdCAC9y/n9D8QsAAP//AwBQSwEC&#10;LQAUAAYACAAAACEAtoM4kv4AAADhAQAAEwAAAAAAAAAAAAAAAAAAAAAAW0NvbnRlbnRfVHlwZXNd&#10;LnhtbFBLAQItABQABgAIAAAAIQA4/SH/1gAAAJQBAAALAAAAAAAAAAAAAAAAAC8BAABfcmVscy8u&#10;cmVsc1BLAQItABQABgAIAAAAIQB28Sga7gEAAMMDAAAOAAAAAAAAAAAAAAAAAC4CAABkcnMvZTJv&#10;RG9jLnhtbFBLAQItABQABgAIAAAAIQDVzhKe3wAAAAsBAAAPAAAAAAAAAAAAAAAAAEgEAABkcnMv&#10;ZG93bnJldi54bWxQSwUGAAAAAAQABADzAAAAVAUAAAAA&#10;" filled="f" stroked="f">
                <v:textbox inset="0,0,0,0">
                  <w:txbxContent>
                    <w:p w14:paraId="2964B570"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79153B8" w14:textId="77777777" w:rsidR="00490F33" w:rsidRDefault="00490F33">
                      <w:pPr>
                        <w:spacing w:line="450" w:lineRule="exact"/>
                        <w:textAlignment w:val="baseline"/>
                        <w:rPr>
                          <w:rFonts w:ascii="Tahoma" w:eastAsia="Tahoma" w:hAnsi="Tahoma"/>
                          <w:color w:val="BF5B1F"/>
                          <w:spacing w:val="12"/>
                          <w:w w:val="95"/>
                          <w:sz w:val="38"/>
                        </w:rPr>
                      </w:pPr>
                      <w:r>
                        <w:rPr>
                          <w:rFonts w:ascii="Tahoma" w:eastAsia="Tahoma" w:hAnsi="Tahoma"/>
                          <w:color w:val="BF5B1F"/>
                          <w:spacing w:val="12"/>
                          <w:w w:val="95"/>
                          <w:sz w:val="38"/>
                        </w:rPr>
                        <w:t>MASTER BUILDERS TASMANIA</w:t>
                      </w:r>
                    </w:p>
                    <w:p w14:paraId="3D457F01" w14:textId="77777777" w:rsidR="00490F33" w:rsidRDefault="00490F33">
                      <w:pPr>
                        <w:spacing w:line="454" w:lineRule="exact"/>
                        <w:textAlignment w:val="baseline"/>
                        <w:rPr>
                          <w:rFonts w:ascii="Tahoma" w:eastAsia="Tahoma" w:hAnsi="Tahoma"/>
                          <w:color w:val="BF5B1F"/>
                          <w:spacing w:val="21"/>
                          <w:w w:val="95"/>
                          <w:sz w:val="38"/>
                        </w:rPr>
                      </w:pPr>
                      <w:r>
                        <w:rPr>
                          <w:rFonts w:ascii="Tahoma" w:eastAsia="Tahoma" w:hAnsi="Tahoma"/>
                          <w:color w:val="BF5B1F"/>
                          <w:spacing w:val="21"/>
                          <w:w w:val="95"/>
                          <w:sz w:val="38"/>
                        </w:rPr>
                        <w:t>EDUCATIONAL PROGRAM</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2736" behindDoc="1" locked="0" layoutInCell="1" allowOverlap="1" wp14:anchorId="3E031E50" wp14:editId="18AEA9F3">
                <wp:simplePos x="0" y="0"/>
                <wp:positionH relativeFrom="page">
                  <wp:posOffset>914400</wp:posOffset>
                </wp:positionH>
                <wp:positionV relativeFrom="page">
                  <wp:posOffset>2010410</wp:posOffset>
                </wp:positionV>
                <wp:extent cx="5373370" cy="325120"/>
                <wp:effectExtent l="0" t="0" r="0" b="0"/>
                <wp:wrapSquare wrapText="bothSides"/>
                <wp:docPr id="59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48A75" w14:textId="77777777" w:rsidR="00490F33" w:rsidRDefault="00490F33">
                            <w:pPr>
                              <w:spacing w:after="38" w:line="234" w:lineRule="exact"/>
                              <w:jc w:val="both"/>
                              <w:textAlignment w:val="baseline"/>
                              <w:rPr>
                                <w:rFonts w:ascii="Tahoma" w:eastAsia="Tahoma" w:hAnsi="Tahoma"/>
                                <w:color w:val="404042"/>
                                <w:sz w:val="18"/>
                              </w:rPr>
                            </w:pPr>
                            <w:r>
                              <w:rPr>
                                <w:rFonts w:ascii="Tahoma" w:eastAsia="Tahoma" w:hAnsi="Tahoma"/>
                                <w:color w:val="404042"/>
                                <w:sz w:val="18"/>
                              </w:rPr>
                              <w:t>Master Builders Tasmania (MBT) is a not</w:t>
                            </w:r>
                            <w:r>
                              <w:rPr>
                                <w:rFonts w:ascii="Tahoma" w:eastAsia="Tahoma" w:hAnsi="Tahoma"/>
                                <w:color w:val="464140"/>
                                <w:sz w:val="18"/>
                              </w:rPr>
                              <w:t>-for-profit organisation</w:t>
                            </w:r>
                            <w:r>
                              <w:rPr>
                                <w:rFonts w:ascii="Tahoma" w:eastAsia="Tahoma" w:hAnsi="Tahoma"/>
                                <w:color w:val="404042"/>
                                <w:sz w:val="18"/>
                              </w:rPr>
                              <w:t xml:space="preserve"> set up to</w:t>
                            </w:r>
                            <w:r>
                              <w:rPr>
                                <w:rFonts w:ascii="Tahoma" w:eastAsia="Tahoma" w:hAnsi="Tahoma"/>
                                <w:color w:val="464140"/>
                                <w:sz w:val="18"/>
                              </w:rPr>
                              <w:t xml:space="preserve"> safeguard and promote its </w:t>
                            </w:r>
                            <w:r>
                              <w:rPr>
                                <w:rFonts w:ascii="Tahoma" w:eastAsia="Tahoma" w:hAnsi="Tahoma"/>
                                <w:color w:val="404042"/>
                                <w:sz w:val="18"/>
                              </w:rPr>
                              <w:t>members and their businesses in the</w:t>
                            </w:r>
                            <w:r>
                              <w:rPr>
                                <w:rFonts w:ascii="Tahoma" w:eastAsia="Tahoma" w:hAnsi="Tahoma"/>
                                <w:color w:val="464140"/>
                                <w:sz w:val="18"/>
                              </w:rPr>
                              <w:t xml:space="preserve"> building and construction</w:t>
                            </w:r>
                            <w:r>
                              <w:rPr>
                                <w:rFonts w:ascii="Tahoma" w:eastAsia="Tahoma" w:hAnsi="Tahoma"/>
                                <w:color w:val="404042"/>
                                <w:sz w:val="18"/>
                              </w:rPr>
                              <w:t xml:space="preserve"> industry.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31E50" id="Text Box 311" o:spid="_x0000_s1247" type="#_x0000_t202" style="position:absolute;margin-left:1in;margin-top:158.3pt;width:423.1pt;height:25.6pt;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Lh7wEAAMMDAAAOAAAAZHJzL2Uyb0RvYy54bWysU9uO0zAQfUfiHyy/0zSpykLUdLXsahHS&#10;cpF2+QDHsROLxGPGbpPy9Yydpizwhnixxp7x8TlnxrvraejZUaE3YCuer9acKSuhMbat+Nen+1dv&#10;OPNB2Eb0YFXFT8rz6/3LF7vRlaqADvpGISMQ68vRVbwLwZVZ5mWnBuFX4JSlpAYcRKAttlmDYiT0&#10;oc+K9fp1NgI2DkEq7+n0bk7yfcLXWsnwWWuvAusrTtxCWjGtdVyz/U6ULQrXGXmmIf6BxSCMpUcv&#10;UHciCHZA8xfUYCSCBx1WEoYMtDZSJQ2kJl//oeaxE04lLWSOdxeb/P+DlZ+OX5CZpuLbt+SPFQM1&#10;6UlNgb2DiW3yPDo0Ol9S4aOj0jBRgjqd1Hr3APKbZxZuO2FbdYMIY6dEQwzTzezZ1RnHR5B6/AgN&#10;PSQOARLQpHGI9pEhjNCJyenSnUhG0uF2c7XZXFFKUm5TbPMitS8T5XLboQ/vFQwsBhVH6n5CF8cH&#10;H0gHlS4l8TEL96bv0wT09rcDKowniX0kPFMPUz0lq4riYksNzYkEIcyTRT+Bgg7wB2cjTVXF/feD&#10;QMVZ/8GSKXEElwCXoF4CYSVdrXjgbA5vwzyqB4em7Qh5tt3CDRmnTdIUHZ5ZnAnTpCSp56mOo/h8&#10;n6p+/b39TwAAAP//AwBQSwMEFAAGAAgAAAAhAA846MrgAAAACwEAAA8AAABkcnMvZG93bnJldi54&#10;bWxMj8FOwzAQRO9I/IO1SNyo3VKZJsSpKgQnJEQaDhyd2E2sxusQu234e5YTHGd2NPum2M5+YGc7&#10;RRdQwXIhgFlsg3HYKfioX+42wGLSaPQQ0Cr4thG25fVVoXMTLljZ8z51jEow5lpBn9KYcx7b3nod&#10;F2G0SLdDmLxOJKeOm0lfqNwPfCWE5F47pA+9Hu1Tb9vj/uQV7D6xenZfb817dahcXWcCX+VRqdub&#10;efcILNk5/YXhF5/QoSSmJpzQRDaQXq9pS1Jwv5QSGCWyTKyANeTIhw3wsuD/N5Q/AAAA//8DAFBL&#10;AQItABQABgAIAAAAIQC2gziS/gAAAOEBAAATAAAAAAAAAAAAAAAAAAAAAABbQ29udGVudF9UeXBl&#10;c10ueG1sUEsBAi0AFAAGAAgAAAAhADj9If/WAAAAlAEAAAsAAAAAAAAAAAAAAAAALwEAAF9yZWxz&#10;Ly5yZWxzUEsBAi0AFAAGAAgAAAAhAGfWQuHvAQAAwwMAAA4AAAAAAAAAAAAAAAAALgIAAGRycy9l&#10;Mm9Eb2MueG1sUEsBAi0AFAAGAAgAAAAhAA846MrgAAAACwEAAA8AAAAAAAAAAAAAAAAASQQAAGRy&#10;cy9kb3ducmV2LnhtbFBLBQYAAAAABAAEAPMAAABWBQAAAAA=&#10;" filled="f" stroked="f">
                <v:textbox inset="0,0,0,0">
                  <w:txbxContent>
                    <w:p w14:paraId="06248A75" w14:textId="77777777" w:rsidR="00490F33" w:rsidRDefault="00490F33">
                      <w:pPr>
                        <w:spacing w:after="38" w:line="234" w:lineRule="exact"/>
                        <w:jc w:val="both"/>
                        <w:textAlignment w:val="baseline"/>
                        <w:rPr>
                          <w:rFonts w:ascii="Tahoma" w:eastAsia="Tahoma" w:hAnsi="Tahoma"/>
                          <w:color w:val="404042"/>
                          <w:sz w:val="18"/>
                        </w:rPr>
                      </w:pPr>
                      <w:r>
                        <w:rPr>
                          <w:rFonts w:ascii="Tahoma" w:eastAsia="Tahoma" w:hAnsi="Tahoma"/>
                          <w:color w:val="404042"/>
                          <w:sz w:val="18"/>
                        </w:rPr>
                        <w:t>Master Builders Tasmania (MBT) is a not</w:t>
                      </w:r>
                      <w:r>
                        <w:rPr>
                          <w:rFonts w:ascii="Tahoma" w:eastAsia="Tahoma" w:hAnsi="Tahoma"/>
                          <w:color w:val="464140"/>
                          <w:sz w:val="18"/>
                        </w:rPr>
                        <w:t>-for-profit organisation</w:t>
                      </w:r>
                      <w:r>
                        <w:rPr>
                          <w:rFonts w:ascii="Tahoma" w:eastAsia="Tahoma" w:hAnsi="Tahoma"/>
                          <w:color w:val="404042"/>
                          <w:sz w:val="18"/>
                        </w:rPr>
                        <w:t xml:space="preserve"> set up to</w:t>
                      </w:r>
                      <w:r>
                        <w:rPr>
                          <w:rFonts w:ascii="Tahoma" w:eastAsia="Tahoma" w:hAnsi="Tahoma"/>
                          <w:color w:val="464140"/>
                          <w:sz w:val="18"/>
                        </w:rPr>
                        <w:t xml:space="preserve"> safeguard and promote its </w:t>
                      </w:r>
                      <w:r>
                        <w:rPr>
                          <w:rFonts w:ascii="Tahoma" w:eastAsia="Tahoma" w:hAnsi="Tahoma"/>
                          <w:color w:val="404042"/>
                          <w:sz w:val="18"/>
                        </w:rPr>
                        <w:t>members and their businesses in the</w:t>
                      </w:r>
                      <w:r>
                        <w:rPr>
                          <w:rFonts w:ascii="Tahoma" w:eastAsia="Tahoma" w:hAnsi="Tahoma"/>
                          <w:color w:val="464140"/>
                          <w:sz w:val="18"/>
                        </w:rPr>
                        <w:t xml:space="preserve"> building and construction</w:t>
                      </w:r>
                      <w:r>
                        <w:rPr>
                          <w:rFonts w:ascii="Tahoma" w:eastAsia="Tahoma" w:hAnsi="Tahoma"/>
                          <w:color w:val="404042"/>
                          <w:sz w:val="18"/>
                        </w:rPr>
                        <w:t xml:space="preserve"> industry.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3760" behindDoc="1" locked="0" layoutInCell="1" allowOverlap="1" wp14:anchorId="7FBA7C4E" wp14:editId="303FC2E9">
                <wp:simplePos x="0" y="0"/>
                <wp:positionH relativeFrom="page">
                  <wp:posOffset>908050</wp:posOffset>
                </wp:positionH>
                <wp:positionV relativeFrom="page">
                  <wp:posOffset>2421890</wp:posOffset>
                </wp:positionV>
                <wp:extent cx="5654040" cy="449580"/>
                <wp:effectExtent l="0" t="0" r="0" b="0"/>
                <wp:wrapSquare wrapText="bothSides"/>
                <wp:docPr id="58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17BA" w14:textId="77777777" w:rsidR="00490F33" w:rsidRDefault="00490F33">
                            <w:pPr>
                              <w:spacing w:line="235" w:lineRule="exact"/>
                              <w:textAlignment w:val="baseline"/>
                              <w:rPr>
                                <w:rFonts w:ascii="Tahoma" w:eastAsia="Tahoma" w:hAnsi="Tahoma"/>
                                <w:color w:val="404042"/>
                                <w:sz w:val="18"/>
                              </w:rPr>
                            </w:pPr>
                            <w:r>
                              <w:rPr>
                                <w:rFonts w:ascii="Tahoma" w:eastAsia="Tahoma" w:hAnsi="Tahoma"/>
                                <w:color w:val="404042"/>
                                <w:sz w:val="18"/>
                              </w:rPr>
                              <w:t>MBT delivers an annual face-to-face</w:t>
                            </w:r>
                            <w:r>
                              <w:rPr>
                                <w:rFonts w:ascii="Tahoma" w:eastAsia="Tahoma" w:hAnsi="Tahoma"/>
                                <w:color w:val="464140"/>
                                <w:sz w:val="18"/>
                              </w:rPr>
                              <w:t xml:space="preserve"> educational program promoting</w:t>
                            </w:r>
                            <w:r>
                              <w:rPr>
                                <w:rFonts w:ascii="Tahoma" w:eastAsia="Tahoma" w:hAnsi="Tahoma"/>
                                <w:color w:val="404042"/>
                                <w:sz w:val="18"/>
                              </w:rPr>
                              <w:t xml:space="preserve"> the</w:t>
                            </w:r>
                            <w:r>
                              <w:rPr>
                                <w:rFonts w:ascii="Tahoma" w:eastAsia="Tahoma" w:hAnsi="Tahoma"/>
                                <w:color w:val="464140"/>
                                <w:sz w:val="18"/>
                              </w:rPr>
                              <w:t xml:space="preserve"> building and construction </w:t>
                            </w:r>
                            <w:r>
                              <w:rPr>
                                <w:rFonts w:ascii="Tahoma" w:eastAsia="Tahoma" w:hAnsi="Tahoma"/>
                                <w:color w:val="404042"/>
                                <w:sz w:val="18"/>
                              </w:rPr>
                              <w:t>industry to secondary students</w:t>
                            </w:r>
                            <w:r>
                              <w:rPr>
                                <w:rFonts w:ascii="Tahoma" w:eastAsia="Tahoma" w:hAnsi="Tahoma"/>
                                <w:color w:val="464140"/>
                                <w:sz w:val="18"/>
                              </w:rPr>
                              <w:t xml:space="preserve"> in 56 schools throughout Tasmania.</w:t>
                            </w:r>
                            <w:r>
                              <w:rPr>
                                <w:rFonts w:ascii="Tahoma" w:eastAsia="Tahoma" w:hAnsi="Tahoma"/>
                                <w:color w:val="404042"/>
                                <w:sz w:val="18"/>
                              </w:rPr>
                              <w:t xml:space="preserve"> The MBT</w:t>
                            </w:r>
                            <w:r>
                              <w:rPr>
                                <w:rFonts w:ascii="Tahoma" w:eastAsia="Tahoma" w:hAnsi="Tahoma"/>
                                <w:color w:val="464140"/>
                                <w:sz w:val="18"/>
                              </w:rPr>
                              <w:t xml:space="preserve"> program is now recognised </w:t>
                            </w:r>
                            <w:r>
                              <w:rPr>
                                <w:rFonts w:ascii="Tahoma" w:eastAsia="Tahoma" w:hAnsi="Tahoma"/>
                                <w:color w:val="404042"/>
                                <w:sz w:val="18"/>
                              </w:rPr>
                              <w:t>as an annual event in school</w:t>
                            </w:r>
                            <w:r>
                              <w:rPr>
                                <w:rFonts w:ascii="Tahoma" w:eastAsia="Tahoma" w:hAnsi="Tahoma"/>
                                <w:color w:val="464140"/>
                                <w:sz w:val="18"/>
                              </w:rPr>
                              <w:t xml:space="preserve"> calendars.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A7C4E" id="Text Box 310" o:spid="_x0000_s1248" type="#_x0000_t202" style="position:absolute;margin-left:71.5pt;margin-top:190.7pt;width:445.2pt;height:35.4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Fv8gEAAMMDAAAOAAAAZHJzL2Uyb0RvYy54bWysU8Fu2zAMvQ/YPwi6L3aypEiNOEXXosOA&#10;bh3Q7gMYWY6F2aJGKbGzrx8lJ2m33opdBEqknt57pFZXQ9eKvSZv0JZyOsml0FZhZey2lD+e7j4s&#10;pfABbAUtWl3Kg/byav3+3ap3hZ5hg22lSTCI9UXvStmE4Ios86rRHfgJOm05WSN1EHhL26wi6Bm9&#10;a7NZnl9kPVLlCJX2nk9vx6RcJ/y61io81LXXQbSlZG4hrZTWTVyz9QqKLYFrjDrSgDew6MBYfvQM&#10;dQsBxI7MK6jOKEKPdZgo7DKsa6N00sBqpvk/ah4bcDppYXO8O9vk/x+s+rb/TsJUpVwsL6Ww0HGT&#10;nvQQxCccxMdpcqh3vuDCR8elYeAEdzqp9e4e1U8vLN40YLf6mgj7RkPFDKfR2+zF1dgTX/gIsum/&#10;YsUPwS5gAhpq6qJ9bIhgdO7U4dydSEbx4eJiMc/nnFKcm88vF8tELoPidNuRD581diIGpSTufkKH&#10;/b0PkQ0Up5L4mMU707ZpAlr71wEXxpPEPhIeqYdhMySrZrNZFBflbLA6sCDCcbL4J3DQIP2Wouep&#10;KqX/tQPSUrRfLJsSR/AU0CnYnAKwiq+WMkgxhjdhHNWdI7NtGHm03eI1G1ebpOmZxZEwT0qSepzq&#10;OIov96nq+e+t/wAAAP//AwBQSwMEFAAGAAgAAAAhAKtdjF7hAAAADAEAAA8AAABkcnMvZG93bnJl&#10;di54bWxMj8FOwzAQRO9I/IO1SNyo3SRUJcSpKgQnJEQaDhyd2E2sxusQu234e7anctvRjmbeFJvZ&#10;DexkpmA9SlguBDCDrdcWOwlf9dvDGliICrUaPBoJvybApry9KVSu/Rkrc9rFjlEIhlxJ6GMcc85D&#10;2xunwsKPBum395NTkeTUcT2pM4W7gSdCrLhTFqmhV6N56U172B2dhO03Vq/256P5rPaVresnge+r&#10;g5T3d/P2GVg0c7ya4YJP6FASU+OPqAMbSGcpbYkS0vUyA3ZxiDSlq5GQPSYJ8LLg/0eUfwAAAP//&#10;AwBQSwECLQAUAAYACAAAACEAtoM4kv4AAADhAQAAEwAAAAAAAAAAAAAAAAAAAAAAW0NvbnRlbnRf&#10;VHlwZXNdLnhtbFBLAQItABQABgAIAAAAIQA4/SH/1gAAAJQBAAALAAAAAAAAAAAAAAAAAC8BAABf&#10;cmVscy8ucmVsc1BLAQItABQABgAIAAAAIQAcTHFv8gEAAMMDAAAOAAAAAAAAAAAAAAAAAC4CAABk&#10;cnMvZTJvRG9jLnhtbFBLAQItABQABgAIAAAAIQCrXYxe4QAAAAwBAAAPAAAAAAAAAAAAAAAAAEwE&#10;AABkcnMvZG93bnJldi54bWxQSwUGAAAAAAQABADzAAAAWgUAAAAA&#10;" filled="f" stroked="f">
                <v:textbox inset="0,0,0,0">
                  <w:txbxContent>
                    <w:p w14:paraId="348517BA" w14:textId="77777777" w:rsidR="00490F33" w:rsidRDefault="00490F33">
                      <w:pPr>
                        <w:spacing w:line="235" w:lineRule="exact"/>
                        <w:textAlignment w:val="baseline"/>
                        <w:rPr>
                          <w:rFonts w:ascii="Tahoma" w:eastAsia="Tahoma" w:hAnsi="Tahoma"/>
                          <w:color w:val="404042"/>
                          <w:sz w:val="18"/>
                        </w:rPr>
                      </w:pPr>
                      <w:r>
                        <w:rPr>
                          <w:rFonts w:ascii="Tahoma" w:eastAsia="Tahoma" w:hAnsi="Tahoma"/>
                          <w:color w:val="404042"/>
                          <w:sz w:val="18"/>
                        </w:rPr>
                        <w:t>MBT delivers an annual face-to-face</w:t>
                      </w:r>
                      <w:r>
                        <w:rPr>
                          <w:rFonts w:ascii="Tahoma" w:eastAsia="Tahoma" w:hAnsi="Tahoma"/>
                          <w:color w:val="464140"/>
                          <w:sz w:val="18"/>
                        </w:rPr>
                        <w:t xml:space="preserve"> educational program promoting</w:t>
                      </w:r>
                      <w:r>
                        <w:rPr>
                          <w:rFonts w:ascii="Tahoma" w:eastAsia="Tahoma" w:hAnsi="Tahoma"/>
                          <w:color w:val="404042"/>
                          <w:sz w:val="18"/>
                        </w:rPr>
                        <w:t xml:space="preserve"> the</w:t>
                      </w:r>
                      <w:r>
                        <w:rPr>
                          <w:rFonts w:ascii="Tahoma" w:eastAsia="Tahoma" w:hAnsi="Tahoma"/>
                          <w:color w:val="464140"/>
                          <w:sz w:val="18"/>
                        </w:rPr>
                        <w:t xml:space="preserve"> building and construction </w:t>
                      </w:r>
                      <w:r>
                        <w:rPr>
                          <w:rFonts w:ascii="Tahoma" w:eastAsia="Tahoma" w:hAnsi="Tahoma"/>
                          <w:color w:val="404042"/>
                          <w:sz w:val="18"/>
                        </w:rPr>
                        <w:t>industry to secondary students</w:t>
                      </w:r>
                      <w:r>
                        <w:rPr>
                          <w:rFonts w:ascii="Tahoma" w:eastAsia="Tahoma" w:hAnsi="Tahoma"/>
                          <w:color w:val="464140"/>
                          <w:sz w:val="18"/>
                        </w:rPr>
                        <w:t xml:space="preserve"> in 56 schools throughout Tasmania.</w:t>
                      </w:r>
                      <w:r>
                        <w:rPr>
                          <w:rFonts w:ascii="Tahoma" w:eastAsia="Tahoma" w:hAnsi="Tahoma"/>
                          <w:color w:val="404042"/>
                          <w:sz w:val="18"/>
                        </w:rPr>
                        <w:t xml:space="preserve"> The MBT</w:t>
                      </w:r>
                      <w:r>
                        <w:rPr>
                          <w:rFonts w:ascii="Tahoma" w:eastAsia="Tahoma" w:hAnsi="Tahoma"/>
                          <w:color w:val="464140"/>
                          <w:sz w:val="18"/>
                        </w:rPr>
                        <w:t xml:space="preserve"> program is now recognised </w:t>
                      </w:r>
                      <w:r>
                        <w:rPr>
                          <w:rFonts w:ascii="Tahoma" w:eastAsia="Tahoma" w:hAnsi="Tahoma"/>
                          <w:color w:val="404042"/>
                          <w:sz w:val="18"/>
                        </w:rPr>
                        <w:t>as an annual event in school</w:t>
                      </w:r>
                      <w:r>
                        <w:rPr>
                          <w:rFonts w:ascii="Tahoma" w:eastAsia="Tahoma" w:hAnsi="Tahoma"/>
                          <w:color w:val="464140"/>
                          <w:sz w:val="18"/>
                        </w:rPr>
                        <w:t xml:space="preserve"> calendars.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4784" behindDoc="1" locked="0" layoutInCell="1" allowOverlap="1" wp14:anchorId="192520D1" wp14:editId="40689FEF">
                <wp:simplePos x="0" y="0"/>
                <wp:positionH relativeFrom="page">
                  <wp:posOffset>905510</wp:posOffset>
                </wp:positionH>
                <wp:positionV relativeFrom="page">
                  <wp:posOffset>2988310</wp:posOffset>
                </wp:positionV>
                <wp:extent cx="5705475" cy="754380"/>
                <wp:effectExtent l="0" t="0" r="0" b="0"/>
                <wp:wrapSquare wrapText="bothSides"/>
                <wp:docPr id="58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879B5" w14:textId="77777777" w:rsidR="00490F33" w:rsidRDefault="00490F33">
                            <w:pPr>
                              <w:spacing w:line="236" w:lineRule="exact"/>
                              <w:textAlignment w:val="baseline"/>
                              <w:rPr>
                                <w:rFonts w:ascii="Tahoma" w:eastAsia="Tahoma" w:hAnsi="Tahoma"/>
                                <w:color w:val="404042"/>
                                <w:spacing w:val="6"/>
                                <w:sz w:val="18"/>
                              </w:rPr>
                            </w:pPr>
                            <w:r>
                              <w:rPr>
                                <w:rFonts w:ascii="Tahoma" w:eastAsia="Tahoma" w:hAnsi="Tahoma"/>
                                <w:color w:val="404042"/>
                                <w:spacing w:val="6"/>
                                <w:sz w:val="18"/>
                              </w:rPr>
                              <w:t>The program aims to promote</w:t>
                            </w:r>
                            <w:r>
                              <w:rPr>
                                <w:rFonts w:ascii="Tahoma" w:eastAsia="Tahoma" w:hAnsi="Tahoma"/>
                                <w:color w:val="464140"/>
                                <w:spacing w:val="6"/>
                                <w:sz w:val="18"/>
                              </w:rPr>
                              <w:t xml:space="preserve"> and connect the industry with school</w:t>
                            </w:r>
                            <w:r>
                              <w:rPr>
                                <w:rFonts w:ascii="Tahoma" w:eastAsia="Tahoma" w:hAnsi="Tahoma"/>
                                <w:color w:val="404042"/>
                                <w:spacing w:val="6"/>
                                <w:sz w:val="18"/>
                              </w:rPr>
                              <w:t xml:space="preserve"> students, careers counsellors, parents and teachers. MBT aims</w:t>
                            </w:r>
                            <w:r>
                              <w:rPr>
                                <w:rFonts w:ascii="Tahoma" w:eastAsia="Tahoma" w:hAnsi="Tahoma"/>
                                <w:color w:val="464140"/>
                                <w:spacing w:val="6"/>
                                <w:sz w:val="18"/>
                              </w:rPr>
                              <w:t xml:space="preserve"> to better inform students and parents</w:t>
                            </w:r>
                            <w:r>
                              <w:rPr>
                                <w:rFonts w:ascii="Tahoma" w:eastAsia="Tahoma" w:hAnsi="Tahoma"/>
                                <w:color w:val="404042"/>
                                <w:spacing w:val="6"/>
                                <w:sz w:val="18"/>
                              </w:rPr>
                              <w:t xml:space="preserve"> about the pathways available and the variety of career options in the</w:t>
                            </w:r>
                            <w:r>
                              <w:rPr>
                                <w:rFonts w:ascii="Tahoma" w:eastAsia="Tahoma" w:hAnsi="Tahoma"/>
                                <w:color w:val="464140"/>
                                <w:spacing w:val="6"/>
                                <w:sz w:val="18"/>
                              </w:rPr>
                              <w:t xml:space="preserve"> building and construction industry.</w:t>
                            </w:r>
                            <w:r>
                              <w:rPr>
                                <w:rFonts w:ascii="Tahoma" w:eastAsia="Tahoma" w:hAnsi="Tahoma"/>
                                <w:color w:val="404042"/>
                                <w:spacing w:val="6"/>
                                <w:sz w:val="18"/>
                              </w:rPr>
                              <w:t xml:space="preserve"> This program allows industry to directly address any labour and skills</w:t>
                            </w:r>
                            <w:r>
                              <w:rPr>
                                <w:rFonts w:ascii="Tahoma" w:eastAsia="Tahoma" w:hAnsi="Tahoma"/>
                                <w:color w:val="464140"/>
                                <w:spacing w:val="6"/>
                                <w:sz w:val="18"/>
                              </w:rPr>
                              <w:t xml:space="preserve"> shortages by attracting young</w:t>
                            </w:r>
                            <w:r>
                              <w:rPr>
                                <w:rFonts w:ascii="Tahoma" w:eastAsia="Tahoma" w:hAnsi="Tahoma"/>
                                <w:color w:val="404042"/>
                                <w:spacing w:val="6"/>
                                <w:sz w:val="18"/>
                              </w:rPr>
                              <w:t xml:space="preserve"> people to a career in the building and construction industry.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520D1" id="Text Box 309" o:spid="_x0000_s1249" type="#_x0000_t202" style="position:absolute;margin-left:71.3pt;margin-top:235.3pt;width:449.25pt;height:59.4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PK8gEAAMMDAAAOAAAAZHJzL2Uyb0RvYy54bWysU9uO0zAQfUfiHyy/06Tthpao6WrZ1SKk&#10;ZUHa5QMcx0ksEo8Zu03K1zN2mrLAG+LFGs/l+MyZ8e567Dt2VOg0mIIvFylnykiotGkK/vX5/s2W&#10;M+eFqUQHRhX8pBy/3r9+tRtsrlbQQlcpZARiXD7Ygrfe2zxJnGxVL9wCrDIUrAF74emKTVKhGAi9&#10;75JVmr5NBsDKIkjlHHnvpiDfR/y6VtJ/rmunPOsKTtx8PDGeZTiT/U7kDQrbanmmIf6BRS+0oUcv&#10;UHfCC3ZA/RdUryWCg9ovJPQJ1LWWKvZA3SzTP7p5aoVVsRcSx9mLTO7/wcrH4xdkuip4tqVRGdHT&#10;kJ7V6Nl7GNk6fRcUGqzLKfHJUqofKUCTjt06+wDym2MGblthGnWDCEOrREUMl6EyeVE64bgAUg6f&#10;oKKHxMFDBBpr7IN8JAgjdJrU6TKdQEaSM9uk2dUm40xSbJNdrbdxfInI52qLzn9Q0LNgFBxp+hFd&#10;HB+cD2xEPqeExwzc666LG9CZ3xyUGDyRfSA8UfdjOUapVqv1LEsJ1YkaQpg2i34CGS3gD84G2qqC&#10;u+8HgYqz7qMhUcIKzgbORjkbwkgqLbjnbDJv/bSqB4u6aQl5kt3ADQlX69hTUHhicSZMmxJbPW91&#10;WMWX95j16+/tfwIAAP//AwBQSwMEFAAGAAgAAAAhAKmZEFDgAAAADAEAAA8AAABkcnMvZG93bnJl&#10;di54bWxMj8FOwzAMhu9IvENkJG4s6VTKVppOE4ITEqIrB45p47XRGqc02VbenuzEbv7lT78/F5vZ&#10;DuyEkzeOJCQLAQypddpQJ+GrfntYAfNBkVaDI5Twix425e1NoXLtzlThaRc6FkvI50pCH8KYc+7b&#10;Hq3yCzcixd3eTVaFGKeO60mdY7kd+FKIjFtlKF7o1YgvPbaH3dFK2H5T9Wp+PprPal+Zul4Les8O&#10;Ut7fzdtnYAHn8A/DRT+qQxmdGnck7dkQc7rMIiohfRJxuBAiTRJgjYTH1ToFXhb8+onyDwAA//8D&#10;AFBLAQItABQABgAIAAAAIQC2gziS/gAAAOEBAAATAAAAAAAAAAAAAAAAAAAAAABbQ29udGVudF9U&#10;eXBlc10ueG1sUEsBAi0AFAAGAAgAAAAhADj9If/WAAAAlAEAAAsAAAAAAAAAAAAAAAAALwEAAF9y&#10;ZWxzLy5yZWxzUEsBAi0AFAAGAAgAAAAhANjlI8ryAQAAwwMAAA4AAAAAAAAAAAAAAAAALgIAAGRy&#10;cy9lMm9Eb2MueG1sUEsBAi0AFAAGAAgAAAAhAKmZEFDgAAAADAEAAA8AAAAAAAAAAAAAAAAATAQA&#10;AGRycy9kb3ducmV2LnhtbFBLBQYAAAAABAAEAPMAAABZBQAAAAA=&#10;" filled="f" stroked="f">
                <v:textbox inset="0,0,0,0">
                  <w:txbxContent>
                    <w:p w14:paraId="2B2879B5" w14:textId="77777777" w:rsidR="00490F33" w:rsidRDefault="00490F33">
                      <w:pPr>
                        <w:spacing w:line="236" w:lineRule="exact"/>
                        <w:textAlignment w:val="baseline"/>
                        <w:rPr>
                          <w:rFonts w:ascii="Tahoma" w:eastAsia="Tahoma" w:hAnsi="Tahoma"/>
                          <w:color w:val="404042"/>
                          <w:spacing w:val="6"/>
                          <w:sz w:val="18"/>
                        </w:rPr>
                      </w:pPr>
                      <w:r>
                        <w:rPr>
                          <w:rFonts w:ascii="Tahoma" w:eastAsia="Tahoma" w:hAnsi="Tahoma"/>
                          <w:color w:val="404042"/>
                          <w:spacing w:val="6"/>
                          <w:sz w:val="18"/>
                        </w:rPr>
                        <w:t>The program aims to promote</w:t>
                      </w:r>
                      <w:r>
                        <w:rPr>
                          <w:rFonts w:ascii="Tahoma" w:eastAsia="Tahoma" w:hAnsi="Tahoma"/>
                          <w:color w:val="464140"/>
                          <w:spacing w:val="6"/>
                          <w:sz w:val="18"/>
                        </w:rPr>
                        <w:t xml:space="preserve"> and connect the industry with school</w:t>
                      </w:r>
                      <w:r>
                        <w:rPr>
                          <w:rFonts w:ascii="Tahoma" w:eastAsia="Tahoma" w:hAnsi="Tahoma"/>
                          <w:color w:val="404042"/>
                          <w:spacing w:val="6"/>
                          <w:sz w:val="18"/>
                        </w:rPr>
                        <w:t xml:space="preserve"> students, careers counsellors, parents and teachers. MBT aims</w:t>
                      </w:r>
                      <w:r>
                        <w:rPr>
                          <w:rFonts w:ascii="Tahoma" w:eastAsia="Tahoma" w:hAnsi="Tahoma"/>
                          <w:color w:val="464140"/>
                          <w:spacing w:val="6"/>
                          <w:sz w:val="18"/>
                        </w:rPr>
                        <w:t xml:space="preserve"> to better inform students and parents</w:t>
                      </w:r>
                      <w:r>
                        <w:rPr>
                          <w:rFonts w:ascii="Tahoma" w:eastAsia="Tahoma" w:hAnsi="Tahoma"/>
                          <w:color w:val="404042"/>
                          <w:spacing w:val="6"/>
                          <w:sz w:val="18"/>
                        </w:rPr>
                        <w:t xml:space="preserve"> about the pathways available and the variety of career options in the</w:t>
                      </w:r>
                      <w:r>
                        <w:rPr>
                          <w:rFonts w:ascii="Tahoma" w:eastAsia="Tahoma" w:hAnsi="Tahoma"/>
                          <w:color w:val="464140"/>
                          <w:spacing w:val="6"/>
                          <w:sz w:val="18"/>
                        </w:rPr>
                        <w:t xml:space="preserve"> building and construction industry.</w:t>
                      </w:r>
                      <w:r>
                        <w:rPr>
                          <w:rFonts w:ascii="Tahoma" w:eastAsia="Tahoma" w:hAnsi="Tahoma"/>
                          <w:color w:val="404042"/>
                          <w:spacing w:val="6"/>
                          <w:sz w:val="18"/>
                        </w:rPr>
                        <w:t xml:space="preserve"> This program allows industry to directly address any labour and skills</w:t>
                      </w:r>
                      <w:r>
                        <w:rPr>
                          <w:rFonts w:ascii="Tahoma" w:eastAsia="Tahoma" w:hAnsi="Tahoma"/>
                          <w:color w:val="464140"/>
                          <w:spacing w:val="6"/>
                          <w:sz w:val="18"/>
                        </w:rPr>
                        <w:t xml:space="preserve"> shortages by attracting young</w:t>
                      </w:r>
                      <w:r>
                        <w:rPr>
                          <w:rFonts w:ascii="Tahoma" w:eastAsia="Tahoma" w:hAnsi="Tahoma"/>
                          <w:color w:val="404042"/>
                          <w:spacing w:val="6"/>
                          <w:sz w:val="18"/>
                        </w:rPr>
                        <w:t xml:space="preserve"> people to a career in the building and construction industry.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5808" behindDoc="1" locked="0" layoutInCell="1" allowOverlap="1" wp14:anchorId="08CC5B89" wp14:editId="22E043BB">
                <wp:simplePos x="0" y="0"/>
                <wp:positionH relativeFrom="page">
                  <wp:posOffset>905510</wp:posOffset>
                </wp:positionH>
                <wp:positionV relativeFrom="page">
                  <wp:posOffset>3856990</wp:posOffset>
                </wp:positionV>
                <wp:extent cx="5391785" cy="297180"/>
                <wp:effectExtent l="0" t="0" r="0" b="0"/>
                <wp:wrapSquare wrapText="bothSides"/>
                <wp:docPr id="58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8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A6D26"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The program has been delivered for 15 years, and</w:t>
                            </w:r>
                            <w:r>
                              <w:rPr>
                                <w:rFonts w:ascii="Tahoma" w:eastAsia="Tahoma" w:hAnsi="Tahoma"/>
                                <w:color w:val="464140"/>
                                <w:sz w:val="18"/>
                              </w:rPr>
                              <w:t xml:space="preserve"> MBT</w:t>
                            </w:r>
                            <w:r>
                              <w:rPr>
                                <w:rFonts w:ascii="Tahoma" w:eastAsia="Tahoma" w:hAnsi="Tahoma"/>
                                <w:color w:val="404042"/>
                                <w:sz w:val="18"/>
                              </w:rPr>
                              <w:t xml:space="preserve"> is seeing a positive increase in young people applying for apprenticeships, with the knowledge that this can lead to a successful career.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C5B89" id="Text Box 308" o:spid="_x0000_s1250" type="#_x0000_t202" style="position:absolute;margin-left:71.3pt;margin-top:303.7pt;width:424.55pt;height:23.4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aO8wEAAMMDAAAOAAAAZHJzL2Uyb0RvYy54bWysU9tu2zAMfR+wfxD0vjhJlyU14hRdiw4D&#10;um5A2w9gZDkWZosapcTOvn6UHGfd+jbsRaB4OTo8pNZXfduIgyZv0BZyNplKoa3C0thdIZ+f7t6t&#10;pPABbAkNWl3Io/byavP2zbpzuZ5jjU2pSTCI9XnnClmH4PIs86rWLfgJOm05WCG1EPhKu6wk6Bi9&#10;bbL5dPoh65BKR6i09+y9HYJyk/CrSqvwtaq8DqIpJHML6aR0buOZbdaQ7whcbdSJBvwDixaM5UfP&#10;ULcQQOzJvIJqjSL0WIWJwjbDqjJKpx64m9n0r24ea3A69cLieHeWyf8/WPVw+EbClIVcrJZSWGh5&#10;SE+6D+Ij9uJiuooKdc7nnPjoODX0HOBJp269u0f13QuLNzXYnb4mwq7WUDLDWazMXpQOOD6CbLsv&#10;WPJDsA+YgPqK2igfCyIYnSd1PE8nklHsXFxczparhRSKY/PL5WyVxpdBPlY78uGTxlZEo5DE00/o&#10;cLj3IbKBfEyJj1m8M02TNqCxfzg4MXoS+0h4oB76bZ+kms/fj7JssTxyQ4TDZvFPYKNG+ilFx1tV&#10;SP9jD6SlaD5bFiWu4GjQaGxHA6zi0kIGKQbzJgyrundkdjUjD7JbvGbhKpN6igoPLE6EeVNSq6et&#10;jqv48p6yfv+9zS8AAAD//wMAUEsDBBQABgAIAAAAIQBHplBd4AAAAAsBAAAPAAAAZHJzL2Rvd25y&#10;ZXYueG1sTI/BTsMwDIbvSLxDZCRuLFlVOlqaThOCExKiKweOaZO10RqnNNlW3h5zguNvf/r9udwu&#10;bmRnMwfrUcJ6JYAZ7Ly22Ev4aF7uHoCFqFCr0aOR8G0CbKvrq1IV2l+wNud97BmVYCiUhCHGqeA8&#10;dINxKqz8ZJB2Bz87FSnOPdezulC5G3kiRMadskgXBjWZp8F0x/3JSdh9Yv1sv97a9/pQ26bJBb5m&#10;Rylvb5bdI7BolvgHw68+qUNFTq0/oQ5spJwmGaESMrFJgRGR5+sNsJYm92kCvCr5/x+qHwAAAP//&#10;AwBQSwECLQAUAAYACAAAACEAtoM4kv4AAADhAQAAEwAAAAAAAAAAAAAAAAAAAAAAW0NvbnRlbnRf&#10;VHlwZXNdLnhtbFBLAQItABQABgAIAAAAIQA4/SH/1gAAAJQBAAALAAAAAAAAAAAAAAAAAC8BAABf&#10;cmVscy8ucmVsc1BLAQItABQABgAIAAAAIQCaptaO8wEAAMMDAAAOAAAAAAAAAAAAAAAAAC4CAABk&#10;cnMvZTJvRG9jLnhtbFBLAQItABQABgAIAAAAIQBHplBd4AAAAAsBAAAPAAAAAAAAAAAAAAAAAE0E&#10;AABkcnMvZG93bnJldi54bWxQSwUGAAAAAAQABADzAAAAWgUAAAAA&#10;" filled="f" stroked="f">
                <v:textbox inset="0,0,0,0">
                  <w:txbxContent>
                    <w:p w14:paraId="701A6D26"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The program has been delivered for 15 years, and</w:t>
                      </w:r>
                      <w:r>
                        <w:rPr>
                          <w:rFonts w:ascii="Tahoma" w:eastAsia="Tahoma" w:hAnsi="Tahoma"/>
                          <w:color w:val="464140"/>
                          <w:sz w:val="18"/>
                        </w:rPr>
                        <w:t xml:space="preserve"> MBT</w:t>
                      </w:r>
                      <w:r>
                        <w:rPr>
                          <w:rFonts w:ascii="Tahoma" w:eastAsia="Tahoma" w:hAnsi="Tahoma"/>
                          <w:color w:val="404042"/>
                          <w:sz w:val="18"/>
                        </w:rPr>
                        <w:t xml:space="preserve"> is seeing a positive increase in young people applying for apprenticeships, with the knowledge that this can lead to a successful career.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6832" behindDoc="1" locked="0" layoutInCell="1" allowOverlap="1" wp14:anchorId="10930FD0" wp14:editId="74D25ED9">
                <wp:simplePos x="0" y="0"/>
                <wp:positionH relativeFrom="page">
                  <wp:posOffset>908050</wp:posOffset>
                </wp:positionH>
                <wp:positionV relativeFrom="page">
                  <wp:posOffset>4312285</wp:posOffset>
                </wp:positionV>
                <wp:extent cx="2767965" cy="113665"/>
                <wp:effectExtent l="0" t="0" r="0" b="0"/>
                <wp:wrapSquare wrapText="bothSides"/>
                <wp:docPr id="58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45533" w14:textId="77777777" w:rsidR="00490F33" w:rsidRDefault="00490F33">
                            <w:pPr>
                              <w:spacing w:before="7" w:line="171" w:lineRule="exact"/>
                              <w:textAlignment w:val="baseline"/>
                              <w:rPr>
                                <w:rFonts w:ascii="Tahoma" w:eastAsia="Tahoma" w:hAnsi="Tahoma"/>
                                <w:color w:val="000000"/>
                                <w:spacing w:val="1"/>
                                <w:sz w:val="14"/>
                              </w:rPr>
                            </w:pPr>
                            <w:r>
                              <w:rPr>
                                <w:rFonts w:ascii="Tahoma" w:eastAsia="Tahoma" w:hAnsi="Tahoma"/>
                                <w:color w:val="000000"/>
                                <w:spacing w:val="1"/>
                                <w:sz w:val="14"/>
                              </w:rPr>
                              <w:t xml:space="preserve">Source: Master Builders Tasmania website, </w:t>
                            </w:r>
                            <w:hyperlink r:id="rId209">
                              <w:r>
                                <w:rPr>
                                  <w:rFonts w:ascii="Tahoma" w:eastAsia="Tahoma" w:hAnsi="Tahoma"/>
                                  <w:color w:val="0000FF"/>
                                  <w:spacing w:val="1"/>
                                  <w:sz w:val="14"/>
                                  <w:u w:val="single"/>
                                </w:rPr>
                                <w:t>https://mbatas.org.au</w:t>
                              </w:r>
                            </w:hyperlink>
                            <w:r>
                              <w:rPr>
                                <w:rFonts w:ascii="Tahoma" w:eastAsia="Tahoma" w:hAnsi="Tahoma"/>
                                <w:color w:val="000000"/>
                                <w:spacing w:val="1"/>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30FD0" id="Text Box 307" o:spid="_x0000_s1251" type="#_x0000_t202" style="position:absolute;margin-left:71.5pt;margin-top:339.55pt;width:217.95pt;height:8.95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9c8AEAAMMDAAAOAAAAZHJzL2Uyb0RvYy54bWysU8Fu2zAMvQ/YPwi6L45TNOmMOEXXosOA&#10;bh3Q7gNoWY6F2aJGKbGzrx8lJ2m33YZdBIqkHh8fqfX12Hdir8kbtKXMZ3MptFVYG7st5bfn+3dX&#10;UvgAtoYOrS7lQXt5vXn7Zj24Qi+wxa7WJBjE+mJwpWxDcEWWedXqHvwMnbYcbJB6CHylbVYTDIze&#10;d9liPl9mA1LtCJX2nr13U1BuEn7TaBUem8brILpSMreQTkpnFc9ss4ZiS+Bao4404B9Y9GAsFz1D&#10;3UEAsSPzF1RvFKHHJswU9hk2jVE69cDd5PM/unlqwenUC4vj3Vkm//9g1Zf9VxKmLuXl1VIKCz0P&#10;6VmPQXzAUVzMV1GhwfmCE58cp4aRAzzp1K13D6i+e2HxtgW71TdEOLQaamaYx5fZq6cTjo8g1fAZ&#10;ay4Eu4AJaGyoj/KxIILReVKH83QiGcXOxWq5er+8lEJxLM8vlmzHElCcXjvy4aPGXkSjlMTTT+iw&#10;f/BhSj2lxGIW703XsR+Kzv7mYMzoSewj4Yl6GKsxSbVYpMqxtwrrAzdEOG0W/wQ2WqSfUgy8VaX0&#10;P3ZAWoruk2VR4gqeDDoZ1ckAq/hpKYMUk3kbplXdOTLblpEn2S3esHCNST29sDgS5k1Jqhy3Oq7i&#10;63vKevl7m18AAAD//wMAUEsDBBQABgAIAAAAIQDEcHvL4QAAAAsBAAAPAAAAZHJzL2Rvd25yZXYu&#10;eG1sTI/NTsMwEITvSLyDtUjcqF1+kiaNU1UITkiINBx6dGI3sRqvQ+y24e1ZTnCc2dHsN8VmdgM7&#10;mylYjxKWCwHMYOu1xU7CZ/16twIWokKtBo9GwrcJsCmvrwqVa3/Bypx3sWNUgiFXEvoYx5zz0PbG&#10;qbDwo0G6HfzkVCQ5dVxP6kLlbuD3QiTcKYv0oVejee5Ne9ydnITtHqsX+/XefFSHytZ1JvAtOUp5&#10;ezNv18CimeNfGH7xCR1KYmr8CXVgA+nHB9oSJSRptgRGiad0lQFryMlSAbws+P8N5Q8AAAD//wMA&#10;UEsBAi0AFAAGAAgAAAAhALaDOJL+AAAA4QEAABMAAAAAAAAAAAAAAAAAAAAAAFtDb250ZW50X1R5&#10;cGVzXS54bWxQSwECLQAUAAYACAAAACEAOP0h/9YAAACUAQAACwAAAAAAAAAAAAAAAAAvAQAAX3Jl&#10;bHMvLnJlbHNQSwECLQAUAAYACAAAACEA49qvXPABAADDAwAADgAAAAAAAAAAAAAAAAAuAgAAZHJz&#10;L2Uyb0RvYy54bWxQSwECLQAUAAYACAAAACEAxHB7y+EAAAALAQAADwAAAAAAAAAAAAAAAABKBAAA&#10;ZHJzL2Rvd25yZXYueG1sUEsFBgAAAAAEAAQA8wAAAFgFAAAAAA==&#10;" filled="f" stroked="f">
                <v:textbox inset="0,0,0,0">
                  <w:txbxContent>
                    <w:p w14:paraId="12345533" w14:textId="77777777" w:rsidR="00490F33" w:rsidRDefault="00490F33">
                      <w:pPr>
                        <w:spacing w:before="7" w:line="171" w:lineRule="exact"/>
                        <w:textAlignment w:val="baseline"/>
                        <w:rPr>
                          <w:rFonts w:ascii="Tahoma" w:eastAsia="Tahoma" w:hAnsi="Tahoma"/>
                          <w:color w:val="000000"/>
                          <w:spacing w:val="1"/>
                          <w:sz w:val="14"/>
                        </w:rPr>
                      </w:pPr>
                      <w:r>
                        <w:rPr>
                          <w:rFonts w:ascii="Tahoma" w:eastAsia="Tahoma" w:hAnsi="Tahoma"/>
                          <w:color w:val="000000"/>
                          <w:spacing w:val="1"/>
                          <w:sz w:val="14"/>
                        </w:rPr>
                        <w:t xml:space="preserve">Source: Master Builders Tasmania website, </w:t>
                      </w:r>
                      <w:hyperlink r:id="rId210">
                        <w:r>
                          <w:rPr>
                            <w:rFonts w:ascii="Tahoma" w:eastAsia="Tahoma" w:hAnsi="Tahoma"/>
                            <w:color w:val="0000FF"/>
                            <w:spacing w:val="1"/>
                            <w:sz w:val="14"/>
                            <w:u w:val="single"/>
                          </w:rPr>
                          <w:t>https://mbatas.org.au</w:t>
                        </w:r>
                      </w:hyperlink>
                      <w:r>
                        <w:rPr>
                          <w:rFonts w:ascii="Tahoma" w:eastAsia="Tahoma" w:hAnsi="Tahoma"/>
                          <w:color w:val="000000"/>
                          <w:spacing w:val="1"/>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7856" behindDoc="1" locked="0" layoutInCell="1" allowOverlap="1" wp14:anchorId="458DA531" wp14:editId="6607141A">
                <wp:simplePos x="0" y="0"/>
                <wp:positionH relativeFrom="page">
                  <wp:posOffset>835025</wp:posOffset>
                </wp:positionH>
                <wp:positionV relativeFrom="page">
                  <wp:posOffset>5116195</wp:posOffset>
                </wp:positionV>
                <wp:extent cx="3877310" cy="858520"/>
                <wp:effectExtent l="0" t="0" r="0" b="0"/>
                <wp:wrapSquare wrapText="bothSides"/>
                <wp:docPr id="585"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B982"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37B813A" w14:textId="77777777" w:rsidR="00490F33" w:rsidRDefault="00490F33">
                            <w:pPr>
                              <w:spacing w:line="449" w:lineRule="exact"/>
                              <w:textAlignment w:val="baseline"/>
                              <w:rPr>
                                <w:rFonts w:ascii="Tahoma" w:eastAsia="Tahoma" w:hAnsi="Tahoma"/>
                                <w:color w:val="BF5B1F"/>
                                <w:spacing w:val="15"/>
                                <w:w w:val="95"/>
                                <w:sz w:val="38"/>
                              </w:rPr>
                            </w:pPr>
                            <w:r>
                              <w:rPr>
                                <w:rFonts w:ascii="Tahoma" w:eastAsia="Tahoma" w:hAnsi="Tahoma"/>
                                <w:color w:val="BF5B1F"/>
                                <w:spacing w:val="15"/>
                                <w:w w:val="95"/>
                                <w:sz w:val="38"/>
                              </w:rPr>
                              <w:t>THE AUSTRALIAN GOVERNMENT’S</w:t>
                            </w:r>
                          </w:p>
                          <w:p w14:paraId="54194F1B" w14:textId="77777777" w:rsidR="00490F33" w:rsidRDefault="00490F33">
                            <w:pPr>
                              <w:spacing w:before="1" w:line="454"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INDUSTRY TRAINING HUBS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DA531" id="Text Box 306" o:spid="_x0000_s1252" type="#_x0000_t202" style="position:absolute;margin-left:65.75pt;margin-top:402.85pt;width:305.3pt;height:67.6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8hW7wEAAMMDAAAOAAAAZHJzL2Uyb0RvYy54bWysU9tu2zAMfR+wfxD0vthx0DYw4hRdiw4D&#10;uq1Auw9gZDkWZosapcTOvn6UnGTd+lbsRaB4OTo8pFbXY9+JvSZv0FZyPsul0FZhbey2kt+f7z8s&#10;pfABbA0dWl3Jg/byev3+3WpwpS6wxa7WJBjE+nJwlWxDcGWWedXqHvwMnbYcbJB6CHylbVYTDIze&#10;d1mR55fZgFQ7QqW9Z+/dFJTrhN80WoVvTeN1EF0lmVtIJ6VzE89svYJyS+Bao4404A0sejCWHz1D&#10;3UEAsSPzCqo3itBjE2YK+wybxiideuBu5vk/3Ty14HTqhcXx7iyT/3+w6uv+kYSpK3mxvJDCQs9D&#10;etZjEB9xFIv8Mio0OF9y4pPj1DBygCeduvXuAdUPLyzetmC3+oYIh1ZDzQznsTJ7UTrh+AiyGb5g&#10;zQ/BLmACGhvqo3wsiGB0ntThPJ1IRrFzsby6Wsw5pDi2ZLpFGl8G5anakQ+fNPYiGpUknn5Ch/2D&#10;D5ENlKeU+JjFe9N1aQM6+5eDE6MnsY+EJ+ph3IxJqqI4y7LB+sANEU6bxT+BjRbplxQDb1Ul/c8d&#10;kJai+2xZlLiCJ4NOxuZkgFVcWskgxWTehmlVd47MtmXkSXaLNyxcY1JPUeGJxZEwb0pq9bjVcRVf&#10;3lPWn7+3/g0AAP//AwBQSwMEFAAGAAgAAAAhAI14i8DhAAAACwEAAA8AAABkcnMvZG93bnJldi54&#10;bWxMj8tOwzAQRfdI/IM1SOyondJXQpyqQrBCQqRhwdKJ3cRqPA6x24a/Z1iV5dUc3Xsm306uZ2cz&#10;ButRQjITwAw2XltsJXxWrw8bYCEq1Kr3aCT8mADb4vYmV5n2FyzNeR9bRiUYMiWhi3HIOA9NZ5wK&#10;Mz8YpNvBj05FimPL9aguVO56PhdixZ2ySAudGsxzZ5rj/uQk7L6wfLHf7/VHeShtVaUC31ZHKe/v&#10;pt0TsGimeIXhT5/UoSCn2p9QB9ZTfkyWhErYiOUaGBHrxTwBVktIFyIFXuT8/w/FLwAAAP//AwBQ&#10;SwECLQAUAAYACAAAACEAtoM4kv4AAADhAQAAEwAAAAAAAAAAAAAAAAAAAAAAW0NvbnRlbnRfVHlw&#10;ZXNdLnhtbFBLAQItABQABgAIAAAAIQA4/SH/1gAAAJQBAAALAAAAAAAAAAAAAAAAAC8BAABfcmVs&#10;cy8ucmVsc1BLAQItABQABgAIAAAAIQC1j8hW7wEAAMMDAAAOAAAAAAAAAAAAAAAAAC4CAABkcnMv&#10;ZTJvRG9jLnhtbFBLAQItABQABgAIAAAAIQCNeIvA4QAAAAsBAAAPAAAAAAAAAAAAAAAAAEkEAABk&#10;cnMvZG93bnJldi54bWxQSwUGAAAAAAQABADzAAAAVwUAAAAA&#10;" filled="f" stroked="f">
                <v:textbox inset="0,0,0,0">
                  <w:txbxContent>
                    <w:p w14:paraId="510AB982"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37B813A" w14:textId="77777777" w:rsidR="00490F33" w:rsidRDefault="00490F33">
                      <w:pPr>
                        <w:spacing w:line="449" w:lineRule="exact"/>
                        <w:textAlignment w:val="baseline"/>
                        <w:rPr>
                          <w:rFonts w:ascii="Tahoma" w:eastAsia="Tahoma" w:hAnsi="Tahoma"/>
                          <w:color w:val="BF5B1F"/>
                          <w:spacing w:val="15"/>
                          <w:w w:val="95"/>
                          <w:sz w:val="38"/>
                        </w:rPr>
                      </w:pPr>
                      <w:r>
                        <w:rPr>
                          <w:rFonts w:ascii="Tahoma" w:eastAsia="Tahoma" w:hAnsi="Tahoma"/>
                          <w:color w:val="BF5B1F"/>
                          <w:spacing w:val="15"/>
                          <w:w w:val="95"/>
                          <w:sz w:val="38"/>
                        </w:rPr>
                        <w:t>THE AUSTRALIAN GOVERNMENT’S</w:t>
                      </w:r>
                    </w:p>
                    <w:p w14:paraId="54194F1B" w14:textId="77777777" w:rsidR="00490F33" w:rsidRDefault="00490F33">
                      <w:pPr>
                        <w:spacing w:before="1" w:line="454"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INDUSTRY TRAINING HUBS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8880" behindDoc="1" locked="0" layoutInCell="1" allowOverlap="1" wp14:anchorId="389B1857" wp14:editId="310194DA">
                <wp:simplePos x="0" y="0"/>
                <wp:positionH relativeFrom="page">
                  <wp:posOffset>905510</wp:posOffset>
                </wp:positionH>
                <wp:positionV relativeFrom="page">
                  <wp:posOffset>6142990</wp:posOffset>
                </wp:positionV>
                <wp:extent cx="5217795" cy="297180"/>
                <wp:effectExtent l="0" t="0" r="0" b="0"/>
                <wp:wrapSquare wrapText="bothSides"/>
                <wp:docPr id="58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79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A3E02"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The Australian Government is investing</w:t>
                            </w:r>
                            <w:r>
                              <w:rPr>
                                <w:rFonts w:ascii="Tahoma" w:eastAsia="Tahoma" w:hAnsi="Tahoma"/>
                                <w:color w:val="464140"/>
                                <w:sz w:val="18"/>
                              </w:rPr>
                              <w:t xml:space="preserve"> $50.6 million to trial</w:t>
                            </w:r>
                            <w:r>
                              <w:rPr>
                                <w:rFonts w:ascii="Tahoma" w:eastAsia="Tahoma" w:hAnsi="Tahoma"/>
                                <w:color w:val="404042"/>
                                <w:sz w:val="18"/>
                              </w:rPr>
                              <w:t xml:space="preserve"> Industry</w:t>
                            </w:r>
                            <w:r>
                              <w:rPr>
                                <w:rFonts w:ascii="Tahoma" w:eastAsia="Tahoma" w:hAnsi="Tahoma"/>
                                <w:color w:val="464140"/>
                                <w:sz w:val="18"/>
                              </w:rPr>
                              <w:t xml:space="preserve"> Training Hubs in 10 regions </w:t>
                            </w:r>
                            <w:r>
                              <w:rPr>
                                <w:rFonts w:ascii="Tahoma" w:eastAsia="Tahoma" w:hAnsi="Tahoma"/>
                                <w:color w:val="404042"/>
                                <w:sz w:val="18"/>
                              </w:rPr>
                              <w:t>across Australia.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B1857" id="Text Box 305" o:spid="_x0000_s1253" type="#_x0000_t202" style="position:absolute;margin-left:71.3pt;margin-top:483.7pt;width:410.85pt;height:23.4pt;z-index:-251737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w08gEAAMMDAAAOAAAAZHJzL2Uyb0RvYy54bWysU9uO0zAQfUfiHyy/07SB0m7UdLXsahHS&#10;cpF2+YCp4zQWiceM3Sbl6xk7TVngDfFijedyfObMeHM9dK04avIGbSkXs7kU2iqsjN2X8uvT/au1&#10;FD6AraBFq0t50l5eb1++2PSu0Dk22FaaBINYX/SulE0IrsgyrxrdgZ+h05aDNVIHga+0zyqCntG7&#10;Nsvn87dZj1Q5QqW9Z+/dGJTbhF/XWoXPde11EG0pmVtIJ6VzF89su4FiT+Aao8404B9YdGAsP3qB&#10;uoMA4kDmL6jOKEKPdZgp7DKsa6N06oG7Wcz/6OaxAadTLyyOdxeZ/P+DVZ+OX0iYqpTL9RspLHQ8&#10;pCc9BPEOB/F6vowK9c4XnPjoODUMHOBJp269e0D1zQuLtw3Yvb4hwr7RUDHDRazMnpWOOD6C7PqP&#10;WPFDcAiYgIaauigfCyIYnSd1ukwnklHsXOaL1epqKYXiWH61WqzT+DIopmpHPrzX2IlolJJ4+gkd&#10;jg8+RDZQTCnxMYv3pm3TBrT2NwcnRk9iHwmP1MOwG5JUeb6aZNlhdeKGCMfN4p/ARoP0Q4qet6qU&#10;/vsBSEvRfrAsSlzByaDJ2E0GWMWlpQxSjOZtGFf14MjsG0YeZbd4w8LVJvUUFR5ZnAnzpqRWz1sd&#10;V/H5PWX9+nvbnwAAAP//AwBQSwMEFAAGAAgAAAAhAIbQz/jfAAAADAEAAA8AAABkcnMvZG93bnJl&#10;di54bWxMj8FOwzAQRO9I/IO1SNyoTYkMCXGqCsEJCZGGA0cndhOr8TrEbhv+nuUEx9E8zb4tN4sf&#10;2cnO0QVUcLsSwCx2wTjsFXw0LzcPwGLSaPQY0Cr4thE21eVFqQsTzljb0y71jEYwFlrBkNJUcB67&#10;wXodV2GySN0+zF4ninPPzazPNO5HvhZCcq8d0oVBT/ZpsN1hd/QKtp9YP7uvt/a93teuaXKBr/Kg&#10;1PXVsn0EluyS/mD41Sd1qMipDUc0kY2Us7UkVEEu7zNgROQyuwPWUiWoBF6V/P8T1Q8AAAD//wMA&#10;UEsBAi0AFAAGAAgAAAAhALaDOJL+AAAA4QEAABMAAAAAAAAAAAAAAAAAAAAAAFtDb250ZW50X1R5&#10;cGVzXS54bWxQSwECLQAUAAYACAAAACEAOP0h/9YAAACUAQAACwAAAAAAAAAAAAAAAAAvAQAAX3Jl&#10;bHMvLnJlbHNQSwECLQAUAAYACAAAACEAkLc8NPIBAADDAwAADgAAAAAAAAAAAAAAAAAuAgAAZHJz&#10;L2Uyb0RvYy54bWxQSwECLQAUAAYACAAAACEAhtDP+N8AAAAMAQAADwAAAAAAAAAAAAAAAABMBAAA&#10;ZHJzL2Rvd25yZXYueG1sUEsFBgAAAAAEAAQA8wAAAFgFAAAAAA==&#10;" filled="f" stroked="f">
                <v:textbox inset="0,0,0,0">
                  <w:txbxContent>
                    <w:p w14:paraId="1E4A3E02" w14:textId="77777777" w:rsidR="00490F33" w:rsidRDefault="00490F33">
                      <w:pPr>
                        <w:spacing w:line="231" w:lineRule="exact"/>
                        <w:jc w:val="both"/>
                        <w:textAlignment w:val="baseline"/>
                        <w:rPr>
                          <w:rFonts w:ascii="Tahoma" w:eastAsia="Tahoma" w:hAnsi="Tahoma"/>
                          <w:color w:val="404042"/>
                          <w:sz w:val="18"/>
                        </w:rPr>
                      </w:pPr>
                      <w:r>
                        <w:rPr>
                          <w:rFonts w:ascii="Tahoma" w:eastAsia="Tahoma" w:hAnsi="Tahoma"/>
                          <w:color w:val="404042"/>
                          <w:sz w:val="18"/>
                        </w:rPr>
                        <w:t>The Australian Government is investing</w:t>
                      </w:r>
                      <w:r>
                        <w:rPr>
                          <w:rFonts w:ascii="Tahoma" w:eastAsia="Tahoma" w:hAnsi="Tahoma"/>
                          <w:color w:val="464140"/>
                          <w:sz w:val="18"/>
                        </w:rPr>
                        <w:t xml:space="preserve"> $50.6 million to trial</w:t>
                      </w:r>
                      <w:r>
                        <w:rPr>
                          <w:rFonts w:ascii="Tahoma" w:eastAsia="Tahoma" w:hAnsi="Tahoma"/>
                          <w:color w:val="404042"/>
                          <w:sz w:val="18"/>
                        </w:rPr>
                        <w:t xml:space="preserve"> Industry</w:t>
                      </w:r>
                      <w:r>
                        <w:rPr>
                          <w:rFonts w:ascii="Tahoma" w:eastAsia="Tahoma" w:hAnsi="Tahoma"/>
                          <w:color w:val="464140"/>
                          <w:sz w:val="18"/>
                        </w:rPr>
                        <w:t xml:space="preserve"> Training Hubs in 10 regions </w:t>
                      </w:r>
                      <w:r>
                        <w:rPr>
                          <w:rFonts w:ascii="Tahoma" w:eastAsia="Tahoma" w:hAnsi="Tahoma"/>
                          <w:color w:val="404042"/>
                          <w:sz w:val="18"/>
                        </w:rPr>
                        <w:t>across Australia.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79904" behindDoc="1" locked="0" layoutInCell="1" allowOverlap="1" wp14:anchorId="24B84178" wp14:editId="4BB45D01">
                <wp:simplePos x="0" y="0"/>
                <wp:positionH relativeFrom="page">
                  <wp:posOffset>914400</wp:posOffset>
                </wp:positionH>
                <wp:positionV relativeFrom="page">
                  <wp:posOffset>6554470</wp:posOffset>
                </wp:positionV>
                <wp:extent cx="5230495" cy="324485"/>
                <wp:effectExtent l="0" t="0" r="0" b="0"/>
                <wp:wrapSquare wrapText="bothSides"/>
                <wp:docPr id="58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049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A6BC9" w14:textId="77777777" w:rsidR="00490F33" w:rsidRDefault="00490F33">
                            <w:pPr>
                              <w:spacing w:after="38" w:line="234" w:lineRule="exact"/>
                              <w:jc w:val="both"/>
                              <w:textAlignment w:val="baseline"/>
                              <w:rPr>
                                <w:rFonts w:ascii="Tahoma" w:eastAsia="Tahoma" w:hAnsi="Tahoma"/>
                                <w:color w:val="404042"/>
                                <w:sz w:val="18"/>
                              </w:rPr>
                            </w:pPr>
                            <w:r>
                              <w:rPr>
                                <w:rFonts w:ascii="Tahoma" w:eastAsia="Tahoma" w:hAnsi="Tahoma"/>
                                <w:color w:val="404042"/>
                                <w:sz w:val="18"/>
                              </w:rPr>
                              <w:t>Industry Training Hubs aim to</w:t>
                            </w:r>
                            <w:r>
                              <w:rPr>
                                <w:rFonts w:ascii="Tahoma" w:eastAsia="Tahoma" w:hAnsi="Tahoma"/>
                                <w:color w:val="464140"/>
                                <w:sz w:val="18"/>
                              </w:rPr>
                              <w:t xml:space="preserve"> improve opportunities for young people</w:t>
                            </w:r>
                            <w:r>
                              <w:rPr>
                                <w:rFonts w:ascii="Tahoma" w:eastAsia="Tahoma" w:hAnsi="Tahoma"/>
                                <w:color w:val="404042"/>
                                <w:sz w:val="18"/>
                              </w:rPr>
                              <w:t xml:space="preserve"> in regions</w:t>
                            </w:r>
                            <w:r>
                              <w:rPr>
                                <w:rFonts w:ascii="Tahoma" w:eastAsia="Tahoma" w:hAnsi="Tahoma"/>
                                <w:color w:val="464140"/>
                                <w:sz w:val="18"/>
                              </w:rPr>
                              <w:t xml:space="preserve"> with high youth </w:t>
                            </w:r>
                            <w:r>
                              <w:rPr>
                                <w:rFonts w:ascii="Tahoma" w:eastAsia="Tahoma" w:hAnsi="Tahoma"/>
                                <w:color w:val="404042"/>
                                <w:sz w:val="18"/>
                              </w:rPr>
                              <w:t>unemployment, targeting Year</w:t>
                            </w:r>
                            <w:r>
                              <w:rPr>
                                <w:rFonts w:ascii="Tahoma" w:eastAsia="Tahoma" w:hAnsi="Tahoma"/>
                                <w:color w:val="464140"/>
                                <w:sz w:val="18"/>
                              </w:rPr>
                              <w:t xml:space="preserve"> 11 and 12 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84178" id="Text Box 304" o:spid="_x0000_s1254" type="#_x0000_t202" style="position:absolute;margin-left:1in;margin-top:516.1pt;width:411.85pt;height:25.55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s8QEAAMMDAAAOAAAAZHJzL2Uyb0RvYy54bWysU1GP0zAMfkfiP0R5Z926DY1q3em40yGk&#10;g0O64wd4abpGtHFwsrXHr8dJ13HAG+Ilcmzn8+fPzvZq6Fpx0uQN2lIuZnMptFVYGXso5denuzcb&#10;KXwAW0GLVpfyWXt5tXv9atu7QufYYFtpEgxifdG7UjYhuCLLvGp0B36GTlsO1kgdBL7SIasIekbv&#10;2iyfz99mPVLlCJX2nr23Y1DuEn5daxUe6trrINpSMreQTkrnPp7ZbgvFgcA1Rp1pwD+w6MBYLnqB&#10;uoUA4kjmL6jOKEKPdZgp7DKsa6N06oG7Wcz/6OaxAadTLyyOdxeZ/P+DVZ9PX0iYqpTrzVIKCx0P&#10;6UkPQbzHQSznq6hQ73zBiY+OU8PAAZ506ta7e1TfvLB404A96Gsi7BsNFTNcxJfZi6cjjo8g+/4T&#10;VlwIjgET0FBTF+VjQQSj86SeL9OJZBQ71znTebeWQnFsma9Wm3UqAcX02pEPHzR2IhqlJJ5+QofT&#10;vQ+RDRRTSixm8c60bdqA1v7m4MToSewj4ZF6GPZDkirPN5Mse6yeuSHCcbP4J7DRIP2QouetKqX/&#10;fgTSUrQfLYsSV3AyaDL2kwFW8dNSBilG8yaMq3p0ZA4NI4+yW7xm4WqTeooKjyzOhHlTUqvnrY6r&#10;+PKesn79vd1PAAAA//8DAFBLAwQUAAYACAAAACEAmgQxbOEAAAANAQAADwAAAGRycy9kb3ducmV2&#10;LnhtbEyPwU7DMBBE70j8g7VI3KhNUqVtiFNVCE5IiDQcODqxm1iN1yF22/D3bE9w29kdzb4ptrMb&#10;2NlMwXqU8LgQwAy2XlvsJHzWrw9rYCEq1GrwaCT8mADb8vamULn2F6zMeR87RiEYciWhj3HMOQ9t&#10;b5wKCz8apNvBT05FklPH9aQuFO4GngiRcacs0odejea5N+1xf3ISdl9Yvdjv9+ajOlS2rjcC37Kj&#10;lPd38+4JWDRz/DPDFZ/QoSSmxp9QBzaQXi6pS6RBpEkCjCybbLUC1lxX6zQFXhb8f4vyFwAA//8D&#10;AFBLAQItABQABgAIAAAAIQC2gziS/gAAAOEBAAATAAAAAAAAAAAAAAAAAAAAAABbQ29udGVudF9U&#10;eXBlc10ueG1sUEsBAi0AFAAGAAgAAAAhADj9If/WAAAAlAEAAAsAAAAAAAAAAAAAAAAALwEAAF9y&#10;ZWxzLy5yZWxzUEsBAi0AFAAGAAgAAAAhAH9a7mzxAQAAwwMAAA4AAAAAAAAAAAAAAAAALgIAAGRy&#10;cy9lMm9Eb2MueG1sUEsBAi0AFAAGAAgAAAAhAJoEMWzhAAAADQEAAA8AAAAAAAAAAAAAAAAASwQA&#10;AGRycy9kb3ducmV2LnhtbFBLBQYAAAAABAAEAPMAAABZBQAAAAA=&#10;" filled="f" stroked="f">
                <v:textbox inset="0,0,0,0">
                  <w:txbxContent>
                    <w:p w14:paraId="398A6BC9" w14:textId="77777777" w:rsidR="00490F33" w:rsidRDefault="00490F33">
                      <w:pPr>
                        <w:spacing w:after="38" w:line="234" w:lineRule="exact"/>
                        <w:jc w:val="both"/>
                        <w:textAlignment w:val="baseline"/>
                        <w:rPr>
                          <w:rFonts w:ascii="Tahoma" w:eastAsia="Tahoma" w:hAnsi="Tahoma"/>
                          <w:color w:val="404042"/>
                          <w:sz w:val="18"/>
                        </w:rPr>
                      </w:pPr>
                      <w:r>
                        <w:rPr>
                          <w:rFonts w:ascii="Tahoma" w:eastAsia="Tahoma" w:hAnsi="Tahoma"/>
                          <w:color w:val="404042"/>
                          <w:sz w:val="18"/>
                        </w:rPr>
                        <w:t>Industry Training Hubs aim to</w:t>
                      </w:r>
                      <w:r>
                        <w:rPr>
                          <w:rFonts w:ascii="Tahoma" w:eastAsia="Tahoma" w:hAnsi="Tahoma"/>
                          <w:color w:val="464140"/>
                          <w:sz w:val="18"/>
                        </w:rPr>
                        <w:t xml:space="preserve"> improve opportunities for young people</w:t>
                      </w:r>
                      <w:r>
                        <w:rPr>
                          <w:rFonts w:ascii="Tahoma" w:eastAsia="Tahoma" w:hAnsi="Tahoma"/>
                          <w:color w:val="404042"/>
                          <w:sz w:val="18"/>
                        </w:rPr>
                        <w:t xml:space="preserve"> in regions</w:t>
                      </w:r>
                      <w:r>
                        <w:rPr>
                          <w:rFonts w:ascii="Tahoma" w:eastAsia="Tahoma" w:hAnsi="Tahoma"/>
                          <w:color w:val="464140"/>
                          <w:sz w:val="18"/>
                        </w:rPr>
                        <w:t xml:space="preserve"> with high youth </w:t>
                      </w:r>
                      <w:r>
                        <w:rPr>
                          <w:rFonts w:ascii="Tahoma" w:eastAsia="Tahoma" w:hAnsi="Tahoma"/>
                          <w:color w:val="404042"/>
                          <w:sz w:val="18"/>
                        </w:rPr>
                        <w:t>unemployment, targeting Year</w:t>
                      </w:r>
                      <w:r>
                        <w:rPr>
                          <w:rFonts w:ascii="Tahoma" w:eastAsia="Tahoma" w:hAnsi="Tahoma"/>
                          <w:color w:val="464140"/>
                          <w:sz w:val="18"/>
                        </w:rPr>
                        <w:t xml:space="preserve"> 11 and 12 students.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80928" behindDoc="1" locked="0" layoutInCell="1" allowOverlap="1" wp14:anchorId="6160C2FB" wp14:editId="58250C4C">
                <wp:simplePos x="0" y="0"/>
                <wp:positionH relativeFrom="page">
                  <wp:posOffset>914400</wp:posOffset>
                </wp:positionH>
                <wp:positionV relativeFrom="page">
                  <wp:posOffset>6969125</wp:posOffset>
                </wp:positionV>
                <wp:extent cx="5584190" cy="297180"/>
                <wp:effectExtent l="0" t="0" r="0" b="0"/>
                <wp:wrapSquare wrapText="bothSides"/>
                <wp:docPr id="5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19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40AE1" w14:textId="77777777" w:rsidR="00490F33" w:rsidRDefault="00490F33">
                            <w:pPr>
                              <w:spacing w:line="229" w:lineRule="exact"/>
                              <w:jc w:val="both"/>
                              <w:textAlignment w:val="baseline"/>
                              <w:rPr>
                                <w:rFonts w:ascii="Tahoma" w:eastAsia="Tahoma" w:hAnsi="Tahoma"/>
                                <w:color w:val="404042"/>
                                <w:sz w:val="18"/>
                              </w:rPr>
                            </w:pPr>
                            <w:r>
                              <w:rPr>
                                <w:rFonts w:ascii="Tahoma" w:eastAsia="Tahoma" w:hAnsi="Tahoma"/>
                                <w:color w:val="404042"/>
                                <w:sz w:val="18"/>
                              </w:rPr>
                              <w:t>Each Industry Training Hub will</w:t>
                            </w:r>
                            <w:r>
                              <w:rPr>
                                <w:rFonts w:ascii="Tahoma" w:eastAsia="Tahoma" w:hAnsi="Tahoma"/>
                                <w:color w:val="464140"/>
                                <w:sz w:val="18"/>
                              </w:rPr>
                              <w:t xml:space="preserve"> be managed by a full-time career facilitator,</w:t>
                            </w:r>
                            <w:r>
                              <w:rPr>
                                <w:rFonts w:ascii="Tahoma" w:eastAsia="Tahoma" w:hAnsi="Tahoma"/>
                                <w:color w:val="404042"/>
                                <w:sz w:val="18"/>
                              </w:rPr>
                              <w:t xml:space="preserve"> providing an on-the-ground presence while delivering training</w:t>
                            </w:r>
                            <w:r>
                              <w:rPr>
                                <w:rFonts w:ascii="Tahoma" w:eastAsia="Tahoma" w:hAnsi="Tahoma"/>
                                <w:color w:val="464140"/>
                                <w:sz w:val="18"/>
                              </w:rPr>
                              <w:t xml:space="preserve"> hub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0C2FB" id="Text Box 303" o:spid="_x0000_s1255" type="#_x0000_t202" style="position:absolute;margin-left:1in;margin-top:548.75pt;width:439.7pt;height:23.4pt;z-index:-251735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EW8QEAAMMDAAAOAAAAZHJzL2Uyb0RvYy54bWysU9uO0zAQfUfiHyy/07RZCm3UdLXsahHS&#10;cpF2+YCp4zQWiceM3Sbl6xk7TVngDfFijedyfObMeHM9dK04avIGbSkXs7kU2iqsjN2X8uvT/auV&#10;FD6AraBFq0t50l5eb1++2PSu0Dk22FaaBINYX/SulE0IrsgyrxrdgZ+h05aDNVIHga+0zyqCntG7&#10;Nsvn8zdZj1Q5QqW9Z+/dGJTbhF/XWoXPde11EG0pmVtIJ6VzF89su4FiT+Aao8404B9YdGAsP3qB&#10;uoMA4kDmL6jOKEKPdZgp7DKsa6N06oG7Wcz/6OaxAadTLyyOdxeZ/P+DVZ+OX0iYqpTLVS6FhY6H&#10;9KSHIN7hIK7mV1Gh3vmCEx8dp4aBAzzp1K13D6i+eWHxtgG71zdE2DcaKma4iJXZs9IRx0eQXf8R&#10;K34IDgET0FBTF+VjQQSj86ROl+lEMoqdy+Xq9WLNIcWxfP12sUrjy6CYqh358F5jJ6JRSuLpJ3Q4&#10;PvgQ2UAxpcTHLN6btk0b0NrfHJwYPYl9JDxSD8NuSFLl+XqSZYfViRsiHDeLfwIbDdIPKXreqlL6&#10;7wcgLUX7wbIocQUngyZjNxlgFZeWMkgxmrdhXNWDI7NvGHmU3eINC1eb1FNUeGRxJsybklo9b3Vc&#10;xef3lPXr721/AgAA//8DAFBLAwQUAAYACAAAACEA5HZaid8AAAAOAQAADwAAAGRycy9kb3ducmV2&#10;LnhtbExPy07DMBC8I/EP1iJxozZtKDTEqSoEJyTUNBw4OvE2iRqvQ+y24e/ZnuA2oxnNI1tPrhcn&#10;HEPnScP9TIFAqr3tqNHwWb7dPYEI0ZA1vSfU8IMB1vn1VWZS689U4GkXG8EhFFKjoY1xSKUMdYvO&#10;hJkfkFjb+9GZyHRspB3NmcNdL+dKLaUzHXFDawZ8abE+7I5Ow+aLitfu+6PaFvuiK8uVovflQevb&#10;m2nzDCLiFP/McJnP0yHnTZU/kg2iZ54k/CUyUKvHBxAXi5ovEhAVI1YXIPNM/r+R/wIAAP//AwBQ&#10;SwECLQAUAAYACAAAACEAtoM4kv4AAADhAQAAEwAAAAAAAAAAAAAAAAAAAAAAW0NvbnRlbnRfVHlw&#10;ZXNdLnhtbFBLAQItABQABgAIAAAAIQA4/SH/1gAAAJQBAAALAAAAAAAAAAAAAAAAAC8BAABfcmVs&#10;cy8ucmVsc1BLAQItABQABgAIAAAAIQCBTpEW8QEAAMMDAAAOAAAAAAAAAAAAAAAAAC4CAABkcnMv&#10;ZTJvRG9jLnhtbFBLAQItABQABgAIAAAAIQDkdlqJ3wAAAA4BAAAPAAAAAAAAAAAAAAAAAEsEAABk&#10;cnMvZG93bnJldi54bWxQSwUGAAAAAAQABADzAAAAVwUAAAAA&#10;" filled="f" stroked="f">
                <v:textbox inset="0,0,0,0">
                  <w:txbxContent>
                    <w:p w14:paraId="0AF40AE1" w14:textId="77777777" w:rsidR="00490F33" w:rsidRDefault="00490F33">
                      <w:pPr>
                        <w:spacing w:line="229" w:lineRule="exact"/>
                        <w:jc w:val="both"/>
                        <w:textAlignment w:val="baseline"/>
                        <w:rPr>
                          <w:rFonts w:ascii="Tahoma" w:eastAsia="Tahoma" w:hAnsi="Tahoma"/>
                          <w:color w:val="404042"/>
                          <w:sz w:val="18"/>
                        </w:rPr>
                      </w:pPr>
                      <w:r>
                        <w:rPr>
                          <w:rFonts w:ascii="Tahoma" w:eastAsia="Tahoma" w:hAnsi="Tahoma"/>
                          <w:color w:val="404042"/>
                          <w:sz w:val="18"/>
                        </w:rPr>
                        <w:t>Each Industry Training Hub will</w:t>
                      </w:r>
                      <w:r>
                        <w:rPr>
                          <w:rFonts w:ascii="Tahoma" w:eastAsia="Tahoma" w:hAnsi="Tahoma"/>
                          <w:color w:val="464140"/>
                          <w:sz w:val="18"/>
                        </w:rPr>
                        <w:t xml:space="preserve"> be managed by a full-time career facilitator,</w:t>
                      </w:r>
                      <w:r>
                        <w:rPr>
                          <w:rFonts w:ascii="Tahoma" w:eastAsia="Tahoma" w:hAnsi="Tahoma"/>
                          <w:color w:val="404042"/>
                          <w:sz w:val="18"/>
                        </w:rPr>
                        <w:t xml:space="preserve"> providing an on-the-ground presence while delivering training</w:t>
                      </w:r>
                      <w:r>
                        <w:rPr>
                          <w:rFonts w:ascii="Tahoma" w:eastAsia="Tahoma" w:hAnsi="Tahoma"/>
                          <w:color w:val="464140"/>
                          <w:sz w:val="18"/>
                        </w:rPr>
                        <w:t xml:space="preserve"> hub services.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81952" behindDoc="1" locked="0" layoutInCell="1" allowOverlap="1" wp14:anchorId="205595C7" wp14:editId="0E5FC8CA">
                <wp:simplePos x="0" y="0"/>
                <wp:positionH relativeFrom="page">
                  <wp:posOffset>905510</wp:posOffset>
                </wp:positionH>
                <wp:positionV relativeFrom="page">
                  <wp:posOffset>7380605</wp:posOffset>
                </wp:positionV>
                <wp:extent cx="5629275" cy="601980"/>
                <wp:effectExtent l="0" t="0" r="0" b="0"/>
                <wp:wrapSquare wrapText="bothSides"/>
                <wp:docPr id="581"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596E2" w14:textId="77777777" w:rsidR="00490F33" w:rsidRDefault="00490F33">
                            <w:pPr>
                              <w:spacing w:line="233" w:lineRule="exact"/>
                              <w:textAlignment w:val="baseline"/>
                              <w:rPr>
                                <w:rFonts w:ascii="Tahoma" w:eastAsia="Tahoma" w:hAnsi="Tahoma"/>
                                <w:color w:val="404042"/>
                                <w:spacing w:val="5"/>
                                <w:sz w:val="18"/>
                              </w:rPr>
                            </w:pPr>
                            <w:r>
                              <w:rPr>
                                <w:rFonts w:ascii="Tahoma" w:eastAsia="Tahoma" w:hAnsi="Tahoma"/>
                                <w:color w:val="404042"/>
                                <w:spacing w:val="5"/>
                                <w:sz w:val="18"/>
                              </w:rPr>
                              <w:t>Career facilitators will work with</w:t>
                            </w:r>
                            <w:r>
                              <w:rPr>
                                <w:rFonts w:ascii="Tahoma" w:eastAsia="Tahoma" w:hAnsi="Tahoma"/>
                                <w:color w:val="464140"/>
                                <w:spacing w:val="5"/>
                                <w:sz w:val="18"/>
                              </w:rPr>
                              <w:t xml:space="preserve"> and encourage young people to build</w:t>
                            </w:r>
                            <w:r>
                              <w:rPr>
                                <w:rFonts w:ascii="Tahoma" w:eastAsia="Tahoma" w:hAnsi="Tahoma"/>
                                <w:color w:val="404042"/>
                                <w:spacing w:val="5"/>
                                <w:sz w:val="18"/>
                              </w:rPr>
                              <w:t xml:space="preserve"> skills and choose occupations in demand in their region, creating</w:t>
                            </w:r>
                            <w:r>
                              <w:rPr>
                                <w:rFonts w:ascii="Tahoma" w:eastAsia="Tahoma" w:hAnsi="Tahoma"/>
                                <w:color w:val="464140"/>
                                <w:spacing w:val="5"/>
                                <w:sz w:val="18"/>
                              </w:rPr>
                              <w:t xml:space="preserve"> better linkages between schools</w:t>
                            </w:r>
                            <w:r>
                              <w:rPr>
                                <w:rFonts w:ascii="Tahoma" w:eastAsia="Tahoma" w:hAnsi="Tahoma"/>
                                <w:color w:val="404042"/>
                                <w:spacing w:val="5"/>
                                <w:sz w:val="18"/>
                              </w:rPr>
                              <w:t xml:space="preserve"> and local industry, repositioning vocational education and training as</w:t>
                            </w:r>
                            <w:r>
                              <w:rPr>
                                <w:rFonts w:ascii="Tahoma" w:eastAsia="Tahoma" w:hAnsi="Tahoma"/>
                                <w:color w:val="464140"/>
                                <w:spacing w:val="5"/>
                                <w:sz w:val="18"/>
                              </w:rPr>
                              <w:t xml:space="preserve"> a first-choice option. Through</w:t>
                            </w:r>
                            <w:r>
                              <w:rPr>
                                <w:rFonts w:ascii="Tahoma" w:eastAsia="Tahoma" w:hAnsi="Tahoma"/>
                                <w:color w:val="404042"/>
                                <w:spacing w:val="5"/>
                                <w:sz w:val="18"/>
                              </w:rPr>
                              <w:t xml:space="preserve"> this work, the Industry Training Hubs will help eliminate persistent high youth</w:t>
                            </w:r>
                            <w:r>
                              <w:rPr>
                                <w:rFonts w:ascii="Tahoma" w:eastAsia="Tahoma" w:hAnsi="Tahoma"/>
                                <w:color w:val="464140"/>
                                <w:spacing w:val="5"/>
                                <w:sz w:val="18"/>
                              </w:rPr>
                              <w:t xml:space="preserve"> unemployment in</w:t>
                            </w:r>
                            <w:r>
                              <w:rPr>
                                <w:rFonts w:ascii="Tahoma" w:eastAsia="Tahoma" w:hAnsi="Tahoma"/>
                                <w:color w:val="404042"/>
                                <w:spacing w:val="5"/>
                                <w:sz w:val="18"/>
                              </w:rPr>
                              <w:t xml:space="preserve"> regional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595C7" id="Text Box 302" o:spid="_x0000_s1256" type="#_x0000_t202" style="position:absolute;margin-left:71.3pt;margin-top:581.15pt;width:443.25pt;height:47.4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Mc8QEAAMMDAAAOAAAAZHJzL2Uyb0RvYy54bWysU8Fu2zAMvQ/YPwi6L3ZcJGuNOEXXosOA&#10;bh3Q7gMYWY6F2aJGKbGzrx8lJ2m33YZdBEqiHt97pFbXY9+JvSZv0FZyPsul0FZhbey2kt+e799d&#10;SuED2Bo6tLqSB+3l9frtm9XgSl1gi12tSTCI9eXgKtmG4Mos86rVPfgZOm35skHqIfCWtllNMDB6&#10;32VFni+zAal2hEp7z6d306VcJ/ym0So8No3XQXSVZG4hrZTWTVyz9QrKLYFrjTrSgH9g0YOxXPQM&#10;dQcBxI7MX1C9UYQemzBT2GfYNEbppIHVzPM/1Dy14HTSwuZ4d7bJ/z9Y9WX/lYSpK7m4nEthoecm&#10;PesxiA84iou8iA4Nzpec+OQ4NYx8wZ1Oar17QPXdC4u3LditviHCodVQM8N5fJm9ejrh+AiyGT5j&#10;zYVgFzABjQ310T42RDA6d+pw7k4ko/hwsSyuivcLKRTfLfP51WVqXwbl6bUjHz5q7EUMKknc/YQO&#10;+wcfIhsoTymxmMV703VpAjr72wEnxpPEPhKeqIdxMyariotUOWrbYH1gQYTTZPFP4KBF+inFwFNV&#10;Sf9jB6Sl6D5ZNiWO4CmgU7A5BWAVP61kkGIKb8M0qjtHZtsy8mS7xRs2rjFJ0wuLI2GelCT1ONVx&#10;FF/vU9bL31v/AgAA//8DAFBLAwQUAAYACAAAACEAwMl7weEAAAAOAQAADwAAAGRycy9kb3ducmV2&#10;LnhtbEyPwU7DMBBE70j8g7VI3KidAKENcaoKwQkJkYZDj07sJlbjdYjdNvw92xPcZrRPszPFenYD&#10;O5kpWI8SkoUAZrD12mIn4at+u1sCC1GhVoNHI+HHBFiX11eFyrU/Y2VO29gxCsGQKwl9jGPOeWh7&#10;41RY+NEg3fZ+ciqSnTquJ3WmcDfwVIiMO2WRPvRqNC+9aQ/bo5Ow2WH1ar8/ms9qX9m6Xgl8zw5S&#10;3t7Mm2dg0czxD4ZLfaoOJXVq/BF1YAP5hzQjlESSpffALohIVwmwhlT6+JQALwv+f0b5CwAA//8D&#10;AFBLAQItABQABgAIAAAAIQC2gziS/gAAAOEBAAATAAAAAAAAAAAAAAAAAAAAAABbQ29udGVudF9U&#10;eXBlc10ueG1sUEsBAi0AFAAGAAgAAAAhADj9If/WAAAAlAEAAAsAAAAAAAAAAAAAAAAALwEAAF9y&#10;ZWxzLy5yZWxzUEsBAi0AFAAGAAgAAAAhAIS+wxzxAQAAwwMAAA4AAAAAAAAAAAAAAAAALgIAAGRy&#10;cy9lMm9Eb2MueG1sUEsBAi0AFAAGAAgAAAAhAMDJe8HhAAAADgEAAA8AAAAAAAAAAAAAAAAASwQA&#10;AGRycy9kb3ducmV2LnhtbFBLBQYAAAAABAAEAPMAAABZBQAAAAA=&#10;" filled="f" stroked="f">
                <v:textbox inset="0,0,0,0">
                  <w:txbxContent>
                    <w:p w14:paraId="189596E2" w14:textId="77777777" w:rsidR="00490F33" w:rsidRDefault="00490F33">
                      <w:pPr>
                        <w:spacing w:line="233" w:lineRule="exact"/>
                        <w:textAlignment w:val="baseline"/>
                        <w:rPr>
                          <w:rFonts w:ascii="Tahoma" w:eastAsia="Tahoma" w:hAnsi="Tahoma"/>
                          <w:color w:val="404042"/>
                          <w:spacing w:val="5"/>
                          <w:sz w:val="18"/>
                        </w:rPr>
                      </w:pPr>
                      <w:r>
                        <w:rPr>
                          <w:rFonts w:ascii="Tahoma" w:eastAsia="Tahoma" w:hAnsi="Tahoma"/>
                          <w:color w:val="404042"/>
                          <w:spacing w:val="5"/>
                          <w:sz w:val="18"/>
                        </w:rPr>
                        <w:t>Career facilitators will work with</w:t>
                      </w:r>
                      <w:r>
                        <w:rPr>
                          <w:rFonts w:ascii="Tahoma" w:eastAsia="Tahoma" w:hAnsi="Tahoma"/>
                          <w:color w:val="464140"/>
                          <w:spacing w:val="5"/>
                          <w:sz w:val="18"/>
                        </w:rPr>
                        <w:t xml:space="preserve"> and encourage young people to build</w:t>
                      </w:r>
                      <w:r>
                        <w:rPr>
                          <w:rFonts w:ascii="Tahoma" w:eastAsia="Tahoma" w:hAnsi="Tahoma"/>
                          <w:color w:val="404042"/>
                          <w:spacing w:val="5"/>
                          <w:sz w:val="18"/>
                        </w:rPr>
                        <w:t xml:space="preserve"> skills and choose occupations in demand in their region, creating</w:t>
                      </w:r>
                      <w:r>
                        <w:rPr>
                          <w:rFonts w:ascii="Tahoma" w:eastAsia="Tahoma" w:hAnsi="Tahoma"/>
                          <w:color w:val="464140"/>
                          <w:spacing w:val="5"/>
                          <w:sz w:val="18"/>
                        </w:rPr>
                        <w:t xml:space="preserve"> better linkages between schools</w:t>
                      </w:r>
                      <w:r>
                        <w:rPr>
                          <w:rFonts w:ascii="Tahoma" w:eastAsia="Tahoma" w:hAnsi="Tahoma"/>
                          <w:color w:val="404042"/>
                          <w:spacing w:val="5"/>
                          <w:sz w:val="18"/>
                        </w:rPr>
                        <w:t xml:space="preserve"> and local industry, repositioning vocational education and training as</w:t>
                      </w:r>
                      <w:r>
                        <w:rPr>
                          <w:rFonts w:ascii="Tahoma" w:eastAsia="Tahoma" w:hAnsi="Tahoma"/>
                          <w:color w:val="464140"/>
                          <w:spacing w:val="5"/>
                          <w:sz w:val="18"/>
                        </w:rPr>
                        <w:t xml:space="preserve"> a first-choice option. Through</w:t>
                      </w:r>
                      <w:r>
                        <w:rPr>
                          <w:rFonts w:ascii="Tahoma" w:eastAsia="Tahoma" w:hAnsi="Tahoma"/>
                          <w:color w:val="404042"/>
                          <w:spacing w:val="5"/>
                          <w:sz w:val="18"/>
                        </w:rPr>
                        <w:t xml:space="preserve"> this work, the Industry Training Hubs will help eliminate persistent high youth</w:t>
                      </w:r>
                      <w:r>
                        <w:rPr>
                          <w:rFonts w:ascii="Tahoma" w:eastAsia="Tahoma" w:hAnsi="Tahoma"/>
                          <w:color w:val="464140"/>
                          <w:spacing w:val="5"/>
                          <w:sz w:val="18"/>
                        </w:rPr>
                        <w:t xml:space="preserve"> unemployment in</w:t>
                      </w:r>
                      <w:r>
                        <w:rPr>
                          <w:rFonts w:ascii="Tahoma" w:eastAsia="Tahoma" w:hAnsi="Tahoma"/>
                          <w:color w:val="404042"/>
                          <w:spacing w:val="5"/>
                          <w:sz w:val="18"/>
                        </w:rPr>
                        <w:t xml:space="preserve"> regional areas.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82976" behindDoc="1" locked="0" layoutInCell="1" allowOverlap="1" wp14:anchorId="0BA6AA87" wp14:editId="13E8B8EA">
                <wp:simplePos x="0" y="0"/>
                <wp:positionH relativeFrom="page">
                  <wp:posOffset>905510</wp:posOffset>
                </wp:positionH>
                <wp:positionV relativeFrom="page">
                  <wp:posOffset>8096885</wp:posOffset>
                </wp:positionV>
                <wp:extent cx="5446395" cy="449580"/>
                <wp:effectExtent l="0" t="0" r="0" b="0"/>
                <wp:wrapSquare wrapText="bothSides"/>
                <wp:docPr id="58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4FF60" w14:textId="77777777" w:rsidR="00490F33" w:rsidRDefault="00490F33">
                            <w:pPr>
                              <w:spacing w:line="232" w:lineRule="exact"/>
                              <w:jc w:val="both"/>
                              <w:textAlignment w:val="baseline"/>
                              <w:rPr>
                                <w:rFonts w:ascii="Tahoma" w:eastAsia="Tahoma" w:hAnsi="Tahoma"/>
                                <w:color w:val="404042"/>
                                <w:sz w:val="18"/>
                              </w:rPr>
                            </w:pPr>
                            <w:r>
                              <w:rPr>
                                <w:rFonts w:ascii="Tahoma" w:eastAsia="Tahoma" w:hAnsi="Tahoma"/>
                                <w:color w:val="404042"/>
                                <w:sz w:val="18"/>
                              </w:rPr>
                              <w:t>The first Industry Training Hub (in Burnie, Tasmania) was launched on 16 March 2020. The Townsville Training Hub is expected to commence later in 2020, with the remaining eight Industry Training Hubs commencing from January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6AA87" id="Text Box 301" o:spid="_x0000_s1257" type="#_x0000_t202" style="position:absolute;margin-left:71.3pt;margin-top:637.55pt;width:428.85pt;height:35.4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cE7gEAAMMDAAAOAAAAZHJzL2Uyb0RvYy54bWysU9tu2zAMfR+wfxD0vti5Fa0Rp+hadBjQ&#10;rQPafYAsS7EwW9QoJXb29aPkOOu2t6IvAsXL0eEhtbkeupYdFHoDtuTzWc6ZshJqY3cl//58/+GS&#10;Mx+ErUULVpX8qDy/3r5/t+ldoRbQQFsrZARifdG7kjchuCLLvGxUJ/wMnLIU1ICdCHTFXVaj6Am9&#10;a7NFnl9kPWDtEKTynrx3Y5BvE77WSoZHrb0KrC05cQvpxHRW8cy2G1HsULjGyBMN8QoWnTCWHj1D&#10;3Ykg2B7Nf1CdkQgedJhJ6DLQ2kiVeqBu5vk/3Tw1wqnUC4nj3Vkm/3aw8uvhGzJTl3x9SfpY0dGQ&#10;ntUQ2EcY2DKfR4V65wtKfHKUGgYK0KRTt949gPzhmYXbRtidukGEvlGiJoapMntROuL4CFL1X6Cm&#10;h8Q+QAIaNHZRPhKEEToxOZ6nE8lIcq5Xq4vl1ZozSbHV6ioSJnKZKKZqhz58UtCxaJQcafoJXRwe&#10;fBhTp5T4mIV707ZpA1r7l4Mwoyexj4RH6mGohiTVYnmWpYL6SA0hjJtFP4GMBvAXZz1tVcn9z71A&#10;xVn72ZIocQUnAyejmgxhJZWWPHA2mrdhXNW9Q7NrCHmU3cINCadN6ikqPLI4EaZNSaqctjqu4st7&#10;yvrz97a/AQAA//8DAFBLAwQUAAYACAAAACEAoyQz4uIAAAAOAQAADwAAAGRycy9kb3ducmV2Lnht&#10;bEyPwU7DMBBE70j8g7VI3KjdtA00xKkqBCck1DQcODqxm1iN1yF22/D3bE9wm9E+zc7km8n17GzG&#10;YD1KmM8EMION1xZbCZ/V28MTsBAVatV7NBJ+TIBNcXuTq0z7C5bmvI8toxAMmZLQxThknIemM06F&#10;mR8M0u3gR6ci2bHlelQXCnc9T4RIuVMW6UOnBvPSmea4PzkJ2y8sX+33R70rD6WtqrXA9/Qo5f3d&#10;tH0GFs0U/2C41qfqUFCn2p9QB9aTXyYpoSSSx9Uc2BURQiyA1aQWy9UaeJHz/zOKXwAAAP//AwBQ&#10;SwECLQAUAAYACAAAACEAtoM4kv4AAADhAQAAEwAAAAAAAAAAAAAAAAAAAAAAW0NvbnRlbnRfVHlw&#10;ZXNdLnhtbFBLAQItABQABgAIAAAAIQA4/SH/1gAAAJQBAAALAAAAAAAAAAAAAAAAAC8BAABfcmVs&#10;cy8ucmVsc1BLAQItABQABgAIAAAAIQAfwVcE7gEAAMMDAAAOAAAAAAAAAAAAAAAAAC4CAABkcnMv&#10;ZTJvRG9jLnhtbFBLAQItABQABgAIAAAAIQCjJDPi4gAAAA4BAAAPAAAAAAAAAAAAAAAAAEgEAABk&#10;cnMvZG93bnJldi54bWxQSwUGAAAAAAQABADzAAAAVwUAAAAA&#10;" filled="f" stroked="f">
                <v:textbox inset="0,0,0,0">
                  <w:txbxContent>
                    <w:p w14:paraId="0AA4FF60" w14:textId="77777777" w:rsidR="00490F33" w:rsidRDefault="00490F33">
                      <w:pPr>
                        <w:spacing w:line="232" w:lineRule="exact"/>
                        <w:jc w:val="both"/>
                        <w:textAlignment w:val="baseline"/>
                        <w:rPr>
                          <w:rFonts w:ascii="Tahoma" w:eastAsia="Tahoma" w:hAnsi="Tahoma"/>
                          <w:color w:val="404042"/>
                          <w:sz w:val="18"/>
                        </w:rPr>
                      </w:pPr>
                      <w:r>
                        <w:rPr>
                          <w:rFonts w:ascii="Tahoma" w:eastAsia="Tahoma" w:hAnsi="Tahoma"/>
                          <w:color w:val="404042"/>
                          <w:sz w:val="18"/>
                        </w:rPr>
                        <w:t>The first Industry Training Hub (in Burnie, Tasmania) was launched on 16 March 2020. The Townsville Training Hub is expected to commence later in 2020, with the remaining eight Industry Training Hubs commencing from January 2021</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84000" behindDoc="1" locked="0" layoutInCell="1" allowOverlap="1" wp14:anchorId="620AA181" wp14:editId="4CE2AA0E">
                <wp:simplePos x="0" y="0"/>
                <wp:positionH relativeFrom="page">
                  <wp:posOffset>908050</wp:posOffset>
                </wp:positionH>
                <wp:positionV relativeFrom="page">
                  <wp:posOffset>8692515</wp:posOffset>
                </wp:positionV>
                <wp:extent cx="5706110" cy="241300"/>
                <wp:effectExtent l="0" t="0" r="0" b="0"/>
                <wp:wrapSquare wrapText="bothSides"/>
                <wp:docPr id="579"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7D536" w14:textId="77777777" w:rsidR="00490F33" w:rsidRDefault="00490F33">
                            <w:pPr>
                              <w:spacing w:line="189" w:lineRule="exact"/>
                              <w:jc w:val="both"/>
                              <w:textAlignment w:val="baseline"/>
                              <w:rPr>
                                <w:rFonts w:ascii="Tahoma" w:eastAsia="Tahoma" w:hAnsi="Tahoma"/>
                                <w:color w:val="000000"/>
                                <w:sz w:val="14"/>
                              </w:rPr>
                            </w:pPr>
                            <w:r>
                              <w:rPr>
                                <w:rFonts w:ascii="Tahoma" w:eastAsia="Tahoma" w:hAnsi="Tahoma"/>
                                <w:color w:val="000000"/>
                                <w:sz w:val="14"/>
                              </w:rPr>
                              <w:t xml:space="preserve">Source: Commonwealth Department of Education, Skills and Employment, ‘Industry Training Hubs’, webpage (accessed 30 April 2020), </w:t>
                            </w:r>
                            <w:hyperlink r:id="rId211">
                              <w:r>
                                <w:rPr>
                                  <w:rFonts w:ascii="Tahoma" w:eastAsia="Tahoma" w:hAnsi="Tahoma"/>
                                  <w:color w:val="0000FF"/>
                                  <w:sz w:val="14"/>
                                  <w:u w:val="single"/>
                                </w:rPr>
                                <w:t>https://www.employment.gov.au/ITH.</w:t>
                              </w:r>
                            </w:hyperlink>
                            <w:r>
                              <w:rPr>
                                <w:rFonts w:ascii="Tahoma" w:eastAsia="Tahoma" w:hAnsi="Tahoma"/>
                                <w:color w:val="000000"/>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A181" id="Text Box 300" o:spid="_x0000_s1258" type="#_x0000_t202" style="position:absolute;margin-left:71.5pt;margin-top:684.45pt;width:449.3pt;height:19pt;z-index:-25173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C+8AEAAMMDAAAOAAAAZHJzL2Uyb0RvYy54bWysU8Fu1DAQvSPxD5bvbJItbSHabFVaFSGV&#10;gtTyAbOOs7FIPGbs3WT5esbOZlvghrhYY8/4+b0349XV2Hdir8kbtJUsFrkU2iqsjd1W8tvT3Zt3&#10;UvgAtoYOra7kQXt5tX79ajW4Ui+xxa7WJBjE+nJwlWxDcGWWedXqHvwCnbacbJB6CLylbVYTDIze&#10;d9kyzy+yAal2hEp7z6e3U1KuE37TaBW+NI3XQXSVZG4hrZTWTVyz9QrKLYFrjTrSgH9g0YOx/OgJ&#10;6hYCiB2Zv6B6owg9NmGhsM+waYzSSQOrKfI/1Dy24HTSwuZ4d7LJ/z9Y9bD/SsLUlTy/fC+FhZ6b&#10;9KTHID7gKM7y5NDgfMmFj45Lw8gJ7nRS6909qu9eWLxpwW71NREOrYaaGRbR2+zF1dgTX/oIshk+&#10;Y80PwS5gAhob6qN9bIhgdO7U4dSdSEbx4fllflEUnFKcW74tjuQyKOfbjnz4qLEXMagkcfcTOuzv&#10;fYhsoJxL4mMW70zXpQno7G8HXBhPEvtIeKIexs2YrFqeLaO4KGeD9YEFEU6TxT+BgxbppxQDT1Ul&#10;/Y8dkJai+2TZlDiCc0BzsJkDsIqvVjJIMYU3YRrVnSOzbRl5st3iNRvXmKTpmcWRME9Kknqc6jiK&#10;L/ep6vnvrX8BAAD//wMAUEsDBBQABgAIAAAAIQCRTGxN4QAAAA4BAAAPAAAAZHJzL2Rvd25yZXYu&#10;eG1sTI/BTsMwEETvSP0Haytxo3ZpZTUhTlUhOCEh0nDg6CTbxGq8DrHbhr/HOcFtRzOafZPtJ9uz&#10;K47eOFKwXglgSLVrDLUKPsvXhx0wHzQ1uneECn7Qwz5f3GU6bdyNCrweQ8tiCflUK+hCGFLOfd2h&#10;1X7lBqTondxodYhybHkz6lsstz1/FEJyqw3FD50e8LnD+ny8WAWHLypezPd79VGcClOWiaA3eVbq&#10;fjkdnoAFnMJfGGb8iA55ZKrchRrP+qi3m7glxGMjdwmwOSK2awmsmk0hE+B5xv/PyH8BAAD//wMA&#10;UEsBAi0AFAAGAAgAAAAhALaDOJL+AAAA4QEAABMAAAAAAAAAAAAAAAAAAAAAAFtDb250ZW50X1R5&#10;cGVzXS54bWxQSwECLQAUAAYACAAAACEAOP0h/9YAAACUAQAACwAAAAAAAAAAAAAAAAAvAQAAX3Jl&#10;bHMvLnJlbHNQSwECLQAUAAYACAAAACEAbEDgvvABAADDAwAADgAAAAAAAAAAAAAAAAAuAgAAZHJz&#10;L2Uyb0RvYy54bWxQSwECLQAUAAYACAAAACEAkUxsTeEAAAAOAQAADwAAAAAAAAAAAAAAAABKBAAA&#10;ZHJzL2Rvd25yZXYueG1sUEsFBgAAAAAEAAQA8wAAAFgFAAAAAA==&#10;" filled="f" stroked="f">
                <v:textbox inset="0,0,0,0">
                  <w:txbxContent>
                    <w:p w14:paraId="6477D536" w14:textId="77777777" w:rsidR="00490F33" w:rsidRDefault="00490F33">
                      <w:pPr>
                        <w:spacing w:line="189" w:lineRule="exact"/>
                        <w:jc w:val="both"/>
                        <w:textAlignment w:val="baseline"/>
                        <w:rPr>
                          <w:rFonts w:ascii="Tahoma" w:eastAsia="Tahoma" w:hAnsi="Tahoma"/>
                          <w:color w:val="000000"/>
                          <w:sz w:val="14"/>
                        </w:rPr>
                      </w:pPr>
                      <w:r>
                        <w:rPr>
                          <w:rFonts w:ascii="Tahoma" w:eastAsia="Tahoma" w:hAnsi="Tahoma"/>
                          <w:color w:val="000000"/>
                          <w:sz w:val="14"/>
                        </w:rPr>
                        <w:t xml:space="preserve">Source: Commonwealth Department of Education, Skills and Employment, ‘Industry Training Hubs’, webpage (accessed 30 April 2020), </w:t>
                      </w:r>
                      <w:hyperlink r:id="rId212">
                        <w:r>
                          <w:rPr>
                            <w:rFonts w:ascii="Tahoma" w:eastAsia="Tahoma" w:hAnsi="Tahoma"/>
                            <w:color w:val="0000FF"/>
                            <w:sz w:val="14"/>
                            <w:u w:val="single"/>
                          </w:rPr>
                          <w:t>https://www.employment.gov.au/ITH.</w:t>
                        </w:r>
                      </w:hyperlink>
                      <w:r>
                        <w:rPr>
                          <w:rFonts w:ascii="Tahoma" w:eastAsia="Tahoma" w:hAnsi="Tahoma"/>
                          <w:color w:val="000000"/>
                          <w:sz w:val="14"/>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85024" behindDoc="1" locked="0" layoutInCell="1" allowOverlap="1" wp14:anchorId="2EA2ACE9" wp14:editId="31D0279C">
                <wp:simplePos x="0" y="0"/>
                <wp:positionH relativeFrom="page">
                  <wp:posOffset>0</wp:posOffset>
                </wp:positionH>
                <wp:positionV relativeFrom="page">
                  <wp:posOffset>9692640</wp:posOffset>
                </wp:positionV>
                <wp:extent cx="7562215" cy="536575"/>
                <wp:effectExtent l="0" t="0" r="0" b="0"/>
                <wp:wrapSquare wrapText="bothSides"/>
                <wp:docPr id="57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EE60" w14:textId="77777777" w:rsidR="00490F33" w:rsidRDefault="00490F33">
                            <w:pPr>
                              <w:tabs>
                                <w:tab w:val="left" w:pos="1368"/>
                              </w:tabs>
                              <w:spacing w:after="636"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98</w:t>
                            </w:r>
                            <w:r>
                              <w:rPr>
                                <w:rFonts w:ascii="Tahoma" w:eastAsia="Tahoma" w:hAnsi="Tahoma"/>
                                <w:color w:val="404042"/>
                                <w:spacing w:val="4"/>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2ACE9" id="Text Box 299" o:spid="_x0000_s1259" type="#_x0000_t202" style="position:absolute;margin-left:0;margin-top:763.2pt;width:595.45pt;height:42.25pt;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hC8gEAAMMDAAAOAAAAZHJzL2Uyb0RvYy54bWysU9tu2zAMfR+wfxD0vjhx4GQ14hRdiw4D&#10;ugvQ7gNkWbaF2aJGKbGzrx8lx1m3vhV7ESiSOjw8pHbXY9+xo0KnwRR8tVhypoyESpum4N+f7t+9&#10;58x5YSrRgVEFPynHr/dv3+wGm6sUWugqhYxAjMsHW/DWe5sniZOt6oVbgFWGgjVgLzxdsUkqFAOh&#10;912SLpebZACsLIJUzpH3bgryfcSvayX917p2yrOu4MTNxxPjWYYz2e9E3qCwrZZnGuIVLHqhDRW9&#10;QN0JL9gB9QuoXksEB7VfSOgTqGstVeyBulkt/+nmsRVWxV5IHGcvMrn/Byu/HL8h01XBsy2Nyoie&#10;hvSkRs8+wMjSq6ug0GBdTomPllL9SAGadOzW2QeQPxwzcNsK06gbRBhaJSpiuAovk2dPJxwXQMrh&#10;M1RUSBw8RKCxxj7IR4IwQqdJnS7TCWQkObfZJk1XGWeSYtl6k22zWELk82uLzn9U0LNgFBxp+hFd&#10;HB+cD2xEPqeEYgbuddfFDejMXw5KDJ7IPhCeqPuxHKNU6Xo9y1JCdaKGEKbNop9ARgv4i7OBtqrg&#10;7udBoOKs+2RIlLCCs4GzUc6GMJKeFtxzNpm3flrVg0XdtIQ8yW7ghoSrdewpKDyxOBOmTYmtnrc6&#10;rOLze8z68/f2vwEAAP//AwBQSwMEFAAGAAgAAAAhAEdohEXfAAAACwEAAA8AAABkcnMvZG93bnJl&#10;di54bWxMj0FPwzAMhe9I/IfISNxY0gkqWppOE4ITEqIrB45p67XRGqc02Vb+Pd4Jbs9+1vP3is3i&#10;RnHCOVhPGpKVAoHU+s5Sr+Gzfr17BBGioc6MnlDDDwbYlNdXhck7f6YKT7vYCw6hkBsNQ4xTLmVo&#10;B3QmrPyExN7ez85EHudedrM5c7gb5VqpVDpjiT8MZsLnAdvD7ug0bL+oerHf781Hta9sXWeK3tKD&#10;1rc3y/YJRMQl/h3DBZ/RoWSmxh+pC2LUwEUibx/W6T2Ii59kKgPRsEoTVrIs5P8O5S8AAAD//wMA&#10;UEsBAi0AFAAGAAgAAAAhALaDOJL+AAAA4QEAABMAAAAAAAAAAAAAAAAAAAAAAFtDb250ZW50X1R5&#10;cGVzXS54bWxQSwECLQAUAAYACAAAACEAOP0h/9YAAACUAQAACwAAAAAAAAAAAAAAAAAvAQAAX3Jl&#10;bHMvLnJlbHNQSwECLQAUAAYACAAAACEAJI6YQvIBAADDAwAADgAAAAAAAAAAAAAAAAAuAgAAZHJz&#10;L2Uyb0RvYy54bWxQSwECLQAUAAYACAAAACEAR2iERd8AAAALAQAADwAAAAAAAAAAAAAAAABMBAAA&#10;ZHJzL2Rvd25yZXYueG1sUEsFBgAAAAAEAAQA8wAAAFgFAAAAAA==&#10;" filled="f" stroked="f">
                <v:textbox inset="0,0,0,0">
                  <w:txbxContent>
                    <w:p w14:paraId="5782EE60" w14:textId="77777777" w:rsidR="00490F33" w:rsidRDefault="00490F33">
                      <w:pPr>
                        <w:tabs>
                          <w:tab w:val="left" w:pos="1368"/>
                        </w:tabs>
                        <w:spacing w:after="636"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98</w:t>
                      </w:r>
                      <w:r>
                        <w:rPr>
                          <w:rFonts w:ascii="Tahoma" w:eastAsia="Tahoma" w:hAnsi="Tahoma"/>
                          <w:color w:val="404042"/>
                          <w:spacing w:val="4"/>
                          <w:sz w:val="14"/>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86048" behindDoc="1" locked="0" layoutInCell="1" allowOverlap="1" wp14:anchorId="198C51A8" wp14:editId="37256689">
                <wp:simplePos x="0" y="0"/>
                <wp:positionH relativeFrom="page">
                  <wp:posOffset>0</wp:posOffset>
                </wp:positionH>
                <wp:positionV relativeFrom="page">
                  <wp:posOffset>10229215</wp:posOffset>
                </wp:positionV>
                <wp:extent cx="7562215" cy="462915"/>
                <wp:effectExtent l="0" t="0" r="0" b="0"/>
                <wp:wrapSquare wrapText="bothSides"/>
                <wp:docPr id="57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2943C" w14:textId="77777777" w:rsidR="00490F33" w:rsidRDefault="00490F33">
                            <w:pPr>
                              <w:textAlignment w:val="baseline"/>
                            </w:pPr>
                            <w:r>
                              <w:rPr>
                                <w:noProof/>
                                <w:lang w:val="en-AU" w:eastAsia="en-AU"/>
                              </w:rPr>
                              <w:drawing>
                                <wp:inline distT="0" distB="0" distL="0" distR="0" wp14:anchorId="5D9E838E" wp14:editId="2529D44D">
                                  <wp:extent cx="7562215" cy="462915"/>
                                  <wp:effectExtent l="0" t="0" r="0" b="0"/>
                                  <wp:docPr id="162" name="Picture"/>
                                  <wp:cNvGraphicFramePr/>
                                  <a:graphic xmlns:a="http://schemas.openxmlformats.org/drawingml/2006/main">
                                    <a:graphicData uri="http://schemas.openxmlformats.org/drawingml/2006/picture">
                                      <pic:pic xmlns:pic="http://schemas.openxmlformats.org/drawingml/2006/picture">
                                        <pic:nvPicPr>
                                          <pic:cNvPr id="162" name="Picture"/>
                                          <pic:cNvPicPr preferRelativeResize="0"/>
                                        </pic:nvPicPr>
                                        <pic:blipFill>
                                          <a:blip r:embed="rId213"/>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C51A8" id="Text Box 298" o:spid="_x0000_s1260" type="#_x0000_t202" style="position:absolute;margin-left:0;margin-top:805.45pt;width:595.45pt;height:36.45pt;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wP8QEAAMMDAAAOAAAAZHJzL2Uyb0RvYy54bWysU9tu2zAMfR+wfxD0vjjxmrQ14hRdiw4D&#10;ugvQ7gMYWY6F2aJGKbGzrx8lx1m3vQ17ESiSOjw8pNY3Q9eKgyZv0JZyMZtLoa3CythdKb8+P7y5&#10;ksIHsBW0aHUpj9rLm83rV+veFTrHBttKk2AQ64velbIJwRVZ5lWjO/AzdNpysEbqIPCVdllF0DN6&#10;12b5fL7KeqTKESrtPXvvx6DcJPy61ip8rmuvg2hLydxCOimd23hmmzUUOwLXGHWiAf/AogNjuegZ&#10;6h4CiD2Zv6A6owg91mGmsMuwro3SqQfuZjH/o5unBpxOvbA43p1l8v8PVn06fCFhqlIuLy+lsNDx&#10;kJ71EMQ7HER+fRUV6p0vOPHJcWoYOMCTTt1694jqmxcW7xqwO31LhH2joWKGi/gye/F0xPERZNt/&#10;xIoLwT5gAhpq6qJ8LIhgdJ7U8TydSEax83K5yvPFUgrFsYtVfs12LAHF9NqRD+81diIapSSefkKH&#10;w6MPY+qUEotZfDBty34oWvubgzGjJ7GPhEfqYdgOSar87cUkyxarIzdEOG4W/wQ2GqQfUvS8VaX0&#10;3/dAWor2g2VR4gpOBk3GdjLAKn5ayiDFaN6FcVX3jsyuYeRRdou3LFxtUk9R4ZHFiTBvSlLltNVx&#10;FV/eU9avv7f5CQAA//8DAFBLAwQUAAYACAAAACEAOwbrv94AAAALAQAADwAAAGRycy9kb3ducmV2&#10;LnhtbEyPQU+EMBCF7yb+h2ZMvLktmhBAymZj9GRiZNmDx0JnoVk6RdrdxX9vOelt5r3Jm++V28WO&#10;7IKzN44kJBsBDKlz2lAv4dC8PWTAfFCk1egIJfygh211e1OqQrsr1XjZh57FEPKFkjCEMBWc+25A&#10;q/zGTUjRO7rZqhDXued6VtcYbkf+KETKrTIUPwxqwpcBu9P+bCXsvqh+Nd8f7Wd9rE3T5ILe05OU&#10;93fL7hlYwCX8HcOKH9GhikytO5P2bJQQi4SoponIga1+kq9Tu2rZUwa8Kvn/DtUvAAAA//8DAFBL&#10;AQItABQABgAIAAAAIQC2gziS/gAAAOEBAAATAAAAAAAAAAAAAAAAAAAAAABbQ29udGVudF9UeXBl&#10;c10ueG1sUEsBAi0AFAAGAAgAAAAhADj9If/WAAAAlAEAAAsAAAAAAAAAAAAAAAAALwEAAF9yZWxz&#10;Ly5yZWxzUEsBAi0AFAAGAAgAAAAhALR0XA/xAQAAwwMAAA4AAAAAAAAAAAAAAAAALgIAAGRycy9l&#10;Mm9Eb2MueG1sUEsBAi0AFAAGAAgAAAAhADsG67/eAAAACwEAAA8AAAAAAAAAAAAAAAAASwQAAGRy&#10;cy9kb3ducmV2LnhtbFBLBQYAAAAABAAEAPMAAABWBQAAAAA=&#10;" filled="f" stroked="f">
                <v:textbox inset="0,0,0,0">
                  <w:txbxContent>
                    <w:p w14:paraId="7232943C" w14:textId="77777777" w:rsidR="00490F33" w:rsidRDefault="00490F33">
                      <w:pPr>
                        <w:textAlignment w:val="baseline"/>
                      </w:pPr>
                      <w:r>
                        <w:rPr>
                          <w:noProof/>
                          <w:lang w:val="en-AU" w:eastAsia="en-AU"/>
                        </w:rPr>
                        <w:drawing>
                          <wp:inline distT="0" distB="0" distL="0" distR="0" wp14:anchorId="5D9E838E" wp14:editId="2529D44D">
                            <wp:extent cx="7562215" cy="462915"/>
                            <wp:effectExtent l="0" t="0" r="0" b="0"/>
                            <wp:docPr id="162" name="Picture"/>
                            <wp:cNvGraphicFramePr/>
                            <a:graphic xmlns:a="http://schemas.openxmlformats.org/drawingml/2006/main">
                              <a:graphicData uri="http://schemas.openxmlformats.org/drawingml/2006/picture">
                                <pic:pic xmlns:pic="http://schemas.openxmlformats.org/drawingml/2006/picture">
                                  <pic:nvPicPr>
                                    <pic:cNvPr id="162" name="Picture"/>
                                    <pic:cNvPicPr preferRelativeResize="0"/>
                                  </pic:nvPicPr>
                                  <pic:blipFill>
                                    <a:blip r:embed="rId213"/>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358708AB" w14:textId="77777777" w:rsidR="009757A9" w:rsidRDefault="009757A9">
      <w:pPr>
        <w:sectPr w:rsidR="009757A9">
          <w:pgSz w:w="11909" w:h="16838"/>
          <w:pgMar w:top="832" w:right="0" w:bottom="0" w:left="0" w:header="720" w:footer="720" w:gutter="0"/>
          <w:cols w:space="720"/>
        </w:sectPr>
      </w:pPr>
    </w:p>
    <w:p w14:paraId="18645394" w14:textId="77777777" w:rsidR="009757A9" w:rsidRDefault="00083242">
      <w:pPr>
        <w:spacing w:before="24" w:line="286" w:lineRule="exact"/>
        <w:ind w:left="864"/>
        <w:textAlignment w:val="baseline"/>
        <w:rPr>
          <w:rFonts w:ascii="Arial" w:eastAsia="Arial" w:hAnsi="Arial"/>
          <w:b/>
          <w:color w:val="00708E"/>
          <w:sz w:val="25"/>
        </w:rPr>
      </w:pPr>
      <w:r>
        <w:rPr>
          <w:rFonts w:ascii="Arial" w:eastAsia="Arial" w:hAnsi="Arial"/>
          <w:b/>
          <w:color w:val="00708E"/>
          <w:sz w:val="25"/>
        </w:rPr>
        <w:lastRenderedPageBreak/>
        <w:t>Systematising industry involvement</w:t>
      </w:r>
    </w:p>
    <w:p w14:paraId="5BE704DE" w14:textId="77777777" w:rsidR="009757A9" w:rsidRDefault="00083242">
      <w:pPr>
        <w:spacing w:before="150" w:line="239" w:lineRule="exact"/>
        <w:ind w:left="864" w:right="1008"/>
        <w:jc w:val="both"/>
        <w:textAlignment w:val="baseline"/>
        <w:rPr>
          <w:rFonts w:ascii="Tahoma" w:eastAsia="Tahoma" w:hAnsi="Tahoma"/>
          <w:color w:val="404042"/>
          <w:sz w:val="18"/>
        </w:rPr>
      </w:pPr>
      <w:r>
        <w:rPr>
          <w:rFonts w:ascii="Tahoma" w:eastAsia="Tahoma" w:hAnsi="Tahoma"/>
          <w:color w:val="404042"/>
          <w:sz w:val="18"/>
        </w:rPr>
        <w:t xml:space="preserve">Some schools already have good relationships between schools and employers, but schools have competing priorities </w:t>
      </w:r>
      <w:r>
        <w:rPr>
          <w:rFonts w:ascii="Verdana" w:eastAsia="Verdana" w:hAnsi="Verdana"/>
          <w:color w:val="404042"/>
          <w:sz w:val="17"/>
        </w:rPr>
        <w:t xml:space="preserve">and for a range of reasons find it difficult to establish and sustain genuine, mutually beneficial relationships. The STEM </w:t>
      </w:r>
      <w:r>
        <w:rPr>
          <w:rFonts w:ascii="Tahoma" w:eastAsia="Tahoma" w:hAnsi="Tahoma"/>
          <w:color w:val="404042"/>
          <w:sz w:val="18"/>
        </w:rPr>
        <w:t>Partnerships Forum report found that while there was a level of interest from school leaders, teachers and industry to establish school–industry partnerships, neither side knew exactly where to start.</w:t>
      </w:r>
      <w:r>
        <w:rPr>
          <w:rFonts w:ascii="Tahoma" w:eastAsia="Tahoma" w:hAnsi="Tahoma"/>
          <w:color w:val="404042"/>
          <w:sz w:val="18"/>
          <w:vertAlign w:val="superscript"/>
        </w:rPr>
        <w:t>131</w:t>
      </w:r>
      <w:r>
        <w:rPr>
          <w:rFonts w:ascii="Tahoma" w:eastAsia="Tahoma" w:hAnsi="Tahoma"/>
          <w:color w:val="404042"/>
          <w:sz w:val="10"/>
        </w:rPr>
        <w:t xml:space="preserve"> </w:t>
      </w:r>
    </w:p>
    <w:p w14:paraId="48B2AA04" w14:textId="77777777" w:rsidR="009757A9" w:rsidRDefault="00083242">
      <w:pPr>
        <w:spacing w:before="168"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The Panel discovered some inspirational examples. However, we came to recognise that school–industry partnerships are often ‘hero-driven’ – that is, they rely on the talents and energies of an individual teacher or employer, and when that person leaves, the partnership falls apart. Many teachers lack the time to form partnerships with industry and integrate partnership activities with teaching the school curriculum.</w:t>
      </w:r>
      <w:r>
        <w:rPr>
          <w:rFonts w:ascii="Tahoma" w:eastAsia="Tahoma" w:hAnsi="Tahoma"/>
          <w:color w:val="404042"/>
          <w:spacing w:val="4"/>
          <w:sz w:val="18"/>
          <w:vertAlign w:val="superscript"/>
        </w:rPr>
        <w:t>132</w:t>
      </w:r>
      <w:r>
        <w:rPr>
          <w:rFonts w:ascii="Tahoma" w:eastAsia="Tahoma" w:hAnsi="Tahoma"/>
          <w:color w:val="404042"/>
          <w:spacing w:val="4"/>
          <w:sz w:val="18"/>
        </w:rPr>
        <w:t xml:space="preserve"> The same is often the case for those in industry attempting to balance their everyday business responsibilities with the partnership. Good will is often undermined by day-to-day pressures.</w:t>
      </w:r>
    </w:p>
    <w:p w14:paraId="09312E7A" w14:textId="77777777" w:rsidR="009757A9" w:rsidRDefault="00083242">
      <w:pPr>
        <w:spacing w:before="178" w:after="470" w:line="239" w:lineRule="exact"/>
        <w:ind w:left="864" w:right="864"/>
        <w:textAlignment w:val="baseline"/>
        <w:rPr>
          <w:rFonts w:ascii="Tahoma" w:eastAsia="Tahoma" w:hAnsi="Tahoma"/>
          <w:color w:val="404042"/>
          <w:sz w:val="18"/>
        </w:rPr>
      </w:pPr>
      <w:r>
        <w:rPr>
          <w:rFonts w:ascii="Tahoma" w:eastAsia="Tahoma" w:hAnsi="Tahoma"/>
          <w:color w:val="404042"/>
          <w:sz w:val="18"/>
        </w:rPr>
        <w:t xml:space="preserve">Structural barriers such as procurement policies add a layer of complexity to establishing partnerships, which potential partners may be ill-equipped to deal with. Financial barriers are also a deterrent. Industry and schools also need to provide a safe working environment for students. Partnership activities can impose additional costs on all parties: </w:t>
      </w:r>
      <w:r>
        <w:rPr>
          <w:rFonts w:ascii="Verdana" w:eastAsia="Verdana" w:hAnsi="Verdana"/>
          <w:color w:val="404042"/>
          <w:sz w:val="17"/>
        </w:rPr>
        <w:t>students may require transport to work placements, employers need to find additional resources to supervise work placements, and schools may need to backfill positions for teachers who are offline.</w:t>
      </w:r>
      <w:r>
        <w:rPr>
          <w:rFonts w:ascii="Tahoma" w:eastAsia="Tahoma" w:hAnsi="Tahoma"/>
          <w:color w:val="404042"/>
          <w:sz w:val="17"/>
          <w:vertAlign w:val="superscript"/>
        </w:rPr>
        <w:t>133</w:t>
      </w:r>
      <w:r>
        <w:rPr>
          <w:rFonts w:ascii="Tahoma" w:eastAsia="Tahoma" w:hAnsi="Tahoma"/>
          <w:color w:val="404042"/>
          <w:sz w:val="10"/>
        </w:rPr>
        <w:t xml:space="preserve"> </w:t>
      </w:r>
    </w:p>
    <w:p w14:paraId="3ED0BBB0" w14:textId="77777777" w:rsidR="009757A9" w:rsidRDefault="000D2E34">
      <w:pPr>
        <w:spacing w:before="153" w:line="247" w:lineRule="exact"/>
        <w:ind w:left="1296"/>
        <w:textAlignment w:val="baseline"/>
        <w:rPr>
          <w:rFonts w:ascii="Tahoma" w:eastAsia="Tahoma" w:hAnsi="Tahoma"/>
          <w:i/>
          <w:color w:val="007994"/>
          <w:spacing w:val="2"/>
          <w:sz w:val="21"/>
        </w:rPr>
      </w:pPr>
      <w:r>
        <w:rPr>
          <w:noProof/>
          <w:lang w:val="en-AU" w:eastAsia="en-AU"/>
        </w:rPr>
        <mc:AlternateContent>
          <mc:Choice Requires="wps">
            <w:drawing>
              <wp:anchor distT="0" distB="0" distL="114300" distR="114300" simplePos="0" relativeHeight="251928064" behindDoc="0" locked="0" layoutInCell="1" allowOverlap="1" wp14:anchorId="30DB5AB4" wp14:editId="6A33896C">
                <wp:simplePos x="0" y="0"/>
                <wp:positionH relativeFrom="page">
                  <wp:posOffset>826135</wp:posOffset>
                </wp:positionH>
                <wp:positionV relativeFrom="page">
                  <wp:posOffset>3788410</wp:posOffset>
                </wp:positionV>
                <wp:extent cx="5907405" cy="0"/>
                <wp:effectExtent l="0" t="0" r="0" b="0"/>
                <wp:wrapNone/>
                <wp:docPr id="576"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F3393" id="Line 297" o:spid="_x0000_s1026" style="position:absolute;z-index:2519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98.3pt" to="530.2pt,2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Ez0QEAAIYDAAAOAAAAZHJzL2Uyb0RvYy54bWysU8GO2yAQvVfqPyDujZ10kzRWnD0k3V7S&#10;NtJuP2AC2EYFBgGJnb8v4CS7bW9VL2hgZt68eTOsHwetyFk4L9HUdDopKRGGIZemremPl6cPnyjx&#10;AQwHhUbU9CI8fdy8f7fubSVm2KHiwpEIYnzV25p2IdiqKDzrhAY/QStMdDboNIR4dW3BHfQRXati&#10;VpaLokfHrUMmvI+vu9FJNxm/aQQL35vGi0BUTSO3kE+Xz2M6i80aqtaB7SS70oB/YKFBmlj0DrWD&#10;AOTk5F9QWjKHHpswYagLbBrJRO4hdjMt/+jmuQMrci9RHG/vMvn/B8u+nQ+OSF7T+XJBiQEdh7SX&#10;RpDZapnU6a2vYtDWHFzqjw3m2e6R/fTE4LYD04rM8uViY+I0ZRS/paSLt7HGsf+KPMbAKWCWamic&#10;TpBRBDLkiVzuExFDICw+zlfl8qGcU8JuvgKqW6J1PnwRqEkyaqoi6wwM570PiQhUt5BUx+CTVCoP&#10;XBnS13TxcV7mBI9K8uRMYd61x61y5AxpZcrlavWQu4qet2EJeQe+G+Oya1wmhyfDc5VOAP98tQNI&#10;NdqRlTJXlZIwo8RH5JeDu6kXh53pXxczbdPbe85+/T6bXwAAAP//AwBQSwMEFAAGAAgAAAAhABwZ&#10;aXDcAAAADAEAAA8AAABkcnMvZG93bnJldi54bWxMj8FOwzAMhu9IvENkJG4sGbAKStMJDe20C2xI&#10;XL3GtIXGqZqs694eT0KC429/+v25WE6+UyMNsQ1sYT4zoIir4FquLbzv1jcPoGJCdtgFJgsnirAs&#10;Ly8KzF048huN21QrKeGYo4UmpT7XOlYNeYyz0BPL7jMMHpPEodZuwKOU+07fGpNpjy3LhQZ7WjVU&#10;fW8P3sIaze7VbTbhK34sTitM2r3QaO311fT8BCrRlP5gOOuLOpTitA8HdlF1ku/MXFALi8csA3Um&#10;TGbuQe1/R7os9P8nyh8AAAD//wMAUEsBAi0AFAAGAAgAAAAhALaDOJL+AAAA4QEAABMAAAAAAAAA&#10;AAAAAAAAAAAAAFtDb250ZW50X1R5cGVzXS54bWxQSwECLQAUAAYACAAAACEAOP0h/9YAAACUAQAA&#10;CwAAAAAAAAAAAAAAAAAvAQAAX3JlbHMvLnJlbHNQSwECLQAUAAYACAAAACEAXwLhM9EBAACGAwAA&#10;DgAAAAAAAAAAAAAAAAAuAgAAZHJzL2Uyb0RvYy54bWxQSwECLQAUAAYACAAAACEAHBlpcN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pacing w:val="2"/>
          <w:sz w:val="21"/>
        </w:rPr>
        <w:t>“Schools often do not understand the needs and requirements of industry, and similarly</w:t>
      </w:r>
    </w:p>
    <w:p w14:paraId="68BD1FB5" w14:textId="77777777" w:rsidR="009757A9" w:rsidRDefault="00083242">
      <w:pPr>
        <w:spacing w:line="300" w:lineRule="exact"/>
        <w:ind w:left="1296" w:right="1440"/>
        <w:textAlignment w:val="baseline"/>
        <w:rPr>
          <w:rFonts w:ascii="Verdana" w:eastAsia="Verdana" w:hAnsi="Verdana"/>
          <w:i/>
          <w:color w:val="007994"/>
          <w:sz w:val="19"/>
        </w:rPr>
      </w:pPr>
      <w:r>
        <w:rPr>
          <w:rFonts w:ascii="Verdana" w:eastAsia="Verdana" w:hAnsi="Verdana"/>
          <w:i/>
          <w:color w:val="007994"/>
          <w:sz w:val="19"/>
        </w:rPr>
        <w:t xml:space="preserve">industry is not always aware of how they can fit into the education system. Input from schools is </w:t>
      </w:r>
      <w:r>
        <w:rPr>
          <w:rFonts w:ascii="Tahoma" w:eastAsia="Tahoma" w:hAnsi="Tahoma"/>
          <w:i/>
          <w:color w:val="007994"/>
          <w:sz w:val="21"/>
        </w:rPr>
        <w:t>necessary to ensure that work experiences are meaningful and provide learning for the student. Similarly, industry must have input into the vocational curriculum, to ensure students are gaining appropriate skills.”</w:t>
      </w:r>
    </w:p>
    <w:p w14:paraId="3A765B9D" w14:textId="77777777" w:rsidR="009757A9" w:rsidRDefault="00083242">
      <w:pPr>
        <w:spacing w:before="56" w:after="219" w:line="243" w:lineRule="exact"/>
        <w:ind w:left="7848"/>
        <w:textAlignment w:val="baseline"/>
        <w:rPr>
          <w:rFonts w:ascii="Tahoma" w:eastAsia="Tahoma" w:hAnsi="Tahoma"/>
          <w:i/>
          <w:color w:val="007994"/>
          <w:spacing w:val="2"/>
          <w:sz w:val="21"/>
        </w:rPr>
      </w:pPr>
      <w:r>
        <w:rPr>
          <w:rFonts w:ascii="Tahoma" w:eastAsia="Tahoma" w:hAnsi="Tahoma"/>
          <w:i/>
          <w:color w:val="007994"/>
          <w:spacing w:val="2"/>
          <w:sz w:val="21"/>
        </w:rPr>
        <w:t>Mitchell Institute submission</w:t>
      </w:r>
    </w:p>
    <w:p w14:paraId="69A56F59" w14:textId="77777777" w:rsidR="009757A9" w:rsidRDefault="000D2E34">
      <w:pPr>
        <w:spacing w:before="466" w:line="240" w:lineRule="exact"/>
        <w:ind w:left="864" w:right="1872"/>
        <w:textAlignment w:val="baseline"/>
        <w:rPr>
          <w:rFonts w:ascii="Verdana" w:eastAsia="Verdana" w:hAnsi="Verdana"/>
          <w:color w:val="404042"/>
          <w:sz w:val="17"/>
        </w:rPr>
      </w:pPr>
      <w:r>
        <w:rPr>
          <w:noProof/>
          <w:lang w:val="en-AU" w:eastAsia="en-AU"/>
        </w:rPr>
        <mc:AlternateContent>
          <mc:Choice Requires="wps">
            <w:drawing>
              <wp:anchor distT="0" distB="0" distL="114300" distR="114300" simplePos="0" relativeHeight="251929088" behindDoc="0" locked="0" layoutInCell="1" allowOverlap="1" wp14:anchorId="562BF2DD" wp14:editId="6F10E113">
                <wp:simplePos x="0" y="0"/>
                <wp:positionH relativeFrom="page">
                  <wp:posOffset>826135</wp:posOffset>
                </wp:positionH>
                <wp:positionV relativeFrom="page">
                  <wp:posOffset>5142230</wp:posOffset>
                </wp:positionV>
                <wp:extent cx="5907405" cy="0"/>
                <wp:effectExtent l="0" t="0" r="0" b="0"/>
                <wp:wrapNone/>
                <wp:docPr id="575"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C3871" id="Line 296" o:spid="_x0000_s1026" style="position:absolute;z-index:2519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04.9pt" to="530.2pt,4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Znu0QEAAIYDAAAOAAAAZHJzL2Uyb0RvYy54bWysU02PGjEMvVfqf4hyLzPQBcqIYQ/Q7YW2&#10;SLv9ASbJzETNxFESGPj3dcLHbttb1UvkxPbz87OzfDz1hh2VDxptzcejkjNlBUpt25r/eHn68Imz&#10;EMFKMGhVzc8q8MfV+3fLwVVqgh0aqTwjEBuqwdW8i9FVRRFEp3oII3TKkrNB30Okq28L6WEg9N4U&#10;k7KcFQN66TwKFQK9bi5Ovsr4TaNE/N40QUVmak7cYj59PvfpLFZLqFoPrtPiSgP+gUUP2lLRO9QG&#10;IrCD139B9Vp4DNjEkcC+wKbRQuUeqJtx+Uc3zx04lXshcYK7yxT+H6z4dtx5pmXNp/MpZxZ6GtJW&#10;W8Umi1lSZ3ChoqC13fnUnzjZZ7dF8TMwi+sObKsyy5ezo8Rxyih+S0mX4KjGfviKkmLgEDFLdWp8&#10;nyBJBHbKEznfJ6JOkQl6nC7K+UNJxMTNV0B1S3Q+xC8Ke5aMmhtinYHhuA0xEYHqFpLqWHzSxuSB&#10;G8uGms8+TsucENBomZwpLPh2vzaeHSGtTDlfLB5yV+R5G5aQNxC6S1x2XZbJ48HKXKVTID9f7Qja&#10;XGxiZexVpSTMReI9yvPO39SjYWf618VM2/T2nrNfv8/qFwAAAP//AwBQSwMEFAAGAAgAAAAhAF3s&#10;KdHcAAAADAEAAA8AAABkcnMvZG93bnJldi54bWxMj81OwzAQhO9IvIO1SNyoXX6qNsSpUFFPvUCL&#10;xHUbb5NAvI5iN03fnq2EBMeZ/TQ7ky9H36qB+tgEtjCdGFDEZXANVxY+duu7OaiYkB22gcnCmSIs&#10;i+urHDMXTvxOwzZVSkI4ZmihTqnLtI5lTR7jJHTEcjuE3mMS2Vfa9XiScN/qe2Nm2mPD8qHGjlY1&#10;ld/bo7ewRrN7c5tN+IqfT+cVJu1eabD29mZ8eQaVaEx/MFzqS3UopNM+HNlF1Yp+MFNBLczNQjZc&#10;CDMzj6D2v5Yucv1/RPEDAAD//wMAUEsBAi0AFAAGAAgAAAAhALaDOJL+AAAA4QEAABMAAAAAAAAA&#10;AAAAAAAAAAAAAFtDb250ZW50X1R5cGVzXS54bWxQSwECLQAUAAYACAAAACEAOP0h/9YAAACUAQAA&#10;CwAAAAAAAAAAAAAAAAAvAQAAX3JlbHMvLnJlbHNQSwECLQAUAAYACAAAACEA+X2Z7tEBAACGAwAA&#10;DgAAAAAAAAAAAAAAAAAuAgAAZHJzL2Uyb0RvYy54bWxQSwECLQAUAAYACAAAACEAXewp0dwAAAAM&#10;AQAADwAAAAAAAAAAAAAAAAArBAAAZHJzL2Rvd25yZXYueG1sUEsFBgAAAAAEAAQA8wAAADQFAAAA&#10;AA==&#10;" strokecolor="#007994" strokeweight=".5pt">
                <w10:wrap anchorx="page" anchory="page"/>
              </v:line>
            </w:pict>
          </mc:Fallback>
        </mc:AlternateContent>
      </w:r>
      <w:r w:rsidR="00083242">
        <w:rPr>
          <w:rFonts w:ascii="Verdana" w:eastAsia="Verdana" w:hAnsi="Verdana"/>
          <w:color w:val="404042"/>
          <w:sz w:val="17"/>
        </w:rPr>
        <w:t xml:space="preserve">Cultural barriers also exist. Reciprocated trust needs to be built. Characteristics of effective school–industry </w:t>
      </w:r>
      <w:r w:rsidR="00083242">
        <w:rPr>
          <w:rFonts w:ascii="Tahoma" w:eastAsia="Tahoma" w:hAnsi="Tahoma"/>
          <w:color w:val="404042"/>
          <w:sz w:val="18"/>
        </w:rPr>
        <w:t>partnerships include:</w:t>
      </w:r>
    </w:p>
    <w:p w14:paraId="0AAD96F5" w14:textId="77777777" w:rsidR="009757A9" w:rsidRDefault="00083242">
      <w:pPr>
        <w:numPr>
          <w:ilvl w:val="0"/>
          <w:numId w:val="6"/>
        </w:numPr>
        <w:tabs>
          <w:tab w:val="clear" w:pos="216"/>
          <w:tab w:val="left" w:pos="1080"/>
        </w:tabs>
        <w:spacing w:before="101"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sharing commitment and a balance of power among partners, and equitable allocation of resources</w:t>
      </w:r>
    </w:p>
    <w:p w14:paraId="4084DE84" w14:textId="77777777" w:rsidR="009757A9" w:rsidRDefault="00083242">
      <w:pPr>
        <w:numPr>
          <w:ilvl w:val="0"/>
          <w:numId w:val="6"/>
        </w:numPr>
        <w:tabs>
          <w:tab w:val="clear" w:pos="216"/>
          <w:tab w:val="left" w:pos="1080"/>
        </w:tabs>
        <w:spacing w:before="86" w:line="240" w:lineRule="exact"/>
        <w:ind w:left="1080" w:right="1080" w:hanging="216"/>
        <w:jc w:val="both"/>
        <w:textAlignment w:val="baseline"/>
        <w:rPr>
          <w:rFonts w:ascii="Tahoma" w:eastAsia="Tahoma" w:hAnsi="Tahoma"/>
          <w:color w:val="404042"/>
          <w:sz w:val="18"/>
        </w:rPr>
      </w:pPr>
      <w:r>
        <w:rPr>
          <w:rFonts w:ascii="Tahoma" w:eastAsia="Tahoma" w:hAnsi="Tahoma"/>
          <w:color w:val="404042"/>
          <w:sz w:val="18"/>
        </w:rPr>
        <w:t>partners identifying and understanding the types of boundaries and human capacities that exist between schools and industries wishing to provide authentic learning opportunities for participating school students</w:t>
      </w:r>
    </w:p>
    <w:p w14:paraId="4459398E" w14:textId="77777777" w:rsidR="009757A9" w:rsidRDefault="00083242">
      <w:pPr>
        <w:numPr>
          <w:ilvl w:val="0"/>
          <w:numId w:val="21"/>
        </w:numPr>
        <w:tabs>
          <w:tab w:val="clear" w:pos="216"/>
          <w:tab w:val="left" w:pos="1080"/>
        </w:tabs>
        <w:spacing w:before="87" w:line="240" w:lineRule="exact"/>
        <w:ind w:left="1080" w:right="1296" w:hanging="216"/>
        <w:textAlignment w:val="baseline"/>
        <w:rPr>
          <w:rFonts w:ascii="Verdana" w:eastAsia="Verdana" w:hAnsi="Verdana"/>
          <w:color w:val="404042"/>
          <w:sz w:val="17"/>
        </w:rPr>
      </w:pPr>
      <w:r>
        <w:rPr>
          <w:rFonts w:ascii="Verdana" w:eastAsia="Verdana" w:hAnsi="Verdana"/>
          <w:color w:val="404042"/>
          <w:sz w:val="17"/>
        </w:rPr>
        <w:t xml:space="preserve">prioritising teacher professional development in industry collaboration or recruiting appropriately qualified and </w:t>
      </w:r>
      <w:r>
        <w:rPr>
          <w:rFonts w:ascii="Tahoma" w:eastAsia="Tahoma" w:hAnsi="Tahoma"/>
          <w:color w:val="404042"/>
          <w:sz w:val="18"/>
        </w:rPr>
        <w:t>experienced teachers</w:t>
      </w:r>
    </w:p>
    <w:p w14:paraId="2E01E0FE" w14:textId="77777777" w:rsidR="009757A9" w:rsidRDefault="00083242">
      <w:pPr>
        <w:numPr>
          <w:ilvl w:val="0"/>
          <w:numId w:val="6"/>
        </w:numPr>
        <w:tabs>
          <w:tab w:val="clear" w:pos="216"/>
          <w:tab w:val="left" w:pos="1080"/>
        </w:tabs>
        <w:spacing w:before="94" w:line="236" w:lineRule="exact"/>
        <w:ind w:left="1080" w:right="1080" w:hanging="216"/>
        <w:jc w:val="both"/>
        <w:textAlignment w:val="baseline"/>
        <w:rPr>
          <w:rFonts w:ascii="Tahoma" w:eastAsia="Tahoma" w:hAnsi="Tahoma"/>
          <w:color w:val="404042"/>
          <w:sz w:val="18"/>
        </w:rPr>
      </w:pPr>
      <w:r>
        <w:rPr>
          <w:rFonts w:ascii="Tahoma" w:eastAsia="Tahoma" w:hAnsi="Tahoma"/>
          <w:color w:val="404042"/>
          <w:sz w:val="18"/>
        </w:rPr>
        <w:t>planning for sustainability by identifying and mitigating potential threats relating to economic conditions, access to quality teachers, partnership models and students.</w:t>
      </w:r>
      <w:r>
        <w:rPr>
          <w:rFonts w:ascii="Tahoma" w:eastAsia="Tahoma" w:hAnsi="Tahoma"/>
          <w:color w:val="404042"/>
          <w:sz w:val="18"/>
          <w:vertAlign w:val="superscript"/>
        </w:rPr>
        <w:t>134</w:t>
      </w:r>
      <w:r>
        <w:rPr>
          <w:rFonts w:ascii="Tahoma" w:eastAsia="Tahoma" w:hAnsi="Tahoma"/>
          <w:color w:val="404042"/>
          <w:sz w:val="10"/>
        </w:rPr>
        <w:t xml:space="preserve"> </w:t>
      </w:r>
    </w:p>
    <w:p w14:paraId="1921330A" w14:textId="77777777" w:rsidR="009757A9" w:rsidRDefault="00083242">
      <w:pPr>
        <w:spacing w:before="180" w:after="960" w:line="237" w:lineRule="exact"/>
        <w:ind w:left="864" w:right="936"/>
        <w:textAlignment w:val="baseline"/>
        <w:rPr>
          <w:rFonts w:ascii="Verdana" w:eastAsia="Verdana" w:hAnsi="Verdana"/>
          <w:color w:val="404042"/>
          <w:sz w:val="17"/>
        </w:rPr>
      </w:pPr>
      <w:r>
        <w:rPr>
          <w:rFonts w:ascii="Verdana" w:eastAsia="Verdana" w:hAnsi="Verdana"/>
          <w:color w:val="404042"/>
          <w:sz w:val="17"/>
        </w:rPr>
        <w:t xml:space="preserve">Businesses are more likely to see the mutual benefits of providing work placements and engaging with students if they </w:t>
      </w:r>
      <w:r>
        <w:rPr>
          <w:rFonts w:ascii="Tahoma" w:eastAsia="Tahoma" w:hAnsi="Tahoma"/>
          <w:color w:val="404042"/>
          <w:sz w:val="18"/>
        </w:rPr>
        <w:t xml:space="preserve">are given a greater role in the governance of schools, particularly on decisions regarding the selection and design of </w:t>
      </w:r>
      <w:r>
        <w:rPr>
          <w:rFonts w:ascii="Verdana" w:eastAsia="Verdana" w:hAnsi="Verdana"/>
          <w:color w:val="404042"/>
          <w:sz w:val="17"/>
        </w:rPr>
        <w:t xml:space="preserve">vocational studies. The VET courses that schools select will significantly influence the prospects of forming successful </w:t>
      </w:r>
      <w:r>
        <w:rPr>
          <w:rFonts w:ascii="Tahoma" w:eastAsia="Tahoma" w:hAnsi="Tahoma"/>
          <w:color w:val="404042"/>
          <w:sz w:val="18"/>
        </w:rPr>
        <w:t>partnerships with industry.</w:t>
      </w:r>
      <w:r>
        <w:rPr>
          <w:rFonts w:ascii="Tahoma" w:eastAsia="Tahoma" w:hAnsi="Tahoma"/>
          <w:color w:val="404042"/>
          <w:sz w:val="18"/>
          <w:vertAlign w:val="superscript"/>
        </w:rPr>
        <w:t>135</w:t>
      </w:r>
      <w:r>
        <w:rPr>
          <w:rFonts w:ascii="Tahoma" w:eastAsia="Tahoma" w:hAnsi="Tahoma"/>
          <w:color w:val="404042"/>
          <w:sz w:val="10"/>
        </w:rPr>
        <w:t xml:space="preserve"> </w:t>
      </w:r>
    </w:p>
    <w:p w14:paraId="29AFB40B" w14:textId="77777777" w:rsidR="009757A9" w:rsidRDefault="000D2E34">
      <w:pPr>
        <w:spacing w:before="80" w:line="171" w:lineRule="exact"/>
        <w:ind w:left="864"/>
        <w:textAlignment w:val="baseline"/>
        <w:rPr>
          <w:rFonts w:ascii="Tahoma" w:eastAsia="Tahoma" w:hAnsi="Tahoma"/>
          <w:color w:val="404042"/>
          <w:spacing w:val="5"/>
          <w:sz w:val="14"/>
        </w:rPr>
      </w:pPr>
      <w:r>
        <w:rPr>
          <w:noProof/>
          <w:lang w:val="en-AU" w:eastAsia="en-AU"/>
        </w:rPr>
        <mc:AlternateContent>
          <mc:Choice Requires="wps">
            <w:drawing>
              <wp:anchor distT="0" distB="0" distL="114300" distR="114300" simplePos="0" relativeHeight="251930112" behindDoc="0" locked="0" layoutInCell="1" allowOverlap="1" wp14:anchorId="7597791B" wp14:editId="4F0DED87">
                <wp:simplePos x="0" y="0"/>
                <wp:positionH relativeFrom="page">
                  <wp:posOffset>539750</wp:posOffset>
                </wp:positionH>
                <wp:positionV relativeFrom="page">
                  <wp:posOffset>8363585</wp:posOffset>
                </wp:positionV>
                <wp:extent cx="917575" cy="0"/>
                <wp:effectExtent l="0" t="0" r="0" b="0"/>
                <wp:wrapNone/>
                <wp:docPr id="57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6A939" id="Line 295" o:spid="_x0000_s1026" style="position:absolute;z-index:2519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58.55pt" to="114.75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x9zgEAAIYDAAAOAAAAZHJzL2Uyb0RvYy54bWysU8Fu2zAMvQ/YPwi6L3aCulmNOD0k6y7Z&#10;FqDdBzCSHAuVRUFS4uTvR8lJ2m23YT4Iokg+Pj7Si8dTb9hR+aDRNnw6KTlTVqDUdt/wny9Pnz5z&#10;FiJYCQatavhZBf64/PhhMbhazbBDI5VnBGJDPbiGdzG6uiiC6FQPYYJOWXK26HuIZPp9IT0MhN6b&#10;YlaW98WAXjqPQoVAr+vRyZcZv22ViD/aNqjITMOJW8ynz+cuncVyAfXeg+u0uNCAf2DRg7ZU9Aa1&#10;hgjs4PVfUL0WHgO2cSKwL7BttVC5B+pmWv7RzXMHTuVeSJzgbjKF/wcrvh+3nmnZ8Gp+x5mFnoa0&#10;0Vax2UOV1BlcqCloZbc+9SdO9tltULwGZnHVgd2rzPLl7ChxmjKK31KSERzV2A3fUFIMHCJmqU6t&#10;7xMkicBOeSLn20TUKTJBjw/TeTWvOBNXVwH1Nc/5EL8q7Fm6NNwQ6YwLx02IiQfU15BUxuKTNibP&#10;21g2ENlZeV/ljIBGy+RNccHvdyvj2RHSyuQvd0We92EJeg2hG+Oya1wmjwcrc5lOgfxyuUfQZrwT&#10;LWMvKiVhRol3KM9bf1WPhp35XxYzbdN7O2e//T7LXwAAAP//AwBQSwMEFAAGAAgAAAAhAEDce7jg&#10;AAAADAEAAA8AAABkcnMvZG93bnJldi54bWxMj8FOwzAQRO9I/IO1SFwQdRJaSEOcClWCWxG0Re3R&#10;jZckIl5Hsdukf89yQHDc2dHMm3wx2lacsPeNIwXxJAKBVDrTUKVgu3m+TUH4oMno1hEqOKOHRXF5&#10;kevMuIHe8bQOleAQ8plWUIfQZVL6skar/cR1SPz7dL3Vgc++kqbXA4fbViZRdC+tbogbat3hssby&#10;a320CqSM0un4sRtW0xufNvtltX95fVPq+mp8egQRcAx/ZvjBZ3QomOngjmS8aBWkM54SWL+LH2IQ&#10;7EiS+QzE4VeSRS7/jyi+AQAA//8DAFBLAQItABQABgAIAAAAIQC2gziS/gAAAOEBAAATAAAAAAAA&#10;AAAAAAAAAAAAAABbQ29udGVudF9UeXBlc10ueG1sUEsBAi0AFAAGAAgAAAAhADj9If/WAAAAlAEA&#10;AAsAAAAAAAAAAAAAAAAALwEAAF9yZWxzLy5yZWxzUEsBAi0AFAAGAAgAAAAhADJB3H3OAQAAhgMA&#10;AA4AAAAAAAAAAAAAAAAALgIAAGRycy9lMm9Eb2MueG1sUEsBAi0AFAAGAAgAAAAhAEDce7jgAAAA&#10;DAEAAA8AAAAAAAAAAAAAAAAAKAQAAGRycy9kb3ducmV2LnhtbFBLBQYAAAAABAAEAPMAAAA1BQAA&#10;AAA=&#10;" strokeweight=".95pt">
                <w10:wrap anchorx="page" anchory="page"/>
              </v:line>
            </w:pict>
          </mc:Fallback>
        </mc:AlternateContent>
      </w:r>
      <w:r w:rsidR="00083242">
        <w:rPr>
          <w:rFonts w:ascii="Tahoma" w:eastAsia="Tahoma" w:hAnsi="Tahoma"/>
          <w:color w:val="404042"/>
          <w:spacing w:val="5"/>
          <w:sz w:val="14"/>
        </w:rPr>
        <w:t>131 Council of Australian Governments Education Council (2018b), p. 60.</w:t>
      </w:r>
    </w:p>
    <w:p w14:paraId="549AC051" w14:textId="77777777" w:rsidR="009757A9" w:rsidRDefault="00083242">
      <w:pPr>
        <w:spacing w:before="26" w:line="171" w:lineRule="exact"/>
        <w:ind w:left="864"/>
        <w:textAlignment w:val="baseline"/>
        <w:rPr>
          <w:rFonts w:ascii="Tahoma" w:eastAsia="Tahoma" w:hAnsi="Tahoma"/>
          <w:color w:val="404042"/>
          <w:sz w:val="14"/>
        </w:rPr>
      </w:pPr>
      <w:r>
        <w:rPr>
          <w:rFonts w:ascii="Tahoma" w:eastAsia="Tahoma" w:hAnsi="Tahoma"/>
          <w:color w:val="404042"/>
          <w:sz w:val="14"/>
        </w:rPr>
        <w:t>132 Torii (2018), p. v.</w:t>
      </w:r>
    </w:p>
    <w:p w14:paraId="4FD0D7B7" w14:textId="77777777" w:rsidR="009757A9" w:rsidRDefault="00083242">
      <w:pPr>
        <w:spacing w:before="29" w:line="173" w:lineRule="exact"/>
        <w:ind w:left="864"/>
        <w:textAlignment w:val="baseline"/>
        <w:rPr>
          <w:rFonts w:ascii="Verdana" w:eastAsia="Verdana" w:hAnsi="Verdana"/>
          <w:color w:val="404042"/>
          <w:spacing w:val="-7"/>
          <w:sz w:val="14"/>
        </w:rPr>
      </w:pPr>
      <w:r>
        <w:rPr>
          <w:rFonts w:ascii="Verdana" w:eastAsia="Verdana" w:hAnsi="Verdana"/>
          <w:color w:val="404042"/>
          <w:spacing w:val="-7"/>
          <w:sz w:val="14"/>
        </w:rPr>
        <w:t>133 Ibid., p. 18.</w:t>
      </w:r>
    </w:p>
    <w:p w14:paraId="19F05DBA" w14:textId="77777777" w:rsidR="009757A9" w:rsidRDefault="00083242">
      <w:pPr>
        <w:spacing w:line="199" w:lineRule="exact"/>
        <w:ind w:left="1080" w:right="1368" w:hanging="216"/>
        <w:textAlignment w:val="baseline"/>
        <w:rPr>
          <w:rFonts w:ascii="Tahoma" w:eastAsia="Tahoma" w:hAnsi="Tahoma"/>
          <w:color w:val="404042"/>
          <w:sz w:val="14"/>
        </w:rPr>
      </w:pPr>
      <w:r>
        <w:rPr>
          <w:rFonts w:ascii="Tahoma" w:eastAsia="Tahoma" w:hAnsi="Tahoma"/>
          <w:color w:val="404042"/>
          <w:sz w:val="14"/>
        </w:rPr>
        <w:t xml:space="preserve">134 Watters, J., Pillay, H. and Flynn, M. (2016), </w:t>
      </w:r>
      <w:r>
        <w:rPr>
          <w:rFonts w:ascii="Arial" w:eastAsia="Arial" w:hAnsi="Arial"/>
          <w:i/>
          <w:color w:val="404042"/>
          <w:sz w:val="14"/>
        </w:rPr>
        <w:t>Industry–School Partnerships: A strategy to enhance education and training opportunities</w:t>
      </w:r>
      <w:r>
        <w:rPr>
          <w:rFonts w:ascii="Tahoma" w:eastAsia="Tahoma" w:hAnsi="Tahoma"/>
          <w:color w:val="404042"/>
          <w:sz w:val="14"/>
        </w:rPr>
        <w:t xml:space="preserve">, Queensland </w:t>
      </w:r>
      <w:r>
        <w:rPr>
          <w:rFonts w:ascii="Verdana" w:eastAsia="Verdana" w:hAnsi="Verdana"/>
          <w:color w:val="404042"/>
          <w:sz w:val="14"/>
        </w:rPr>
        <w:t xml:space="preserve">University of Technology, April 2016, p. 3, </w:t>
      </w:r>
      <w:hyperlink r:id="rId214">
        <w:r>
          <w:rPr>
            <w:rFonts w:ascii="Tahoma" w:eastAsia="Tahoma" w:hAnsi="Tahoma"/>
            <w:color w:val="0000FF"/>
            <w:sz w:val="14"/>
            <w:u w:val="single"/>
          </w:rPr>
          <w:t>https://eprints.qut.edu.au/98390</w:t>
        </w:r>
      </w:hyperlink>
      <w:r>
        <w:rPr>
          <w:rFonts w:ascii="Tahoma" w:eastAsia="Tahoma" w:hAnsi="Tahoma"/>
          <w:color w:val="404042"/>
          <w:sz w:val="14"/>
        </w:rPr>
        <w:t>.</w:t>
      </w:r>
    </w:p>
    <w:p w14:paraId="35485EAB" w14:textId="77777777" w:rsidR="009757A9" w:rsidRDefault="00083242">
      <w:pPr>
        <w:spacing w:before="7" w:line="200" w:lineRule="exact"/>
        <w:ind w:left="1080" w:right="1512" w:hanging="216"/>
        <w:textAlignment w:val="baseline"/>
        <w:rPr>
          <w:rFonts w:ascii="Tahoma" w:eastAsia="Tahoma" w:hAnsi="Tahoma"/>
          <w:color w:val="404042"/>
          <w:sz w:val="14"/>
        </w:rPr>
      </w:pPr>
      <w:r>
        <w:rPr>
          <w:rFonts w:ascii="Tahoma" w:eastAsia="Tahoma" w:hAnsi="Tahoma"/>
          <w:color w:val="404042"/>
          <w:sz w:val="14"/>
        </w:rPr>
        <w:t xml:space="preserve">135 Polesel, J., Klatt, M., Blake, D. and Starr, K. (2017), ‘Understanding the nature of school partnerships with business in delivery of vocational programmes in schools in Australia’, </w:t>
      </w:r>
      <w:r>
        <w:rPr>
          <w:rFonts w:ascii="Arial" w:eastAsia="Arial" w:hAnsi="Arial"/>
          <w:i/>
          <w:color w:val="404042"/>
          <w:sz w:val="14"/>
        </w:rPr>
        <w:t>Journal of Education and Work</w:t>
      </w:r>
      <w:r>
        <w:rPr>
          <w:rFonts w:ascii="Verdana" w:eastAsia="Verdana" w:hAnsi="Verdana"/>
          <w:color w:val="404042"/>
          <w:sz w:val="14"/>
        </w:rPr>
        <w:t>, vol. 30, no. 3, p. 295.</w:t>
      </w:r>
    </w:p>
    <w:p w14:paraId="3464A581" w14:textId="77777777" w:rsidR="009757A9" w:rsidRDefault="00083242">
      <w:pPr>
        <w:tabs>
          <w:tab w:val="left" w:pos="10872"/>
        </w:tabs>
        <w:spacing w:before="645" w:after="639" w:line="200" w:lineRule="exact"/>
        <w:ind w:left="7200"/>
        <w:textAlignment w:val="baseline"/>
        <w:rPr>
          <w:rFonts w:ascii="Tahoma" w:eastAsia="Tahoma" w:hAnsi="Tahoma"/>
          <w:color w:val="404042"/>
          <w:sz w:val="14"/>
        </w:rPr>
      </w:pPr>
      <w:r>
        <w:rPr>
          <w:rFonts w:ascii="Tahoma" w:eastAsia="Tahoma" w:hAnsi="Tahoma"/>
          <w:color w:val="404042"/>
          <w:sz w:val="14"/>
        </w:rPr>
        <w:t>Chapter 4: Building school–industry partnerships</w:t>
      </w:r>
      <w:r>
        <w:rPr>
          <w:rFonts w:ascii="Arial" w:eastAsia="Arial" w:hAnsi="Arial"/>
          <w:b/>
          <w:color w:val="5556A1"/>
          <w:sz w:val="19"/>
        </w:rPr>
        <w:tab/>
        <w:t>99</w:t>
      </w:r>
    </w:p>
    <w:p w14:paraId="142E2879" w14:textId="77777777" w:rsidR="009757A9" w:rsidRDefault="00083242">
      <w:pPr>
        <w:textAlignment w:val="baseline"/>
      </w:pPr>
      <w:r>
        <w:rPr>
          <w:noProof/>
          <w:lang w:val="en-AU" w:eastAsia="en-AU"/>
        </w:rPr>
        <w:drawing>
          <wp:inline distT="0" distB="0" distL="0" distR="0" wp14:anchorId="645E4376" wp14:editId="0F4EE388">
            <wp:extent cx="7562215" cy="462915"/>
            <wp:effectExtent l="0" t="0" r="0" b="0"/>
            <wp:docPr id="163" name="Picture"/>
            <wp:cNvGraphicFramePr/>
            <a:graphic xmlns:a="http://schemas.openxmlformats.org/drawingml/2006/main">
              <a:graphicData uri="http://schemas.openxmlformats.org/drawingml/2006/picture">
                <pic:pic xmlns:pic="http://schemas.openxmlformats.org/drawingml/2006/picture">
                  <pic:nvPicPr>
                    <pic:cNvPr id="163" name="Picture"/>
                    <pic:cNvPicPr preferRelativeResize="0"/>
                  </pic:nvPicPr>
                  <pic:blipFill>
                    <a:blip r:embed="rId84"/>
                    <a:stretch>
                      <a:fillRect/>
                    </a:stretch>
                  </pic:blipFill>
                  <pic:spPr>
                    <a:xfrm>
                      <a:off x="0" y="0"/>
                      <a:ext cx="7562215" cy="462915"/>
                    </a:xfrm>
                    <a:prstGeom prst="rect">
                      <a:avLst/>
                    </a:prstGeom>
                  </pic:spPr>
                </pic:pic>
              </a:graphicData>
            </a:graphic>
          </wp:inline>
        </w:drawing>
      </w:r>
    </w:p>
    <w:p w14:paraId="49D35EEE" w14:textId="77777777" w:rsidR="009757A9" w:rsidRDefault="009757A9">
      <w:pPr>
        <w:sectPr w:rsidR="009757A9">
          <w:pgSz w:w="11909" w:h="16838"/>
          <w:pgMar w:top="1080" w:right="0" w:bottom="0" w:left="0" w:header="720" w:footer="720" w:gutter="0"/>
          <w:cols w:space="720"/>
        </w:sectPr>
      </w:pPr>
    </w:p>
    <w:p w14:paraId="4CEDBA69" w14:textId="77777777" w:rsidR="009757A9" w:rsidRDefault="00083242">
      <w:pPr>
        <w:spacing w:line="240" w:lineRule="exact"/>
        <w:ind w:left="864" w:right="1224"/>
        <w:textAlignment w:val="baseline"/>
        <w:rPr>
          <w:rFonts w:ascii="Tahoma" w:eastAsia="Tahoma" w:hAnsi="Tahoma"/>
          <w:color w:val="404042"/>
          <w:sz w:val="18"/>
        </w:rPr>
      </w:pPr>
      <w:r>
        <w:rPr>
          <w:rFonts w:ascii="Tahoma" w:eastAsia="Tahoma" w:hAnsi="Tahoma"/>
          <w:color w:val="404042"/>
          <w:sz w:val="18"/>
        </w:rPr>
        <w:lastRenderedPageBreak/>
        <w:t>Experience suggests that models of industry engagement work best when there are brokers or intermediaries to connect schools with industry. They can be particularly valuable in communities that lack networks, connections or infrastructure – including rural, remote and low socioeconomic status urban communities.</w:t>
      </w:r>
      <w:r>
        <w:rPr>
          <w:rFonts w:ascii="Tahoma" w:eastAsia="Tahoma" w:hAnsi="Tahoma"/>
          <w:color w:val="404042"/>
          <w:sz w:val="18"/>
          <w:vertAlign w:val="superscript"/>
        </w:rPr>
        <w:t>136</w:t>
      </w:r>
      <w:r>
        <w:rPr>
          <w:rFonts w:ascii="Tahoma" w:eastAsia="Tahoma" w:hAnsi="Tahoma"/>
          <w:color w:val="404042"/>
          <w:sz w:val="10"/>
        </w:rPr>
        <w:t xml:space="preserve"> </w:t>
      </w:r>
    </w:p>
    <w:p w14:paraId="571521D7" w14:textId="77777777" w:rsidR="009757A9" w:rsidRDefault="00083242">
      <w:pPr>
        <w:spacing w:before="168" w:line="240" w:lineRule="exact"/>
        <w:ind w:left="864" w:right="864"/>
        <w:textAlignment w:val="baseline"/>
        <w:rPr>
          <w:rFonts w:ascii="Tahoma" w:eastAsia="Tahoma" w:hAnsi="Tahoma"/>
          <w:color w:val="404042"/>
          <w:spacing w:val="7"/>
          <w:sz w:val="18"/>
        </w:rPr>
      </w:pPr>
      <w:r>
        <w:rPr>
          <w:rFonts w:ascii="Tahoma" w:eastAsia="Tahoma" w:hAnsi="Tahoma"/>
          <w:color w:val="404042"/>
          <w:spacing w:val="7"/>
          <w:sz w:val="18"/>
        </w:rPr>
        <w:t>For that reason, the Expert Review of Australia’s Vocational Education and Training System recommended the establishment of Skills Organisations. They would comprise industry professionals who would market their industry and its qualification pathways to prospective trainees and school students and manage apprenticeship and traineeship support.</w:t>
      </w:r>
      <w:r>
        <w:rPr>
          <w:rFonts w:ascii="Tahoma" w:eastAsia="Tahoma" w:hAnsi="Tahoma"/>
          <w:color w:val="404042"/>
          <w:spacing w:val="7"/>
          <w:sz w:val="18"/>
          <w:vertAlign w:val="superscript"/>
        </w:rPr>
        <w:t>137</w:t>
      </w:r>
      <w:r>
        <w:rPr>
          <w:rFonts w:ascii="Tahoma" w:eastAsia="Tahoma" w:hAnsi="Tahoma"/>
          <w:color w:val="404042"/>
          <w:spacing w:val="7"/>
          <w:sz w:val="18"/>
        </w:rPr>
        <w:t xml:space="preserve"> In response, the Australian Government has invested in three Skills Organisation pilots in the human services and care, digital technologies, and mining industries. These pilots will trial new ways of shaping the national training system to be more responsive to the skills needs of industry. The expert review recommended that the pilots focus particularly on strengthening the links between schools and industry.</w:t>
      </w:r>
    </w:p>
    <w:p w14:paraId="60C00AD2" w14:textId="14CBD747" w:rsidR="009757A9" w:rsidRDefault="003156EB">
      <w:pPr>
        <w:spacing w:before="173" w:after="465" w:line="240" w:lineRule="exact"/>
        <w:ind w:left="864" w:right="864"/>
        <w:textAlignment w:val="baseline"/>
        <w:rPr>
          <w:rFonts w:ascii="Tahoma" w:eastAsia="Tahoma" w:hAnsi="Tahoma"/>
          <w:color w:val="404042"/>
          <w:sz w:val="18"/>
        </w:rPr>
      </w:pPr>
      <w:r>
        <w:rPr>
          <w:noProof/>
          <w:lang w:val="en-AU" w:eastAsia="en-AU"/>
        </w:rPr>
        <mc:AlternateContent>
          <mc:Choice Requires="wps">
            <w:drawing>
              <wp:anchor distT="0" distB="295910" distL="545465" distR="536575" simplePos="0" relativeHeight="252087808" behindDoc="1" locked="0" layoutInCell="1" allowOverlap="1" wp14:anchorId="00400437" wp14:editId="4C5776DF">
                <wp:simplePos x="0" y="0"/>
                <wp:positionH relativeFrom="margin">
                  <wp:posOffset>533401</wp:posOffset>
                </wp:positionH>
                <wp:positionV relativeFrom="page">
                  <wp:posOffset>4391025</wp:posOffset>
                </wp:positionV>
                <wp:extent cx="6413500" cy="1143000"/>
                <wp:effectExtent l="0" t="0" r="25400" b="19050"/>
                <wp:wrapNone/>
                <wp:docPr id="106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1143000"/>
                        </a:xfrm>
                        <a:prstGeom prst="rect">
                          <a:avLst/>
                        </a:prstGeom>
                        <a:solidFill>
                          <a:srgbClr val="DFE6EB"/>
                        </a:solidFill>
                        <a:ln w="9525">
                          <a:solidFill>
                            <a:srgbClr val="000000"/>
                          </a:solidFill>
                          <a:miter lim="800000"/>
                          <a:headEnd/>
                          <a:tailEnd/>
                        </a:ln>
                      </wps:spPr>
                      <wps:txbx>
                        <w:txbxContent>
                          <w:p w14:paraId="2CB4464E" w14:textId="77777777" w:rsidR="00490F33" w:rsidRDefault="00490F33" w:rsidP="003156E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00437" id="_x0000_s1261" type="#_x0000_t202" style="position:absolute;left:0;text-align:left;margin-left:42pt;margin-top:345.75pt;width:505pt;height:90pt;z-index:-251228672;visibility:visible;mso-wrap-style:square;mso-width-percent:0;mso-height-percent:0;mso-wrap-distance-left:42.95pt;mso-wrap-distance-top:0;mso-wrap-distance-right:42.25pt;mso-wrap-distance-bottom:23.3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D8LAIAAE8EAAAOAAAAZHJzL2Uyb0RvYy54bWysVNuO2yAQfa/Uf0C8N7Zz09aKs9rNpaq0&#10;vUi7/QCMsY2KGQokdvr1HXCS3W3Vl6ovaDDD4cw5M17dDp0iR2GdBF3QbJJSIjSHSuqmoN+e9u9u&#10;KHGe6Yop0KKgJ+Ho7frtm1VvcjGFFlQlLEEQ7fLeFLT13uRJ4ngrOuYmYITGwxpsxzxubZNUlvWI&#10;3qlkmqbLpAdbGQtcOIdft+MhXUf8uhbcf6lrJzxRBUVuPq42rmVYk/WK5Y1lppX8TIP9A4uOSY2P&#10;XqG2zDNysPIPqE5yCw5qP+HQJVDXkotYA1aTpb9V89gyI2ItKI4zV5nc/4Pln49fLZEVepcu0SvN&#10;OnTpSQye3MNAZvNZkKg3LsfMR4O5fsADTI/lOvMA/LsjGjYt0424sxb6VrAKKWbhZvLi6ojjAkjZ&#10;f4IKH2IHDxFoqG0X9ENFCKKjVaerPYEMx4/LeTZbpHjE8SzL5rMUN+ENll+uG+v8BwEdCUFBLfof&#10;4dnxwfkx9ZISXnOgZLWXSsWNbcqNsuTIsFe2+91yd39Gf5WmNOkL+n4xXYwK/BUC2T0TfAXRSY9N&#10;r2RX0JtrEsuDbjtdIU2WeybVGGN1Sp+FDNqNKvqhHKJt09ni4lAJ1Qm1tTB2OU4lBi3Yn5T02OEF&#10;dT8OzApK1EeN/oRxuAT2EpSXgGmOVwvqKRnDjR/H5mCsbFpEHjtAwx16WMuobjB7ZHEmjF0b/TlP&#10;WBiLl/uY9fwfWP8CAAD//wMAUEsDBBQABgAIAAAAIQAzyfqZ3QAAAAsBAAAPAAAAZHJzL2Rvd25y&#10;ZXYueG1sTE9NT4NAEL2b+B82Y+LNLjQWKWVpGqOJxlOrHnob2CmQsruE3VL89w4nPc77mvfy7WQ6&#10;MdLgW2cVxIsIBNnK6dbWCr4+Xx9SED6g1dg5Swp+yMO2uL3JMdPuavc0HkItOMT6DBU0IfSZlL5q&#10;yKBfuJ4scyc3GAx8DrXUA1453HRyGUWJNNha/tBgT88NVefDxXCN5Xh6qc87/HhbJXH//t2W6bFV&#10;6v5u2m1ABJrCnxjm+uyBgjuV7mK1F52C9JGnBAXJOl6BmAXReoZKpp4YkkUu/28ofgEAAP//AwBQ&#10;SwECLQAUAAYACAAAACEAtoM4kv4AAADhAQAAEwAAAAAAAAAAAAAAAAAAAAAAW0NvbnRlbnRfVHlw&#10;ZXNdLnhtbFBLAQItABQABgAIAAAAIQA4/SH/1gAAAJQBAAALAAAAAAAAAAAAAAAAAC8BAABfcmVs&#10;cy8ucmVsc1BLAQItABQABgAIAAAAIQBdGmD8LAIAAE8EAAAOAAAAAAAAAAAAAAAAAC4CAABkcnMv&#10;ZTJvRG9jLnhtbFBLAQItABQABgAIAAAAIQAzyfqZ3QAAAAsBAAAPAAAAAAAAAAAAAAAAAIYEAABk&#10;cnMvZG93bnJldi54bWxQSwUGAAAAAAQABADzAAAAkAUAAAAA&#10;" fillcolor="#dfe6eb">
                <v:textbox inset="0,0,0,0">
                  <w:txbxContent>
                    <w:p w14:paraId="2CB4464E" w14:textId="77777777" w:rsidR="00490F33" w:rsidRDefault="00490F33" w:rsidP="003156EB"/>
                  </w:txbxContent>
                </v:textbox>
                <w10:wrap anchorx="margin" anchory="page"/>
              </v:shape>
            </w:pict>
          </mc:Fallback>
        </mc:AlternateContent>
      </w:r>
      <w:r>
        <w:rPr>
          <w:noProof/>
          <w:lang w:val="en-AU" w:eastAsia="en-AU"/>
        </w:rPr>
        <mc:AlternateContent>
          <mc:Choice Requires="wps">
            <w:drawing>
              <wp:anchor distT="0" distB="0" distL="0" distR="0" simplePos="0" relativeHeight="251587072" behindDoc="1" locked="0" layoutInCell="1" allowOverlap="1" wp14:anchorId="607B8DD4" wp14:editId="0712161D">
                <wp:simplePos x="0" y="0"/>
                <wp:positionH relativeFrom="margin">
                  <wp:posOffset>914401</wp:posOffset>
                </wp:positionH>
                <wp:positionV relativeFrom="page">
                  <wp:posOffset>3028950</wp:posOffset>
                </wp:positionV>
                <wp:extent cx="6000750" cy="2722245"/>
                <wp:effectExtent l="0" t="0" r="0" b="1905"/>
                <wp:wrapSquare wrapText="bothSides"/>
                <wp:docPr id="57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72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7F07A"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B8DD4" id="Text Box 294" o:spid="_x0000_s1262" type="#_x0000_t202" style="position:absolute;left:0;text-align:left;margin-left:1in;margin-top:238.5pt;width:472.5pt;height:214.35pt;z-index:-25172940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Lo8gEAAMQDAAAOAAAAZHJzL2Uyb0RvYy54bWysU8Fu2zAMvQ/YPwi6L3bcJlmNOEXXosOA&#10;rhvQ7gNkWbaF2aJGKbGzrx8lx1m73YZdBIqkHh8fqe312HfsoNBpMAVfLlLOlJFQadMU/Nvz/bv3&#10;nDkvTCU6MKrgR+X49e7tm+1gc5VBC12lkBGIcflgC956b/MkcbJVvXALsMpQsAbshacrNkmFYiD0&#10;vkuyNF0nA2BlEaRyjrx3U5DvIn5dK+m/1LVTnnUFJ24+nhjPMpzJbivyBoVttTzREP/AohfaUNEz&#10;1J3wgu1R/wXVa4ngoPYLCX0Cda2lij1QN8v0j26eWmFV7IXEcfYsk/t/sPLx8BWZrgq+2lxwZkRP&#10;Q3pWo2cfYGTZ1WVQaLAup8QnS6l+pABNOnbr7API744ZuG2FadQNIgytEhUxXIaXyYunE44LIOXw&#10;GSoqJPYeItBYYx/kI0EYodOkjufpBDKSnOs0TTcrCkmKZZssyy5XsYbI5+cWnf+ooGfBKDjS+CO8&#10;ODw4H+iIfE4J1Qzc666LK9CZVw5KDJ5IPzCeuPuxHKNW2cV61qWE6kgdIUyrRV+BjBbwJ2cDrVXB&#10;3Y+9QMVZ98mQKmEHZwNno5wNYSQ9LbjnbDJv/bSre4u6aQl50t3ADSlX69hTkHhicSJMqxJbPa11&#10;2MWX95j1+/PtfgEAAP//AwBQSwMEFAAGAAgAAAAhAARXIQ7gAAAADAEAAA8AAABkcnMvZG93bnJl&#10;di54bWxMj8FOwzAQRO9I/IO1SNyoXRSaJo1TVQhOSIg0HDg6sZtYjdchdtvw92xPcJvRjmbfFNvZ&#10;DexspmA9SlguBDCDrdcWOwmf9evDGliICrUaPBoJPybAtry9KVSu/QUrc97HjlEJhlxJ6GMcc85D&#10;2xunwsKPBul28JNTkezUcT2pC5W7gT8KseJOWaQPvRrNc2/a4/7kJOy+sHqx3+/NR3WobF1nAt9W&#10;Rynv7+bdBlg0c/wLwxWf0KEkpsafUAc2kE8S2hIlJGlK4poQ64xUIyETTynwsuD/R5S/AAAA//8D&#10;AFBLAQItABQABgAIAAAAIQC2gziS/gAAAOEBAAATAAAAAAAAAAAAAAAAAAAAAABbQ29udGVudF9U&#10;eXBlc10ueG1sUEsBAi0AFAAGAAgAAAAhADj9If/WAAAAlAEAAAsAAAAAAAAAAAAAAAAALwEAAF9y&#10;ZWxzLy5yZWxzUEsBAi0AFAAGAAgAAAAhAAwOgujyAQAAxAMAAA4AAAAAAAAAAAAAAAAALgIAAGRy&#10;cy9lMm9Eb2MueG1sUEsBAi0AFAAGAAgAAAAhAARXIQ7gAAAADAEAAA8AAAAAAAAAAAAAAAAATAQA&#10;AGRycy9kb3ducmV2LnhtbFBLBQYAAAAABAAEAPMAAABZBQAAAAA=&#10;" filled="f" stroked="f">
                <v:textbox inset="0,0,0,0">
                  <w:txbxContent>
                    <w:p w14:paraId="1F87F07A" w14:textId="77777777" w:rsidR="00490F33" w:rsidRDefault="00490F33"/>
                  </w:txbxContent>
                </v:textbox>
                <w10:wrap type="square" anchorx="margin" anchory="page"/>
              </v:shape>
            </w:pict>
          </mc:Fallback>
        </mc:AlternateContent>
      </w:r>
      <w:r>
        <w:rPr>
          <w:noProof/>
          <w:lang w:val="en-AU" w:eastAsia="en-AU"/>
        </w:rPr>
        <mc:AlternateContent>
          <mc:Choice Requires="wps">
            <w:drawing>
              <wp:anchor distT="0" distB="0" distL="0" distR="0" simplePos="0" relativeHeight="251588096" behindDoc="1" locked="0" layoutInCell="1" allowOverlap="1" wp14:anchorId="47DFFC7A" wp14:editId="354F11A2">
                <wp:simplePos x="0" y="0"/>
                <wp:positionH relativeFrom="page">
                  <wp:posOffset>542925</wp:posOffset>
                </wp:positionH>
                <wp:positionV relativeFrom="page">
                  <wp:posOffset>3028950</wp:posOffset>
                </wp:positionV>
                <wp:extent cx="6048375" cy="2484120"/>
                <wp:effectExtent l="0" t="0" r="9525" b="11430"/>
                <wp:wrapSquare wrapText="bothSides"/>
                <wp:docPr id="57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484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F75E8" w14:textId="4F8B3806" w:rsidR="00490F33" w:rsidRDefault="00490F33">
                            <w:pPr>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FFC7A" id="Text Box 293" o:spid="_x0000_s1263" type="#_x0000_t202" style="position:absolute;left:0;text-align:left;margin-left:42.75pt;margin-top:238.5pt;width:476.25pt;height:195.6pt;z-index:-251728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Iw8wEAAMQDAAAOAAAAZHJzL2Uyb0RvYy54bWysU9tu2zAMfR+wfxD0vthx0iYz4hRdiw4D&#10;ugvQ7gNkWbaF2aJGKbGzrx8lx1m3vQ17EShejg4Pqd3N2HfsqNBpMAVfLlLOlJFQadMU/Ovzw5st&#10;Z84LU4kOjCr4STl+s3/9ajfYXGXQQlcpZARiXD7Ygrfe2zxJnGxVL9wCrDIUrAF74emKTVKhGAi9&#10;75IsTa+TAbCyCFI5R977Kcj3Eb+ulfSf69opz7qCEzcfT4xnGc5kvxN5g8K2Wp5piH9g0Qtt6NEL&#10;1L3wgh1Q/wXVa4ngoPYLCX0Cda2lij1QN8v0j26eWmFV7IXEcfYik/t/sPLT8QsyXRX8apNxZkRP&#10;Q3pWo2fvYGTZ21VQaLAup8QnS6l+pABNOnbr7CPIb44ZuGuFadQtIgytEhUxXIbK5EXphOMCSDl8&#10;hIoeEgcPEWissQ/ykSCM0GlSp8t0AhlJzut0vV1trjiTFMvW2/Uyi/NLRD6XW3T+vYKeBaPgSOOP&#10;8OL46HygI/I5Jbxm4EF3XVyBzvzmoMTgifQD44m7H8sxapWtNrMuJVQn6ghhWi36CmS0gD84G2it&#10;Cu6+HwQqzroPhlQJOzgbOBvlbAgjqbTgnrPJvPPTrh4s6qYl5El3A7ekXK1jT0HiicWZMK1KbPW8&#10;1mEXX95j1q/Pt/8JAAD//wMAUEsDBBQABgAIAAAAIQDEeyuz4AAAAAsBAAAPAAAAZHJzL2Rvd25y&#10;ZXYueG1sTI/BTsMwEETvSPyDtUjcqE2haZrGqSoEJyREGg4cndhNrMbrELtt+Hu2p3Lb0TzNzuSb&#10;yfXsZMZgPUp4nAlgBhuvLbYSvqq3hxRYiAq16j0aCb8mwKa4vclVpv0ZS3PaxZZRCIZMSehiHDLO&#10;Q9MZp8LMDwbJ2/vRqUhybLke1ZnCXc/nQiTcKYv0oVODeelMc9gdnYTtN5av9uej/iz3pa2qlcD3&#10;5CDl/d20XQOLZopXGC71qToU1Kn2R9SB9RLSxYJICc/LJW26AOIppasmK0nnwIuc/99Q/AEAAP//&#10;AwBQSwECLQAUAAYACAAAACEAtoM4kv4AAADhAQAAEwAAAAAAAAAAAAAAAAAAAAAAW0NvbnRlbnRf&#10;VHlwZXNdLnhtbFBLAQItABQABgAIAAAAIQA4/SH/1gAAAJQBAAALAAAAAAAAAAAAAAAAAC8BAABf&#10;cmVscy8ucmVsc1BLAQItABQABgAIAAAAIQCbQcIw8wEAAMQDAAAOAAAAAAAAAAAAAAAAAC4CAABk&#10;cnMvZTJvRG9jLnhtbFBLAQItABQABgAIAAAAIQDEeyuz4AAAAAsBAAAPAAAAAAAAAAAAAAAAAE0E&#10;AABkcnMvZG93bnJldi54bWxQSwUGAAAAAAQABADzAAAAWgUAAAAA&#10;" filled="f" stroked="f">
                <v:textbox inset="0,0,0,0">
                  <w:txbxContent>
                    <w:p w14:paraId="407F75E8" w14:textId="4F8B3806" w:rsidR="00490F33" w:rsidRDefault="00490F33">
                      <w:pPr>
                        <w:textAlignment w:val="baseline"/>
                      </w:pPr>
                    </w:p>
                  </w:txbxContent>
                </v:textbox>
                <w10:wrap type="square" anchorx="page" anchory="page"/>
              </v:shape>
            </w:pict>
          </mc:Fallback>
        </mc:AlternateContent>
      </w:r>
      <w:r>
        <w:rPr>
          <w:noProof/>
          <w:lang w:val="en-AU" w:eastAsia="en-AU"/>
        </w:rPr>
        <mc:AlternateContent>
          <mc:Choice Requires="wps">
            <w:drawing>
              <wp:anchor distT="0" distB="295910" distL="545465" distR="536575" simplePos="0" relativeHeight="252085760" behindDoc="1" locked="0" layoutInCell="1" allowOverlap="1" wp14:anchorId="3F3FC926" wp14:editId="1DB82576">
                <wp:simplePos x="0" y="0"/>
                <wp:positionH relativeFrom="page">
                  <wp:posOffset>523875</wp:posOffset>
                </wp:positionH>
                <wp:positionV relativeFrom="page">
                  <wp:posOffset>3028950</wp:posOffset>
                </wp:positionV>
                <wp:extent cx="6423025" cy="1143000"/>
                <wp:effectExtent l="0" t="0" r="15875" b="19050"/>
                <wp:wrapNone/>
                <wp:docPr id="1067"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1143000"/>
                        </a:xfrm>
                        <a:prstGeom prst="rect">
                          <a:avLst/>
                        </a:prstGeom>
                        <a:solidFill>
                          <a:srgbClr val="DFE6EB"/>
                        </a:solidFill>
                        <a:ln w="9525">
                          <a:solidFill>
                            <a:srgbClr val="000000"/>
                          </a:solidFill>
                          <a:miter lim="800000"/>
                          <a:headEnd/>
                          <a:tailEnd/>
                        </a:ln>
                      </wps:spPr>
                      <wps:txbx>
                        <w:txbxContent>
                          <w:p w14:paraId="44CDB3DD" w14:textId="77777777" w:rsidR="00490F33" w:rsidRDefault="00490F33" w:rsidP="003156E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FC926" id="_x0000_s1264" type="#_x0000_t202" style="position:absolute;left:0;text-align:left;margin-left:41.25pt;margin-top:238.5pt;width:505.75pt;height:90pt;z-index:-251230720;visibility:visible;mso-wrap-style:square;mso-width-percent:0;mso-height-percent:0;mso-wrap-distance-left:42.95pt;mso-wrap-distance-top:0;mso-wrap-distance-right:42.25pt;mso-wrap-distance-bottom:23.3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8dLQIAAE8EAAAOAAAAZHJzL2Uyb0RvYy54bWysVMtu2zAQvBfoPxC815IfcV3BcpD4URRI&#10;H0DSD6AoSiJKcVmStpR+fZaU5aQp0EPRC7EUl8PZmV2tr/tWkZOwToLO6XSSUiI0h1LqOqffHw7v&#10;VpQ4z3TJFGiR00fh6PXm7Zt1ZzIxgwZUKSxBEO2yzuS08d5kSeJ4I1rmJmCExsMKbMs8bm2dlJZ1&#10;iN6qZJamy6QDWxoLXDiHX3fDId1E/KoS3H+tKic8UTlFbj6uNq5FWJPNmmW1ZaaR/EyD/QOLlkmN&#10;j16gdswzcrTyD6hWcgsOKj/h0CZQVZKLWANWM01fVXPfMCNiLSiOMxeZ3P+D5V9O3yyRJXqXLt9T&#10;olmLLj2I3pNb6Ml8MQ8SdcZlmHlvMNf3eIDpsVxn7oD/cETDtmG6FjfWQtcIViLFabiZvLg64LgA&#10;UnSfocSH2NFDBOor2wb9UBGC6GjV48WeQIbjx+ViNk9nV5RwPJtOF/M0jQYmLBuvG+v8RwEtCUFO&#10;Lfof4dnpzvlAh2VjSnjNgZLlQSoVN7YutsqSE8Ne2R32y/1trOBVmtKky+mHKyTydwhk90zwt5da&#10;6bHplWxzuroksSzottdlbEnPpBpipKz0Wcig3aCi74s+2jabr0aHCigfUVsLQ5fjVGLQgP1FSYcd&#10;nlP388isoER90uhPGIcxsGNQjAHTHK/m1FMyhFs/jM3RWFk3iDx0gIYb9LCSUd1g9sDiTBi7Nop+&#10;nrAwFi/3Mev5P7B5AgAA//8DAFBLAwQUAAYACAAAACEAKxZGGOAAAAALAQAADwAAAGRycy9kb3du&#10;cmV2LnhtbEyPT0+DQBDF7yZ+h82YeLNLSaGILE1jNNF4stpDbwO7BVJ2lrBbit/e6Ulv8+fNm98r&#10;NrPtxWRG3zlSsFxEIAzVTnfUKPj+en3IQPiApLF3ZBT8GA+b8vamwFy7C32aaRcawSbkc1TQhjDk&#10;Uvq6NRb9wg2GeHd0o8XA7dhIPeKFzW0v4yhKpcWO+EOLg3luTX3anS1jxNPxpTlt8eMtSZfD+76r&#10;skOn1P3dvH0CEcwc/sRwxecbKJmpcmfSXvQKsjhhpYLVes2ZroLoccVVpSBNeCTLQv7PUP4CAAD/&#10;/wMAUEsBAi0AFAAGAAgAAAAhALaDOJL+AAAA4QEAABMAAAAAAAAAAAAAAAAAAAAAAFtDb250ZW50&#10;X1R5cGVzXS54bWxQSwECLQAUAAYACAAAACEAOP0h/9YAAACUAQAACwAAAAAAAAAAAAAAAAAvAQAA&#10;X3JlbHMvLnJlbHNQSwECLQAUAAYACAAAACEAe80/HS0CAABPBAAADgAAAAAAAAAAAAAAAAAuAgAA&#10;ZHJzL2Uyb0RvYy54bWxQSwECLQAUAAYACAAAACEAKxZGGOAAAAALAQAADwAAAAAAAAAAAAAAAACH&#10;BAAAZHJzL2Rvd25yZXYueG1sUEsFBgAAAAAEAAQA8wAAAJQFAAAAAA==&#10;" fillcolor="#dfe6eb">
                <v:textbox inset="0,0,0,0">
                  <w:txbxContent>
                    <w:p w14:paraId="44CDB3DD" w14:textId="77777777" w:rsidR="00490F33" w:rsidRDefault="00490F33" w:rsidP="003156EB"/>
                  </w:txbxContent>
                </v:textbox>
                <w10:wrap anchorx="page" anchory="page"/>
              </v:shape>
            </w:pict>
          </mc:Fallback>
        </mc:AlternateContent>
      </w:r>
      <w:r w:rsidR="00083242">
        <w:rPr>
          <w:rFonts w:ascii="Tahoma" w:eastAsia="Tahoma" w:hAnsi="Tahoma"/>
          <w:color w:val="404042"/>
          <w:sz w:val="18"/>
        </w:rPr>
        <w:t>The lessons learned from these demonstration projects will help inform broader improvements to the national training system. The pilots will help to identify what works, what does not, and what approaches need to be modified.</w:t>
      </w:r>
    </w:p>
    <w:p w14:paraId="6B0E87EC" w14:textId="2412E790" w:rsidR="003156EB" w:rsidRPr="003156EB" w:rsidRDefault="003156EB" w:rsidP="003156EB">
      <w:pPr>
        <w:rPr>
          <w:rFonts w:ascii="Tahoma" w:eastAsia="Tahoma" w:hAnsi="Tahoma"/>
          <w:sz w:val="18"/>
        </w:rPr>
      </w:pPr>
    </w:p>
    <w:p w14:paraId="044A430D" w14:textId="2FFB04FE" w:rsidR="003156EB" w:rsidRPr="003156EB" w:rsidRDefault="003156EB" w:rsidP="003156EB">
      <w:pPr>
        <w:rPr>
          <w:rFonts w:ascii="Tahoma" w:eastAsia="Tahoma" w:hAnsi="Tahoma"/>
          <w:sz w:val="18"/>
        </w:rPr>
      </w:pPr>
    </w:p>
    <w:p w14:paraId="4BFB51C0" w14:textId="037C058D" w:rsidR="003156EB" w:rsidRPr="003156EB" w:rsidRDefault="003156EB" w:rsidP="003156EB">
      <w:pPr>
        <w:rPr>
          <w:rFonts w:ascii="Tahoma" w:eastAsia="Tahoma" w:hAnsi="Tahoma"/>
          <w:sz w:val="18"/>
        </w:rPr>
      </w:pPr>
    </w:p>
    <w:p w14:paraId="47ED9AAF" w14:textId="015408B7" w:rsidR="003156EB" w:rsidRPr="003156EB" w:rsidRDefault="003156EB" w:rsidP="003156EB">
      <w:pPr>
        <w:rPr>
          <w:rFonts w:ascii="Tahoma" w:eastAsia="Tahoma" w:hAnsi="Tahoma"/>
          <w:sz w:val="18"/>
        </w:rPr>
      </w:pPr>
    </w:p>
    <w:p w14:paraId="0FDEFF7E" w14:textId="78FC424A" w:rsidR="003156EB" w:rsidRPr="003156EB" w:rsidRDefault="003156EB" w:rsidP="003156EB">
      <w:pPr>
        <w:rPr>
          <w:rFonts w:ascii="Tahoma" w:eastAsia="Tahoma" w:hAnsi="Tahoma"/>
          <w:sz w:val="18"/>
        </w:rPr>
      </w:pPr>
    </w:p>
    <w:p w14:paraId="0087FB19" w14:textId="7BB8A0A8" w:rsidR="003156EB" w:rsidRPr="003156EB" w:rsidRDefault="003156EB" w:rsidP="003156EB">
      <w:pPr>
        <w:rPr>
          <w:rFonts w:ascii="Tahoma" w:eastAsia="Tahoma" w:hAnsi="Tahoma"/>
          <w:sz w:val="18"/>
        </w:rPr>
      </w:pPr>
    </w:p>
    <w:p w14:paraId="74F83E2C" w14:textId="72760E00" w:rsidR="003156EB" w:rsidRPr="003156EB" w:rsidRDefault="003156EB" w:rsidP="003156EB">
      <w:pPr>
        <w:rPr>
          <w:rFonts w:ascii="Tahoma" w:eastAsia="Tahoma" w:hAnsi="Tahoma"/>
          <w:sz w:val="18"/>
        </w:rPr>
      </w:pPr>
    </w:p>
    <w:p w14:paraId="3604051F" w14:textId="5345381F" w:rsidR="003156EB" w:rsidRPr="003156EB" w:rsidRDefault="003156EB" w:rsidP="003156EB">
      <w:pPr>
        <w:rPr>
          <w:rFonts w:ascii="Tahoma" w:eastAsia="Tahoma" w:hAnsi="Tahoma"/>
          <w:sz w:val="18"/>
        </w:rPr>
      </w:pPr>
    </w:p>
    <w:p w14:paraId="2186F081" w14:textId="50C54646" w:rsidR="003156EB" w:rsidRPr="003156EB" w:rsidRDefault="003156EB" w:rsidP="003156EB">
      <w:pPr>
        <w:rPr>
          <w:rFonts w:ascii="Tahoma" w:eastAsia="Tahoma" w:hAnsi="Tahoma"/>
          <w:sz w:val="18"/>
        </w:rPr>
      </w:pPr>
    </w:p>
    <w:p w14:paraId="3B25DB39" w14:textId="3657F3D9" w:rsidR="003156EB" w:rsidRPr="003156EB" w:rsidRDefault="003156EB" w:rsidP="003156EB">
      <w:pPr>
        <w:rPr>
          <w:rFonts w:ascii="Tahoma" w:eastAsia="Tahoma" w:hAnsi="Tahoma"/>
          <w:sz w:val="18"/>
        </w:rPr>
      </w:pPr>
    </w:p>
    <w:p w14:paraId="67329303" w14:textId="1A3EC95C" w:rsidR="003156EB" w:rsidRPr="003156EB" w:rsidRDefault="003156EB" w:rsidP="003156EB">
      <w:pPr>
        <w:rPr>
          <w:rFonts w:ascii="Tahoma" w:eastAsia="Tahoma" w:hAnsi="Tahoma"/>
          <w:sz w:val="18"/>
        </w:rPr>
      </w:pPr>
    </w:p>
    <w:p w14:paraId="75BF9E25" w14:textId="5322D578" w:rsidR="003156EB" w:rsidRPr="003156EB" w:rsidRDefault="003156EB" w:rsidP="003156EB">
      <w:pPr>
        <w:rPr>
          <w:rFonts w:ascii="Tahoma" w:eastAsia="Tahoma" w:hAnsi="Tahoma"/>
          <w:sz w:val="18"/>
        </w:rPr>
      </w:pPr>
    </w:p>
    <w:p w14:paraId="7A644950" w14:textId="745D7167" w:rsidR="003156EB" w:rsidRPr="003156EB" w:rsidRDefault="003156EB" w:rsidP="003156EB">
      <w:pPr>
        <w:rPr>
          <w:rFonts w:ascii="Tahoma" w:eastAsia="Tahoma" w:hAnsi="Tahoma"/>
          <w:sz w:val="18"/>
        </w:rPr>
      </w:pPr>
    </w:p>
    <w:p w14:paraId="3FD479A0" w14:textId="77777777" w:rsidR="003156EB" w:rsidRPr="003156EB" w:rsidRDefault="003156EB" w:rsidP="003156EB">
      <w:pPr>
        <w:rPr>
          <w:rFonts w:ascii="Tahoma" w:eastAsia="Tahoma" w:hAnsi="Tahoma"/>
          <w:sz w:val="18"/>
        </w:rPr>
      </w:pPr>
    </w:p>
    <w:p w14:paraId="426C12B3" w14:textId="30E6011F"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mc:AlternateContent>
          <mc:Choice Requires="wps">
            <w:drawing>
              <wp:anchor distT="0" distB="0" distL="0" distR="0" simplePos="0" relativeHeight="251589120" behindDoc="1" locked="0" layoutInCell="1" allowOverlap="1" wp14:anchorId="64122FAB" wp14:editId="28BBA2D7">
                <wp:simplePos x="0" y="0"/>
                <wp:positionH relativeFrom="page">
                  <wp:posOffset>932815</wp:posOffset>
                </wp:positionH>
                <wp:positionV relativeFrom="page">
                  <wp:posOffset>3276600</wp:posOffset>
                </wp:positionV>
                <wp:extent cx="1511935" cy="182245"/>
                <wp:effectExtent l="0" t="0" r="0" b="0"/>
                <wp:wrapSquare wrapText="bothSides"/>
                <wp:docPr id="57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2CF3" w14:textId="77777777" w:rsidR="00490F33" w:rsidRDefault="00490F33">
                            <w:pPr>
                              <w:spacing w:before="10" w:line="273" w:lineRule="exact"/>
                              <w:textAlignment w:val="baseline"/>
                              <w:rPr>
                                <w:rFonts w:ascii="Arial" w:eastAsia="Arial" w:hAnsi="Arial"/>
                                <w:b/>
                                <w:color w:val="00708E"/>
                                <w:spacing w:val="-10"/>
                                <w:sz w:val="25"/>
                              </w:rPr>
                            </w:pPr>
                            <w:r>
                              <w:rPr>
                                <w:rFonts w:ascii="Arial" w:eastAsia="Arial" w:hAnsi="Arial"/>
                                <w:b/>
                                <w:color w:val="00708E"/>
                                <w:spacing w:val="-10"/>
                                <w:sz w:val="25"/>
                              </w:rPr>
                              <w:t>Recommendation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22FAB" id="Text Box 292" o:spid="_x0000_s1265" type="#_x0000_t202" style="position:absolute;left:0;text-align:left;margin-left:73.45pt;margin-top:258pt;width:119.05pt;height:14.35pt;z-index:-251727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eFH8QEAAMMDAAAOAAAAZHJzL2Uyb0RvYy54bWysU9tu2zAMfR+wfxD0vjh2l60x4hRdiw4D&#10;ugvQ7gMYWY6F2aJGKbG7rx8lx1m3vQ17ESiRPDw8pDZXY9+JoyZv0FYyXyyl0FZhbey+kl8f715d&#10;SuED2Bo6tLqST9rLq+3LF5vBlbrAFrtak2AQ68vBVbINwZVZ5lWre/ALdNqys0HqIfCV9llNMDB6&#10;32XFcvkmG5BqR6i09/x6OznlNuE3jVbhc9N4HURXSeYW0knp3MUz226g3BO41qgTDfgHFj0Yy0XP&#10;ULcQQBzI/AXVG0XosQkLhX2GTWOUTj1wN/nyj24eWnA69cLieHeWyf8/WPXp+IWEqSu5eptLYaHn&#10;IT3qMYh3OIpiXUSFBudLDnxwHBpGdvCkU7fe3aP65oXFmxbsXl8T4dBqqJlhHjOzZ6kTjo8gu+Ej&#10;1lwIDgET0NhQH+VjQQSj86SeztOJZFQsucrz9cVKCsW+/LIoXq9SCSjnbEc+vNfYi2hUknj6CR2O&#10;9z5ENlDOIbGYxTvTdWkDOvvbAwfGl8Q+Ep6oh3E3JqmKi/Usyw7rJ26IcNos/glstEg/pBh4qyrp&#10;vx+AtBTdB8uixBWcDZqN3WyAVZxaySDFZN6EaVUPjsy+ZeRJdovXLFxjUk9R4YnFiTBvSmr1tNVx&#10;FZ/fU9Svv7f9CQAA//8DAFBLAwQUAAYACAAAACEAiM9X1eAAAAALAQAADwAAAGRycy9kb3ducmV2&#10;LnhtbEyPQU/DMAyF70j8h8iTuLF00JWtazpNCE5IaF05cEwbr63WOKXJtvLvMSe4+dlPz9/LtpPt&#10;xQVH3zlSsJhHIJBqZzpqFHyUr/crED5oMrp3hAq+0cM2v73JdGrclQq8HEIjOIR8qhW0IQyplL5u&#10;0Wo/dwMS345utDqwHBtpRn3lcNvLhyhKpNUd8YdWD/jcYn06nK2C3ScVL93Xe7UvjkVXluuI3pKT&#10;UnezabcBEXAKf2b4xWd0yJmpcmcyXvSs42TNVgXLRcKl2PG4WvJQ8SaOn0DmmfzfIf8BAAD//wMA&#10;UEsBAi0AFAAGAAgAAAAhALaDOJL+AAAA4QEAABMAAAAAAAAAAAAAAAAAAAAAAFtDb250ZW50X1R5&#10;cGVzXS54bWxQSwECLQAUAAYACAAAACEAOP0h/9YAAACUAQAACwAAAAAAAAAAAAAAAAAvAQAAX3Jl&#10;bHMvLnJlbHNQSwECLQAUAAYACAAAACEAcqnhR/EBAADDAwAADgAAAAAAAAAAAAAAAAAuAgAAZHJz&#10;L2Uyb0RvYy54bWxQSwECLQAUAAYACAAAACEAiM9X1eAAAAALAQAADwAAAAAAAAAAAAAAAABLBAAA&#10;ZHJzL2Rvd25yZXYueG1sUEsFBgAAAAAEAAQA8wAAAFgFAAAAAA==&#10;" filled="f" stroked="f">
                <v:textbox inset="0,0,0,0">
                  <w:txbxContent>
                    <w:p w14:paraId="139F2CF3" w14:textId="77777777" w:rsidR="00490F33" w:rsidRDefault="00490F33">
                      <w:pPr>
                        <w:spacing w:before="10" w:line="273" w:lineRule="exact"/>
                        <w:textAlignment w:val="baseline"/>
                        <w:rPr>
                          <w:rFonts w:ascii="Arial" w:eastAsia="Arial" w:hAnsi="Arial"/>
                          <w:b/>
                          <w:color w:val="00708E"/>
                          <w:spacing w:val="-10"/>
                          <w:sz w:val="25"/>
                        </w:rPr>
                      </w:pPr>
                      <w:r>
                        <w:rPr>
                          <w:rFonts w:ascii="Arial" w:eastAsia="Arial" w:hAnsi="Arial"/>
                          <w:b/>
                          <w:color w:val="00708E"/>
                          <w:spacing w:val="-10"/>
                          <w:sz w:val="25"/>
                        </w:rPr>
                        <w:t>Recommendation 11</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0144" behindDoc="1" locked="0" layoutInCell="1" allowOverlap="1" wp14:anchorId="4162E547" wp14:editId="0A02A019">
                <wp:simplePos x="0" y="0"/>
                <wp:positionH relativeFrom="page">
                  <wp:posOffset>905510</wp:posOffset>
                </wp:positionH>
                <wp:positionV relativeFrom="page">
                  <wp:posOffset>3557270</wp:posOffset>
                </wp:positionV>
                <wp:extent cx="5742305" cy="304800"/>
                <wp:effectExtent l="0" t="0" r="0" b="0"/>
                <wp:wrapSquare wrapText="bothSides"/>
                <wp:docPr id="57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2E146" w14:textId="77777777" w:rsidR="00490F33" w:rsidRDefault="00490F33">
                            <w:pPr>
                              <w:spacing w:line="237" w:lineRule="exact"/>
                              <w:jc w:val="both"/>
                              <w:textAlignment w:val="baseline"/>
                              <w:rPr>
                                <w:rFonts w:ascii="Tahoma" w:eastAsia="Tahoma" w:hAnsi="Tahoma"/>
                                <w:color w:val="404042"/>
                                <w:sz w:val="18"/>
                              </w:rPr>
                            </w:pPr>
                            <w:r>
                              <w:rPr>
                                <w:rFonts w:ascii="Tahoma" w:eastAsia="Tahoma" w:hAnsi="Tahoma"/>
                                <w:color w:val="404042"/>
                                <w:sz w:val="18"/>
                              </w:rPr>
                              <w:t>Education authorities and industry bodies should formalise their working relationship in order to facilitate the engagement of industry in senior secondary schooling in a systematic and comprehensive manner.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2E547" id="Text Box 291" o:spid="_x0000_s1266" type="#_x0000_t202" style="position:absolute;left:0;text-align:left;margin-left:71.3pt;margin-top:280.1pt;width:452.15pt;height:24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dq8AEAAMMDAAAOAAAAZHJzL2Uyb0RvYy54bWysU8tu2zAQvBfoPxC815IVu0kFy0GaIEWB&#10;9AEk/QCKIi2iEpdd0pbcr++Sspy0vRW9EEtyOTszu9xcj33HDgq9AVvx5SLnTFkJjbG7in97un9z&#10;xZkPwjaiA6sqflSeX29fv9oMrlQFtNA1ChmBWF8OruJtCK7MMi9b1Qu/AKcsXWrAXgTa4i5rUAyE&#10;3ndZkedvswGwcQhSeU+nd9Ml3yZ8rZUMX7T2KrCu4sQtpBXTWsc1225EuUPhWiNPNMQ/sOiFsVT0&#10;DHUngmB7NH9B9UYieNBhIaHPQGsjVdJAapb5H2oeW+FU0kLmeHe2yf8/WPn58BWZaSq+viR/rOip&#10;SU9qDOw9jKx4t4wODc6XlPjoKDWMdEGdTmq9ewD53TMLt62wO3WDCEOrREMM08vsxdMJx0eQevgE&#10;DRUS+wAJaNTYR/vIEEboxOR47k4kI+lwfbkqLvI1Z5LuLvLVVZ7al4lyfu3Qhw8KehaDiiN1P6GL&#10;w4MPpINS55RYzMK96bo0AZ397YAS40liHwlP1MNYj8mqYpUqR201NEcShDBNFv0EClrAn5wNNFUV&#10;9z/2AhVn3UdLpsQRnAOcg3oOhJX0tOKBsym8DdOo7h2aXUvIk+0Wbsg4bZKmZxYnwjQpSeppquMo&#10;vtynrOe/t/0FAAD//wMAUEsDBBQABgAIAAAAIQAyEwtX4AAAAAwBAAAPAAAAZHJzL2Rvd25yZXYu&#10;eG1sTI/BTsMwEETvSPyDtUjcqE1UrDbEqSoEJyREGg4cnXibWI3XIXbb8Pe4J3oc7dPM22Izu4Gd&#10;cArWk4LHhQCG1HpjqVPwVb89rICFqMnowRMq+MUAm/L2ptC58Weq8LSLHUslFHKtoI9xzDkPbY9O&#10;h4UfkdJt7yenY4pTx82kz6ncDTwTQnKnLaWFXo/40mN72B2dgu03Va/256P5rPaVreu1oHd5UOr+&#10;bt4+A4s4x38YLvpJHcrk1PgjmcCGlJeZTKiCJykyYBdCLOUaWKNAilUGvCz49RPlHwAAAP//AwBQ&#10;SwECLQAUAAYACAAAACEAtoM4kv4AAADhAQAAEwAAAAAAAAAAAAAAAAAAAAAAW0NvbnRlbnRfVHlw&#10;ZXNdLnhtbFBLAQItABQABgAIAAAAIQA4/SH/1gAAAJQBAAALAAAAAAAAAAAAAAAAAC8BAABfcmVs&#10;cy8ucmVsc1BLAQItABQABgAIAAAAIQC2THdq8AEAAMMDAAAOAAAAAAAAAAAAAAAAAC4CAABkcnMv&#10;ZTJvRG9jLnhtbFBLAQItABQABgAIAAAAIQAyEwtX4AAAAAwBAAAPAAAAAAAAAAAAAAAAAEoEAABk&#10;cnMvZG93bnJldi54bWxQSwUGAAAAAAQABADzAAAAVwUAAAAA&#10;" filled="f" stroked="f">
                <v:textbox inset="0,0,0,0">
                  <w:txbxContent>
                    <w:p w14:paraId="0482E146" w14:textId="77777777" w:rsidR="00490F33" w:rsidRDefault="00490F33">
                      <w:pPr>
                        <w:spacing w:line="237" w:lineRule="exact"/>
                        <w:jc w:val="both"/>
                        <w:textAlignment w:val="baseline"/>
                        <w:rPr>
                          <w:rFonts w:ascii="Tahoma" w:eastAsia="Tahoma" w:hAnsi="Tahoma"/>
                          <w:color w:val="404042"/>
                          <w:sz w:val="18"/>
                        </w:rPr>
                      </w:pPr>
                      <w:r>
                        <w:rPr>
                          <w:rFonts w:ascii="Tahoma" w:eastAsia="Tahoma" w:hAnsi="Tahoma"/>
                          <w:color w:val="404042"/>
                          <w:sz w:val="18"/>
                        </w:rPr>
                        <w:t>Education authorities and industry bodies should formalise their working relationship in order to facilitate the engagement of industry in senior secondary schooling in a systematic and comprehensive manner.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1168" behindDoc="1" locked="0" layoutInCell="1" allowOverlap="1" wp14:anchorId="21C4A79D" wp14:editId="105F0549">
                <wp:simplePos x="0" y="0"/>
                <wp:positionH relativeFrom="page">
                  <wp:posOffset>932815</wp:posOffset>
                </wp:positionH>
                <wp:positionV relativeFrom="page">
                  <wp:posOffset>4541520</wp:posOffset>
                </wp:positionV>
                <wp:extent cx="1532890" cy="182245"/>
                <wp:effectExtent l="0" t="0" r="0" b="0"/>
                <wp:wrapSquare wrapText="bothSides"/>
                <wp:docPr id="56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86DA8" w14:textId="77777777" w:rsidR="00490F33" w:rsidRDefault="00490F33">
                            <w:pPr>
                              <w:spacing w:before="10" w:line="268" w:lineRule="exact"/>
                              <w:textAlignment w:val="baseline"/>
                              <w:rPr>
                                <w:rFonts w:ascii="Arial" w:eastAsia="Arial" w:hAnsi="Arial"/>
                                <w:b/>
                                <w:color w:val="00708E"/>
                                <w:spacing w:val="-9"/>
                                <w:sz w:val="25"/>
                              </w:rPr>
                            </w:pPr>
                            <w:r>
                              <w:rPr>
                                <w:rFonts w:ascii="Arial" w:eastAsia="Arial" w:hAnsi="Arial"/>
                                <w:b/>
                                <w:color w:val="00708E"/>
                                <w:spacing w:val="-9"/>
                                <w:sz w:val="25"/>
                              </w:rPr>
                              <w:t>Recommendation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4A79D" id="Text Box 290" o:spid="_x0000_s1267" type="#_x0000_t202" style="position:absolute;left:0;text-align:left;margin-left:73.45pt;margin-top:357.6pt;width:120.7pt;height:14.35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8AEAAMMDAAAOAAAAZHJzL2Uyb0RvYy54bWysU8Fu2zAMvQ/YPwi6L068pkiNOEXXosOA&#10;bh3Q7gMYWY6F2aJGKbGzrx8lx2m33YZdBEqiHt97pNbXQ9eKgyZv0JZyMZtLoa3CythdKb89379b&#10;SeED2ApatLqUR+3l9ebtm3XvCp1jg22lSTCI9UXvStmE4Ios86rRHfgZOm35skbqIPCWdllF0DN6&#10;12b5fH6Z9UiVI1Taez69Gy/lJuHXtVbhsa69DqItJXMLaaW0buOabdZQ7AhcY9SJBvwDiw6M5aJn&#10;qDsIIPZk/oLqjCL0WIeZwi7DujZKJw2sZjH/Q81TA04nLWyOd2eb/P+DVV8OX0mYqpTLyyspLHTc&#10;pGc9BPEBB5FfJYd65wtOfHKcGga+4E4ntd49oPruhcXbBuxO3xBh32iomOEiepu9ehp74gsfQbb9&#10;Z6y4EOwDJqChpi7ax4YIRudOHc/diWRULLl8n6+YkFB8t1jl+cUylYBieu3Ih48aOxGDUhJ3P6HD&#10;4cGHyAaKKSUWs3hv2jZNQGt/O+DEeJLYR8Ij9TBsh2RVfpHERTlbrI4siHCcLP4JHDRIP6XoeapK&#10;6X/sgbQU7SfLpsQRnAKagu0UgFX8tJRBijG8DeOo7h2ZXcPIo+0Wb9i42iRNLyxOhHlSktTTVMdR&#10;fL1PWS9/b/MLAAD//wMAUEsDBBQABgAIAAAAIQCqxdQE4QAAAAsBAAAPAAAAZHJzL2Rvd25yZXYu&#10;eG1sTI/BTsMwDIbvSLxDZCRuLN06Sts1nSYEJyREVw47pk3WRmuc0mRbeXvMCY6//en352I724Fd&#10;9OSNQwHLRQRMY+uUwU7AZ/36kALzQaKSg0Mt4Ft72Ja3N4XMlbtipS/70DEqQZ9LAX0IY865b3tt&#10;pV+4USPtjm6yMlCcOq4meaVyO/BVFCXcSoN0oZejfu51e9qfrYDdAasX8/XefFTHytR1FuFbchLi&#10;/m7ebYAFPYc/GH71SR1KcmrcGZVnA+V1khEq4Gn5uAJGRJymMbCGJus4A14W/P8P5Q8AAAD//wMA&#10;UEsBAi0AFAAGAAgAAAAhALaDOJL+AAAA4QEAABMAAAAAAAAAAAAAAAAAAAAAAFtDb250ZW50X1R5&#10;cGVzXS54bWxQSwECLQAUAAYACAAAACEAOP0h/9YAAACUAQAACwAAAAAAAAAAAAAAAAAvAQAAX3Jl&#10;bHMvLnJlbHNQSwECLQAUAAYACAAAACEA1pvivvABAADDAwAADgAAAAAAAAAAAAAAAAAuAgAAZHJz&#10;L2Uyb0RvYy54bWxQSwECLQAUAAYACAAAACEAqsXUBOEAAAALAQAADwAAAAAAAAAAAAAAAABKBAAA&#10;ZHJzL2Rvd25yZXYueG1sUEsFBgAAAAAEAAQA8wAAAFgFAAAAAA==&#10;" filled="f" stroked="f">
                <v:textbox inset="0,0,0,0">
                  <w:txbxContent>
                    <w:p w14:paraId="6DB86DA8" w14:textId="77777777" w:rsidR="00490F33" w:rsidRDefault="00490F33">
                      <w:pPr>
                        <w:spacing w:before="10" w:line="268" w:lineRule="exact"/>
                        <w:textAlignment w:val="baseline"/>
                        <w:rPr>
                          <w:rFonts w:ascii="Arial" w:eastAsia="Arial" w:hAnsi="Arial"/>
                          <w:b/>
                          <w:color w:val="00708E"/>
                          <w:spacing w:val="-9"/>
                          <w:sz w:val="25"/>
                        </w:rPr>
                      </w:pPr>
                      <w:r>
                        <w:rPr>
                          <w:rFonts w:ascii="Arial" w:eastAsia="Arial" w:hAnsi="Arial"/>
                          <w:b/>
                          <w:color w:val="00708E"/>
                          <w:spacing w:val="-9"/>
                          <w:sz w:val="25"/>
                        </w:rPr>
                        <w:t>Recommendation 12</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2192" behindDoc="1" locked="0" layoutInCell="1" allowOverlap="1" wp14:anchorId="285A6D6E" wp14:editId="3024D95F">
                <wp:simplePos x="0" y="0"/>
                <wp:positionH relativeFrom="page">
                  <wp:posOffset>908050</wp:posOffset>
                </wp:positionH>
                <wp:positionV relativeFrom="page">
                  <wp:posOffset>4824730</wp:posOffset>
                </wp:positionV>
                <wp:extent cx="5453380" cy="457200"/>
                <wp:effectExtent l="0" t="0" r="0" b="0"/>
                <wp:wrapSquare wrapText="bothSides"/>
                <wp:docPr id="568"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33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A433C" w14:textId="77777777" w:rsidR="00490F33" w:rsidRDefault="00490F33">
                            <w:pPr>
                              <w:spacing w:line="236" w:lineRule="exact"/>
                              <w:textAlignment w:val="baseline"/>
                              <w:rPr>
                                <w:rFonts w:ascii="Tahoma" w:eastAsia="Tahoma" w:hAnsi="Tahoma"/>
                                <w:color w:val="404042"/>
                                <w:sz w:val="18"/>
                              </w:rPr>
                            </w:pPr>
                            <w:r>
                              <w:rPr>
                                <w:rFonts w:ascii="Tahoma" w:eastAsia="Tahoma" w:hAnsi="Tahoma"/>
                                <w:color w:val="404042"/>
                                <w:sz w:val="18"/>
                              </w:rPr>
                              <w:t>Education authorities need to facilitate and encourage partnerships between schools and employers at the local level in order to help students to make choices and gain experience in the diverse career pathways that different industries can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A6D6E" id="Text Box 289" o:spid="_x0000_s1268" type="#_x0000_t202" style="position:absolute;left:0;text-align:left;margin-left:71.5pt;margin-top:379.9pt;width:429.4pt;height:36pt;z-index:-25172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8T08QEAAMMDAAAOAAAAZHJzL2Uyb0RvYy54bWysU8Fu2zAMvQ/YPwi6L07SpMuMOEXXosOA&#10;rhvQ7gMYWY6F2aJGKbGzrx8lx1m73oZdBIqkHh8fqfVV3zbioMkbtIWcTaZSaKuwNHZXyO9Pd+9W&#10;UvgAtoQGrS7kUXt5tXn7Zt25XM+xxqbUJBjE+rxzhaxDcHmWeVXrFvwEnbYcrJBaCHylXVYSdIze&#10;Ntl8Or3MOqTSESrtPXtvh6DcJPyq0ip8rSqvg2gKydxCOimd23hmmzXkOwJXG3WiAf/AogVjuegZ&#10;6hYCiD2ZV1CtUYQeqzBR2GZYVUbp1AN3M5v+1c1jDU6nXlgc784y+f8Hqx4O30iYspDLSx6VhZaH&#10;9KT7ID5iL+arD1GhzvmcEx8dp4aeAzzp1K1396h+eGHxpga709dE2NUaSmY4iy+zZ08HHB9Btt0X&#10;LLkQ7AMmoL6iNsrHgghG50kdz9OJZBQ7l4vlxcWKQ4pji+V7Hn8qAfn42pEPnzS2IhqFJJ5+QofD&#10;vQ+RDeRjSixm8c40TdqAxr5wcGL0JPaR8EA99Ns+STVfzEdZtlgeuSHCYbP4J7BRI/2SouOtKqT/&#10;uQfSUjSfLYsSV3A0aDS2owFW8dNCBikG8yYMq7p3ZHY1Iw+yW7xm4SqTeooKDyxOhHlTUqunrY6r&#10;+Pyesv78vc1vAAAA//8DAFBLAwQUAAYACAAAACEAKH458OAAAAAMAQAADwAAAGRycy9kb3ducmV2&#10;LnhtbEyPwU7DMBBE70j8g7WVuFG7FEqbxqkqBCck1DQcODrxNokar0PstuHv2Z7gNqMdzc5LN6Pr&#10;xBmH0HrSMJsqEEiVty3VGj6Lt/sliBANWdN5Qg0/GGCT3d6kJrH+Qjme97EWXEIhMRqaGPtEylA1&#10;6EyY+h6Jbwc/OBPZDrW0g7lwuevkg1IL6UxL/KExPb40WB33J6dh+0X5a/v9Ue7yQ94WxUrR++Ko&#10;9d1k3K5BRBzjXxiu83k6ZLyp9CeyQXTsH+fMEjU8P62Y4ZpQasaq1LCcs5BZKv9DZL8AAAD//wMA&#10;UEsBAi0AFAAGAAgAAAAhALaDOJL+AAAA4QEAABMAAAAAAAAAAAAAAAAAAAAAAFtDb250ZW50X1R5&#10;cGVzXS54bWxQSwECLQAUAAYACAAAACEAOP0h/9YAAACUAQAACwAAAAAAAAAAAAAAAAAvAQAAX3Jl&#10;bHMvLnJlbHNQSwECLQAUAAYACAAAACEA0/PE9PEBAADDAwAADgAAAAAAAAAAAAAAAAAuAgAAZHJz&#10;L2Uyb0RvYy54bWxQSwECLQAUAAYACAAAACEAKH458OAAAAAMAQAADwAAAAAAAAAAAAAAAABLBAAA&#10;ZHJzL2Rvd25yZXYueG1sUEsFBgAAAAAEAAQA8wAAAFgFAAAAAA==&#10;" filled="f" stroked="f">
                <v:textbox inset="0,0,0,0">
                  <w:txbxContent>
                    <w:p w14:paraId="436A433C" w14:textId="77777777" w:rsidR="00490F33" w:rsidRDefault="00490F33">
                      <w:pPr>
                        <w:spacing w:line="236" w:lineRule="exact"/>
                        <w:textAlignment w:val="baseline"/>
                        <w:rPr>
                          <w:rFonts w:ascii="Tahoma" w:eastAsia="Tahoma" w:hAnsi="Tahoma"/>
                          <w:color w:val="404042"/>
                          <w:sz w:val="18"/>
                        </w:rPr>
                      </w:pPr>
                      <w:r>
                        <w:rPr>
                          <w:rFonts w:ascii="Tahoma" w:eastAsia="Tahoma" w:hAnsi="Tahoma"/>
                          <w:color w:val="404042"/>
                          <w:sz w:val="18"/>
                        </w:rPr>
                        <w:t>Education authorities need to facilitate and encourage partnerships between schools and employers at the local level in order to help students to make choices and gain experience in the diverse career pathways that different industries can offer.</w:t>
                      </w:r>
                    </w:p>
                  </w:txbxContent>
                </v:textbox>
                <w10:wrap type="square" anchorx="page" anchory="page"/>
              </v:shape>
            </w:pict>
          </mc:Fallback>
        </mc:AlternateContent>
      </w:r>
      <w:r w:rsidR="00083242">
        <w:rPr>
          <w:rFonts w:ascii="Arial" w:eastAsia="Arial" w:hAnsi="Arial"/>
          <w:i/>
          <w:color w:val="007896"/>
          <w:spacing w:val="1"/>
          <w:sz w:val="18"/>
        </w:rPr>
        <w:t>Implementation guidance</w:t>
      </w:r>
    </w:p>
    <w:p w14:paraId="471632E5" w14:textId="77777777" w:rsidR="009757A9" w:rsidRDefault="00083242">
      <w:pPr>
        <w:spacing w:before="167" w:line="240" w:lineRule="exact"/>
        <w:ind w:left="864" w:right="1152"/>
        <w:textAlignment w:val="baseline"/>
        <w:rPr>
          <w:rFonts w:ascii="Tahoma" w:eastAsia="Tahoma" w:hAnsi="Tahoma"/>
          <w:color w:val="404042"/>
          <w:sz w:val="18"/>
        </w:rPr>
      </w:pPr>
      <w:r>
        <w:rPr>
          <w:rFonts w:ascii="Tahoma" w:eastAsia="Tahoma" w:hAnsi="Tahoma"/>
          <w:color w:val="404042"/>
          <w:sz w:val="18"/>
        </w:rPr>
        <w:t>Many tools and guides to facilitate school–industry partnerships already exist. Many do not get used. Further work needs to be done to draw attention to the resources available and prioritise these partnerships both within industry and in the school system.</w:t>
      </w:r>
    </w:p>
    <w:p w14:paraId="39AB5B2D" w14:textId="77777777" w:rsidR="009757A9" w:rsidRDefault="00083242">
      <w:pPr>
        <w:spacing w:before="168"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Materials are not enough. To support an increase in industry engagement in schools, there is need for a more explicit authorising environment from education authorities. Schools need to be actively encouraged to establish partnerships with industry at the local level and to facilitate industry involvement at the state or territory level. Many secondary schools have school boards and seek to have local industry involvement in school decision-making. This provides an excellent opportunity for local industry to engage more strategically with schools. The key is to establish and sustain school–industry collaboration in a systematic manner.</w:t>
      </w:r>
    </w:p>
    <w:p w14:paraId="7DD59AF8" w14:textId="77777777" w:rsidR="009757A9" w:rsidRDefault="00083242">
      <w:pPr>
        <w:spacing w:before="172" w:after="725"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Together, the COAG Education Council and Skills Council are well placed to work closely with industry associations to develop an effective approach to school–industry partnerships that sets out clear roles and responsibilities supported by practical resources and tools. Education authorities need to be explicit in their expectations of industry and make the partnerships a high priority for schools, particularly in the senior secondary school years. If such activities were prioritised, it would signal a significant scaling up of industry engagement in schooling.</w:t>
      </w:r>
    </w:p>
    <w:p w14:paraId="06A72331" w14:textId="77777777" w:rsidR="009757A9" w:rsidRDefault="000D2E34">
      <w:pPr>
        <w:spacing w:before="54" w:line="197" w:lineRule="exact"/>
        <w:ind w:left="1080" w:right="1296"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31136" behindDoc="0" locked="0" layoutInCell="1" allowOverlap="1" wp14:anchorId="10B3E523" wp14:editId="606A1819">
                <wp:simplePos x="0" y="0"/>
                <wp:positionH relativeFrom="page">
                  <wp:posOffset>539750</wp:posOffset>
                </wp:positionH>
                <wp:positionV relativeFrom="page">
                  <wp:posOffset>8817610</wp:posOffset>
                </wp:positionV>
                <wp:extent cx="917575" cy="0"/>
                <wp:effectExtent l="0" t="0" r="0" b="0"/>
                <wp:wrapNone/>
                <wp:docPr id="567"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F9C21" id="Line 288" o:spid="_x0000_s1026" style="position:absolute;z-index:25193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94.3pt" to="114.75pt,6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wUzQEAAIYDAAAOAAAAZHJzL2Uyb0RvYy54bWysU8uO2zAMvBfoPwi6N04C5FEjzh6Sbi9p&#10;G2C3H8BIsi1UFgVJiZ2/LyUn6ba9FfVBEEVyOBzSm6ehM+yifNBoKz6bTDlTVqDUtqn499fnD2vO&#10;QgQrwaBVFb+qwJ+2799teleqObZopPKMQGwoe1fxNkZXFkUQreogTNApS84afQeRTN8U0kNP6J0p&#10;5tPpsujRS+dRqBDodT86+Tbj17US8VtdBxWZqThxi/n0+Tyls9huoGw8uFaLGw34BxYdaEtFH1B7&#10;iMDOXv8F1WnhMWAdJwK7AutaC5V7oG5m0z+6eWnBqdwLiRPcQ6bw/2DF18vRMy0rvliuOLPQ0ZAO&#10;2io2X6+TOr0LJQXt7NGn/sRgX9wBxY/ALO5asI3KLF+vjhJnKaP4LSUZwVGNU/8FJcXAOWKWaqh9&#10;lyBJBDbkiVwfE1FDZIIeP85Wi9WCM3F3FVDe85wP8bPCjqVLxQ2RzrhwOYSYeEB5D0llLD5rY/K8&#10;jWU9kZ1Pl4ucEdBombwpLvjmtDOeXSCtTP5yV+R5G5ag9xDaMS67xmXyeLYyl2kVyE+3ewRtxjvR&#10;MvamUhJmlPiE8nr0d/Vo2Jn/bTHTNr21c/av32f7EwAA//8DAFBLAwQUAAYACAAAACEAwyCI3N8A&#10;AAAMAQAADwAAAGRycy9kb3ducmV2LnhtbEyPwU7DMBBE70j8g7WVuCDqENrKhDgVqgQ3qlJA9OjG&#10;2yQiXkex24S/73JAcNzZ0cybfDm6VpywD40nDbfTBARS6W1DlYb3t6cbBSJEQ9a0nlDDNwZYFpcX&#10;ucmsH+gVT9tYCQ6hkBkNdYxdJmUoa3QmTH2HxL+D752JfPaVtL0ZONy1Mk2ShXSmIW6oTYerGsuv&#10;7dFpkDJRs/Hjc3iZXQfV7FbV7nm90fpqMj4+gIg4xj8z/OAzOhTMtPdHskG0GtScp0TW75RagGBH&#10;mt7PQex/JVnk8v+I4gwAAP//AwBQSwECLQAUAAYACAAAACEAtoM4kv4AAADhAQAAEwAAAAAAAAAA&#10;AAAAAAAAAAAAW0NvbnRlbnRfVHlwZXNdLnhtbFBLAQItABQABgAIAAAAIQA4/SH/1gAAAJQBAAAL&#10;AAAAAAAAAAAAAAAAAC8BAABfcmVscy8ucmVsc1BLAQItABQABgAIAAAAIQCnVWwUzQEAAIYDAAAO&#10;AAAAAAAAAAAAAAAAAC4CAABkcnMvZTJvRG9jLnhtbFBLAQItABQABgAIAAAAIQDDIIjc3wAAAAwB&#10;AAAPAAAAAAAAAAAAAAAAACcEAABkcnMvZG93bnJldi54bWxQSwUGAAAAAAQABADzAAAAMwUAAAAA&#10;" strokeweight=".95pt">
                <w10:wrap anchorx="page" anchory="page"/>
              </v:line>
            </w:pict>
          </mc:Fallback>
        </mc:AlternateContent>
      </w:r>
      <w:r w:rsidR="00083242">
        <w:rPr>
          <w:rFonts w:ascii="Tahoma" w:eastAsia="Tahoma" w:hAnsi="Tahoma"/>
          <w:color w:val="404042"/>
          <w:sz w:val="14"/>
        </w:rPr>
        <w:t xml:space="preserve">136 Business–School Connections Roundtable (2012), </w:t>
      </w:r>
      <w:r w:rsidR="00083242">
        <w:rPr>
          <w:rFonts w:ascii="Arial" w:eastAsia="Arial" w:hAnsi="Arial"/>
          <w:i/>
          <w:color w:val="404042"/>
          <w:sz w:val="14"/>
        </w:rPr>
        <w:t>Realising Potential: Businesses helping schools to develop Australia’s future</w:t>
      </w:r>
      <w:r w:rsidR="00083242">
        <w:rPr>
          <w:rFonts w:ascii="Tahoma" w:eastAsia="Tahoma" w:hAnsi="Tahoma"/>
          <w:color w:val="404042"/>
          <w:sz w:val="14"/>
        </w:rPr>
        <w:t xml:space="preserve">, p. 33, </w:t>
      </w:r>
      <w:hyperlink r:id="rId215">
        <w:r w:rsidR="00083242">
          <w:rPr>
            <w:rFonts w:ascii="Tahoma" w:eastAsia="Tahoma" w:hAnsi="Tahoma"/>
            <w:color w:val="0000FF"/>
            <w:sz w:val="14"/>
            <w:u w:val="single"/>
          </w:rPr>
          <w:t xml:space="preserve">https://docs. </w:t>
        </w:r>
      </w:hyperlink>
      <w:r w:rsidR="00083242">
        <w:rPr>
          <w:rFonts w:ascii="Tahoma" w:eastAsia="Tahoma" w:hAnsi="Tahoma"/>
          <w:color w:val="0000FF"/>
          <w:sz w:val="14"/>
          <w:u w:val="single"/>
        </w:rPr>
        <w:t>education.gov.au/system/files/doc/other/realising_potential.pdf</w:t>
      </w:r>
      <w:r w:rsidR="00083242">
        <w:rPr>
          <w:rFonts w:ascii="Tahoma" w:eastAsia="Tahoma" w:hAnsi="Tahoma"/>
          <w:color w:val="404042"/>
          <w:sz w:val="14"/>
        </w:rPr>
        <w:t>.</w:t>
      </w:r>
    </w:p>
    <w:p w14:paraId="54FDD575" w14:textId="77777777" w:rsidR="009757A9" w:rsidRDefault="00083242">
      <w:pPr>
        <w:spacing w:before="30" w:line="172" w:lineRule="exact"/>
        <w:ind w:left="864"/>
        <w:textAlignment w:val="baseline"/>
        <w:rPr>
          <w:rFonts w:ascii="Tahoma" w:eastAsia="Tahoma" w:hAnsi="Tahoma"/>
          <w:color w:val="404042"/>
          <w:spacing w:val="1"/>
          <w:sz w:val="14"/>
        </w:rPr>
      </w:pPr>
      <w:r>
        <w:rPr>
          <w:rFonts w:ascii="Tahoma" w:eastAsia="Tahoma" w:hAnsi="Tahoma"/>
          <w:color w:val="404042"/>
          <w:spacing w:val="1"/>
          <w:sz w:val="14"/>
        </w:rPr>
        <w:t>137 Joyce (2019), p. 90.</w:t>
      </w:r>
    </w:p>
    <w:p w14:paraId="28F2CE5C" w14:textId="77777777" w:rsidR="009757A9" w:rsidRDefault="00083242">
      <w:pPr>
        <w:tabs>
          <w:tab w:val="left" w:pos="1368"/>
        </w:tabs>
        <w:spacing w:before="731"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100</w:t>
      </w:r>
      <w:r>
        <w:rPr>
          <w:rFonts w:ascii="Tahoma" w:eastAsia="Tahoma" w:hAnsi="Tahoma"/>
          <w:color w:val="404042"/>
          <w:spacing w:val="4"/>
          <w:sz w:val="14"/>
        </w:rPr>
        <w:tab/>
        <w:t>Looking to the future</w:t>
      </w:r>
    </w:p>
    <w:p w14:paraId="05E365A2" w14:textId="77777777" w:rsidR="009757A9" w:rsidRDefault="00083242">
      <w:pPr>
        <w:textAlignment w:val="baseline"/>
      </w:pPr>
      <w:r>
        <w:rPr>
          <w:noProof/>
          <w:lang w:val="en-AU" w:eastAsia="en-AU"/>
        </w:rPr>
        <w:drawing>
          <wp:inline distT="0" distB="0" distL="0" distR="0" wp14:anchorId="612B739C" wp14:editId="5AFF2387">
            <wp:extent cx="7562215" cy="462915"/>
            <wp:effectExtent l="0" t="0" r="0" b="0"/>
            <wp:docPr id="165" name="Picture"/>
            <wp:cNvGraphicFramePr/>
            <a:graphic xmlns:a="http://schemas.openxmlformats.org/drawingml/2006/main">
              <a:graphicData uri="http://schemas.openxmlformats.org/drawingml/2006/picture">
                <pic:pic xmlns:pic="http://schemas.openxmlformats.org/drawingml/2006/picture">
                  <pic:nvPicPr>
                    <pic:cNvPr id="165" name="Picture"/>
                    <pic:cNvPicPr preferRelativeResize="0"/>
                  </pic:nvPicPr>
                  <pic:blipFill>
                    <a:blip r:embed="rId157"/>
                    <a:stretch>
                      <a:fillRect/>
                    </a:stretch>
                  </pic:blipFill>
                  <pic:spPr>
                    <a:xfrm>
                      <a:off x="0" y="0"/>
                      <a:ext cx="7562215" cy="462915"/>
                    </a:xfrm>
                    <a:prstGeom prst="rect">
                      <a:avLst/>
                    </a:prstGeom>
                  </pic:spPr>
                </pic:pic>
              </a:graphicData>
            </a:graphic>
          </wp:inline>
        </w:drawing>
      </w:r>
    </w:p>
    <w:p w14:paraId="7FBEB2E4" w14:textId="77777777" w:rsidR="009757A9" w:rsidRDefault="009757A9">
      <w:pPr>
        <w:sectPr w:rsidR="009757A9">
          <w:pgSz w:w="11909" w:h="16838"/>
          <w:pgMar w:top="1080" w:right="0" w:bottom="0" w:left="0" w:header="720" w:footer="720" w:gutter="0"/>
          <w:cols w:space="720"/>
        </w:sectPr>
      </w:pPr>
    </w:p>
    <w:p w14:paraId="51E1DA20"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593216" behindDoc="1" locked="0" layoutInCell="1" allowOverlap="1" wp14:anchorId="0902D58D" wp14:editId="4CC73E17">
                <wp:simplePos x="0" y="0"/>
                <wp:positionH relativeFrom="page">
                  <wp:posOffset>0</wp:posOffset>
                </wp:positionH>
                <wp:positionV relativeFrom="page">
                  <wp:posOffset>0</wp:posOffset>
                </wp:positionV>
                <wp:extent cx="7562215" cy="10692130"/>
                <wp:effectExtent l="0" t="0" r="0" b="0"/>
                <wp:wrapSquare wrapText="bothSides"/>
                <wp:docPr id="56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B9BBF" w14:textId="77777777" w:rsidR="00490F33" w:rsidRDefault="00490F33">
                            <w:pPr>
                              <w:textAlignment w:val="baseline"/>
                            </w:pPr>
                            <w:r>
                              <w:rPr>
                                <w:noProof/>
                                <w:lang w:val="en-AU" w:eastAsia="en-AU"/>
                              </w:rPr>
                              <w:drawing>
                                <wp:inline distT="0" distB="0" distL="0" distR="0" wp14:anchorId="10CE8929" wp14:editId="5E70AFF3">
                                  <wp:extent cx="7562215" cy="10692130"/>
                                  <wp:effectExtent l="0" t="0" r="0" b="0"/>
                                  <wp:docPr id="166" name="Picture"/>
                                  <wp:cNvGraphicFramePr/>
                                  <a:graphic xmlns:a="http://schemas.openxmlformats.org/drawingml/2006/main">
                                    <a:graphicData uri="http://schemas.openxmlformats.org/drawingml/2006/picture">
                                      <pic:pic xmlns:pic="http://schemas.openxmlformats.org/drawingml/2006/picture">
                                        <pic:nvPicPr>
                                          <pic:cNvPr id="166" name="Picture"/>
                                          <pic:cNvPicPr preferRelativeResize="0"/>
                                        </pic:nvPicPr>
                                        <pic:blipFill>
                                          <a:blip r:embed="rId216"/>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2D58D" id="Text Box 287" o:spid="_x0000_s1269" type="#_x0000_t202" style="position:absolute;margin-left:0;margin-top:0;width:595.45pt;height:841.9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0k8wEAAMUDAAAOAAAAZHJzL2Uyb0RvYy54bWysU9tu1DAQfUfiHyy/s7mUTUu02aq0KkIq&#10;BanlAxzH2VgkHjP2brJ8PWNnsxR4Q7xY47kcnzkz3lxPQ88OCp0GU/FslXKmjIRGm13Fvz7fv7ni&#10;zHlhGtGDURU/Ksevt69fbUZbqhw66BuFjECMK0db8c57WyaJk50ahFuBVYaCLeAgPF1xlzQoRkIf&#10;+iRP0yIZARuLIJVz5L2bg3wb8dtWSf+5bZ3yrK84cfPxxHjW4Uy2G1HuUNhOyxMN8Q8sBqENPXqG&#10;uhNesD3qv6AGLREctH4lYUigbbVUsQfqJkv/6OapE1bFXkgcZ88yuf8HKx8PX5DppuLrouDMiIGG&#10;9Kwmz97DxPKry6DQaF1JiU+WUv1EAZp07NbZB5DfHDNw2wmzUzeIMHZKNMQwC5XJi9IZxwWQevwE&#10;DT0k9h4i0NTiEOQjQRih06SO5+kEMpKcl+siz7M1Z5JiWVq8y7OLOMBElEu9Rec/KBhYMCqONP+I&#10;Lw4Pzgc+olxSwnMG7nXfxx3ozW8OSgyeyD9Qnsn7qZ6iWPnbi0WYGpojtYQw7xb9BTI6wB+cjbRX&#10;FXff9wIVZ/1HQ7KEJVwMXIx6MYSRVFpxz9ls3vp5WfcW9a4j5Fl4AzckXatjT0HjmcWJMO1KbPW0&#10;12EZX95j1q/ft/0JAAD//wMAUEsDBBQABgAIAAAAIQB7Iski3QAAAAcBAAAPAAAAZHJzL2Rvd25y&#10;ZXYueG1sTI/BTsMwEETvSPyDtUjcqF2QoiTEqaqKnioh0nDg6MTbxGq8TmO3DX+PywUuq1nNauZt&#10;sZrtwC44eeNIwnIhgCG1ThvqJHzW26cUmA+KtBocoYRv9LAq7+8KlWt3pQov+9CxGEI+VxL6EMac&#10;c9/2aJVfuBEpegc3WRXiOnVcT+oaw+3An4VIuFWGYkOvRtz02B73Zyth/UXVmzm9Nx/VoTJ1nQna&#10;JUcpHx/m9SuwgHP4O4YbfkSHMjI17kzas0FCfCT8zpu3zEQGrIkqSV9S4GXB//OXPwAAAP//AwBQ&#10;SwECLQAUAAYACAAAACEAtoM4kv4AAADhAQAAEwAAAAAAAAAAAAAAAAAAAAAAW0NvbnRlbnRfVHlw&#10;ZXNdLnhtbFBLAQItABQABgAIAAAAIQA4/SH/1gAAAJQBAAALAAAAAAAAAAAAAAAAAC8BAABfcmVs&#10;cy8ucmVsc1BLAQItABQABgAIAAAAIQCDjV0k8wEAAMUDAAAOAAAAAAAAAAAAAAAAAC4CAABkcnMv&#10;ZTJvRG9jLnhtbFBLAQItABQABgAIAAAAIQB7Iski3QAAAAcBAAAPAAAAAAAAAAAAAAAAAE0EAABk&#10;cnMvZG93bnJldi54bWxQSwUGAAAAAAQABADzAAAAVwUAAAAA&#10;" filled="f" stroked="f">
                <v:textbox inset="0,0,0,0">
                  <w:txbxContent>
                    <w:p w14:paraId="0E4B9BBF" w14:textId="77777777" w:rsidR="00490F33" w:rsidRDefault="00490F33">
                      <w:pPr>
                        <w:textAlignment w:val="baseline"/>
                      </w:pPr>
                      <w:r>
                        <w:rPr>
                          <w:noProof/>
                          <w:lang w:val="en-AU" w:eastAsia="en-AU"/>
                        </w:rPr>
                        <w:drawing>
                          <wp:inline distT="0" distB="0" distL="0" distR="0" wp14:anchorId="10CE8929" wp14:editId="5E70AFF3">
                            <wp:extent cx="7562215" cy="10692130"/>
                            <wp:effectExtent l="0" t="0" r="0" b="0"/>
                            <wp:docPr id="166" name="Picture"/>
                            <wp:cNvGraphicFramePr/>
                            <a:graphic xmlns:a="http://schemas.openxmlformats.org/drawingml/2006/main">
                              <a:graphicData uri="http://schemas.openxmlformats.org/drawingml/2006/picture">
                                <pic:pic xmlns:pic="http://schemas.openxmlformats.org/drawingml/2006/picture">
                                  <pic:nvPicPr>
                                    <pic:cNvPr id="166" name="Picture"/>
                                    <pic:cNvPicPr preferRelativeResize="0"/>
                                  </pic:nvPicPr>
                                  <pic:blipFill>
                                    <a:blip r:embed="rId216"/>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4240" behindDoc="1" locked="0" layoutInCell="1" allowOverlap="1" wp14:anchorId="12A5D738" wp14:editId="7F3E312B">
                <wp:simplePos x="0" y="0"/>
                <wp:positionH relativeFrom="page">
                  <wp:posOffset>847090</wp:posOffset>
                </wp:positionH>
                <wp:positionV relativeFrom="page">
                  <wp:posOffset>982980</wp:posOffset>
                </wp:positionV>
                <wp:extent cx="1511935" cy="285115"/>
                <wp:effectExtent l="0" t="0" r="0" b="0"/>
                <wp:wrapSquare wrapText="bothSides"/>
                <wp:docPr id="565"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3E209"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5D738" id="Text Box 286" o:spid="_x0000_s1270" type="#_x0000_t202" style="position:absolute;margin-left:66.7pt;margin-top:77.4pt;width:119.05pt;height:22.45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J17wEAAMMDAAAOAAAAZHJzL2Uyb0RvYy54bWysU1GP0zAMfkfiP0R5Z93GbRrVutNxp0NI&#10;B4d0xw9w03SNaOPgZGvHr8dJ13HAG+IlcmL78+fPzvZ66Fpx1OQN2kIuZnMptFVYGbsv5Nfn+zcb&#10;KXwAW0GLVhfypL283r1+te1drpfYYFtpEgxifd67QjYhuDzLvGp0B36GTlt21kgdBL7SPqsIekbv&#10;2mw5n6+zHqlyhEp7z693o1PuEn5daxUe69rrINpCMreQTkpnGc9st4V8T+Aao8404B9YdGAsF71A&#10;3UEAcSDzF1RnFKHHOswUdhnWtVE69cDdLOZ/dPPUgNOpFxbHu4tM/v/Bqs/HLyRMVcjVeiWFhY6H&#10;9KyHIN7jIJabdVSodz7nwCfHoWFgB086devdA6pvXli8bcDu9Q0R9o2GihkuYmb2InXE8RGk7D9h&#10;xYXgEDABDTV1UT4WRDA6T+p0mU4ko2LJ1WLx7i2TVOxbbvi2SiUgn7Id+fBBYyeiUUji6Sd0OD74&#10;ENlAPoXEYhbvTdumDWjtbw8cGF8S+0h4pB6GckhSLa+uJllKrE7cEOG4WfwT2GiQfkjR81YV0n8/&#10;AGkp2o+WRYkrOBk0GeVkgFWcWsggxWjehnFVD47MvmHkUXaLNyxcbVJPUeGRxZkwb0pq9bzVcRVf&#10;3lPUr7+3+wkAAP//AwBQSwMEFAAGAAgAAAAhABa29dPgAAAACwEAAA8AAABkcnMvZG93bnJldi54&#10;bWxMj81OwzAQhO9IvIO1SNyoU9K/hDhVheCEhEjDoUcn3iZR43WI3Ta8PcsJbju7o9lvsu1ke3HB&#10;0XeOFMxnEQik2pmOGgWf5evDBoQPmozuHaGCb/SwzW9vMp0ad6UCL/vQCA4hn2oFbQhDKqWvW7Ta&#10;z9yAxLejG60OLMdGmlFfOdz28jGKVtLqjvhDqwd8brE+7c9Wwe5AxUv39V59FMeiK8skorfVSan7&#10;u2n3BCLgFP7M8IvP6JAzU+XOZLzoWcfxgq08LBfcgR3xer4EUfEmSdYg80z+75D/AAAA//8DAFBL&#10;AQItABQABgAIAAAAIQC2gziS/gAAAOEBAAATAAAAAAAAAAAAAAAAAAAAAABbQ29udGVudF9UeXBl&#10;c10ueG1sUEsBAi0AFAAGAAgAAAAhADj9If/WAAAAlAEAAAsAAAAAAAAAAAAAAAAALwEAAF9yZWxz&#10;Ly5yZWxzUEsBAi0AFAAGAAgAAAAhAJ91MnXvAQAAwwMAAA4AAAAAAAAAAAAAAAAALgIAAGRycy9l&#10;Mm9Eb2MueG1sUEsBAi0AFAAGAAgAAAAhABa29dPgAAAACwEAAA8AAAAAAAAAAAAAAAAASQQAAGRy&#10;cy9kb3ducmV2LnhtbFBLBQYAAAAABAAEAPMAAABWBQAAAAA=&#10;" filled="f" stroked="f">
                <v:textbox inset="0,0,0,0">
                  <w:txbxContent>
                    <w:p w14:paraId="4953E209"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5264" behindDoc="1" locked="0" layoutInCell="1" allowOverlap="1" wp14:anchorId="0FF136CF" wp14:editId="33D0642A">
                <wp:simplePos x="0" y="0"/>
                <wp:positionH relativeFrom="page">
                  <wp:posOffset>2359025</wp:posOffset>
                </wp:positionH>
                <wp:positionV relativeFrom="page">
                  <wp:posOffset>982980</wp:posOffset>
                </wp:positionV>
                <wp:extent cx="88265" cy="278765"/>
                <wp:effectExtent l="0" t="0" r="0" b="0"/>
                <wp:wrapSquare wrapText="bothSides"/>
                <wp:docPr id="56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EFBDE" w14:textId="77777777" w:rsidR="00490F33" w:rsidRDefault="00490F33">
                            <w:pPr>
                              <w:spacing w:line="424" w:lineRule="exact"/>
                              <w:textAlignment w:val="baseline"/>
                              <w:rPr>
                                <w:rFonts w:ascii="Arial" w:eastAsia="Arial" w:hAnsi="Arial"/>
                                <w:b/>
                                <w:color w:val="BF5B1F"/>
                                <w:w w:val="90"/>
                                <w:sz w:val="39"/>
                              </w:rPr>
                            </w:pPr>
                            <w:r>
                              <w:rPr>
                                <w:rFonts w:ascii="Arial" w:eastAsia="Arial" w:hAnsi="Arial"/>
                                <w:b/>
                                <w:color w:val="BF5B1F"/>
                                <w:w w:val="90"/>
                                <w:sz w:val="3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36CF" id="Text Box 285" o:spid="_x0000_s1271" type="#_x0000_t202" style="position:absolute;margin-left:185.75pt;margin-top:77.4pt;width:6.95pt;height:21.95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8I7gEAAMEDAAAOAAAAZHJzL2Uyb0RvYy54bWysU8Fu2zAMvQ/YPwi6L06MJg2MOEXXosOA&#10;bivQ7gMYWY6F2aJGKbGzrx8lx1m33YZdBIqkHh8fqc3N0LXiqMkbtKVczOZSaKuwMnZfyq8vD+/W&#10;UvgAtoIWrS7lSXt5s337ZtO7QufYYFtpEgxifdG7UjYhuCLLvGp0B36GTlsO1kgdBL7SPqsIekbv&#10;2iyfz1dZj1Q5QqW9Z+/9GJTbhF/XWoUvde11EG0pmVtIJ6VzF89su4FiT+Aao8404B9YdGAsF71A&#10;3UMAcSDzF1RnFKHHOswUdhnWtVE69cDdLOZ/dPPcgNOpFxbHu4tM/v/Bqs/HJxKmKuVydSWFhY6H&#10;9KKHIN7jIPL1MirUO19w4rPj1DBwgCeduvXuEdU3LyzeNWD3+pYI+0ZDxQwX8WX26umI4yPIrv+E&#10;FReCQ8AENNTURflYEMHoPKnTZTqRjGLnep2vllIojuTX62u2YwEopreOfPigsRPRKCXx7BM2HB99&#10;GFOnlFjK4oNpW/ZD0drfHIwZPYl7pDsSD8NuSELlVxdRdliduB3Cca/4H7DRIP2QouedKqX/fgDS&#10;UrQfLUsSF3AyaDJ2kwFW8dNSBilG8y6Mi3pwZPYNI4+iW7xl2WqTeor6jizOhHlPkirnnY6L+Pqe&#10;sn79vO1PAAAA//8DAFBLAwQUAAYACAAAACEA68Mg8+EAAAALAQAADwAAAGRycy9kb3ducmV2Lnht&#10;bEyPwU7DMBBE70j8g7VI3KhT2rRpiFNVCE5IiDQcODrJNrEar0PstuHvWU7luDNPszPZdrK9OOPo&#10;jSMF81kEAql2jaFWwWf5+pCA8EFTo3tHqOAHPWzz25tMp427UIHnfWgFh5BPtYIuhCGV0tcdWu1n&#10;bkBi7+BGqwOfYyubUV843PbyMYpW0mpD/KHTAz53WB/3J6tg90XFi/l+rz6KQ2HKchPR2+qo1P3d&#10;tHsCEXAKVxj+6nN1yLlT5U7UeNErWKznMaNsxEvewMQiiZcgKlY2yRpknsn/G/JfAAAA//8DAFBL&#10;AQItABQABgAIAAAAIQC2gziS/gAAAOEBAAATAAAAAAAAAAAAAAAAAAAAAABbQ29udGVudF9UeXBl&#10;c10ueG1sUEsBAi0AFAAGAAgAAAAhADj9If/WAAAAlAEAAAsAAAAAAAAAAAAAAAAALwEAAF9yZWxz&#10;Ly5yZWxzUEsBAi0AFAAGAAgAAAAhAF+1PwjuAQAAwQMAAA4AAAAAAAAAAAAAAAAALgIAAGRycy9l&#10;Mm9Eb2MueG1sUEsBAi0AFAAGAAgAAAAhAOvDIPPhAAAACwEAAA8AAAAAAAAAAAAAAAAASAQAAGRy&#10;cy9kb3ducmV2LnhtbFBLBQYAAAAABAAEAPMAAABWBQAAAAA=&#10;" filled="f" stroked="f">
                <v:textbox inset="0,0,0,0">
                  <w:txbxContent>
                    <w:p w14:paraId="2C5EFBDE" w14:textId="77777777" w:rsidR="00490F33" w:rsidRDefault="00490F33">
                      <w:pPr>
                        <w:spacing w:line="424" w:lineRule="exact"/>
                        <w:textAlignment w:val="baseline"/>
                        <w:rPr>
                          <w:rFonts w:ascii="Arial" w:eastAsia="Arial" w:hAnsi="Arial"/>
                          <w:b/>
                          <w:color w:val="BF5B1F"/>
                          <w:w w:val="90"/>
                          <w:sz w:val="39"/>
                        </w:rPr>
                      </w:pPr>
                      <w:r>
                        <w:rPr>
                          <w:rFonts w:ascii="Arial" w:eastAsia="Arial" w:hAnsi="Arial"/>
                          <w:b/>
                          <w:color w:val="BF5B1F"/>
                          <w:w w:val="90"/>
                          <w:sz w:val="39"/>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6288" behindDoc="1" locked="0" layoutInCell="1" allowOverlap="1" wp14:anchorId="5C9F653D" wp14:editId="69FBC806">
                <wp:simplePos x="0" y="0"/>
                <wp:positionH relativeFrom="page">
                  <wp:posOffset>847090</wp:posOffset>
                </wp:positionH>
                <wp:positionV relativeFrom="page">
                  <wp:posOffset>1261745</wp:posOffset>
                </wp:positionV>
                <wp:extent cx="2697480" cy="871855"/>
                <wp:effectExtent l="0" t="0" r="0" b="0"/>
                <wp:wrapSquare wrapText="bothSides"/>
                <wp:docPr id="56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380DB" w14:textId="77777777" w:rsidR="00490F33" w:rsidRDefault="00490F33">
                            <w:pPr>
                              <w:spacing w:line="447" w:lineRule="exact"/>
                              <w:textAlignment w:val="baseline"/>
                              <w:rPr>
                                <w:rFonts w:ascii="Tahoma" w:eastAsia="Tahoma" w:hAnsi="Tahoma"/>
                                <w:color w:val="BF5B1F"/>
                                <w:spacing w:val="5"/>
                                <w:w w:val="95"/>
                                <w:sz w:val="38"/>
                              </w:rPr>
                            </w:pPr>
                            <w:r>
                              <w:rPr>
                                <w:rFonts w:ascii="Tahoma" w:eastAsia="Tahoma" w:hAnsi="Tahoma"/>
                                <w:color w:val="BF5B1F"/>
                                <w:spacing w:val="5"/>
                                <w:w w:val="95"/>
                                <w:sz w:val="38"/>
                              </w:rPr>
                              <w:t>GATEWAY TO INDUSTRY</w:t>
                            </w:r>
                          </w:p>
                          <w:p w14:paraId="31D30DA7" w14:textId="77777777" w:rsidR="00490F33" w:rsidRDefault="00490F33">
                            <w:pPr>
                              <w:spacing w:line="460" w:lineRule="exact"/>
                              <w:textAlignment w:val="baseline"/>
                              <w:rPr>
                                <w:rFonts w:ascii="Tahoma" w:eastAsia="Tahoma" w:hAnsi="Tahoma"/>
                                <w:color w:val="BF5B1F"/>
                                <w:spacing w:val="17"/>
                                <w:w w:val="95"/>
                                <w:sz w:val="38"/>
                              </w:rPr>
                            </w:pPr>
                            <w:r>
                              <w:rPr>
                                <w:rFonts w:ascii="Tahoma" w:eastAsia="Tahoma" w:hAnsi="Tahoma"/>
                                <w:color w:val="BF5B1F"/>
                                <w:spacing w:val="17"/>
                                <w:w w:val="95"/>
                                <w:sz w:val="38"/>
                              </w:rPr>
                              <w:t>SCHOOLS PROGRAM IN</w:t>
                            </w:r>
                          </w:p>
                          <w:p w14:paraId="08BF8D13" w14:textId="77777777" w:rsidR="00490F33" w:rsidRDefault="00490F33">
                            <w:pPr>
                              <w:spacing w:before="1" w:line="460" w:lineRule="exact"/>
                              <w:textAlignment w:val="baseline"/>
                              <w:rPr>
                                <w:rFonts w:ascii="Tahoma" w:eastAsia="Tahoma" w:hAnsi="Tahoma"/>
                                <w:color w:val="BF5B1F"/>
                                <w:spacing w:val="24"/>
                                <w:w w:val="95"/>
                                <w:sz w:val="38"/>
                              </w:rPr>
                            </w:pPr>
                            <w:r>
                              <w:rPr>
                                <w:rFonts w:ascii="Tahoma" w:eastAsia="Tahoma" w:hAnsi="Tahoma"/>
                                <w:color w:val="BF5B1F"/>
                                <w:spacing w:val="24"/>
                                <w:w w:val="95"/>
                                <w:sz w:val="38"/>
                              </w:rPr>
                              <w:t>QUEENSLAND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F653D" id="Text Box 284" o:spid="_x0000_s1272" type="#_x0000_t202" style="position:absolute;margin-left:66.7pt;margin-top:99.35pt;width:212.4pt;height:68.65pt;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E578gEAAMMDAAAOAAAAZHJzL2Uyb0RvYy54bWysU1GP0zAMfkfiP0R5Z93GthvVutNxp0NI&#10;x4F0xw/w0nSNaOPgZGvHr8dJ13HAG+Ilcmzn8+fPzua6bxtx1OQN2kLOJlMptFVYGrsv5Nfn+zdr&#10;KXwAW0KDVhfypL283r5+telcrudYY1NqEgxifd65QtYhuDzLvKp1C36CTlsOVkgtBL7SPisJOkZv&#10;m2w+na6yDql0hEp7z967ISi3Cb+qtAqfq8rrIJpCMreQTkrnLp7ZdgP5nsDVRp1pwD+waMFYLnqB&#10;uoMA4kDmL6jWKEKPVZgobDOsKqN06oG7mU3/6OapBqdTLyyOdxeZ/P+DVY/HLyRMWcjl6q0UFloe&#10;0rPug3iPvZivF1GhzvmcE58cp4aeAzzp1K13D6i+eWHxtga71zdE2NUaSmY4iy+zF08HHB9Bdt0n&#10;LLkQHAImoL6iNsrHgghG50mdLtOJZBQ756t3V4s1hxTH1lez9XKZSkA+vnbkwweNrYhGIYmnn9Dh&#10;+OBDZAP5mBKLWbw3TZM2oLG/OTgxehL7SHigHvpdn6SaL1ajLDssT9wQ4bBZ/BPYqJF+SNHxVhXS&#10;fz8AaSmaj5ZFiSs4GjQau9EAq/hpIYMUg3kbhlU9ODL7mpEH2S3esHCVST1FhQcWZ8K8KanV81bH&#10;VXx5T1m//t72JwAAAP//AwBQSwMEFAAGAAgAAAAhAMZrumHgAAAACwEAAA8AAABkcnMvZG93bnJl&#10;di54bWxMj8FOwzAMhu9IvENkJG4sYWWlK02nCcEJCa0rB45pk7XRGqc02VbeHnOCm3/50+/PxWZ2&#10;AzubKViPEu4XApjB1muLnYSP+vUuAxaiQq0Gj0bCtwmwKa+vCpVrf8HKnPexY1SCIVcS+hjHnPPQ&#10;9sapsPCjQdod/ORUpDh1XE/qQuVu4EshUu6URbrQq9E896Y97k9OwvYTqxf79d7sqkNl63ot8C09&#10;Snl7M2+fgEUzxz8YfvVJHUpyavwJdWAD5SR5IJSGdfYIjIjVKlsCayQkSSqAlwX//0P5AwAA//8D&#10;AFBLAQItABQABgAIAAAAIQC2gziS/gAAAOEBAAATAAAAAAAAAAAAAAAAAAAAAABbQ29udGVudF9U&#10;eXBlc10ueG1sUEsBAi0AFAAGAAgAAAAhADj9If/WAAAAlAEAAAsAAAAAAAAAAAAAAAAALwEAAF9y&#10;ZWxzLy5yZWxzUEsBAi0AFAAGAAgAAAAhAP3UTnvyAQAAwwMAAA4AAAAAAAAAAAAAAAAALgIAAGRy&#10;cy9lMm9Eb2MueG1sUEsBAi0AFAAGAAgAAAAhAMZrumHgAAAACwEAAA8AAAAAAAAAAAAAAAAATAQA&#10;AGRycy9kb3ducmV2LnhtbFBLBQYAAAAABAAEAPMAAABZBQAAAAA=&#10;" filled="f" stroked="f">
                <v:textbox inset="0,0,0,0">
                  <w:txbxContent>
                    <w:p w14:paraId="0BE380DB" w14:textId="77777777" w:rsidR="00490F33" w:rsidRDefault="00490F33">
                      <w:pPr>
                        <w:spacing w:line="447" w:lineRule="exact"/>
                        <w:textAlignment w:val="baseline"/>
                        <w:rPr>
                          <w:rFonts w:ascii="Tahoma" w:eastAsia="Tahoma" w:hAnsi="Tahoma"/>
                          <w:color w:val="BF5B1F"/>
                          <w:spacing w:val="5"/>
                          <w:w w:val="95"/>
                          <w:sz w:val="38"/>
                        </w:rPr>
                      </w:pPr>
                      <w:r>
                        <w:rPr>
                          <w:rFonts w:ascii="Tahoma" w:eastAsia="Tahoma" w:hAnsi="Tahoma"/>
                          <w:color w:val="BF5B1F"/>
                          <w:spacing w:val="5"/>
                          <w:w w:val="95"/>
                          <w:sz w:val="38"/>
                        </w:rPr>
                        <w:t>GATEWAY TO INDUSTRY</w:t>
                      </w:r>
                    </w:p>
                    <w:p w14:paraId="31D30DA7" w14:textId="77777777" w:rsidR="00490F33" w:rsidRDefault="00490F33">
                      <w:pPr>
                        <w:spacing w:line="460" w:lineRule="exact"/>
                        <w:textAlignment w:val="baseline"/>
                        <w:rPr>
                          <w:rFonts w:ascii="Tahoma" w:eastAsia="Tahoma" w:hAnsi="Tahoma"/>
                          <w:color w:val="BF5B1F"/>
                          <w:spacing w:val="17"/>
                          <w:w w:val="95"/>
                          <w:sz w:val="38"/>
                        </w:rPr>
                      </w:pPr>
                      <w:r>
                        <w:rPr>
                          <w:rFonts w:ascii="Tahoma" w:eastAsia="Tahoma" w:hAnsi="Tahoma"/>
                          <w:color w:val="BF5B1F"/>
                          <w:spacing w:val="17"/>
                          <w:w w:val="95"/>
                          <w:sz w:val="38"/>
                        </w:rPr>
                        <w:t>SCHOOLS PROGRAM IN</w:t>
                      </w:r>
                    </w:p>
                    <w:p w14:paraId="08BF8D13" w14:textId="77777777" w:rsidR="00490F33" w:rsidRDefault="00490F33">
                      <w:pPr>
                        <w:spacing w:before="1" w:line="460" w:lineRule="exact"/>
                        <w:textAlignment w:val="baseline"/>
                        <w:rPr>
                          <w:rFonts w:ascii="Tahoma" w:eastAsia="Tahoma" w:hAnsi="Tahoma"/>
                          <w:color w:val="BF5B1F"/>
                          <w:spacing w:val="24"/>
                          <w:w w:val="95"/>
                          <w:sz w:val="38"/>
                        </w:rPr>
                      </w:pPr>
                      <w:r>
                        <w:rPr>
                          <w:rFonts w:ascii="Tahoma" w:eastAsia="Tahoma" w:hAnsi="Tahoma"/>
                          <w:color w:val="BF5B1F"/>
                          <w:spacing w:val="24"/>
                          <w:w w:val="95"/>
                          <w:sz w:val="38"/>
                        </w:rPr>
                        <w:t>QUEENSLAND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7312" behindDoc="1" locked="0" layoutInCell="1" allowOverlap="1" wp14:anchorId="7B357979" wp14:editId="4D821B5B">
                <wp:simplePos x="0" y="0"/>
                <wp:positionH relativeFrom="page">
                  <wp:posOffset>4184650</wp:posOffset>
                </wp:positionH>
                <wp:positionV relativeFrom="page">
                  <wp:posOffset>952500</wp:posOffset>
                </wp:positionV>
                <wp:extent cx="2399030" cy="1082040"/>
                <wp:effectExtent l="0" t="0" r="0" b="0"/>
                <wp:wrapSquare wrapText="bothSides"/>
                <wp:docPr id="562"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E6418" w14:textId="77777777" w:rsidR="00490F33" w:rsidRDefault="00490F33">
                            <w:pPr>
                              <w:spacing w:after="16" w:line="240" w:lineRule="exact"/>
                              <w:textAlignment w:val="baseline"/>
                              <w:rPr>
                                <w:rFonts w:ascii="Tahoma" w:eastAsia="Tahoma" w:hAnsi="Tahoma"/>
                                <w:color w:val="404042"/>
                                <w:spacing w:val="5"/>
                                <w:sz w:val="18"/>
                              </w:rPr>
                            </w:pPr>
                            <w:r>
                              <w:rPr>
                                <w:rFonts w:ascii="Tahoma" w:eastAsia="Tahoma" w:hAnsi="Tahoma"/>
                                <w:color w:val="404042"/>
                                <w:spacing w:val="5"/>
                                <w:sz w:val="18"/>
                              </w:rPr>
                              <w:t>a partnership</w:t>
                            </w:r>
                            <w:r>
                              <w:rPr>
                                <w:rFonts w:ascii="Tahoma" w:eastAsia="Tahoma" w:hAnsi="Tahoma"/>
                                <w:color w:val="464140"/>
                                <w:spacing w:val="5"/>
                                <w:sz w:val="18"/>
                              </w:rPr>
                              <w:t xml:space="preserve"> between the Queensland </w:t>
                            </w:r>
                            <w:r>
                              <w:rPr>
                                <w:rFonts w:ascii="Tahoma" w:eastAsia="Tahoma" w:hAnsi="Tahoma"/>
                                <w:color w:val="404042"/>
                                <w:spacing w:val="5"/>
                                <w:sz w:val="18"/>
                              </w:rPr>
                              <w:t>Government</w:t>
                            </w:r>
                            <w:r>
                              <w:rPr>
                                <w:rFonts w:ascii="Tahoma" w:eastAsia="Tahoma" w:hAnsi="Tahoma"/>
                                <w:color w:val="464140"/>
                                <w:spacing w:val="5"/>
                                <w:sz w:val="18"/>
                              </w:rPr>
                              <w:t xml:space="preserve"> and the Queensland Resources </w:t>
                            </w:r>
                            <w:r>
                              <w:rPr>
                                <w:rFonts w:ascii="Tahoma" w:eastAsia="Tahoma" w:hAnsi="Tahoma"/>
                                <w:color w:val="404042"/>
                                <w:spacing w:val="5"/>
                                <w:sz w:val="18"/>
                              </w:rPr>
                              <w:t>Council (QRC),</w:t>
                            </w:r>
                            <w:r>
                              <w:rPr>
                                <w:rFonts w:ascii="Tahoma" w:eastAsia="Tahoma" w:hAnsi="Tahoma"/>
                                <w:color w:val="464140"/>
                                <w:spacing w:val="5"/>
                                <w:sz w:val="18"/>
                              </w:rPr>
                              <w:t xml:space="preserve"> which provides a talent </w:t>
                            </w:r>
                            <w:r>
                              <w:rPr>
                                <w:rFonts w:ascii="Tahoma" w:eastAsia="Tahoma" w:hAnsi="Tahoma"/>
                                <w:color w:val="404042"/>
                                <w:spacing w:val="5"/>
                                <w:sz w:val="18"/>
                              </w:rPr>
                              <w:t>pipeline of</w:t>
                            </w:r>
                            <w:r>
                              <w:rPr>
                                <w:rFonts w:ascii="Tahoma" w:eastAsia="Tahoma" w:hAnsi="Tahoma"/>
                                <w:color w:val="464140"/>
                                <w:spacing w:val="5"/>
                                <w:sz w:val="18"/>
                              </w:rPr>
                              <w:t xml:space="preserve"> employees into careers in the </w:t>
                            </w:r>
                            <w:r>
                              <w:rPr>
                                <w:rFonts w:ascii="Tahoma" w:eastAsia="Tahoma" w:hAnsi="Tahoma"/>
                                <w:color w:val="404042"/>
                                <w:spacing w:val="5"/>
                                <w:sz w:val="18"/>
                              </w:rPr>
                              <w:t>resources</w:t>
                            </w:r>
                            <w:r>
                              <w:rPr>
                                <w:rFonts w:ascii="Tahoma" w:eastAsia="Tahoma" w:hAnsi="Tahoma"/>
                                <w:color w:val="464140"/>
                                <w:spacing w:val="5"/>
                                <w:sz w:val="18"/>
                              </w:rPr>
                              <w:t xml:space="preserve"> sector and other supporting </w:t>
                            </w:r>
                            <w:r>
                              <w:rPr>
                                <w:rFonts w:ascii="Tahoma" w:eastAsia="Tahoma" w:hAnsi="Tahoma"/>
                                <w:color w:val="404042"/>
                                <w:spacing w:val="5"/>
                                <w:sz w:val="18"/>
                              </w:rPr>
                              <w:t>science,</w:t>
                            </w:r>
                            <w:r>
                              <w:rPr>
                                <w:rFonts w:ascii="Tahoma" w:eastAsia="Tahoma" w:hAnsi="Tahoma"/>
                                <w:color w:val="464140"/>
                                <w:spacing w:val="5"/>
                                <w:sz w:val="18"/>
                              </w:rPr>
                              <w:t xml:space="preserve"> technology, engineering and </w:t>
                            </w:r>
                            <w:r>
                              <w:rPr>
                                <w:rFonts w:ascii="Tahoma" w:eastAsia="Tahoma" w:hAnsi="Tahoma"/>
                                <w:color w:val="404042"/>
                                <w:spacing w:val="5"/>
                                <w:sz w:val="18"/>
                              </w:rPr>
                              <w:t>mathematics</w:t>
                            </w:r>
                            <w:r>
                              <w:rPr>
                                <w:rFonts w:ascii="Tahoma" w:eastAsia="Tahoma" w:hAnsi="Tahoma"/>
                                <w:color w:val="464140"/>
                                <w:spacing w:val="5"/>
                                <w:sz w:val="18"/>
                              </w:rPr>
                              <w:t xml:space="preserve"> (STEM) industries.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57979" id="Text Box 283" o:spid="_x0000_s1273" type="#_x0000_t202" style="position:absolute;margin-left:329.5pt;margin-top:75pt;width:188.9pt;height:85.2pt;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TL8gEAAMQDAAAOAAAAZHJzL2Uyb0RvYy54bWysU21v0zAQ/o7Ef7D8nSZNx+iiptPYNIQ0&#10;BtLGD3Acu7FIfObsNim/nrPTlAHfEF+s8708fu658+Z67Dt2UOgN2IovFzlnykpojN1V/Ovz/Zs1&#10;Zz4I24gOrKr4UXl+vX39ajO4UhXQQtcoZARifTm4irchuDLLvGxVL/wCnLIU1IC9CHTFXdagGAi9&#10;77Iizy+zAbBxCFJ5T967Kci3CV9rJcNnrb0KrKs4cQvpxHTW8cy2G1HuULjWyBMN8Q8semEsPXqG&#10;uhNBsD2av6B6IxE86LCQ0GegtZEq9UDdLPM/unlqhVOpFxLHu7NM/v/BysfDF2Smqfjby4IzK3oa&#10;0rMaA3sPIyvWq6jQ4HxJiU+OUsNIAZp06ta7B5DfPLNw2wq7UzeIMLRKNMRwGSuzF6UTjo8g9fAJ&#10;GnpI7AMkoFFjH+UjQRih06SO5+lEMpKcxerqKl9RSFJsma+L/CLNLxPlXO7Qhw8KehaNiiONP8GL&#10;w4MPkY4o55T4moV703VpBTr7m4MSoyfRj4wn7mGsx6RVcfFu1qWG5kgdIUyrRV+BjBbwB2cDrVXF&#10;/fe9QMVZ99GSKnEHZwNno54NYSWVVjxwNpm3YdrVvUOzawl50t3CDSmnTeopSjyxOBGmVUmtntY6&#10;7uLLe8r69fm2PwEAAP//AwBQSwMEFAAGAAgAAAAhAJxp0MngAAAADAEAAA8AAABkcnMvZG93bnJl&#10;di54bWxMj8FOwzAQRO9I/IO1SNyoTUsjmsapKgQnJEQaDj068TaJGq9D7Lbh79me4LajGc3OyzaT&#10;68UZx9B50vA4UyCQam87ajR8lW8PzyBCNGRN7wk1/GCATX57k5nU+gsVeN7FRnAJhdRoaGMcUilD&#10;3aIzYeYHJPYOfnQmshwbaUdz4XLXy7lSiXSmI/7QmgFfWqyPu5PTsN1T8dp9f1SfxaHoynKl6D05&#10;an1/N23XICJO8S8M1/k8HXLeVPkT2SB6DclyxSyRjaXi45pQi4RpKg2LuXoCmWfyP0T+CwAA//8D&#10;AFBLAQItABQABgAIAAAAIQC2gziS/gAAAOEBAAATAAAAAAAAAAAAAAAAAAAAAABbQ29udGVudF9U&#10;eXBlc10ueG1sUEsBAi0AFAAGAAgAAAAhADj9If/WAAAAlAEAAAsAAAAAAAAAAAAAAAAALwEAAF9y&#10;ZWxzLy5yZWxzUEsBAi0AFAAGAAgAAAAhAG4nZMvyAQAAxAMAAA4AAAAAAAAAAAAAAAAALgIAAGRy&#10;cy9lMm9Eb2MueG1sUEsBAi0AFAAGAAgAAAAhAJxp0MngAAAADAEAAA8AAAAAAAAAAAAAAAAATAQA&#10;AGRycy9kb3ducmV2LnhtbFBLBQYAAAAABAAEAPMAAABZBQAAAAA=&#10;" filled="f" stroked="f">
                <v:textbox inset="0,0,0,0">
                  <w:txbxContent>
                    <w:p w14:paraId="38EE6418" w14:textId="77777777" w:rsidR="00490F33" w:rsidRDefault="00490F33">
                      <w:pPr>
                        <w:spacing w:after="16" w:line="240" w:lineRule="exact"/>
                        <w:textAlignment w:val="baseline"/>
                        <w:rPr>
                          <w:rFonts w:ascii="Tahoma" w:eastAsia="Tahoma" w:hAnsi="Tahoma"/>
                          <w:color w:val="404042"/>
                          <w:spacing w:val="5"/>
                          <w:sz w:val="18"/>
                        </w:rPr>
                      </w:pPr>
                      <w:r>
                        <w:rPr>
                          <w:rFonts w:ascii="Tahoma" w:eastAsia="Tahoma" w:hAnsi="Tahoma"/>
                          <w:color w:val="404042"/>
                          <w:spacing w:val="5"/>
                          <w:sz w:val="18"/>
                        </w:rPr>
                        <w:t>a partnership</w:t>
                      </w:r>
                      <w:r>
                        <w:rPr>
                          <w:rFonts w:ascii="Tahoma" w:eastAsia="Tahoma" w:hAnsi="Tahoma"/>
                          <w:color w:val="464140"/>
                          <w:spacing w:val="5"/>
                          <w:sz w:val="18"/>
                        </w:rPr>
                        <w:t xml:space="preserve"> between the Queensland </w:t>
                      </w:r>
                      <w:r>
                        <w:rPr>
                          <w:rFonts w:ascii="Tahoma" w:eastAsia="Tahoma" w:hAnsi="Tahoma"/>
                          <w:color w:val="404042"/>
                          <w:spacing w:val="5"/>
                          <w:sz w:val="18"/>
                        </w:rPr>
                        <w:t>Government</w:t>
                      </w:r>
                      <w:r>
                        <w:rPr>
                          <w:rFonts w:ascii="Tahoma" w:eastAsia="Tahoma" w:hAnsi="Tahoma"/>
                          <w:color w:val="464140"/>
                          <w:spacing w:val="5"/>
                          <w:sz w:val="18"/>
                        </w:rPr>
                        <w:t xml:space="preserve"> and the Queensland Resources </w:t>
                      </w:r>
                      <w:r>
                        <w:rPr>
                          <w:rFonts w:ascii="Tahoma" w:eastAsia="Tahoma" w:hAnsi="Tahoma"/>
                          <w:color w:val="404042"/>
                          <w:spacing w:val="5"/>
                          <w:sz w:val="18"/>
                        </w:rPr>
                        <w:t>Council (QRC),</w:t>
                      </w:r>
                      <w:r>
                        <w:rPr>
                          <w:rFonts w:ascii="Tahoma" w:eastAsia="Tahoma" w:hAnsi="Tahoma"/>
                          <w:color w:val="464140"/>
                          <w:spacing w:val="5"/>
                          <w:sz w:val="18"/>
                        </w:rPr>
                        <w:t xml:space="preserve"> which provides a talent </w:t>
                      </w:r>
                      <w:r>
                        <w:rPr>
                          <w:rFonts w:ascii="Tahoma" w:eastAsia="Tahoma" w:hAnsi="Tahoma"/>
                          <w:color w:val="404042"/>
                          <w:spacing w:val="5"/>
                          <w:sz w:val="18"/>
                        </w:rPr>
                        <w:t>pipeline of</w:t>
                      </w:r>
                      <w:r>
                        <w:rPr>
                          <w:rFonts w:ascii="Tahoma" w:eastAsia="Tahoma" w:hAnsi="Tahoma"/>
                          <w:color w:val="464140"/>
                          <w:spacing w:val="5"/>
                          <w:sz w:val="18"/>
                        </w:rPr>
                        <w:t xml:space="preserve"> employees into careers in the </w:t>
                      </w:r>
                      <w:r>
                        <w:rPr>
                          <w:rFonts w:ascii="Tahoma" w:eastAsia="Tahoma" w:hAnsi="Tahoma"/>
                          <w:color w:val="404042"/>
                          <w:spacing w:val="5"/>
                          <w:sz w:val="18"/>
                        </w:rPr>
                        <w:t>resources</w:t>
                      </w:r>
                      <w:r>
                        <w:rPr>
                          <w:rFonts w:ascii="Tahoma" w:eastAsia="Tahoma" w:hAnsi="Tahoma"/>
                          <w:color w:val="464140"/>
                          <w:spacing w:val="5"/>
                          <w:sz w:val="18"/>
                        </w:rPr>
                        <w:t xml:space="preserve"> sector and other supporting </w:t>
                      </w:r>
                      <w:r>
                        <w:rPr>
                          <w:rFonts w:ascii="Tahoma" w:eastAsia="Tahoma" w:hAnsi="Tahoma"/>
                          <w:color w:val="404042"/>
                          <w:spacing w:val="5"/>
                          <w:sz w:val="18"/>
                        </w:rPr>
                        <w:t>science,</w:t>
                      </w:r>
                      <w:r>
                        <w:rPr>
                          <w:rFonts w:ascii="Tahoma" w:eastAsia="Tahoma" w:hAnsi="Tahoma"/>
                          <w:color w:val="464140"/>
                          <w:spacing w:val="5"/>
                          <w:sz w:val="18"/>
                        </w:rPr>
                        <w:t xml:space="preserve"> technology, engineering and </w:t>
                      </w:r>
                      <w:r>
                        <w:rPr>
                          <w:rFonts w:ascii="Tahoma" w:eastAsia="Tahoma" w:hAnsi="Tahoma"/>
                          <w:color w:val="404042"/>
                          <w:spacing w:val="5"/>
                          <w:sz w:val="18"/>
                        </w:rPr>
                        <w:t>mathematics</w:t>
                      </w:r>
                      <w:r>
                        <w:rPr>
                          <w:rFonts w:ascii="Tahoma" w:eastAsia="Tahoma" w:hAnsi="Tahoma"/>
                          <w:color w:val="464140"/>
                          <w:spacing w:val="5"/>
                          <w:sz w:val="18"/>
                        </w:rPr>
                        <w:t xml:space="preserve"> (STEM) industries.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8336" behindDoc="1" locked="0" layoutInCell="1" allowOverlap="1" wp14:anchorId="13604A67" wp14:editId="70130ACF">
                <wp:simplePos x="0" y="0"/>
                <wp:positionH relativeFrom="page">
                  <wp:posOffset>908050</wp:posOffset>
                </wp:positionH>
                <wp:positionV relativeFrom="page">
                  <wp:posOffset>2293620</wp:posOffset>
                </wp:positionV>
                <wp:extent cx="2386965" cy="1066800"/>
                <wp:effectExtent l="0" t="0" r="0" b="0"/>
                <wp:wrapSquare wrapText="bothSides"/>
                <wp:docPr id="561"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84894" w14:textId="77777777" w:rsidR="00490F33" w:rsidRDefault="00490F33">
                            <w:pPr>
                              <w:spacing w:line="238" w:lineRule="exact"/>
                              <w:textAlignment w:val="baseline"/>
                              <w:rPr>
                                <w:rFonts w:ascii="Tahoma" w:eastAsia="Tahoma" w:hAnsi="Tahoma"/>
                                <w:color w:val="404042"/>
                                <w:spacing w:val="6"/>
                                <w:sz w:val="18"/>
                              </w:rPr>
                            </w:pPr>
                            <w:r>
                              <w:rPr>
                                <w:rFonts w:ascii="Tahoma" w:eastAsia="Tahoma" w:hAnsi="Tahoma"/>
                                <w:color w:val="404042"/>
                                <w:spacing w:val="6"/>
                                <w:sz w:val="18"/>
                              </w:rPr>
                              <w:t>In Queensland, the Gateway to Industry Schools program is a key industry engagement strategy that provides opportunities for industry and</w:t>
                            </w:r>
                            <w:r>
                              <w:rPr>
                                <w:rFonts w:ascii="Tahoma" w:eastAsia="Tahoma" w:hAnsi="Tahoma"/>
                                <w:color w:val="464140"/>
                                <w:spacing w:val="6"/>
                                <w:sz w:val="18"/>
                              </w:rPr>
                              <w:t xml:space="preserve"> the </w:t>
                            </w:r>
                            <w:r>
                              <w:rPr>
                                <w:rFonts w:ascii="Tahoma" w:eastAsia="Tahoma" w:hAnsi="Tahoma"/>
                                <w:color w:val="404042"/>
                                <w:spacing w:val="6"/>
                                <w:sz w:val="18"/>
                              </w:rPr>
                              <w:t>education sector to work together</w:t>
                            </w:r>
                            <w:r>
                              <w:rPr>
                                <w:rFonts w:ascii="Tahoma" w:eastAsia="Tahoma" w:hAnsi="Tahoma"/>
                                <w:color w:val="464140"/>
                                <w:spacing w:val="6"/>
                                <w:sz w:val="18"/>
                              </w:rPr>
                              <w:t xml:space="preserve"> to deliver </w:t>
                            </w:r>
                            <w:r>
                              <w:rPr>
                                <w:rFonts w:ascii="Tahoma" w:eastAsia="Tahoma" w:hAnsi="Tahoma"/>
                                <w:color w:val="404042"/>
                                <w:spacing w:val="6"/>
                                <w:sz w:val="18"/>
                              </w:rPr>
                              <w:t>outcomes for students, local</w:t>
                            </w:r>
                            <w:r>
                              <w:rPr>
                                <w:rFonts w:ascii="Tahoma" w:eastAsia="Tahoma" w:hAnsi="Tahoma"/>
                                <w:color w:val="464140"/>
                                <w:spacing w:val="6"/>
                                <w:sz w:val="18"/>
                              </w:rPr>
                              <w:t xml:space="preserve"> communities </w:t>
                            </w:r>
                            <w:r>
                              <w:rPr>
                                <w:rFonts w:ascii="Tahoma" w:eastAsia="Tahoma" w:hAnsi="Tahoma"/>
                                <w:color w:val="404042"/>
                                <w:spacing w:val="6"/>
                                <w:sz w:val="18"/>
                              </w:rPr>
                              <w:t>and businesses.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04A67" id="Text Box 282" o:spid="_x0000_s1274" type="#_x0000_t202" style="position:absolute;margin-left:71.5pt;margin-top:180.6pt;width:187.95pt;height:84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M08QEAAMQDAAAOAAAAZHJzL2Uyb0RvYy54bWysU9tu1DAQfUfiHyy/s7lAoyXabFVaFSGV&#10;i9TyAY7jJBaJx4y9myxfz9jZLAXeEC/WeC7HZ86Md9fzOLCjQqfBVDzbpJwpI6HRpqv416f7V1vO&#10;nBemEQMYVfGTcvx6//LFbrKlyqGHoVHICMS4crIV7723ZZI42atRuA1YZSjYAo7C0xW7pEExEfo4&#10;JHmaFskE2FgEqZwj790S5PuI37ZK+s9t65RnQ8WJm48nxrMOZ7LfibJDYXstzzTEP7AYhTb06AXq&#10;TnjBDqj/ghq1RHDQ+o2EMYG21VLFHqibLP2jm8deWBV7IXGcvcjk/h+s/HT8gkw3Fb8qMs6MGGlI&#10;T2r27B3MLN/mQaHJupISHy2l+pkCNOnYrbMPIL85ZuC2F6ZTN4gw9Uo0xDALlcmz0gXHBZB6+ggN&#10;PSQOHiLQ3OIY5CNBGKHTpE6X6QQykpz5623xtrjiTFIsS4tim8b5JaJcyy06/17ByIJRcaTxR3hx&#10;fHA+0BHlmhJeM3CvhyGuwGB+c1Bi8ET6gfHC3c/1HLXK32xXXWpoTtQRwrJa9BXI6AF/cDbRWlXc&#10;fT8IVJwNHwypEnZwNXA16tUQRlJpxT1ni3nrl109WNRdT8iL7gZuSLlWx56CxAuLM2Faldjqea3D&#10;Lj6/x6xfn2//EwAA//8DAFBLAwQUAAYACAAAACEAcE6tlOAAAAALAQAADwAAAGRycy9kb3ducmV2&#10;LnhtbEyPQU+DQBCF7yb+h82YeLMLVElBlqYxejIxUjx4XGAKm7KzyG5b/PeOJ73Ny7y8971iu9hR&#10;nHH2xpGCeBWBQGpdZ6hX8FG/3G1A+KCp06MjVPCNHrbl9VWh885dqMLzPvSCQ8jnWsEQwpRL6dsB&#10;rfYrNyHx7+BmqwPLuZfdrC8cbkeZRFEqrTbEDYOe8GnA9rg/WQW7T6qezddb814dKlPXWUSv6VGp&#10;25tl9wgi4BL+zPCLz+hQMlPjTtR5MbK+X/OWoGCdxgkIdjzEmwxEw0eSJSDLQv7fUP4AAAD//wMA&#10;UEsBAi0AFAAGAAgAAAAhALaDOJL+AAAA4QEAABMAAAAAAAAAAAAAAAAAAAAAAFtDb250ZW50X1R5&#10;cGVzXS54bWxQSwECLQAUAAYACAAAACEAOP0h/9YAAACUAQAACwAAAAAAAAAAAAAAAAAvAQAAX3Jl&#10;bHMvLnJlbHNQSwECLQAUAAYACAAAACEAcmoDNPEBAADEAwAADgAAAAAAAAAAAAAAAAAuAgAAZHJz&#10;L2Uyb0RvYy54bWxQSwECLQAUAAYACAAAACEAcE6tlOAAAAALAQAADwAAAAAAAAAAAAAAAABLBAAA&#10;ZHJzL2Rvd25yZXYueG1sUEsFBgAAAAAEAAQA8wAAAFgFAAAAAA==&#10;" filled="f" stroked="f">
                <v:textbox inset="0,0,0,0">
                  <w:txbxContent>
                    <w:p w14:paraId="30784894" w14:textId="77777777" w:rsidR="00490F33" w:rsidRDefault="00490F33">
                      <w:pPr>
                        <w:spacing w:line="238" w:lineRule="exact"/>
                        <w:textAlignment w:val="baseline"/>
                        <w:rPr>
                          <w:rFonts w:ascii="Tahoma" w:eastAsia="Tahoma" w:hAnsi="Tahoma"/>
                          <w:color w:val="404042"/>
                          <w:spacing w:val="6"/>
                          <w:sz w:val="18"/>
                        </w:rPr>
                      </w:pPr>
                      <w:r>
                        <w:rPr>
                          <w:rFonts w:ascii="Tahoma" w:eastAsia="Tahoma" w:hAnsi="Tahoma"/>
                          <w:color w:val="404042"/>
                          <w:spacing w:val="6"/>
                          <w:sz w:val="18"/>
                        </w:rPr>
                        <w:t>In Queensland, the Gateway to Industry Schools program is a key industry engagement strategy that provides opportunities for industry and</w:t>
                      </w:r>
                      <w:r>
                        <w:rPr>
                          <w:rFonts w:ascii="Tahoma" w:eastAsia="Tahoma" w:hAnsi="Tahoma"/>
                          <w:color w:val="464140"/>
                          <w:spacing w:val="6"/>
                          <w:sz w:val="18"/>
                        </w:rPr>
                        <w:t xml:space="preserve"> the </w:t>
                      </w:r>
                      <w:r>
                        <w:rPr>
                          <w:rFonts w:ascii="Tahoma" w:eastAsia="Tahoma" w:hAnsi="Tahoma"/>
                          <w:color w:val="404042"/>
                          <w:spacing w:val="6"/>
                          <w:sz w:val="18"/>
                        </w:rPr>
                        <w:t>education sector to work together</w:t>
                      </w:r>
                      <w:r>
                        <w:rPr>
                          <w:rFonts w:ascii="Tahoma" w:eastAsia="Tahoma" w:hAnsi="Tahoma"/>
                          <w:color w:val="464140"/>
                          <w:spacing w:val="6"/>
                          <w:sz w:val="18"/>
                        </w:rPr>
                        <w:t xml:space="preserve"> to deliver </w:t>
                      </w:r>
                      <w:r>
                        <w:rPr>
                          <w:rFonts w:ascii="Tahoma" w:eastAsia="Tahoma" w:hAnsi="Tahoma"/>
                          <w:color w:val="404042"/>
                          <w:spacing w:val="6"/>
                          <w:sz w:val="18"/>
                        </w:rPr>
                        <w:t>outcomes for students, local</w:t>
                      </w:r>
                      <w:r>
                        <w:rPr>
                          <w:rFonts w:ascii="Tahoma" w:eastAsia="Tahoma" w:hAnsi="Tahoma"/>
                          <w:color w:val="464140"/>
                          <w:spacing w:val="6"/>
                          <w:sz w:val="18"/>
                        </w:rPr>
                        <w:t xml:space="preserve"> communities </w:t>
                      </w:r>
                      <w:r>
                        <w:rPr>
                          <w:rFonts w:ascii="Tahoma" w:eastAsia="Tahoma" w:hAnsi="Tahoma"/>
                          <w:color w:val="404042"/>
                          <w:spacing w:val="6"/>
                          <w:sz w:val="18"/>
                        </w:rPr>
                        <w:t>and businesses.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599360" behindDoc="1" locked="0" layoutInCell="1" allowOverlap="1" wp14:anchorId="2592ACA6" wp14:editId="06F6231E">
                <wp:simplePos x="0" y="0"/>
                <wp:positionH relativeFrom="page">
                  <wp:posOffset>4182110</wp:posOffset>
                </wp:positionH>
                <wp:positionV relativeFrom="page">
                  <wp:posOffset>2124710</wp:posOffset>
                </wp:positionV>
                <wp:extent cx="2453640" cy="2047875"/>
                <wp:effectExtent l="0" t="0" r="0" b="0"/>
                <wp:wrapSquare wrapText="bothSides"/>
                <wp:docPr id="560"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204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0C4D" w14:textId="77777777" w:rsidR="00490F33" w:rsidRDefault="00490F33">
                            <w:pPr>
                              <w:spacing w:line="240" w:lineRule="exact"/>
                              <w:textAlignment w:val="baseline"/>
                              <w:rPr>
                                <w:rFonts w:ascii="Tahoma" w:eastAsia="Tahoma" w:hAnsi="Tahoma"/>
                                <w:color w:val="464140"/>
                                <w:sz w:val="18"/>
                              </w:rPr>
                            </w:pPr>
                            <w:r>
                              <w:rPr>
                                <w:rFonts w:ascii="Tahoma" w:eastAsia="Tahoma" w:hAnsi="Tahoma"/>
                                <w:color w:val="464140"/>
                                <w:sz w:val="18"/>
                              </w:rPr>
                              <w:t>The</w:t>
                            </w:r>
                            <w:r>
                              <w:rPr>
                                <w:rFonts w:ascii="Tahoma" w:eastAsia="Tahoma" w:hAnsi="Tahoma"/>
                                <w:color w:val="404042"/>
                                <w:sz w:val="18"/>
                              </w:rPr>
                              <w:t xml:space="preserve"> academy</w:t>
                            </w:r>
                            <w:r>
                              <w:rPr>
                                <w:rFonts w:ascii="Tahoma" w:eastAsia="Tahoma" w:hAnsi="Tahoma"/>
                                <w:color w:val="464140"/>
                                <w:sz w:val="18"/>
                              </w:rPr>
                              <w:t xml:space="preserve"> has a strong focus on providing </w:t>
                            </w:r>
                            <w:r>
                              <w:rPr>
                                <w:rFonts w:ascii="Tahoma" w:eastAsia="Tahoma" w:hAnsi="Tahoma"/>
                                <w:color w:val="404042"/>
                                <w:sz w:val="18"/>
                              </w:rPr>
                              <w:t>opportunities</w:t>
                            </w:r>
                            <w:r>
                              <w:rPr>
                                <w:rFonts w:ascii="Tahoma" w:eastAsia="Tahoma" w:hAnsi="Tahoma"/>
                                <w:color w:val="464140"/>
                                <w:sz w:val="18"/>
                              </w:rPr>
                              <w:t xml:space="preserve"> and pathways for female and</w:t>
                            </w:r>
                            <w:r>
                              <w:rPr>
                                <w:rFonts w:ascii="Tahoma" w:eastAsia="Tahoma" w:hAnsi="Tahoma"/>
                                <w:color w:val="404042"/>
                                <w:sz w:val="18"/>
                              </w:rPr>
                              <w:t xml:space="preserve"> Indigenous</w:t>
                            </w:r>
                            <w:r>
                              <w:rPr>
                                <w:rFonts w:ascii="Tahoma" w:eastAsia="Tahoma" w:hAnsi="Tahoma"/>
                                <w:color w:val="464140"/>
                                <w:sz w:val="18"/>
                              </w:rPr>
                              <w:t xml:space="preserve"> students. Teachers are also </w:t>
                            </w:r>
                            <w:r>
                              <w:rPr>
                                <w:rFonts w:ascii="Verdana" w:eastAsia="Verdana" w:hAnsi="Verdana"/>
                                <w:color w:val="464140"/>
                                <w:sz w:val="17"/>
                              </w:rPr>
                              <w:t>supported</w:t>
                            </w:r>
                            <w:r>
                              <w:rPr>
                                <w:rFonts w:ascii="Verdana" w:eastAsia="Verdana" w:hAnsi="Verdana"/>
                                <w:color w:val="404042"/>
                                <w:sz w:val="17"/>
                              </w:rPr>
                              <w:t xml:space="preserve"> to ensure</w:t>
                            </w:r>
                            <w:r>
                              <w:rPr>
                                <w:rFonts w:ascii="Verdana" w:eastAsia="Verdana" w:hAnsi="Verdana"/>
                                <w:color w:val="464140"/>
                                <w:sz w:val="17"/>
                              </w:rPr>
                              <w:t xml:space="preserve"> they are confident to </w:t>
                            </w:r>
                            <w:r>
                              <w:rPr>
                                <w:rFonts w:ascii="Tahoma" w:eastAsia="Tahoma" w:hAnsi="Tahoma"/>
                                <w:color w:val="464140"/>
                                <w:sz w:val="18"/>
                              </w:rPr>
                              <w:t>bring STEM</w:t>
                            </w:r>
                            <w:r>
                              <w:rPr>
                                <w:rFonts w:ascii="Tahoma" w:eastAsia="Tahoma" w:hAnsi="Tahoma"/>
                                <w:color w:val="404042"/>
                                <w:sz w:val="18"/>
                              </w:rPr>
                              <w:t xml:space="preserve">-based topics to students in an </w:t>
                            </w:r>
                            <w:r>
                              <w:rPr>
                                <w:rFonts w:ascii="Tahoma" w:eastAsia="Tahoma" w:hAnsi="Tahoma"/>
                                <w:color w:val="464140"/>
                                <w:sz w:val="18"/>
                              </w:rPr>
                              <w:t>engaging</w:t>
                            </w:r>
                            <w:r>
                              <w:rPr>
                                <w:rFonts w:ascii="Tahoma" w:eastAsia="Tahoma" w:hAnsi="Tahoma"/>
                                <w:color w:val="404042"/>
                                <w:sz w:val="18"/>
                              </w:rPr>
                              <w:t xml:space="preserve"> way. QMEA activities are structured </w:t>
                            </w:r>
                            <w:r>
                              <w:rPr>
                                <w:rFonts w:ascii="Tahoma" w:eastAsia="Tahoma" w:hAnsi="Tahoma"/>
                                <w:color w:val="464140"/>
                                <w:sz w:val="18"/>
                              </w:rPr>
                              <w:t>across three</w:t>
                            </w:r>
                            <w:r>
                              <w:rPr>
                                <w:rFonts w:ascii="Tahoma" w:eastAsia="Tahoma" w:hAnsi="Tahoma"/>
                                <w:color w:val="404042"/>
                                <w:sz w:val="18"/>
                              </w:rPr>
                              <w:t xml:space="preserve"> phases:</w:t>
                            </w:r>
                          </w:p>
                          <w:p w14:paraId="18DCC1D6" w14:textId="77777777" w:rsidR="00490F33" w:rsidRDefault="00490F33">
                            <w:pPr>
                              <w:numPr>
                                <w:ilvl w:val="0"/>
                                <w:numId w:val="22"/>
                              </w:numPr>
                              <w:spacing w:before="110" w:line="242" w:lineRule="exact"/>
                              <w:ind w:left="216" w:hanging="216"/>
                              <w:textAlignment w:val="baseline"/>
                              <w:rPr>
                                <w:rFonts w:ascii="Tahoma" w:eastAsia="Tahoma" w:hAnsi="Tahoma"/>
                                <w:color w:val="404042"/>
                                <w:spacing w:val="4"/>
                                <w:sz w:val="18"/>
                              </w:rPr>
                            </w:pPr>
                            <w:r>
                              <w:rPr>
                                <w:rFonts w:ascii="Tahoma" w:eastAsia="Tahoma" w:hAnsi="Tahoma"/>
                                <w:color w:val="404042"/>
                                <w:spacing w:val="4"/>
                                <w:sz w:val="18"/>
                              </w:rPr>
                              <w:t>Stimulating</w:t>
                            </w:r>
                            <w:r>
                              <w:rPr>
                                <w:rFonts w:ascii="Tahoma" w:eastAsia="Tahoma" w:hAnsi="Tahoma"/>
                                <w:color w:val="464140"/>
                                <w:spacing w:val="4"/>
                                <w:sz w:val="18"/>
                              </w:rPr>
                              <w:t xml:space="preserve"> interest and making </w:t>
                            </w:r>
                            <w:r>
                              <w:rPr>
                                <w:rFonts w:ascii="Tahoma" w:eastAsia="Tahoma" w:hAnsi="Tahoma"/>
                                <w:color w:val="404042"/>
                                <w:spacing w:val="4"/>
                                <w:sz w:val="18"/>
                              </w:rPr>
                              <w:t>connections</w:t>
                            </w:r>
                            <w:r>
                              <w:rPr>
                                <w:rFonts w:ascii="Tahoma" w:eastAsia="Tahoma" w:hAnsi="Tahoma"/>
                                <w:color w:val="464140"/>
                                <w:spacing w:val="4"/>
                                <w:sz w:val="18"/>
                              </w:rPr>
                              <w:t xml:space="preserve"> (Years 7–9)</w:t>
                            </w:r>
                          </w:p>
                          <w:p w14:paraId="6804FCBE" w14:textId="77777777" w:rsidR="00490F33" w:rsidRDefault="00490F33">
                            <w:pPr>
                              <w:numPr>
                                <w:ilvl w:val="0"/>
                                <w:numId w:val="23"/>
                              </w:numPr>
                              <w:spacing w:before="108" w:line="242" w:lineRule="exact"/>
                              <w:ind w:left="216" w:right="576" w:hanging="216"/>
                              <w:textAlignment w:val="baseline"/>
                              <w:rPr>
                                <w:rFonts w:ascii="Verdana" w:eastAsia="Verdana" w:hAnsi="Verdana"/>
                                <w:color w:val="404042"/>
                                <w:sz w:val="17"/>
                              </w:rPr>
                            </w:pPr>
                            <w:r>
                              <w:rPr>
                                <w:rFonts w:ascii="Verdana" w:eastAsia="Verdana" w:hAnsi="Verdana"/>
                                <w:color w:val="404042"/>
                                <w:sz w:val="17"/>
                              </w:rPr>
                              <w:t>Informing</w:t>
                            </w:r>
                            <w:r>
                              <w:rPr>
                                <w:rFonts w:ascii="Verdana" w:eastAsia="Verdana" w:hAnsi="Verdana"/>
                                <w:color w:val="464140"/>
                                <w:sz w:val="17"/>
                              </w:rPr>
                              <w:t xml:space="preserve"> decisions and influencing </w:t>
                            </w:r>
                            <w:r>
                              <w:rPr>
                                <w:rFonts w:ascii="Tahoma" w:eastAsia="Tahoma" w:hAnsi="Tahoma"/>
                                <w:color w:val="404042"/>
                                <w:sz w:val="18"/>
                              </w:rPr>
                              <w:t>pathways</w:t>
                            </w:r>
                            <w:r>
                              <w:rPr>
                                <w:rFonts w:ascii="Tahoma" w:eastAsia="Tahoma" w:hAnsi="Tahoma"/>
                                <w:color w:val="464140"/>
                                <w:sz w:val="18"/>
                              </w:rPr>
                              <w:t xml:space="preserve"> (Year 10)</w:t>
                            </w:r>
                          </w:p>
                          <w:p w14:paraId="2260E23D" w14:textId="77777777" w:rsidR="00490F33" w:rsidRDefault="00490F33">
                            <w:pPr>
                              <w:numPr>
                                <w:ilvl w:val="0"/>
                                <w:numId w:val="22"/>
                              </w:numPr>
                              <w:spacing w:before="113" w:line="237" w:lineRule="exact"/>
                              <w:ind w:left="216" w:hanging="216"/>
                              <w:textAlignment w:val="baseline"/>
                              <w:rPr>
                                <w:rFonts w:ascii="Tahoma" w:eastAsia="Tahoma" w:hAnsi="Tahoma"/>
                                <w:color w:val="404042"/>
                                <w:spacing w:val="2"/>
                                <w:sz w:val="18"/>
                              </w:rPr>
                            </w:pPr>
                            <w:r>
                              <w:rPr>
                                <w:rFonts w:ascii="Tahoma" w:eastAsia="Tahoma" w:hAnsi="Tahoma"/>
                                <w:color w:val="404042"/>
                                <w:spacing w:val="2"/>
                                <w:sz w:val="18"/>
                              </w:rPr>
                              <w:t>Challenging</w:t>
                            </w:r>
                            <w:r>
                              <w:rPr>
                                <w:rFonts w:ascii="Tahoma" w:eastAsia="Tahoma" w:hAnsi="Tahoma"/>
                                <w:color w:val="464140"/>
                                <w:spacing w:val="2"/>
                                <w:sz w:val="18"/>
                              </w:rPr>
                              <w:t xml:space="preserve"> and preparing (Years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2ACA6" id="Text Box 281" o:spid="_x0000_s1275" type="#_x0000_t202" style="position:absolute;margin-left:329.3pt;margin-top:167.3pt;width:193.2pt;height:161.25pt;z-index:-25171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NC8AEAAMQDAAAOAAAAZHJzL2Uyb0RvYy54bWysU9uO0zAQfUfiHyy/06Sh7Zao6WrZ1SKk&#10;ZUHa5QMcx0ksEo8Zu03K1zN2mrLAG+LFGs/l+MyZ8e567Dt2VOg0mIIvFylnykiotGkK/vX5/s2W&#10;M+eFqUQHRhX8pBy/3r9+tRtsrjJooasUMgIxLh9swVvvbZ4kTraqF24BVhkK1oC98HTFJqlQDITe&#10;d0mWpptkAKwsglTOkfduCvJ9xK9rJf3nunbKs67gxM3HE+NZhjPZ70TeoLCtlmca4h9Y9EIbevQC&#10;dSe8YAfUf0H1WiI4qP1CQp9AXWupYg/UzTL9o5unVlgVeyFxnL3I5P4frHw8fkGmq4KvN6SPET0N&#10;6VmNnr2HkWXbZVBosC6nxCdLqX6kAE06duvsA8hvjhm4bYVp1A0iDK0SFTGMlcmL0gnHBZBy+AQV&#10;PSQOHiLQWGMf5CNBGKETk9NlOoGMJGe2Wr/drCgkKZalq6vt1TqwS0Q+l1t0/oOCngWj4Ejjj/Di&#10;+OD8lDqnhNcM3OuuiyvQmd8chBk8kX5gPHH3YzlGrbLVu1mXEqoTdYQwrRZ9BTJawB+cDbRWBXff&#10;DwIVZ91HQ6qEHZwNnI1yNoSRVFpwz9lk3vppVw8WddMS8qS7gRtSrtaxpyDxxOJMmFYlqnJe67CL&#10;L+8x69fn2/8EAAD//wMAUEsDBBQABgAIAAAAIQBqpoGc4AAAAAwBAAAPAAAAZHJzL2Rvd25yZXYu&#10;eG1sTI/BTsMwEETvSPyDtUjcqF3ahhLiVFUFJyREGg4cndhNrMbrNHbb8PdsTnDb0TzNzmSb0XXs&#10;YoZgPUqYzwQwg7XXFhsJX+XbwxpYiAq16jwaCT8mwCa/vclUqv0VC3PZx4ZRCIZUSWhj7FPOQ90a&#10;p8LM9wbJO/jBqUhyaLge1JXCXccfhUi4UxbpQ6t6s2tNfdyfnYTtNxav9vRRfRaHwpbls8D35Cjl&#10;/d24fQEWzRj/YJjqU3XIqVPlz6gD6yQkq3VCqITFYknHRIjliuZVk/c0B55n/P+I/BcAAP//AwBQ&#10;SwECLQAUAAYACAAAACEAtoM4kv4AAADhAQAAEwAAAAAAAAAAAAAAAAAAAAAAW0NvbnRlbnRfVHlw&#10;ZXNdLnhtbFBLAQItABQABgAIAAAAIQA4/SH/1gAAAJQBAAALAAAAAAAAAAAAAAAAAC8BAABfcmVs&#10;cy8ucmVsc1BLAQItABQABgAIAAAAIQAyYyNC8AEAAMQDAAAOAAAAAAAAAAAAAAAAAC4CAABkcnMv&#10;ZTJvRG9jLnhtbFBLAQItABQABgAIAAAAIQBqpoGc4AAAAAwBAAAPAAAAAAAAAAAAAAAAAEoEAABk&#10;cnMvZG93bnJldi54bWxQSwUGAAAAAAQABADzAAAAVwUAAAAA&#10;" filled="f" stroked="f">
                <v:textbox inset="0,0,0,0">
                  <w:txbxContent>
                    <w:p w14:paraId="3C580C4D" w14:textId="77777777" w:rsidR="00490F33" w:rsidRDefault="00490F33">
                      <w:pPr>
                        <w:spacing w:line="240" w:lineRule="exact"/>
                        <w:textAlignment w:val="baseline"/>
                        <w:rPr>
                          <w:rFonts w:ascii="Tahoma" w:eastAsia="Tahoma" w:hAnsi="Tahoma"/>
                          <w:color w:val="464140"/>
                          <w:sz w:val="18"/>
                        </w:rPr>
                      </w:pPr>
                      <w:r>
                        <w:rPr>
                          <w:rFonts w:ascii="Tahoma" w:eastAsia="Tahoma" w:hAnsi="Tahoma"/>
                          <w:color w:val="464140"/>
                          <w:sz w:val="18"/>
                        </w:rPr>
                        <w:t>The</w:t>
                      </w:r>
                      <w:r>
                        <w:rPr>
                          <w:rFonts w:ascii="Tahoma" w:eastAsia="Tahoma" w:hAnsi="Tahoma"/>
                          <w:color w:val="404042"/>
                          <w:sz w:val="18"/>
                        </w:rPr>
                        <w:t xml:space="preserve"> academy</w:t>
                      </w:r>
                      <w:r>
                        <w:rPr>
                          <w:rFonts w:ascii="Tahoma" w:eastAsia="Tahoma" w:hAnsi="Tahoma"/>
                          <w:color w:val="464140"/>
                          <w:sz w:val="18"/>
                        </w:rPr>
                        <w:t xml:space="preserve"> has a strong focus on providing </w:t>
                      </w:r>
                      <w:r>
                        <w:rPr>
                          <w:rFonts w:ascii="Tahoma" w:eastAsia="Tahoma" w:hAnsi="Tahoma"/>
                          <w:color w:val="404042"/>
                          <w:sz w:val="18"/>
                        </w:rPr>
                        <w:t>opportunities</w:t>
                      </w:r>
                      <w:r>
                        <w:rPr>
                          <w:rFonts w:ascii="Tahoma" w:eastAsia="Tahoma" w:hAnsi="Tahoma"/>
                          <w:color w:val="464140"/>
                          <w:sz w:val="18"/>
                        </w:rPr>
                        <w:t xml:space="preserve"> and pathways for female and</w:t>
                      </w:r>
                      <w:r>
                        <w:rPr>
                          <w:rFonts w:ascii="Tahoma" w:eastAsia="Tahoma" w:hAnsi="Tahoma"/>
                          <w:color w:val="404042"/>
                          <w:sz w:val="18"/>
                        </w:rPr>
                        <w:t xml:space="preserve"> Indigenous</w:t>
                      </w:r>
                      <w:r>
                        <w:rPr>
                          <w:rFonts w:ascii="Tahoma" w:eastAsia="Tahoma" w:hAnsi="Tahoma"/>
                          <w:color w:val="464140"/>
                          <w:sz w:val="18"/>
                        </w:rPr>
                        <w:t xml:space="preserve"> students. Teachers are also </w:t>
                      </w:r>
                      <w:r>
                        <w:rPr>
                          <w:rFonts w:ascii="Verdana" w:eastAsia="Verdana" w:hAnsi="Verdana"/>
                          <w:color w:val="464140"/>
                          <w:sz w:val="17"/>
                        </w:rPr>
                        <w:t>supported</w:t>
                      </w:r>
                      <w:r>
                        <w:rPr>
                          <w:rFonts w:ascii="Verdana" w:eastAsia="Verdana" w:hAnsi="Verdana"/>
                          <w:color w:val="404042"/>
                          <w:sz w:val="17"/>
                        </w:rPr>
                        <w:t xml:space="preserve"> to ensure</w:t>
                      </w:r>
                      <w:r>
                        <w:rPr>
                          <w:rFonts w:ascii="Verdana" w:eastAsia="Verdana" w:hAnsi="Verdana"/>
                          <w:color w:val="464140"/>
                          <w:sz w:val="17"/>
                        </w:rPr>
                        <w:t xml:space="preserve"> they are confident to </w:t>
                      </w:r>
                      <w:r>
                        <w:rPr>
                          <w:rFonts w:ascii="Tahoma" w:eastAsia="Tahoma" w:hAnsi="Tahoma"/>
                          <w:color w:val="464140"/>
                          <w:sz w:val="18"/>
                        </w:rPr>
                        <w:t>bring STEM</w:t>
                      </w:r>
                      <w:r>
                        <w:rPr>
                          <w:rFonts w:ascii="Tahoma" w:eastAsia="Tahoma" w:hAnsi="Tahoma"/>
                          <w:color w:val="404042"/>
                          <w:sz w:val="18"/>
                        </w:rPr>
                        <w:t xml:space="preserve">-based topics to students in an </w:t>
                      </w:r>
                      <w:r>
                        <w:rPr>
                          <w:rFonts w:ascii="Tahoma" w:eastAsia="Tahoma" w:hAnsi="Tahoma"/>
                          <w:color w:val="464140"/>
                          <w:sz w:val="18"/>
                        </w:rPr>
                        <w:t>engaging</w:t>
                      </w:r>
                      <w:r>
                        <w:rPr>
                          <w:rFonts w:ascii="Tahoma" w:eastAsia="Tahoma" w:hAnsi="Tahoma"/>
                          <w:color w:val="404042"/>
                          <w:sz w:val="18"/>
                        </w:rPr>
                        <w:t xml:space="preserve"> way. QMEA activities are structured </w:t>
                      </w:r>
                      <w:r>
                        <w:rPr>
                          <w:rFonts w:ascii="Tahoma" w:eastAsia="Tahoma" w:hAnsi="Tahoma"/>
                          <w:color w:val="464140"/>
                          <w:sz w:val="18"/>
                        </w:rPr>
                        <w:t>across three</w:t>
                      </w:r>
                      <w:r>
                        <w:rPr>
                          <w:rFonts w:ascii="Tahoma" w:eastAsia="Tahoma" w:hAnsi="Tahoma"/>
                          <w:color w:val="404042"/>
                          <w:sz w:val="18"/>
                        </w:rPr>
                        <w:t xml:space="preserve"> phases:</w:t>
                      </w:r>
                    </w:p>
                    <w:p w14:paraId="18DCC1D6" w14:textId="77777777" w:rsidR="00490F33" w:rsidRDefault="00490F33">
                      <w:pPr>
                        <w:numPr>
                          <w:ilvl w:val="0"/>
                          <w:numId w:val="22"/>
                        </w:numPr>
                        <w:spacing w:before="110" w:line="242" w:lineRule="exact"/>
                        <w:ind w:left="216" w:hanging="216"/>
                        <w:textAlignment w:val="baseline"/>
                        <w:rPr>
                          <w:rFonts w:ascii="Tahoma" w:eastAsia="Tahoma" w:hAnsi="Tahoma"/>
                          <w:color w:val="404042"/>
                          <w:spacing w:val="4"/>
                          <w:sz w:val="18"/>
                        </w:rPr>
                      </w:pPr>
                      <w:r>
                        <w:rPr>
                          <w:rFonts w:ascii="Tahoma" w:eastAsia="Tahoma" w:hAnsi="Tahoma"/>
                          <w:color w:val="404042"/>
                          <w:spacing w:val="4"/>
                          <w:sz w:val="18"/>
                        </w:rPr>
                        <w:t>Stimulating</w:t>
                      </w:r>
                      <w:r>
                        <w:rPr>
                          <w:rFonts w:ascii="Tahoma" w:eastAsia="Tahoma" w:hAnsi="Tahoma"/>
                          <w:color w:val="464140"/>
                          <w:spacing w:val="4"/>
                          <w:sz w:val="18"/>
                        </w:rPr>
                        <w:t xml:space="preserve"> interest and making </w:t>
                      </w:r>
                      <w:r>
                        <w:rPr>
                          <w:rFonts w:ascii="Tahoma" w:eastAsia="Tahoma" w:hAnsi="Tahoma"/>
                          <w:color w:val="404042"/>
                          <w:spacing w:val="4"/>
                          <w:sz w:val="18"/>
                        </w:rPr>
                        <w:t>connections</w:t>
                      </w:r>
                      <w:r>
                        <w:rPr>
                          <w:rFonts w:ascii="Tahoma" w:eastAsia="Tahoma" w:hAnsi="Tahoma"/>
                          <w:color w:val="464140"/>
                          <w:spacing w:val="4"/>
                          <w:sz w:val="18"/>
                        </w:rPr>
                        <w:t xml:space="preserve"> (Years 7–9)</w:t>
                      </w:r>
                    </w:p>
                    <w:p w14:paraId="6804FCBE" w14:textId="77777777" w:rsidR="00490F33" w:rsidRDefault="00490F33">
                      <w:pPr>
                        <w:numPr>
                          <w:ilvl w:val="0"/>
                          <w:numId w:val="23"/>
                        </w:numPr>
                        <w:spacing w:before="108" w:line="242" w:lineRule="exact"/>
                        <w:ind w:left="216" w:right="576" w:hanging="216"/>
                        <w:textAlignment w:val="baseline"/>
                        <w:rPr>
                          <w:rFonts w:ascii="Verdana" w:eastAsia="Verdana" w:hAnsi="Verdana"/>
                          <w:color w:val="404042"/>
                          <w:sz w:val="17"/>
                        </w:rPr>
                      </w:pPr>
                      <w:r>
                        <w:rPr>
                          <w:rFonts w:ascii="Verdana" w:eastAsia="Verdana" w:hAnsi="Verdana"/>
                          <w:color w:val="404042"/>
                          <w:sz w:val="17"/>
                        </w:rPr>
                        <w:t>Informing</w:t>
                      </w:r>
                      <w:r>
                        <w:rPr>
                          <w:rFonts w:ascii="Verdana" w:eastAsia="Verdana" w:hAnsi="Verdana"/>
                          <w:color w:val="464140"/>
                          <w:sz w:val="17"/>
                        </w:rPr>
                        <w:t xml:space="preserve"> decisions and influencing </w:t>
                      </w:r>
                      <w:r>
                        <w:rPr>
                          <w:rFonts w:ascii="Tahoma" w:eastAsia="Tahoma" w:hAnsi="Tahoma"/>
                          <w:color w:val="404042"/>
                          <w:sz w:val="18"/>
                        </w:rPr>
                        <w:t>pathways</w:t>
                      </w:r>
                      <w:r>
                        <w:rPr>
                          <w:rFonts w:ascii="Tahoma" w:eastAsia="Tahoma" w:hAnsi="Tahoma"/>
                          <w:color w:val="464140"/>
                          <w:sz w:val="18"/>
                        </w:rPr>
                        <w:t xml:space="preserve"> (Year 10)</w:t>
                      </w:r>
                    </w:p>
                    <w:p w14:paraId="2260E23D" w14:textId="77777777" w:rsidR="00490F33" w:rsidRDefault="00490F33">
                      <w:pPr>
                        <w:numPr>
                          <w:ilvl w:val="0"/>
                          <w:numId w:val="22"/>
                        </w:numPr>
                        <w:spacing w:before="113" w:line="237" w:lineRule="exact"/>
                        <w:ind w:left="216" w:hanging="216"/>
                        <w:textAlignment w:val="baseline"/>
                        <w:rPr>
                          <w:rFonts w:ascii="Tahoma" w:eastAsia="Tahoma" w:hAnsi="Tahoma"/>
                          <w:color w:val="404042"/>
                          <w:spacing w:val="2"/>
                          <w:sz w:val="18"/>
                        </w:rPr>
                      </w:pPr>
                      <w:r>
                        <w:rPr>
                          <w:rFonts w:ascii="Tahoma" w:eastAsia="Tahoma" w:hAnsi="Tahoma"/>
                          <w:color w:val="404042"/>
                          <w:spacing w:val="2"/>
                          <w:sz w:val="18"/>
                        </w:rPr>
                        <w:t>Challenging</w:t>
                      </w:r>
                      <w:r>
                        <w:rPr>
                          <w:rFonts w:ascii="Tahoma" w:eastAsia="Tahoma" w:hAnsi="Tahoma"/>
                          <w:color w:val="464140"/>
                          <w:spacing w:val="2"/>
                          <w:sz w:val="18"/>
                        </w:rPr>
                        <w:t xml:space="preserve"> and preparing (Years 11–12).</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0384" behindDoc="1" locked="0" layoutInCell="1" allowOverlap="1" wp14:anchorId="2BADDBF7" wp14:editId="47DC50B2">
                <wp:simplePos x="0" y="0"/>
                <wp:positionH relativeFrom="page">
                  <wp:posOffset>905510</wp:posOffset>
                </wp:positionH>
                <wp:positionV relativeFrom="page">
                  <wp:posOffset>3465830</wp:posOffset>
                </wp:positionV>
                <wp:extent cx="2438400" cy="1983740"/>
                <wp:effectExtent l="0" t="0" r="0" b="0"/>
                <wp:wrapSquare wrapText="bothSides"/>
                <wp:docPr id="55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98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04E79" w14:textId="77777777" w:rsidR="00490F33" w:rsidRDefault="00490F33">
                            <w:pPr>
                              <w:spacing w:line="239" w:lineRule="exact"/>
                              <w:textAlignment w:val="baseline"/>
                              <w:rPr>
                                <w:rFonts w:ascii="Tahoma" w:eastAsia="Tahoma" w:hAnsi="Tahoma"/>
                                <w:color w:val="404042"/>
                                <w:spacing w:val="3"/>
                                <w:sz w:val="18"/>
                              </w:rPr>
                            </w:pPr>
                            <w:r>
                              <w:rPr>
                                <w:rFonts w:ascii="Tahoma" w:eastAsia="Tahoma" w:hAnsi="Tahoma"/>
                                <w:color w:val="404042"/>
                                <w:spacing w:val="3"/>
                                <w:sz w:val="18"/>
                              </w:rPr>
                              <w:t>Students participating in the program</w:t>
                            </w:r>
                            <w:r>
                              <w:rPr>
                                <w:rFonts w:ascii="Tahoma" w:eastAsia="Tahoma" w:hAnsi="Tahoma"/>
                                <w:color w:val="464140"/>
                                <w:spacing w:val="3"/>
                                <w:sz w:val="18"/>
                              </w:rPr>
                              <w:t xml:space="preserve"> are </w:t>
                            </w:r>
                            <w:r>
                              <w:rPr>
                                <w:rFonts w:ascii="Tahoma" w:eastAsia="Tahoma" w:hAnsi="Tahoma"/>
                                <w:color w:val="404042"/>
                                <w:spacing w:val="3"/>
                                <w:sz w:val="18"/>
                              </w:rPr>
                              <w:t xml:space="preserve">exposed to a range of learning experiences to assist them in their career choices and pathways to employment, gaining valuable </w:t>
                            </w:r>
                            <w:r>
                              <w:rPr>
                                <w:rFonts w:ascii="Verdana" w:eastAsia="Verdana" w:hAnsi="Verdana"/>
                                <w:color w:val="404042"/>
                                <w:spacing w:val="3"/>
                                <w:sz w:val="17"/>
                              </w:rPr>
                              <w:t xml:space="preserve">skills and knowledge before they finish their </w:t>
                            </w:r>
                            <w:r>
                              <w:rPr>
                                <w:rFonts w:ascii="Tahoma" w:eastAsia="Tahoma" w:hAnsi="Tahoma"/>
                                <w:color w:val="404042"/>
                                <w:spacing w:val="3"/>
                                <w:sz w:val="18"/>
                              </w:rPr>
                              <w:t xml:space="preserve">schooling. Each project is led by industry organisations, which develop and implement tailored school engagement activities in line with key industry skills and workforce priorities. Industry organisations choose </w:t>
                            </w:r>
                            <w:r>
                              <w:rPr>
                                <w:rFonts w:ascii="Verdana" w:eastAsia="Verdana" w:hAnsi="Verdana"/>
                                <w:color w:val="404042"/>
                                <w:spacing w:val="3"/>
                                <w:sz w:val="17"/>
                              </w:rPr>
                              <w:t xml:space="preserve">how the industry-specific projects operate </w:t>
                            </w:r>
                            <w:r>
                              <w:rPr>
                                <w:rFonts w:ascii="Tahoma" w:eastAsia="Tahoma" w:hAnsi="Tahoma"/>
                                <w:color w:val="404042"/>
                                <w:spacing w:val="3"/>
                                <w:sz w:val="18"/>
                              </w:rPr>
                              <w:t>and the type and level of engagement with participating 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DDBF7" id="Text Box 280" o:spid="_x0000_s1276" type="#_x0000_t202" style="position:absolute;margin-left:71.3pt;margin-top:272.9pt;width:192pt;height:156.2pt;z-index:-25171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3J8wEAAMQDAAAOAAAAZHJzL2Uyb0RvYy54bWysU8Fu2zAMvQ/YPwi6L3bSZEuNOEXXosOA&#10;rhvQ9gMYWY6F2aJGKbGzrx8lJ1m33oZdBEqknt57pFZXQ9eKvSZv0JZyOsml0FZhZey2lM9Pd++W&#10;UvgAtoIWrS7lQXt5tX77ZtW7Qs+wwbbSJBjE+qJ3pWxCcEWWedXoDvwEnbacrJE6CLylbVYR9Ize&#10;tdksz99nPVLlCJX2nk9vx6RcJ/y61ip8rWuvg2hLydxCWimtm7hm6xUUWwLXGHWkAf/AogNj+dEz&#10;1C0EEDsyr6A6owg91mGisMuwro3SSQOrmeZ/qXlswOmkhc3x7myT/3+w6mH/jYSpSrlYXEphoeMm&#10;PekhiI84iNkyOdQ7X3Dho+PSMHCCO53UeneP6rsXFm8asFt9TYR9o6FihtPobfbiauyJL3wE2fRf&#10;sOKHYBcwAQ01ddE+NkQwOnfqcO5OJKP4cDa/WM5zTinOTS+XFx/miV0Gxem6Ix8+aexEDEpJ3P4E&#10;D/t7HyIdKE4l8TWLd6Zt0wi09o8DLowniX5kPHIPw2ZIXs0WZ182WB1YEeE4WvwVOGiQfkrR81iV&#10;0v/YAWkp2s+WXYkzeAroFGxOAVjFV0sZpBjDmzDO6s6R2TaMPPpu8Zqdq03SFF0dWRwJ86gkqcex&#10;jrP4cp+qfn++9S8AAAD//wMAUEsDBBQABgAIAAAAIQBwUww/3wAAAAsBAAAPAAAAZHJzL2Rvd25y&#10;ZXYueG1sTI9BT4NAEIXvJv6HzZh4s0tJIUhZmsboycRI8eBxgSlsys4iu23x3zue9PjefHnzXrFb&#10;7CguOHvjSMF6FYFAal1nqFfwUb88ZCB80NTp0REq+EYPu/L2ptB5565U4eUQesEh5HOtYAhhyqX0&#10;7YBW+5WbkPh2dLPVgeXcy27WVw63o4yjKJVWG+IPg57wacD2dDhbBftPqp7N11vzXh0rU9ePEb2m&#10;J6Xu75b9FkTAJfzB8Fufq0PJnRp3ps6LkfUmThlVkGwS3sBEEqfsNAqyJItBloX8v6H8AQAA//8D&#10;AFBLAQItABQABgAIAAAAIQC2gziS/gAAAOEBAAATAAAAAAAAAAAAAAAAAAAAAABbQ29udGVudF9U&#10;eXBlc10ueG1sUEsBAi0AFAAGAAgAAAAhADj9If/WAAAAlAEAAAsAAAAAAAAAAAAAAAAALwEAAF9y&#10;ZWxzLy5yZWxzUEsBAi0AFAAGAAgAAAAhAASIbcnzAQAAxAMAAA4AAAAAAAAAAAAAAAAALgIAAGRy&#10;cy9lMm9Eb2MueG1sUEsBAi0AFAAGAAgAAAAhAHBTDD/fAAAACwEAAA8AAAAAAAAAAAAAAAAATQQA&#10;AGRycy9kb3ducmV2LnhtbFBLBQYAAAAABAAEAPMAAABZBQAAAAA=&#10;" filled="f" stroked="f">
                <v:textbox inset="0,0,0,0">
                  <w:txbxContent>
                    <w:p w14:paraId="52B04E79" w14:textId="77777777" w:rsidR="00490F33" w:rsidRDefault="00490F33">
                      <w:pPr>
                        <w:spacing w:line="239" w:lineRule="exact"/>
                        <w:textAlignment w:val="baseline"/>
                        <w:rPr>
                          <w:rFonts w:ascii="Tahoma" w:eastAsia="Tahoma" w:hAnsi="Tahoma"/>
                          <w:color w:val="404042"/>
                          <w:spacing w:val="3"/>
                          <w:sz w:val="18"/>
                        </w:rPr>
                      </w:pPr>
                      <w:r>
                        <w:rPr>
                          <w:rFonts w:ascii="Tahoma" w:eastAsia="Tahoma" w:hAnsi="Tahoma"/>
                          <w:color w:val="404042"/>
                          <w:spacing w:val="3"/>
                          <w:sz w:val="18"/>
                        </w:rPr>
                        <w:t>Students participating in the program</w:t>
                      </w:r>
                      <w:r>
                        <w:rPr>
                          <w:rFonts w:ascii="Tahoma" w:eastAsia="Tahoma" w:hAnsi="Tahoma"/>
                          <w:color w:val="464140"/>
                          <w:spacing w:val="3"/>
                          <w:sz w:val="18"/>
                        </w:rPr>
                        <w:t xml:space="preserve"> are </w:t>
                      </w:r>
                      <w:r>
                        <w:rPr>
                          <w:rFonts w:ascii="Tahoma" w:eastAsia="Tahoma" w:hAnsi="Tahoma"/>
                          <w:color w:val="404042"/>
                          <w:spacing w:val="3"/>
                          <w:sz w:val="18"/>
                        </w:rPr>
                        <w:t xml:space="preserve">exposed to a range of learning experiences to assist them in their career choices and pathways to employment, gaining valuable </w:t>
                      </w:r>
                      <w:r>
                        <w:rPr>
                          <w:rFonts w:ascii="Verdana" w:eastAsia="Verdana" w:hAnsi="Verdana"/>
                          <w:color w:val="404042"/>
                          <w:spacing w:val="3"/>
                          <w:sz w:val="17"/>
                        </w:rPr>
                        <w:t xml:space="preserve">skills and knowledge before they finish their </w:t>
                      </w:r>
                      <w:r>
                        <w:rPr>
                          <w:rFonts w:ascii="Tahoma" w:eastAsia="Tahoma" w:hAnsi="Tahoma"/>
                          <w:color w:val="404042"/>
                          <w:spacing w:val="3"/>
                          <w:sz w:val="18"/>
                        </w:rPr>
                        <w:t xml:space="preserve">schooling. Each project is led by industry organisations, which develop and implement tailored school engagement activities in line with key industry skills and workforce priorities. Industry organisations choose </w:t>
                      </w:r>
                      <w:r>
                        <w:rPr>
                          <w:rFonts w:ascii="Verdana" w:eastAsia="Verdana" w:hAnsi="Verdana"/>
                          <w:color w:val="404042"/>
                          <w:spacing w:val="3"/>
                          <w:sz w:val="17"/>
                        </w:rPr>
                        <w:t xml:space="preserve">how the industry-specific projects operate </w:t>
                      </w:r>
                      <w:r>
                        <w:rPr>
                          <w:rFonts w:ascii="Tahoma" w:eastAsia="Tahoma" w:hAnsi="Tahoma"/>
                          <w:color w:val="404042"/>
                          <w:spacing w:val="3"/>
                          <w:sz w:val="18"/>
                        </w:rPr>
                        <w:t>and the type and level of engagement with participating schools.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1408" behindDoc="1" locked="0" layoutInCell="1" allowOverlap="1" wp14:anchorId="6A109ED1" wp14:editId="1AA9B62F">
                <wp:simplePos x="0" y="0"/>
                <wp:positionH relativeFrom="page">
                  <wp:posOffset>4114800</wp:posOffset>
                </wp:positionH>
                <wp:positionV relativeFrom="page">
                  <wp:posOffset>4436745</wp:posOffset>
                </wp:positionV>
                <wp:extent cx="2590800" cy="1141095"/>
                <wp:effectExtent l="0" t="0" r="0" b="0"/>
                <wp:wrapSquare wrapText="bothSides"/>
                <wp:docPr id="55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14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0C778" w14:textId="77777777" w:rsidR="00490F33" w:rsidRDefault="00490F33">
                            <w:pPr>
                              <w:spacing w:before="53" w:line="246" w:lineRule="exact"/>
                              <w:textAlignment w:val="baseline"/>
                              <w:rPr>
                                <w:rFonts w:ascii="Tahoma" w:eastAsia="Tahoma" w:hAnsi="Tahoma"/>
                                <w:i/>
                                <w:color w:val="007994"/>
                                <w:sz w:val="21"/>
                              </w:rPr>
                            </w:pPr>
                            <w:r>
                              <w:rPr>
                                <w:rFonts w:ascii="Tahoma" w:eastAsia="Tahoma" w:hAnsi="Tahoma"/>
                                <w:i/>
                                <w:color w:val="007994"/>
                                <w:sz w:val="21"/>
                              </w:rPr>
                              <w:t>“The ability</w:t>
                            </w:r>
                            <w:r>
                              <w:rPr>
                                <w:rFonts w:ascii="Tahoma" w:eastAsia="Tahoma" w:hAnsi="Tahoma"/>
                                <w:i/>
                                <w:color w:val="09778E"/>
                                <w:sz w:val="21"/>
                              </w:rPr>
                              <w:t xml:space="preserve"> to work together in</w:t>
                            </w:r>
                          </w:p>
                          <w:p w14:paraId="02712A2D" w14:textId="77777777" w:rsidR="00490F33" w:rsidRDefault="00490F33">
                            <w:pPr>
                              <w:spacing w:before="1" w:line="299" w:lineRule="exact"/>
                              <w:ind w:right="216"/>
                              <w:textAlignment w:val="baseline"/>
                              <w:rPr>
                                <w:rFonts w:ascii="Tahoma" w:eastAsia="Tahoma" w:hAnsi="Tahoma"/>
                                <w:i/>
                                <w:color w:val="007994"/>
                                <w:sz w:val="21"/>
                              </w:rPr>
                            </w:pPr>
                            <w:r>
                              <w:rPr>
                                <w:rFonts w:ascii="Tahoma" w:eastAsia="Tahoma" w:hAnsi="Tahoma"/>
                                <w:i/>
                                <w:color w:val="007994"/>
                                <w:sz w:val="21"/>
                              </w:rPr>
                              <w:t>partnership</w:t>
                            </w:r>
                            <w:r>
                              <w:rPr>
                                <w:rFonts w:ascii="Tahoma" w:eastAsia="Tahoma" w:hAnsi="Tahoma"/>
                                <w:i/>
                                <w:color w:val="09778E"/>
                                <w:sz w:val="21"/>
                              </w:rPr>
                              <w:t xml:space="preserve"> with QMEA in a sequenced </w:t>
                            </w:r>
                            <w:r>
                              <w:rPr>
                                <w:rFonts w:ascii="Tahoma" w:eastAsia="Tahoma" w:hAnsi="Tahoma"/>
                                <w:i/>
                                <w:color w:val="007994"/>
                                <w:sz w:val="21"/>
                              </w:rPr>
                              <w:t>approach</w:t>
                            </w:r>
                            <w:r>
                              <w:rPr>
                                <w:rFonts w:ascii="Tahoma" w:eastAsia="Tahoma" w:hAnsi="Tahoma"/>
                                <w:i/>
                                <w:color w:val="09778E"/>
                                <w:sz w:val="21"/>
                              </w:rPr>
                              <w:t xml:space="preserve"> around industry contexts is </w:t>
                            </w:r>
                            <w:r>
                              <w:rPr>
                                <w:rFonts w:ascii="Tahoma" w:eastAsia="Tahoma" w:hAnsi="Tahoma"/>
                                <w:i/>
                                <w:color w:val="007994"/>
                                <w:sz w:val="21"/>
                              </w:rPr>
                              <w:t>overwhelmingly</w:t>
                            </w:r>
                            <w:r>
                              <w:rPr>
                                <w:rFonts w:ascii="Tahoma" w:eastAsia="Tahoma" w:hAnsi="Tahoma"/>
                                <w:i/>
                                <w:color w:val="09778E"/>
                                <w:sz w:val="21"/>
                              </w:rPr>
                              <w:t xml:space="preserve"> positive for our school.”</w:t>
                            </w:r>
                          </w:p>
                          <w:p w14:paraId="4A6BC32F" w14:textId="77777777" w:rsidR="00490F33" w:rsidRDefault="00490F33">
                            <w:pPr>
                              <w:spacing w:before="60" w:line="242" w:lineRule="exact"/>
                              <w:jc w:val="right"/>
                              <w:textAlignment w:val="baseline"/>
                              <w:rPr>
                                <w:rFonts w:ascii="Verdana" w:eastAsia="Verdana" w:hAnsi="Verdana"/>
                                <w:i/>
                                <w:color w:val="09778E"/>
                                <w:sz w:val="19"/>
                              </w:rPr>
                            </w:pPr>
                            <w:r>
                              <w:rPr>
                                <w:rFonts w:ascii="Verdana" w:eastAsia="Verdana" w:hAnsi="Verdana"/>
                                <w:i/>
                                <w:color w:val="09778E"/>
                                <w:sz w:val="19"/>
                              </w:rPr>
                              <w:t>Josette Moffatt,</w:t>
                            </w:r>
                            <w:r>
                              <w:rPr>
                                <w:rFonts w:ascii="Verdana" w:eastAsia="Verdana" w:hAnsi="Verdana"/>
                                <w:i/>
                                <w:color w:val="007994"/>
                                <w:sz w:val="19"/>
                              </w:rPr>
                              <w:t xml:space="preserve"> Principal,</w:t>
                            </w:r>
                          </w:p>
                          <w:p w14:paraId="232BBCD1" w14:textId="77777777" w:rsidR="00490F33" w:rsidRDefault="00490F33">
                            <w:pPr>
                              <w:spacing w:before="51" w:line="247" w:lineRule="exact"/>
                              <w:jc w:val="right"/>
                              <w:textAlignment w:val="baseline"/>
                              <w:rPr>
                                <w:rFonts w:ascii="Tahoma" w:eastAsia="Tahoma" w:hAnsi="Tahoma"/>
                                <w:i/>
                                <w:color w:val="007994"/>
                                <w:spacing w:val="1"/>
                                <w:sz w:val="21"/>
                              </w:rPr>
                            </w:pPr>
                            <w:r>
                              <w:rPr>
                                <w:rFonts w:ascii="Tahoma" w:eastAsia="Tahoma" w:hAnsi="Tahoma"/>
                                <w:i/>
                                <w:color w:val="007994"/>
                                <w:spacing w:val="1"/>
                                <w:sz w:val="21"/>
                              </w:rPr>
                              <w:t>Miles State High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09ED1" id="Text Box 279" o:spid="_x0000_s1277" type="#_x0000_t202" style="position:absolute;margin-left:324pt;margin-top:349.35pt;width:204pt;height:89.85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TY8AEAAMQDAAAOAAAAZHJzL2Uyb0RvYy54bWysU8Fu2zAMvQ/YPwi6L7aDZWuMOEXXosOA&#10;bh3Q7gMYWY6F2aJGKbGzrx8lJ2m33opdBEqknt57pFaXY9+JvSZv0FaymOVSaKuwNnZbyR+Pt+8u&#10;pPABbA0dWl3Jg/bycv32zWpwpZ5ji12tSTCI9eXgKtmG4Mos86rVPfgZOm052SD1EHhL26wmGBi9&#10;77J5nn/IBqTaESrtPZ/eTEm5TvhNo1W4bxqvg+gqydxCWimtm7hm6xWUWwLXGnWkAa9g0YOx/OgZ&#10;6gYCiB2ZF1C9UYQemzBT2GfYNEbppIHVFPk/ah5acDppYXO8O9vk/x+s+rb/TsLUlVwsuFUWem7S&#10;ox6D+ISjmH9cRocG50sufHBcGkZOcKeTWu/uUP30wuJ1C3arr4hwaDXUzLCIN7NnVyccH0E2w1es&#10;+SHYBUxAY0N9tI8NEYzOnTqcuxPJKD6cL5b5Rc4pxbmieF/ky0V6A8rTdUc+fNbYixhUkrj9CR72&#10;dz5EOlCeSuJrFm9N16UR6OxfB1wYTxL9yHjiHsbNmLyaL5K6KG6D9YEVEU6jxV+BgxbptxQDj1Ul&#10;/a8dkJai+2LZlTiDp4BOweYUgFV8tZJBiim8DtOs7hyZbcvIk+8Wr9i5xiRNTyyOhHlUktTjWMdZ&#10;fL5PVU+fb/0HAAD//wMAUEsDBBQABgAIAAAAIQB/Q5M/4QAAAAwBAAAPAAAAZHJzL2Rvd25yZXYu&#10;eG1sTI/BTsMwEETvSPyDtUjcqA0qqRviVBWCExIiDQeOTuwmVuN1iN02/D3bE9x2d0azb4rN7Ad2&#10;slN0ARXcLwQwi20wDjsFn/XrnQQWk0ajh4BWwY+NsCmvrwqdm3DGyp52qWMUgjHXCvqUxpzz2PbW&#10;67gIo0XS9mHyOtE6ddxM+kzhfuAPQmTca4f0odejfe5te9gdvYLtF1Yv7vu9+aj2lavrtcC37KDU&#10;7c28fQKW7Jz+zHDBJ3QoiakJRzSRDQqypaQuiYa1XAG7OMRjRqdGgVzJJfCy4P9LlL8AAAD//wMA&#10;UEsBAi0AFAAGAAgAAAAhALaDOJL+AAAA4QEAABMAAAAAAAAAAAAAAAAAAAAAAFtDb250ZW50X1R5&#10;cGVzXS54bWxQSwECLQAUAAYACAAAACEAOP0h/9YAAACUAQAACwAAAAAAAAAAAAAAAAAvAQAAX3Jl&#10;bHMvLnJlbHNQSwECLQAUAAYACAAAACEApWwk2PABAADEAwAADgAAAAAAAAAAAAAAAAAuAgAAZHJz&#10;L2Uyb0RvYy54bWxQSwECLQAUAAYACAAAACEAf0OTP+EAAAAMAQAADwAAAAAAAAAAAAAAAABKBAAA&#10;ZHJzL2Rvd25yZXYueG1sUEsFBgAAAAAEAAQA8wAAAFgFAAAAAA==&#10;" filled="f" stroked="f">
                <v:textbox inset="0,0,0,0">
                  <w:txbxContent>
                    <w:p w14:paraId="5780C778" w14:textId="77777777" w:rsidR="00490F33" w:rsidRDefault="00490F33">
                      <w:pPr>
                        <w:spacing w:before="53" w:line="246" w:lineRule="exact"/>
                        <w:textAlignment w:val="baseline"/>
                        <w:rPr>
                          <w:rFonts w:ascii="Tahoma" w:eastAsia="Tahoma" w:hAnsi="Tahoma"/>
                          <w:i/>
                          <w:color w:val="007994"/>
                          <w:sz w:val="21"/>
                        </w:rPr>
                      </w:pPr>
                      <w:r>
                        <w:rPr>
                          <w:rFonts w:ascii="Tahoma" w:eastAsia="Tahoma" w:hAnsi="Tahoma"/>
                          <w:i/>
                          <w:color w:val="007994"/>
                          <w:sz w:val="21"/>
                        </w:rPr>
                        <w:t>“The ability</w:t>
                      </w:r>
                      <w:r>
                        <w:rPr>
                          <w:rFonts w:ascii="Tahoma" w:eastAsia="Tahoma" w:hAnsi="Tahoma"/>
                          <w:i/>
                          <w:color w:val="09778E"/>
                          <w:sz w:val="21"/>
                        </w:rPr>
                        <w:t xml:space="preserve"> to work together in</w:t>
                      </w:r>
                    </w:p>
                    <w:p w14:paraId="02712A2D" w14:textId="77777777" w:rsidR="00490F33" w:rsidRDefault="00490F33">
                      <w:pPr>
                        <w:spacing w:before="1" w:line="299" w:lineRule="exact"/>
                        <w:ind w:right="216"/>
                        <w:textAlignment w:val="baseline"/>
                        <w:rPr>
                          <w:rFonts w:ascii="Tahoma" w:eastAsia="Tahoma" w:hAnsi="Tahoma"/>
                          <w:i/>
                          <w:color w:val="007994"/>
                          <w:sz w:val="21"/>
                        </w:rPr>
                      </w:pPr>
                      <w:r>
                        <w:rPr>
                          <w:rFonts w:ascii="Tahoma" w:eastAsia="Tahoma" w:hAnsi="Tahoma"/>
                          <w:i/>
                          <w:color w:val="007994"/>
                          <w:sz w:val="21"/>
                        </w:rPr>
                        <w:t>partnership</w:t>
                      </w:r>
                      <w:r>
                        <w:rPr>
                          <w:rFonts w:ascii="Tahoma" w:eastAsia="Tahoma" w:hAnsi="Tahoma"/>
                          <w:i/>
                          <w:color w:val="09778E"/>
                          <w:sz w:val="21"/>
                        </w:rPr>
                        <w:t xml:space="preserve"> with QMEA in a sequenced </w:t>
                      </w:r>
                      <w:r>
                        <w:rPr>
                          <w:rFonts w:ascii="Tahoma" w:eastAsia="Tahoma" w:hAnsi="Tahoma"/>
                          <w:i/>
                          <w:color w:val="007994"/>
                          <w:sz w:val="21"/>
                        </w:rPr>
                        <w:t>approach</w:t>
                      </w:r>
                      <w:r>
                        <w:rPr>
                          <w:rFonts w:ascii="Tahoma" w:eastAsia="Tahoma" w:hAnsi="Tahoma"/>
                          <w:i/>
                          <w:color w:val="09778E"/>
                          <w:sz w:val="21"/>
                        </w:rPr>
                        <w:t xml:space="preserve"> around industry contexts is </w:t>
                      </w:r>
                      <w:r>
                        <w:rPr>
                          <w:rFonts w:ascii="Tahoma" w:eastAsia="Tahoma" w:hAnsi="Tahoma"/>
                          <w:i/>
                          <w:color w:val="007994"/>
                          <w:sz w:val="21"/>
                        </w:rPr>
                        <w:t>overwhelmingly</w:t>
                      </w:r>
                      <w:r>
                        <w:rPr>
                          <w:rFonts w:ascii="Tahoma" w:eastAsia="Tahoma" w:hAnsi="Tahoma"/>
                          <w:i/>
                          <w:color w:val="09778E"/>
                          <w:sz w:val="21"/>
                        </w:rPr>
                        <w:t xml:space="preserve"> positive for our school.”</w:t>
                      </w:r>
                    </w:p>
                    <w:p w14:paraId="4A6BC32F" w14:textId="77777777" w:rsidR="00490F33" w:rsidRDefault="00490F33">
                      <w:pPr>
                        <w:spacing w:before="60" w:line="242" w:lineRule="exact"/>
                        <w:jc w:val="right"/>
                        <w:textAlignment w:val="baseline"/>
                        <w:rPr>
                          <w:rFonts w:ascii="Verdana" w:eastAsia="Verdana" w:hAnsi="Verdana"/>
                          <w:i/>
                          <w:color w:val="09778E"/>
                          <w:sz w:val="19"/>
                        </w:rPr>
                      </w:pPr>
                      <w:r>
                        <w:rPr>
                          <w:rFonts w:ascii="Verdana" w:eastAsia="Verdana" w:hAnsi="Verdana"/>
                          <w:i/>
                          <w:color w:val="09778E"/>
                          <w:sz w:val="19"/>
                        </w:rPr>
                        <w:t>Josette Moffatt,</w:t>
                      </w:r>
                      <w:r>
                        <w:rPr>
                          <w:rFonts w:ascii="Verdana" w:eastAsia="Verdana" w:hAnsi="Verdana"/>
                          <w:i/>
                          <w:color w:val="007994"/>
                          <w:sz w:val="19"/>
                        </w:rPr>
                        <w:t xml:space="preserve"> Principal,</w:t>
                      </w:r>
                    </w:p>
                    <w:p w14:paraId="232BBCD1" w14:textId="77777777" w:rsidR="00490F33" w:rsidRDefault="00490F33">
                      <w:pPr>
                        <w:spacing w:before="51" w:line="247" w:lineRule="exact"/>
                        <w:jc w:val="right"/>
                        <w:textAlignment w:val="baseline"/>
                        <w:rPr>
                          <w:rFonts w:ascii="Tahoma" w:eastAsia="Tahoma" w:hAnsi="Tahoma"/>
                          <w:i/>
                          <w:color w:val="007994"/>
                          <w:spacing w:val="1"/>
                          <w:sz w:val="21"/>
                        </w:rPr>
                      </w:pPr>
                      <w:r>
                        <w:rPr>
                          <w:rFonts w:ascii="Tahoma" w:eastAsia="Tahoma" w:hAnsi="Tahoma"/>
                          <w:i/>
                          <w:color w:val="007994"/>
                          <w:spacing w:val="1"/>
                          <w:sz w:val="21"/>
                        </w:rPr>
                        <w:t>Miles State High School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2432" behindDoc="1" locked="0" layoutInCell="1" allowOverlap="1" wp14:anchorId="7BBEDF05" wp14:editId="647EBAA0">
                <wp:simplePos x="0" y="0"/>
                <wp:positionH relativeFrom="page">
                  <wp:posOffset>905510</wp:posOffset>
                </wp:positionH>
                <wp:positionV relativeFrom="page">
                  <wp:posOffset>5558155</wp:posOffset>
                </wp:positionV>
                <wp:extent cx="2401570" cy="2667000"/>
                <wp:effectExtent l="0" t="0" r="0" b="0"/>
                <wp:wrapSquare wrapText="bothSides"/>
                <wp:docPr id="557"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26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4896" w14:textId="77777777" w:rsidR="00490F33" w:rsidRDefault="00490F33">
                            <w:pPr>
                              <w:spacing w:line="240" w:lineRule="exact"/>
                              <w:textAlignment w:val="baseline"/>
                              <w:rPr>
                                <w:rFonts w:ascii="Tahoma" w:eastAsia="Tahoma" w:hAnsi="Tahoma"/>
                                <w:color w:val="404042"/>
                                <w:spacing w:val="5"/>
                                <w:sz w:val="18"/>
                              </w:rPr>
                            </w:pPr>
                            <w:r>
                              <w:rPr>
                                <w:rFonts w:ascii="Tahoma" w:eastAsia="Tahoma" w:hAnsi="Tahoma"/>
                                <w:color w:val="404042"/>
                                <w:spacing w:val="5"/>
                                <w:sz w:val="18"/>
                              </w:rPr>
                              <w:t xml:space="preserve">Through the program, students learn about career opportunities available through a blend of school, vocational and academic </w:t>
                            </w:r>
                            <w:r>
                              <w:rPr>
                                <w:rFonts w:ascii="Verdana" w:eastAsia="Verdana" w:hAnsi="Verdana"/>
                                <w:color w:val="404042"/>
                                <w:spacing w:val="5"/>
                                <w:sz w:val="17"/>
                              </w:rPr>
                              <w:t xml:space="preserve">curriculums where they can be offered work </w:t>
                            </w:r>
                            <w:r>
                              <w:rPr>
                                <w:rFonts w:ascii="Tahoma" w:eastAsia="Tahoma" w:hAnsi="Tahoma"/>
                                <w:color w:val="404042"/>
                                <w:spacing w:val="5"/>
                                <w:sz w:val="18"/>
                              </w:rPr>
                              <w:t>experience, structured work placements, school-based traineeships and cadetship opportunities. There are currently six industry sectors delivering Gateway to Industry Schools projects:</w:t>
                            </w:r>
                          </w:p>
                          <w:p w14:paraId="70B97609" w14:textId="77777777" w:rsidR="00490F33" w:rsidRDefault="00490F33">
                            <w:pPr>
                              <w:numPr>
                                <w:ilvl w:val="0"/>
                                <w:numId w:val="6"/>
                              </w:numPr>
                              <w:spacing w:before="80" w:line="242" w:lineRule="exact"/>
                              <w:textAlignment w:val="baseline"/>
                              <w:rPr>
                                <w:rFonts w:ascii="Tahoma" w:eastAsia="Tahoma" w:hAnsi="Tahoma"/>
                                <w:color w:val="404042"/>
                                <w:spacing w:val="8"/>
                                <w:sz w:val="18"/>
                              </w:rPr>
                            </w:pPr>
                            <w:r>
                              <w:rPr>
                                <w:rFonts w:ascii="Tahoma" w:eastAsia="Tahoma" w:hAnsi="Tahoma"/>
                                <w:color w:val="404042"/>
                                <w:spacing w:val="8"/>
                                <w:sz w:val="18"/>
                              </w:rPr>
                              <w:t>Aerospace</w:t>
                            </w:r>
                          </w:p>
                          <w:p w14:paraId="15F2256B" w14:textId="77777777" w:rsidR="00490F33" w:rsidRDefault="00490F33">
                            <w:pPr>
                              <w:numPr>
                                <w:ilvl w:val="0"/>
                                <w:numId w:val="6"/>
                              </w:numPr>
                              <w:spacing w:before="84" w:line="242" w:lineRule="exact"/>
                              <w:textAlignment w:val="baseline"/>
                              <w:rPr>
                                <w:rFonts w:ascii="Tahoma" w:eastAsia="Tahoma" w:hAnsi="Tahoma"/>
                                <w:color w:val="404042"/>
                                <w:spacing w:val="9"/>
                                <w:sz w:val="18"/>
                              </w:rPr>
                            </w:pPr>
                            <w:r>
                              <w:rPr>
                                <w:rFonts w:ascii="Tahoma" w:eastAsia="Tahoma" w:hAnsi="Tahoma"/>
                                <w:color w:val="404042"/>
                                <w:spacing w:val="9"/>
                                <w:sz w:val="18"/>
                              </w:rPr>
                              <w:t>Agribusiness</w:t>
                            </w:r>
                          </w:p>
                          <w:p w14:paraId="05922DF3" w14:textId="77777777" w:rsidR="00490F33" w:rsidRDefault="00490F33">
                            <w:pPr>
                              <w:numPr>
                                <w:ilvl w:val="0"/>
                                <w:numId w:val="6"/>
                              </w:numPr>
                              <w:spacing w:before="85" w:line="242" w:lineRule="exact"/>
                              <w:textAlignment w:val="baseline"/>
                              <w:rPr>
                                <w:rFonts w:ascii="Tahoma" w:eastAsia="Tahoma" w:hAnsi="Tahoma"/>
                                <w:color w:val="404042"/>
                                <w:spacing w:val="7"/>
                                <w:sz w:val="18"/>
                              </w:rPr>
                            </w:pPr>
                            <w:r>
                              <w:rPr>
                                <w:rFonts w:ascii="Tahoma" w:eastAsia="Tahoma" w:hAnsi="Tahoma"/>
                                <w:color w:val="404042"/>
                                <w:spacing w:val="7"/>
                                <w:sz w:val="18"/>
                              </w:rPr>
                              <w:t>Building and construction</w:t>
                            </w:r>
                          </w:p>
                          <w:p w14:paraId="53F97FF8" w14:textId="77777777" w:rsidR="00490F33" w:rsidRDefault="00490F33">
                            <w:pPr>
                              <w:numPr>
                                <w:ilvl w:val="0"/>
                                <w:numId w:val="6"/>
                              </w:numPr>
                              <w:spacing w:before="100" w:line="219" w:lineRule="exact"/>
                              <w:textAlignment w:val="baseline"/>
                              <w:rPr>
                                <w:rFonts w:ascii="Tahoma" w:eastAsia="Tahoma" w:hAnsi="Tahoma"/>
                                <w:color w:val="404042"/>
                                <w:spacing w:val="6"/>
                                <w:sz w:val="18"/>
                              </w:rPr>
                            </w:pPr>
                            <w:r>
                              <w:rPr>
                                <w:rFonts w:ascii="Tahoma" w:eastAsia="Tahoma" w:hAnsi="Tahoma"/>
                                <w:color w:val="404042"/>
                                <w:spacing w:val="6"/>
                                <w:sz w:val="18"/>
                              </w:rPr>
                              <w:t>Food, wine and tourism</w:t>
                            </w:r>
                          </w:p>
                          <w:p w14:paraId="25AF2BE1" w14:textId="77777777" w:rsidR="00490F33" w:rsidRDefault="00490F33">
                            <w:pPr>
                              <w:numPr>
                                <w:ilvl w:val="0"/>
                                <w:numId w:val="6"/>
                              </w:numPr>
                              <w:spacing w:before="87" w:line="242" w:lineRule="exact"/>
                              <w:textAlignment w:val="baseline"/>
                              <w:rPr>
                                <w:rFonts w:ascii="Tahoma" w:eastAsia="Tahoma" w:hAnsi="Tahoma"/>
                                <w:color w:val="404042"/>
                                <w:spacing w:val="8"/>
                                <w:sz w:val="18"/>
                              </w:rPr>
                            </w:pPr>
                            <w:r>
                              <w:rPr>
                                <w:rFonts w:ascii="Tahoma" w:eastAsia="Tahoma" w:hAnsi="Tahoma"/>
                                <w:color w:val="404042"/>
                                <w:spacing w:val="8"/>
                                <w:sz w:val="18"/>
                              </w:rPr>
                              <w:t>Manufacturing and engineering</w:t>
                            </w:r>
                          </w:p>
                          <w:p w14:paraId="4C3327F6" w14:textId="77777777" w:rsidR="00490F33" w:rsidRDefault="00490F33">
                            <w:pPr>
                              <w:numPr>
                                <w:ilvl w:val="0"/>
                                <w:numId w:val="6"/>
                              </w:numPr>
                              <w:spacing w:before="84" w:after="81" w:line="242" w:lineRule="exact"/>
                              <w:textAlignment w:val="baseline"/>
                              <w:rPr>
                                <w:rFonts w:ascii="Tahoma" w:eastAsia="Tahoma" w:hAnsi="Tahoma"/>
                                <w:color w:val="404042"/>
                                <w:spacing w:val="8"/>
                                <w:sz w:val="18"/>
                              </w:rPr>
                            </w:pPr>
                            <w:r>
                              <w:rPr>
                                <w:rFonts w:ascii="Tahoma" w:eastAsia="Tahoma" w:hAnsi="Tahoma"/>
                                <w:color w:val="404042"/>
                                <w:spacing w:val="8"/>
                                <w:sz w:val="18"/>
                              </w:rPr>
                              <w:t>Minerals and energy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EDF05" id="Text Box 278" o:spid="_x0000_s1278" type="#_x0000_t202" style="position:absolute;margin-left:71.3pt;margin-top:437.65pt;width:189.1pt;height:210pt;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eVR8QEAAMQDAAAOAAAAZHJzL2Uyb0RvYy54bWysU9tu2zAMfR+wfxD0vtgxlqQw4hRdiw4D&#10;ugvQ7gMYWY6F2aJGKbG7rx8lx1m3vQ17EShejg4Pqe312HfipMkbtJVcLnIptFVYG3uo5Nen+zdX&#10;UvgAtoYOra7ks/byevf61XZwpS6wxa7WJBjE+nJwlWxDcGWWedXqHvwCnbYcbJB6CHylQ1YTDIze&#10;d1mR5+tsQKododLes/duCspdwm8arcLnpvE6iK6SzC2kk9K5j2e220J5IHCtUWca8A8sejCWH71A&#10;3UEAcSTzF1RvFKHHJiwU9hk2jVE69cDdLPM/unlswenUC4vj3UUm//9g1afTFxKmruRqtZHCQs9D&#10;etJjEO9wFMXmKio0OF9y4qPj1DBygCeduvXuAdU3LyzetmAP+oYIh1ZDzQyXsTJ7UTrh+AiyHz5i&#10;zQ/BMWACGhvqo3wsiGB0ntTzZTqRjGJn8TZfrjYcUhwr1utNnqf5ZVDO5Y58eK+xF9GoJPH4Ezyc&#10;HnyIdKCcU+JrFu9N16UV6OxvDk6MnkQ/Mp64h3E/Jq2KVTHrssf6mTsinFaLvwIbLdIPKQZeq0r6&#10;70cgLUX3wbIqcQdng2ZjPxtgFZdWMkgxmbdh2tWjI3NoGXnS3eINK9eY1FOUeGJxJsyrklo9r3Xc&#10;xZf3lPXr8+1+AgAA//8DAFBLAwQUAAYACAAAACEAIuyn3uAAAAAMAQAADwAAAGRycy9kb3ducmV2&#10;LnhtbEyPwU7DMBBE70j8g7VI3KhNoKENcaoKwQkJkYYDRyfeJlHjdYjdNvw9ywmOszOafZNvZjeI&#10;E06h96ThdqFAIDXe9tRq+KheblYgQjRkzeAJNXxjgE1xeZGbzPozlXjaxVZwCYXMaOhiHDMpQ9Oh&#10;M2HhRyT29n5yJrKcWmknc+ZyN8hEqVQ60xN/6MyITx02h93Radh+Uvncf73V7+W+7Ktqreg1PWh9&#10;fTVvH0FEnONfGH7xGR0KZqr9kWwQA+v7JOWohtXD8g4EJ5aJ4jE1W8maT7LI5f8RxQ8AAAD//wMA&#10;UEsBAi0AFAAGAAgAAAAhALaDOJL+AAAA4QEAABMAAAAAAAAAAAAAAAAAAAAAAFtDb250ZW50X1R5&#10;cGVzXS54bWxQSwECLQAUAAYACAAAACEAOP0h/9YAAACUAQAACwAAAAAAAAAAAAAAAAAvAQAAX3Jl&#10;bHMvLnJlbHNQSwECLQAUAAYACAAAACEAtcnlUfEBAADEAwAADgAAAAAAAAAAAAAAAAAuAgAAZHJz&#10;L2Uyb0RvYy54bWxQSwECLQAUAAYACAAAACEAIuyn3uAAAAAMAQAADwAAAAAAAAAAAAAAAABLBAAA&#10;ZHJzL2Rvd25yZXYueG1sUEsFBgAAAAAEAAQA8wAAAFgFAAAAAA==&#10;" filled="f" stroked="f">
                <v:textbox inset="0,0,0,0">
                  <w:txbxContent>
                    <w:p w14:paraId="313C4896" w14:textId="77777777" w:rsidR="00490F33" w:rsidRDefault="00490F33">
                      <w:pPr>
                        <w:spacing w:line="240" w:lineRule="exact"/>
                        <w:textAlignment w:val="baseline"/>
                        <w:rPr>
                          <w:rFonts w:ascii="Tahoma" w:eastAsia="Tahoma" w:hAnsi="Tahoma"/>
                          <w:color w:val="404042"/>
                          <w:spacing w:val="5"/>
                          <w:sz w:val="18"/>
                        </w:rPr>
                      </w:pPr>
                      <w:r>
                        <w:rPr>
                          <w:rFonts w:ascii="Tahoma" w:eastAsia="Tahoma" w:hAnsi="Tahoma"/>
                          <w:color w:val="404042"/>
                          <w:spacing w:val="5"/>
                          <w:sz w:val="18"/>
                        </w:rPr>
                        <w:t xml:space="preserve">Through the program, students learn about career opportunities available through a blend of school, vocational and academic </w:t>
                      </w:r>
                      <w:r>
                        <w:rPr>
                          <w:rFonts w:ascii="Verdana" w:eastAsia="Verdana" w:hAnsi="Verdana"/>
                          <w:color w:val="404042"/>
                          <w:spacing w:val="5"/>
                          <w:sz w:val="17"/>
                        </w:rPr>
                        <w:t xml:space="preserve">curriculums where they can be offered work </w:t>
                      </w:r>
                      <w:r>
                        <w:rPr>
                          <w:rFonts w:ascii="Tahoma" w:eastAsia="Tahoma" w:hAnsi="Tahoma"/>
                          <w:color w:val="404042"/>
                          <w:spacing w:val="5"/>
                          <w:sz w:val="18"/>
                        </w:rPr>
                        <w:t>experience, structured work placements, school-based traineeships and cadetship opportunities. There are currently six industry sectors delivering Gateway to Industry Schools projects:</w:t>
                      </w:r>
                    </w:p>
                    <w:p w14:paraId="70B97609" w14:textId="77777777" w:rsidR="00490F33" w:rsidRDefault="00490F33">
                      <w:pPr>
                        <w:numPr>
                          <w:ilvl w:val="0"/>
                          <w:numId w:val="6"/>
                        </w:numPr>
                        <w:spacing w:before="80" w:line="242" w:lineRule="exact"/>
                        <w:textAlignment w:val="baseline"/>
                        <w:rPr>
                          <w:rFonts w:ascii="Tahoma" w:eastAsia="Tahoma" w:hAnsi="Tahoma"/>
                          <w:color w:val="404042"/>
                          <w:spacing w:val="8"/>
                          <w:sz w:val="18"/>
                        </w:rPr>
                      </w:pPr>
                      <w:r>
                        <w:rPr>
                          <w:rFonts w:ascii="Tahoma" w:eastAsia="Tahoma" w:hAnsi="Tahoma"/>
                          <w:color w:val="404042"/>
                          <w:spacing w:val="8"/>
                          <w:sz w:val="18"/>
                        </w:rPr>
                        <w:t>Aerospace</w:t>
                      </w:r>
                    </w:p>
                    <w:p w14:paraId="15F2256B" w14:textId="77777777" w:rsidR="00490F33" w:rsidRDefault="00490F33">
                      <w:pPr>
                        <w:numPr>
                          <w:ilvl w:val="0"/>
                          <w:numId w:val="6"/>
                        </w:numPr>
                        <w:spacing w:before="84" w:line="242" w:lineRule="exact"/>
                        <w:textAlignment w:val="baseline"/>
                        <w:rPr>
                          <w:rFonts w:ascii="Tahoma" w:eastAsia="Tahoma" w:hAnsi="Tahoma"/>
                          <w:color w:val="404042"/>
                          <w:spacing w:val="9"/>
                          <w:sz w:val="18"/>
                        </w:rPr>
                      </w:pPr>
                      <w:r>
                        <w:rPr>
                          <w:rFonts w:ascii="Tahoma" w:eastAsia="Tahoma" w:hAnsi="Tahoma"/>
                          <w:color w:val="404042"/>
                          <w:spacing w:val="9"/>
                          <w:sz w:val="18"/>
                        </w:rPr>
                        <w:t>Agribusiness</w:t>
                      </w:r>
                    </w:p>
                    <w:p w14:paraId="05922DF3" w14:textId="77777777" w:rsidR="00490F33" w:rsidRDefault="00490F33">
                      <w:pPr>
                        <w:numPr>
                          <w:ilvl w:val="0"/>
                          <w:numId w:val="6"/>
                        </w:numPr>
                        <w:spacing w:before="85" w:line="242" w:lineRule="exact"/>
                        <w:textAlignment w:val="baseline"/>
                        <w:rPr>
                          <w:rFonts w:ascii="Tahoma" w:eastAsia="Tahoma" w:hAnsi="Tahoma"/>
                          <w:color w:val="404042"/>
                          <w:spacing w:val="7"/>
                          <w:sz w:val="18"/>
                        </w:rPr>
                      </w:pPr>
                      <w:r>
                        <w:rPr>
                          <w:rFonts w:ascii="Tahoma" w:eastAsia="Tahoma" w:hAnsi="Tahoma"/>
                          <w:color w:val="404042"/>
                          <w:spacing w:val="7"/>
                          <w:sz w:val="18"/>
                        </w:rPr>
                        <w:t>Building and construction</w:t>
                      </w:r>
                    </w:p>
                    <w:p w14:paraId="53F97FF8" w14:textId="77777777" w:rsidR="00490F33" w:rsidRDefault="00490F33">
                      <w:pPr>
                        <w:numPr>
                          <w:ilvl w:val="0"/>
                          <w:numId w:val="6"/>
                        </w:numPr>
                        <w:spacing w:before="100" w:line="219" w:lineRule="exact"/>
                        <w:textAlignment w:val="baseline"/>
                        <w:rPr>
                          <w:rFonts w:ascii="Tahoma" w:eastAsia="Tahoma" w:hAnsi="Tahoma"/>
                          <w:color w:val="404042"/>
                          <w:spacing w:val="6"/>
                          <w:sz w:val="18"/>
                        </w:rPr>
                      </w:pPr>
                      <w:r>
                        <w:rPr>
                          <w:rFonts w:ascii="Tahoma" w:eastAsia="Tahoma" w:hAnsi="Tahoma"/>
                          <w:color w:val="404042"/>
                          <w:spacing w:val="6"/>
                          <w:sz w:val="18"/>
                        </w:rPr>
                        <w:t>Food, wine and tourism</w:t>
                      </w:r>
                    </w:p>
                    <w:p w14:paraId="25AF2BE1" w14:textId="77777777" w:rsidR="00490F33" w:rsidRDefault="00490F33">
                      <w:pPr>
                        <w:numPr>
                          <w:ilvl w:val="0"/>
                          <w:numId w:val="6"/>
                        </w:numPr>
                        <w:spacing w:before="87" w:line="242" w:lineRule="exact"/>
                        <w:textAlignment w:val="baseline"/>
                        <w:rPr>
                          <w:rFonts w:ascii="Tahoma" w:eastAsia="Tahoma" w:hAnsi="Tahoma"/>
                          <w:color w:val="404042"/>
                          <w:spacing w:val="8"/>
                          <w:sz w:val="18"/>
                        </w:rPr>
                      </w:pPr>
                      <w:r>
                        <w:rPr>
                          <w:rFonts w:ascii="Tahoma" w:eastAsia="Tahoma" w:hAnsi="Tahoma"/>
                          <w:color w:val="404042"/>
                          <w:spacing w:val="8"/>
                          <w:sz w:val="18"/>
                        </w:rPr>
                        <w:t>Manufacturing and engineering</w:t>
                      </w:r>
                    </w:p>
                    <w:p w14:paraId="4C3327F6" w14:textId="77777777" w:rsidR="00490F33" w:rsidRDefault="00490F33">
                      <w:pPr>
                        <w:numPr>
                          <w:ilvl w:val="0"/>
                          <w:numId w:val="6"/>
                        </w:numPr>
                        <w:spacing w:before="84" w:after="81" w:line="242" w:lineRule="exact"/>
                        <w:textAlignment w:val="baseline"/>
                        <w:rPr>
                          <w:rFonts w:ascii="Tahoma" w:eastAsia="Tahoma" w:hAnsi="Tahoma"/>
                          <w:color w:val="404042"/>
                          <w:spacing w:val="8"/>
                          <w:sz w:val="18"/>
                        </w:rPr>
                      </w:pPr>
                      <w:r>
                        <w:rPr>
                          <w:rFonts w:ascii="Tahoma" w:eastAsia="Tahoma" w:hAnsi="Tahoma"/>
                          <w:color w:val="404042"/>
                          <w:spacing w:val="8"/>
                          <w:sz w:val="18"/>
                        </w:rPr>
                        <w:t>Minerals and energy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3456" behindDoc="1" locked="0" layoutInCell="1" allowOverlap="1" wp14:anchorId="6CCA770C" wp14:editId="2E45E8EB">
                <wp:simplePos x="0" y="0"/>
                <wp:positionH relativeFrom="page">
                  <wp:posOffset>4182110</wp:posOffset>
                </wp:positionH>
                <wp:positionV relativeFrom="page">
                  <wp:posOffset>5942330</wp:posOffset>
                </wp:positionV>
                <wp:extent cx="2362200" cy="1677670"/>
                <wp:effectExtent l="0" t="0" r="0" b="0"/>
                <wp:wrapSquare wrapText="bothSides"/>
                <wp:docPr id="55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67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D63A7" w14:textId="77777777" w:rsidR="00490F33" w:rsidRDefault="00490F33">
                            <w:pPr>
                              <w:spacing w:line="239" w:lineRule="exact"/>
                              <w:textAlignment w:val="baseline"/>
                              <w:rPr>
                                <w:rFonts w:ascii="Tahoma" w:eastAsia="Tahoma" w:hAnsi="Tahoma"/>
                                <w:color w:val="404042"/>
                                <w:sz w:val="18"/>
                              </w:rPr>
                            </w:pPr>
                            <w:r>
                              <w:rPr>
                                <w:rFonts w:ascii="Tahoma" w:eastAsia="Tahoma" w:hAnsi="Tahoma"/>
                                <w:color w:val="404042"/>
                                <w:sz w:val="18"/>
                              </w:rPr>
                              <w:t xml:space="preserve">In 2020, in response to the COVID-19 crisis, QMEA has been active in responding to schools’ needs through the development of e-learning modules. These will be further supplemented by a webinar series, which will feature industry representatives. The modules have drawn upon the QRC-led national minerals and education website </w:t>
                            </w:r>
                            <w:hyperlink r:id="rId217">
                              <w:r>
                                <w:rPr>
                                  <w:rFonts w:ascii="Tahoma" w:eastAsia="Tahoma" w:hAnsi="Tahoma"/>
                                  <w:color w:val="0000FF"/>
                                  <w:sz w:val="18"/>
                                  <w:u w:val="single"/>
                                </w:rPr>
                                <w:t>oresomeresources.com</w:t>
                              </w:r>
                            </w:hyperlink>
                            <w:r>
                              <w:rPr>
                                <w:rFonts w:ascii="Tahoma" w:eastAsia="Tahoma" w:hAnsi="Tahoma"/>
                                <w:color w:val="007896"/>
                                <w:sz w:val="18"/>
                              </w:rPr>
                              <w:t>,</w:t>
                            </w:r>
                            <w:r>
                              <w:rPr>
                                <w:rFonts w:ascii="Tahoma" w:eastAsia="Tahoma" w:hAnsi="Tahoma"/>
                                <w:color w:val="404042"/>
                                <w:sz w:val="18"/>
                              </w:rPr>
                              <w:t xml:space="preserve"> which houses hundreds of items to support teacher and students in the learning of the sector.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A770C" id="Text Box 277" o:spid="_x0000_s1279" type="#_x0000_t202" style="position:absolute;margin-left:329.3pt;margin-top:467.9pt;width:186pt;height:132.1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Ml8QEAAMQDAAAOAAAAZHJzL2Uyb0RvYy54bWysU9tu2zAMfR+wfxD0vjhxkWQw4hRdiw4D&#10;ugvQ7gMYWY6F2aJGKbGzrx8lx1nXvg17EShejg4Pqc310LXiqMkbtKVczOZSaKuwMnZfyu9P9+/e&#10;S+ED2ApatLqUJ+3l9fbtm03vCp1jg22lSTCI9UXvStmE4Ios86rRHfgZOm05WCN1EPhK+6wi6Bm9&#10;a7N8Pl9lPVLlCJX2nr13Y1BuE35daxW+1rXXQbSlZG4hnZTOXTyz7QaKPYFrjDrTgH9g0YGx/OgF&#10;6g4CiAOZV1CdUYQe6zBT2GVY10bp1AN3s5i/6OaxAadTLyyOdxeZ/P+DVV+O30iYqpTL5UoKCx0P&#10;6UkPQXzAQeTrdVSod77gxEfHqWHgAE86devdA6ofXli8bcDu9Q0R9o2GihkuYmX2rHTE8RFk13/G&#10;ih+CQ8AENNTURflYEMHoPKnTZTqRjGJnfrXKeeRSKI4tVuv1ap3ml0ExlTvy4aPGTkSjlMTjT/Bw&#10;fPAh0oFiSomvWbw3bZtWoLV/OTgxehL9yHjkHobdkLTKl1eTLjusTtwR4bha/BXYaJB+SdHzWpXS&#10;/zwAaSnaT5ZViTs4GTQZu8kAq7i0lEGK0bwN464eHJl9w8ij7hZvWLnapJ6ixCOLM2FeldTqea3j&#10;Lj6/p6w/n2/7GwAA//8DAFBLAwQUAAYACAAAACEARQQwhOAAAAANAQAADwAAAGRycy9kb3ducmV2&#10;LnhtbEyPzU7DMBCE70i8g7VI3KhdqkZtGqeqEJyQEGk4cHSSbWI1XofYbcPbsz3R2/6MZr7JtpPr&#10;xRnHYD1pmM8UCKTaN5ZaDV/l29MKRIiGGtN7Qg2/GGCb399lJm38hQo872Mr2IRCajR0MQ6plKHu&#10;0Jkw8wMS/w5+dCbyOrayGc2FzV0vn5VKpDOWOKEzA750WB/3J6dh903Fq/35qD6LQ2HLcq3oPTlq&#10;/fgw7TYgIk7xXwxXfEaHnJkqf6ImiF5DslwlLNWwXiy5w1WhFopPFU8crUDmmbxtkf8BAAD//wMA&#10;UEsBAi0AFAAGAAgAAAAhALaDOJL+AAAA4QEAABMAAAAAAAAAAAAAAAAAAAAAAFtDb250ZW50X1R5&#10;cGVzXS54bWxQSwECLQAUAAYACAAAACEAOP0h/9YAAACUAQAACwAAAAAAAAAAAAAAAAAvAQAAX3Jl&#10;bHMvLnJlbHNQSwECLQAUAAYACAAAACEAaalzJfEBAADEAwAADgAAAAAAAAAAAAAAAAAuAgAAZHJz&#10;L2Uyb0RvYy54bWxQSwECLQAUAAYACAAAACEARQQwhOAAAAANAQAADwAAAAAAAAAAAAAAAABLBAAA&#10;ZHJzL2Rvd25yZXYueG1sUEsFBgAAAAAEAAQA8wAAAFgFAAAAAA==&#10;" filled="f" stroked="f">
                <v:textbox inset="0,0,0,0">
                  <w:txbxContent>
                    <w:p w14:paraId="0DAD63A7" w14:textId="77777777" w:rsidR="00490F33" w:rsidRDefault="00490F33">
                      <w:pPr>
                        <w:spacing w:line="239" w:lineRule="exact"/>
                        <w:textAlignment w:val="baseline"/>
                        <w:rPr>
                          <w:rFonts w:ascii="Tahoma" w:eastAsia="Tahoma" w:hAnsi="Tahoma"/>
                          <w:color w:val="404042"/>
                          <w:sz w:val="18"/>
                        </w:rPr>
                      </w:pPr>
                      <w:r>
                        <w:rPr>
                          <w:rFonts w:ascii="Tahoma" w:eastAsia="Tahoma" w:hAnsi="Tahoma"/>
                          <w:color w:val="404042"/>
                          <w:sz w:val="18"/>
                        </w:rPr>
                        <w:t xml:space="preserve">In 2020, in response to the COVID-19 crisis, QMEA has been active in responding to schools’ needs through the development of e-learning modules. These will be further supplemented by a webinar series, which will feature industry representatives. The modules have drawn upon the QRC-led national minerals and education website </w:t>
                      </w:r>
                      <w:hyperlink r:id="rId218">
                        <w:r>
                          <w:rPr>
                            <w:rFonts w:ascii="Tahoma" w:eastAsia="Tahoma" w:hAnsi="Tahoma"/>
                            <w:color w:val="0000FF"/>
                            <w:sz w:val="18"/>
                            <w:u w:val="single"/>
                          </w:rPr>
                          <w:t>oresomeresources.com</w:t>
                        </w:r>
                      </w:hyperlink>
                      <w:r>
                        <w:rPr>
                          <w:rFonts w:ascii="Tahoma" w:eastAsia="Tahoma" w:hAnsi="Tahoma"/>
                          <w:color w:val="007896"/>
                          <w:sz w:val="18"/>
                        </w:rPr>
                        <w:t>,</w:t>
                      </w:r>
                      <w:r>
                        <w:rPr>
                          <w:rFonts w:ascii="Tahoma" w:eastAsia="Tahoma" w:hAnsi="Tahoma"/>
                          <w:color w:val="404042"/>
                          <w:sz w:val="18"/>
                        </w:rPr>
                        <w:t xml:space="preserve"> which houses hundreds of items to support teacher and students in the learning of the sector.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4480" behindDoc="1" locked="0" layoutInCell="1" allowOverlap="1" wp14:anchorId="4B054607" wp14:editId="245C5F66">
                <wp:simplePos x="0" y="0"/>
                <wp:positionH relativeFrom="page">
                  <wp:posOffset>908050</wp:posOffset>
                </wp:positionH>
                <wp:positionV relativeFrom="page">
                  <wp:posOffset>8272780</wp:posOffset>
                </wp:positionV>
                <wp:extent cx="2176780" cy="612140"/>
                <wp:effectExtent l="0" t="0" r="0" b="0"/>
                <wp:wrapSquare wrapText="bothSides"/>
                <wp:docPr id="555"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9C418" w14:textId="77777777" w:rsidR="00490F33" w:rsidRDefault="00490F33">
                            <w:pPr>
                              <w:spacing w:line="238" w:lineRule="exact"/>
                              <w:textAlignment w:val="baseline"/>
                              <w:rPr>
                                <w:rFonts w:ascii="Tahoma" w:eastAsia="Tahoma" w:hAnsi="Tahoma"/>
                                <w:color w:val="404042"/>
                                <w:sz w:val="18"/>
                              </w:rPr>
                            </w:pPr>
                            <w:r>
                              <w:rPr>
                                <w:rFonts w:ascii="Tahoma" w:eastAsia="Tahoma" w:hAnsi="Tahoma"/>
                                <w:color w:val="404042"/>
                                <w:sz w:val="18"/>
                              </w:rPr>
                              <w:t>One of the most well-established and successful Gateway to Industry Schools projects is the Queensland Minerals and Energy Academy (QMEA). QMEA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54607" id="Text Box 276" o:spid="_x0000_s1280" type="#_x0000_t202" style="position:absolute;margin-left:71.5pt;margin-top:651.4pt;width:171.4pt;height:48.2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op8QEAAMMDAAAOAAAAZHJzL2Uyb0RvYy54bWysU21v0zAQ/o7Ef7D8naaJ1naKmk5j0xDS&#10;gEkbP8Bx7MYi8Zmz26T8es5OUwZ8Q3yxzvfy+Lnnztubse/YUaE3YCueL5acKSuhMXZf8a8vD++u&#10;OfNB2EZ0YFXFT8rzm93bN9vBlaqAFrpGISMQ68vBVbwNwZVZ5mWreuEX4JSloAbsRaAr7rMGxUDo&#10;fZcVy+U6GwAbhyCV9+S9n4J8l/C1VjJ80dqrwLqKE7eQTkxnHc9stxXlHoVrjTzTEP/AohfG0qMX&#10;qHsRBDug+QuqNxLBgw4LCX0GWhupUg/UTb78o5vnVjiVeiFxvLvI5P8frPx8fEJmmoqvVivOrOhp&#10;SC9qDOw9jKzYrKNCg/MlJT47Sg0jBWjSqVvvHkF+88zCXSvsXt0iwtAq0RDDPFZmr0onHB9B6uET&#10;NPSQOARIQKPGPspHgjBCp0mdLtOJZCQ5i3yz3lxTSFJsnRf5VRpfJsq52qEPHxT0LBoVR5p+QhfH&#10;Rx8iG1HOKfExCw+m69IGdPY3ByVGT2IfCU/Uw1iPSapidTXLUkNzooYQps2in0BGC/iDs4G2quL+&#10;+0Gg4qz7aEmUuIKzgbNRz4awkkorHjibzLswrerBodm3hDzJbuGWhNMm9RQVnlicCdOmpFbPWx1X&#10;8fU9Zf36e7ufAAAA//8DAFBLAwQUAAYACAAAACEAVd6q+OAAAAANAQAADwAAAGRycy9kb3ducmV2&#10;LnhtbExPQU7DMBC8I/EHaytxo3bTUjUhTlUhOCEh0nDg6MRuYjVeh9htw+/ZnsptZmc0O5NvJ9ez&#10;sxmD9ShhMRfADDZeW2wlfFVvjxtgISrUqvdoJPyaANvi/i5XmfYXLM15H1tGIRgyJaGLccg4D01n&#10;nApzPxgk7eBHpyLRseV6VBcKdz1PhFhzpyzSh04N5qUzzXF/chJ231i+2p+P+rM8lLaqUoHv66OU&#10;D7Np9wwsminezHCtT9WhoE61P6EOrCe+WtKWSGApEhpBltXmiUB9PaVpArzI+f8VxR8AAAD//wMA&#10;UEsBAi0AFAAGAAgAAAAhALaDOJL+AAAA4QEAABMAAAAAAAAAAAAAAAAAAAAAAFtDb250ZW50X1R5&#10;cGVzXS54bWxQSwECLQAUAAYACAAAACEAOP0h/9YAAACUAQAACwAAAAAAAAAAAAAAAAAvAQAAX3Jl&#10;bHMvLnJlbHNQSwECLQAUAAYACAAAACEAS6z6KfEBAADDAwAADgAAAAAAAAAAAAAAAAAuAgAAZHJz&#10;L2Uyb0RvYy54bWxQSwECLQAUAAYACAAAACEAVd6q+OAAAAANAQAADwAAAAAAAAAAAAAAAABLBAAA&#10;ZHJzL2Rvd25yZXYueG1sUEsFBgAAAAAEAAQA8wAAAFgFAAAAAA==&#10;" filled="f" stroked="f">
                <v:textbox inset="0,0,0,0">
                  <w:txbxContent>
                    <w:p w14:paraId="30E9C418" w14:textId="77777777" w:rsidR="00490F33" w:rsidRDefault="00490F33">
                      <w:pPr>
                        <w:spacing w:line="238" w:lineRule="exact"/>
                        <w:textAlignment w:val="baseline"/>
                        <w:rPr>
                          <w:rFonts w:ascii="Tahoma" w:eastAsia="Tahoma" w:hAnsi="Tahoma"/>
                          <w:color w:val="404042"/>
                          <w:sz w:val="18"/>
                        </w:rPr>
                      </w:pPr>
                      <w:r>
                        <w:rPr>
                          <w:rFonts w:ascii="Tahoma" w:eastAsia="Tahoma" w:hAnsi="Tahoma"/>
                          <w:color w:val="404042"/>
                          <w:sz w:val="18"/>
                        </w:rPr>
                        <w:t>One of the most well-established and successful Gateway to Industry Schools projects is the Queensland Minerals and Energy Academy (QMEA). QMEA is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5504" behindDoc="1" locked="0" layoutInCell="1" allowOverlap="1" wp14:anchorId="06C49244" wp14:editId="3E2BF5BF">
                <wp:simplePos x="0" y="0"/>
                <wp:positionH relativeFrom="page">
                  <wp:posOffset>4182110</wp:posOffset>
                </wp:positionH>
                <wp:positionV relativeFrom="page">
                  <wp:posOffset>7887970</wp:posOffset>
                </wp:positionV>
                <wp:extent cx="2545080" cy="454660"/>
                <wp:effectExtent l="0" t="0" r="0" b="0"/>
                <wp:wrapSquare wrapText="bothSides"/>
                <wp:docPr id="554"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B4F0" w14:textId="77777777" w:rsidR="00490F33" w:rsidRDefault="00490F33">
                            <w:pPr>
                              <w:spacing w:line="177" w:lineRule="exact"/>
                              <w:textAlignment w:val="baseline"/>
                              <w:rPr>
                                <w:rFonts w:ascii="Tahoma" w:eastAsia="Tahoma" w:hAnsi="Tahoma"/>
                                <w:color w:val="000000"/>
                                <w:sz w:val="14"/>
                              </w:rPr>
                            </w:pPr>
                            <w:r>
                              <w:rPr>
                                <w:rFonts w:ascii="Tahoma" w:eastAsia="Tahoma" w:hAnsi="Tahoma"/>
                                <w:color w:val="000000"/>
                                <w:sz w:val="14"/>
                              </w:rPr>
                              <w:t>Source: Queensland Department of Employment, Small Business and Training, ‘Gateway to Industry Schools program’, webpage (accessed 30 April 2020), https://desbt.qld.gov.au/ training/employers/gateway-schools.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49244" id="Text Box 275" o:spid="_x0000_s1281" type="#_x0000_t202" style="position:absolute;margin-left:329.3pt;margin-top:621.1pt;width:200.4pt;height:35.8pt;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C18AEAAMMDAAAOAAAAZHJzL2Uyb0RvYy54bWysU9tu2zAMfR+wfxD0vjgJ4qww4hRdiw4D&#10;ugvQ7gMYWY6F2aJGKbGzrx8lx1nXvg17EShejg4Pqc310LXiqMkbtKVczOZSaKuwMnZfyu9P9++u&#10;pPABbAUtWl3Kk/byevv2zaZ3hV5ig22lSTCI9UXvStmE4Ios86rRHfgZOm05WCN1EPhK+6wi6Bm9&#10;a7PlfL7OeqTKESrtPXvvxqDcJvy61ip8rWuvg2hLydxCOimdu3hm2w0UewLXGHWmAf/AogNj+dEL&#10;1B0EEAcyr6A6owg91mGmsMuwro3SqQfuZjF/0c1jA06nXlgc7y4y+f8Hq74cv5EwVSnzfCWFhY6H&#10;9KSHID7gIJbv86hQ73zBiY+OU8PAAZ506ta7B1Q/vLB424Dd6xsi7BsNFTNcxMrsWemI4yPIrv+M&#10;FT8Eh4AJaKipi/KxIILReVKny3QiGcXOZb7K51ccUhxb5av1Oo0vg2KqduTDR42diEYpiaef0OH4&#10;4ENkA8WUEh+zeG/aNm1Aa/9ycGL0JPaR8Eg9DLshSbXML7LssDpxQ4TjZvFPYKNB+iVFz1tVSv/z&#10;AKSlaD9ZFiWu4GTQZOwmA6zi0lIGKUbzNoyrenBk9g0jj7JbvGHhapN6igqPLM6EeVNSq+etjqv4&#10;/J6y/vy97W8AAAD//wMAUEsDBBQABgAIAAAAIQB4t6IQ4wAAAA4BAAAPAAAAZHJzL2Rvd25yZXYu&#10;eG1sTI/BbsIwDIbvk3iHyEi7jYQCVemaIjRtp0nTSnfYMW1NG9E4XROge/uFE7vZ+j/9/pztJtOz&#10;C45OW5KwXAhgSLVtNLUSvsq3pwSY84oa1VtCCb/oYJfPHjKVNvZKBV4OvmWhhFyqJHTeDynnru7Q&#10;KLewA1LIjnY0yod1bHkzqmsoNz2PhIi5UZrChU4N+NJhfTqcjYT9NxWv+uej+iyOhS7LraD3+CTl&#10;43zaPwPzOPk7DDf9oA55cKrsmRrHegnxJokDGoJoHUXAbojYbNfAqjCtlqsEeJ7x/2/kfwAAAP//&#10;AwBQSwECLQAUAAYACAAAACEAtoM4kv4AAADhAQAAEwAAAAAAAAAAAAAAAAAAAAAAW0NvbnRlbnRf&#10;VHlwZXNdLnhtbFBLAQItABQABgAIAAAAIQA4/SH/1gAAAJQBAAALAAAAAAAAAAAAAAAAAC8BAABf&#10;cmVscy8ucmVsc1BLAQItABQABgAIAAAAIQBkqqC18AEAAMMDAAAOAAAAAAAAAAAAAAAAAC4CAABk&#10;cnMvZTJvRG9jLnhtbFBLAQItABQABgAIAAAAIQB4t6IQ4wAAAA4BAAAPAAAAAAAAAAAAAAAAAEoE&#10;AABkcnMvZG93bnJldi54bWxQSwUGAAAAAAQABADzAAAAWgUAAAAA&#10;" filled="f" stroked="f">
                <v:textbox inset="0,0,0,0">
                  <w:txbxContent>
                    <w:p w14:paraId="16DCB4F0" w14:textId="77777777" w:rsidR="00490F33" w:rsidRDefault="00490F33">
                      <w:pPr>
                        <w:spacing w:line="177" w:lineRule="exact"/>
                        <w:textAlignment w:val="baseline"/>
                        <w:rPr>
                          <w:rFonts w:ascii="Tahoma" w:eastAsia="Tahoma" w:hAnsi="Tahoma"/>
                          <w:color w:val="000000"/>
                          <w:sz w:val="14"/>
                        </w:rPr>
                      </w:pPr>
                      <w:r>
                        <w:rPr>
                          <w:rFonts w:ascii="Tahoma" w:eastAsia="Tahoma" w:hAnsi="Tahoma"/>
                          <w:color w:val="000000"/>
                          <w:sz w:val="14"/>
                        </w:rPr>
                        <w:t>Source: Queensland Department of Employment, Small Business and Training, ‘Gateway to Industry Schools program’, webpage (accessed 30 April 2020), https://desbt.qld.gov.au/ training/employers/gateway-schools.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6528" behindDoc="1" locked="0" layoutInCell="1" allowOverlap="1" wp14:anchorId="377F7F52" wp14:editId="31444BF3">
                <wp:simplePos x="0" y="0"/>
                <wp:positionH relativeFrom="page">
                  <wp:posOffset>4593590</wp:posOffset>
                </wp:positionH>
                <wp:positionV relativeFrom="page">
                  <wp:posOffset>9688195</wp:posOffset>
                </wp:positionV>
                <wp:extent cx="2413635" cy="144780"/>
                <wp:effectExtent l="0" t="0" r="0" b="0"/>
                <wp:wrapSquare wrapText="bothSides"/>
                <wp:docPr id="55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1F6C0" w14:textId="77777777" w:rsidR="00490F33" w:rsidRDefault="00490F33">
                            <w:pPr>
                              <w:spacing w:after="19" w:line="204" w:lineRule="exact"/>
                              <w:textAlignment w:val="baseline"/>
                              <w:rPr>
                                <w:rFonts w:ascii="Tahoma" w:eastAsia="Tahoma" w:hAnsi="Tahoma"/>
                                <w:color w:val="404042"/>
                                <w:spacing w:val="5"/>
                                <w:sz w:val="14"/>
                              </w:rPr>
                            </w:pPr>
                            <w:r>
                              <w:rPr>
                                <w:rFonts w:ascii="Tahoma" w:eastAsia="Tahoma" w:hAnsi="Tahoma"/>
                                <w:color w:val="404042"/>
                                <w:spacing w:val="5"/>
                                <w:sz w:val="14"/>
                              </w:rPr>
                              <w:t>Chapter 4: Building school–industry partnerships</w:t>
                            </w:r>
                            <w:r>
                              <w:rPr>
                                <w:rFonts w:ascii="Arial" w:eastAsia="Arial" w:hAnsi="Arial"/>
                                <w:b/>
                                <w:color w:val="5556A1"/>
                                <w:spacing w:val="5"/>
                                <w:sz w:val="19"/>
                              </w:rPr>
                              <w:t xml:space="preserve"> 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F7F52" id="Text Box 274" o:spid="_x0000_s1282" type="#_x0000_t202" style="position:absolute;margin-left:361.7pt;margin-top:762.85pt;width:190.05pt;height:11.4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9I8QEAAMMDAAAOAAAAZHJzL2Uyb0RvYy54bWysU9tu2zAMfR+wfxD0vjj3FkacomvRYUC3&#10;Dmj3AYwsx8JsUaOU2NnXj5LjrNvehr0IFC9Hh4fU5qZvG3HU5A3aQs4mUym0VVgauy/k15eHd9dS&#10;+AC2hAatLuRJe3mzfftm07lcz7HGptQkGMT6vHOFrENweZZ5VesW/ASdthyskFoIfKV9VhJ0jN42&#10;2Xw6XWcdUukIlfaevfdDUG4TflVpFZ6qyusgmkIyt5BOSucuntl2A/mewNVGnWnAP7BowVh+9AJ1&#10;DwHEgcxfUK1RhB6rMFHYZlhVRunUA3czm/7RzXMNTqdeWBzvLjL5/werPh+/kDBlIVerhRQWWh7S&#10;i+6DeI+9mF8to0Kd8zknPjtODT0HeNKpW+8eUX3zwuJdDXavb4mwqzWUzHAWK7NXpQOOjyC77hOW&#10;/BAcAiagvqI2yseCCEbnSZ0u04lkFDvny9livVhJoTg2Wy6vrtP4MsjHakc+fNDYimgUknj6CR2O&#10;jz5ENpCPKfExiw+madIGNPY3BydGT2IfCQ/UQ7/rk1Tz1XqUZYfliRsiHDaLfwIbNdIPKTreqkL6&#10;7wcgLUXz0bIocQVHg0ZjNxpgFZcWMkgxmHdhWNWDI7OvGXmQ3eItC1eZ1FNUeGBxJsybklo9b3Vc&#10;xdf3lPXr721/AgAA//8DAFBLAwQUAAYACAAAACEAiofcjuIAAAAOAQAADwAAAGRycy9kb3ducmV2&#10;LnhtbEyPy07DMBBF90j8gzVI7KjTtOkjxKkqBCskRBoWXTrxNLEaj0PstuHvcVawnLlHd85ku9F0&#10;7IqD05YEzGcRMKTaKk2NgK/y7WkDzHlJSnaWUMAPOtjl93eZTJW9UYHXg29YKCGXSgGt933Kuatb&#10;NNLNbI8UspMdjPRhHBquBnkL5abjcRStuJGawoVW9vjSYn0+XIyA/ZGKV/39UX0Wp0KX5Tai99VZ&#10;iMeHcf8MzOPo/2CY9IM65MGpshdSjnUC1vFiGdAQJHGyBjYh82iRAKum3XKTAM8z/v+N/BcAAP//&#10;AwBQSwECLQAUAAYACAAAACEAtoM4kv4AAADhAQAAEwAAAAAAAAAAAAAAAAAAAAAAW0NvbnRlbnRf&#10;VHlwZXNdLnhtbFBLAQItABQABgAIAAAAIQA4/SH/1gAAAJQBAAALAAAAAAAAAAAAAAAAAC8BAABf&#10;cmVscy8ucmVsc1BLAQItABQABgAIAAAAIQDX0o9I8QEAAMMDAAAOAAAAAAAAAAAAAAAAAC4CAABk&#10;cnMvZTJvRG9jLnhtbFBLAQItABQABgAIAAAAIQCKh9yO4gAAAA4BAAAPAAAAAAAAAAAAAAAAAEsE&#10;AABkcnMvZG93bnJldi54bWxQSwUGAAAAAAQABADzAAAAWgUAAAAA&#10;" filled="f" stroked="f">
                <v:textbox inset="0,0,0,0">
                  <w:txbxContent>
                    <w:p w14:paraId="68F1F6C0" w14:textId="77777777" w:rsidR="00490F33" w:rsidRDefault="00490F33">
                      <w:pPr>
                        <w:spacing w:after="19" w:line="204" w:lineRule="exact"/>
                        <w:textAlignment w:val="baseline"/>
                        <w:rPr>
                          <w:rFonts w:ascii="Tahoma" w:eastAsia="Tahoma" w:hAnsi="Tahoma"/>
                          <w:color w:val="404042"/>
                          <w:spacing w:val="5"/>
                          <w:sz w:val="14"/>
                        </w:rPr>
                      </w:pPr>
                      <w:r>
                        <w:rPr>
                          <w:rFonts w:ascii="Tahoma" w:eastAsia="Tahoma" w:hAnsi="Tahoma"/>
                          <w:color w:val="404042"/>
                          <w:spacing w:val="5"/>
                          <w:sz w:val="14"/>
                        </w:rPr>
                        <w:t>Chapter 4: Building school–industry partnerships</w:t>
                      </w:r>
                      <w:r>
                        <w:rPr>
                          <w:rFonts w:ascii="Arial" w:eastAsia="Arial" w:hAnsi="Arial"/>
                          <w:b/>
                          <w:color w:val="5556A1"/>
                          <w:spacing w:val="5"/>
                          <w:sz w:val="19"/>
                        </w:rPr>
                        <w:t xml:space="preserve"> 101</w:t>
                      </w:r>
                    </w:p>
                  </w:txbxContent>
                </v:textbox>
                <w10:wrap type="square" anchorx="page" anchory="page"/>
              </v:shape>
            </w:pict>
          </mc:Fallback>
        </mc:AlternateContent>
      </w:r>
    </w:p>
    <w:p w14:paraId="6079DCDB" w14:textId="77777777" w:rsidR="009757A9" w:rsidRDefault="009757A9">
      <w:pPr>
        <w:sectPr w:rsidR="009757A9">
          <w:pgSz w:w="11909" w:h="16838"/>
          <w:pgMar w:top="0" w:right="1440" w:bottom="0" w:left="1440" w:header="720" w:footer="720" w:gutter="0"/>
          <w:cols w:space="720"/>
        </w:sectPr>
      </w:pPr>
    </w:p>
    <w:p w14:paraId="3E1AB897"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607552" behindDoc="1" locked="0" layoutInCell="1" allowOverlap="1" wp14:anchorId="242276FB" wp14:editId="593B3C85">
                <wp:simplePos x="0" y="0"/>
                <wp:positionH relativeFrom="page">
                  <wp:posOffset>0</wp:posOffset>
                </wp:positionH>
                <wp:positionV relativeFrom="page">
                  <wp:posOffset>0</wp:posOffset>
                </wp:positionV>
                <wp:extent cx="7562215" cy="10692130"/>
                <wp:effectExtent l="0" t="0" r="0" b="0"/>
                <wp:wrapSquare wrapText="bothSides"/>
                <wp:docPr id="552"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DB7D5" w14:textId="77777777" w:rsidR="00490F33" w:rsidRDefault="00490F33">
                            <w:pPr>
                              <w:textAlignment w:val="baseline"/>
                            </w:pPr>
                            <w:r>
                              <w:rPr>
                                <w:noProof/>
                                <w:lang w:val="en-AU" w:eastAsia="en-AU"/>
                              </w:rPr>
                              <w:drawing>
                                <wp:inline distT="0" distB="0" distL="0" distR="0" wp14:anchorId="241AF71D" wp14:editId="3986D459">
                                  <wp:extent cx="7562215" cy="10692130"/>
                                  <wp:effectExtent l="0" t="0" r="0" b="0"/>
                                  <wp:docPr id="167" name="Picture"/>
                                  <wp:cNvGraphicFramePr/>
                                  <a:graphic xmlns:a="http://schemas.openxmlformats.org/drawingml/2006/main">
                                    <a:graphicData uri="http://schemas.openxmlformats.org/drawingml/2006/picture">
                                      <pic:pic xmlns:pic="http://schemas.openxmlformats.org/drawingml/2006/picture">
                                        <pic:nvPicPr>
                                          <pic:cNvPr id="167" name="Picture"/>
                                          <pic:cNvPicPr preferRelativeResize="0"/>
                                        </pic:nvPicPr>
                                        <pic:blipFill>
                                          <a:blip r:embed="rId219"/>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276FB" id="Text Box 273" o:spid="_x0000_s1283" type="#_x0000_t202" style="position:absolute;margin-left:0;margin-top:0;width:595.45pt;height:841.9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iW8wEAAMUDAAAOAAAAZHJzL2Uyb0RvYy54bWysU9uO0zAQfUfiHyy/01xWbSFqulp2tQhp&#10;YZF2+QDHcRKLxGPGbpPy9YydpizwhnixxnM5PnNmvLuehp4dFToNpuTZKuVMGQm1Nm3Jvz7fv3nL&#10;mfPC1KIHo0p+Uo5f71+/2o22UDl00NcKGYEYV4y25J33tkgSJzs1CLcCqwwFG8BBeLpim9QoRkIf&#10;+iRP000yAtYWQSrnyHs3B/k+4jeNkv6xaZzyrC85cfPxxHhW4Uz2O1G0KGyn5ZmG+AcWg9CGHr1A&#10;3Qkv2AH1X1CDlggOGr+SMCTQNFqq2AN1k6V/dPPUCatiLySOsxeZ3P+DlZ+PX5DpuuTrdc6ZEQMN&#10;6VlNnr2HieXbq6DQaF1BiU+WUv1EAZp07NbZB5DfHDNw2wnTqhtEGDslamKYhcrkRemM4wJINX6C&#10;mh4SBw8RaGpwCPKRIIzQaVKny3QCGUnO7XqT59maM0mxLN28y7OrOMBEFEu9Rec/KBhYMEqONP+I&#10;L44Pzgc+olhSwnMG7nXfxx3ozW8OSgyeyD9Qnsn7qZqiWPl6uwhTQX2ilhDm3aK/QEYH+IOzkfaq&#10;5O77QaDirP9oSJawhIuBi1EthjCSSkvuOZvNWz8v68GibjtCnoU3cEPSNTr2FDSeWZwJ067EVs97&#10;HZbx5T1m/fp9+58AAAD//wMAUEsDBBQABgAIAAAAIQB7Iski3QAAAAcBAAAPAAAAZHJzL2Rvd25y&#10;ZXYueG1sTI/BTsMwEETvSPyDtUjcqF2QoiTEqaqKnioh0nDg6MTbxGq8TmO3DX+PywUuq1nNauZt&#10;sZrtwC44eeNIwnIhgCG1ThvqJHzW26cUmA+KtBocoYRv9LAq7+8KlWt3pQov+9CxGEI+VxL6EMac&#10;c9/2aJVfuBEpegc3WRXiOnVcT+oaw+3An4VIuFWGYkOvRtz02B73Zyth/UXVmzm9Nx/VoTJ1nQna&#10;JUcpHx/m9SuwgHP4O4YbfkSHMjI17kzas0FCfCT8zpu3zEQGrIkqSV9S4GXB//OXPwAAAP//AwBQ&#10;SwECLQAUAAYACAAAACEAtoM4kv4AAADhAQAAEwAAAAAAAAAAAAAAAAAAAAAAW0NvbnRlbnRfVHlw&#10;ZXNdLnhtbFBLAQItABQABgAIAAAAIQA4/SH/1gAAAJQBAAALAAAAAAAAAAAAAAAAAC8BAABfcmVs&#10;cy8ucmVsc1BLAQItABQABgAIAAAAIQAmTFiW8wEAAMUDAAAOAAAAAAAAAAAAAAAAAC4CAABkcnMv&#10;ZTJvRG9jLnhtbFBLAQItABQABgAIAAAAIQB7Iski3QAAAAcBAAAPAAAAAAAAAAAAAAAAAE0EAABk&#10;cnMvZG93bnJldi54bWxQSwUGAAAAAAQABADzAAAAVwUAAAAA&#10;" filled="f" stroked="f">
                <v:textbox inset="0,0,0,0">
                  <w:txbxContent>
                    <w:p w14:paraId="3C8DB7D5" w14:textId="77777777" w:rsidR="00490F33" w:rsidRDefault="00490F33">
                      <w:pPr>
                        <w:textAlignment w:val="baseline"/>
                      </w:pPr>
                      <w:r>
                        <w:rPr>
                          <w:noProof/>
                          <w:lang w:val="en-AU" w:eastAsia="en-AU"/>
                        </w:rPr>
                        <w:drawing>
                          <wp:inline distT="0" distB="0" distL="0" distR="0" wp14:anchorId="241AF71D" wp14:editId="3986D459">
                            <wp:extent cx="7562215" cy="10692130"/>
                            <wp:effectExtent l="0" t="0" r="0" b="0"/>
                            <wp:docPr id="167" name="Picture"/>
                            <wp:cNvGraphicFramePr/>
                            <a:graphic xmlns:a="http://schemas.openxmlformats.org/drawingml/2006/main">
                              <a:graphicData uri="http://schemas.openxmlformats.org/drawingml/2006/picture">
                                <pic:pic xmlns:pic="http://schemas.openxmlformats.org/drawingml/2006/picture">
                                  <pic:nvPicPr>
                                    <pic:cNvPr id="167" name="Picture"/>
                                    <pic:cNvPicPr preferRelativeResize="0"/>
                                  </pic:nvPicPr>
                                  <pic:blipFill>
                                    <a:blip r:embed="rId219"/>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08576" behindDoc="1" locked="0" layoutInCell="1" allowOverlap="1" wp14:anchorId="508DA324" wp14:editId="64B87A56">
                <wp:simplePos x="0" y="0"/>
                <wp:positionH relativeFrom="page">
                  <wp:posOffset>545465</wp:posOffset>
                </wp:positionH>
                <wp:positionV relativeFrom="page">
                  <wp:posOffset>9692640</wp:posOffset>
                </wp:positionV>
                <wp:extent cx="1219200" cy="144780"/>
                <wp:effectExtent l="0" t="0" r="0" b="0"/>
                <wp:wrapSquare wrapText="bothSides"/>
                <wp:docPr id="55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A9F83"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102</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DA324" id="Text Box 272" o:spid="_x0000_s1284" type="#_x0000_t202" style="position:absolute;margin-left:42.95pt;margin-top:763.2pt;width:96pt;height:11.4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t8AEAAMMDAAAOAAAAZHJzL2Uyb0RvYy54bWysU8Fu2zAMvQ/YPwi6L46NZu2MOEXXosOA&#10;bh3Q7gMYWY6F2aJGKbGzrx8lx1m33YZdBEokHx8fqfX12HfioMkbtJXMF0sptFVYG7ur5Nfn+zdX&#10;UvgAtoYOra7kUXt5vXn9aj24UhfYYldrEgxifTm4SrYhuDLLvGp1D36BTlt2Nkg9BL7SLqsJBkbv&#10;u6xYLt9mA1LtCJX2nl/vJqfcJPym0So8No3XQXSVZG4hnZTObTyzzRrKHYFrjTrRgH9g0YOxXPQM&#10;dQcBxJ7MX1C9UYQem7BQ2GfYNEbp1AN3ky//6OapBadTLyyOd2eZ/P+DVZ8PX0iYupKrVS6FhZ6H&#10;9KzHIN7jKIrLIio0OF9y4JPj0DCygyeduvXuAdU3LyzetmB3+oYIh1ZDzQzzmJm9SJ1wfATZDp+w&#10;5kKwD5iAxob6KB8LIhidJ3U8TyeSUbFkkb/jkUuh2JdfXFxepfFlUM7Zjnz4oLEX0agk8fQTOhwe&#10;fIhsoJxDYjGL96br0gZ09rcHDowviX0kPFEP43ZMUhWrq1mWLdZHbohw2iz+CWy0SD+kGHirKum/&#10;74G0FN1Hy6LEFZwNmo3tbIBVnFrJIMVk3oZpVfeOzK5l5El2izcsXGNST1HhicWJMG9KavW01XEV&#10;X95T1K+/t/kJAAD//wMAUEsDBBQABgAIAAAAIQCdEjHJ4AAAAAwBAAAPAAAAZHJzL2Rvd25yZXYu&#10;eG1sTI/BToNAEIbvJr7DZky82UXS0oIsTWP0ZGKkePC4sFMgZWeR3bb49k5Pepxv/vzzTb6d7SDO&#10;OPnekYLHRQQCqXGmp1bBZ/X6sAHhgyajB0eo4Ac9bIvbm1xnxl2oxPM+tIJLyGdaQRfCmEnpmw6t&#10;9gs3IvHu4CarA49TK82kL1xuBxlHUSKt7okvdHrE5w6b4/5kFey+qHzpv9/rj/JQ9lWVRvSWHJW6&#10;v5t3TyACzuEvDFd9VoeCnWp3IuPFoGCzSjnJfBUnSxCciNdrRvUVLdMYZJHL/08UvwAAAP//AwBQ&#10;SwECLQAUAAYACAAAACEAtoM4kv4AAADhAQAAEwAAAAAAAAAAAAAAAAAAAAAAW0NvbnRlbnRfVHlw&#10;ZXNdLnhtbFBLAQItABQABgAIAAAAIQA4/SH/1gAAAJQBAAALAAAAAAAAAAAAAAAAAC8BAABfcmVs&#10;cy8ucmVsc1BLAQItABQABgAIAAAAIQC+HdPt8AEAAMMDAAAOAAAAAAAAAAAAAAAAAC4CAABkcnMv&#10;ZTJvRG9jLnhtbFBLAQItABQABgAIAAAAIQCdEjHJ4AAAAAwBAAAPAAAAAAAAAAAAAAAAAEoEAABk&#10;cnMvZG93bnJldi54bWxQSwUGAAAAAAQABADzAAAAVwUAAAAA&#10;" filled="f" stroked="f">
                <v:textbox inset="0,0,0,0">
                  <w:txbxContent>
                    <w:p w14:paraId="55EA9F83"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102</w:t>
                      </w:r>
                      <w:r>
                        <w:rPr>
                          <w:rFonts w:ascii="Tahoma" w:eastAsia="Tahoma" w:hAnsi="Tahoma"/>
                          <w:color w:val="404042"/>
                          <w:sz w:val="14"/>
                        </w:rPr>
                        <w:tab/>
                        <w:t>Looking to the future</w:t>
                      </w:r>
                    </w:p>
                  </w:txbxContent>
                </v:textbox>
                <w10:wrap type="square" anchorx="page" anchory="page"/>
              </v:shape>
            </w:pict>
          </mc:Fallback>
        </mc:AlternateContent>
      </w:r>
    </w:p>
    <w:p w14:paraId="22285C70" w14:textId="77777777" w:rsidR="009757A9" w:rsidRDefault="009757A9">
      <w:pPr>
        <w:sectPr w:rsidR="009757A9">
          <w:pgSz w:w="11909" w:h="16838"/>
          <w:pgMar w:top="0" w:right="1440" w:bottom="0" w:left="1440" w:header="720" w:footer="720" w:gutter="0"/>
          <w:cols w:space="720"/>
        </w:sectPr>
      </w:pPr>
    </w:p>
    <w:p w14:paraId="016EF787" w14:textId="77777777" w:rsidR="009757A9" w:rsidRDefault="000D2E34">
      <w:pPr>
        <w:spacing w:before="2" w:line="474" w:lineRule="exact"/>
        <w:textAlignment w:val="baseline"/>
        <w:rPr>
          <w:rFonts w:ascii="Arial" w:eastAsia="Arial" w:hAnsi="Arial"/>
          <w:color w:val="00708B"/>
          <w:spacing w:val="12"/>
          <w:w w:val="90"/>
          <w:sz w:val="39"/>
        </w:rPr>
      </w:pPr>
      <w:r>
        <w:rPr>
          <w:noProof/>
          <w:lang w:val="en-AU" w:eastAsia="en-AU"/>
        </w:rPr>
        <w:lastRenderedPageBreak/>
        <mc:AlternateContent>
          <mc:Choice Requires="wps">
            <w:drawing>
              <wp:anchor distT="0" distB="0" distL="0" distR="0" simplePos="0" relativeHeight="251609600" behindDoc="1" locked="0" layoutInCell="1" allowOverlap="1" wp14:anchorId="143A226A" wp14:editId="154708F0">
                <wp:simplePos x="0" y="0"/>
                <wp:positionH relativeFrom="page">
                  <wp:posOffset>804545</wp:posOffset>
                </wp:positionH>
                <wp:positionV relativeFrom="page">
                  <wp:posOffset>0</wp:posOffset>
                </wp:positionV>
                <wp:extent cx="6757670" cy="6696075"/>
                <wp:effectExtent l="0" t="0" r="0" b="0"/>
                <wp:wrapSquare wrapText="bothSides"/>
                <wp:docPr id="55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9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ABFFA" w14:textId="77777777" w:rsidR="00490F33" w:rsidRDefault="00490F33">
                            <w:pPr>
                              <w:spacing w:after="1833"/>
                              <w:textAlignment w:val="baseline"/>
                            </w:pPr>
                            <w:r>
                              <w:rPr>
                                <w:noProof/>
                                <w:lang w:val="en-AU" w:eastAsia="en-AU"/>
                              </w:rPr>
                              <w:drawing>
                                <wp:inline distT="0" distB="0" distL="0" distR="0" wp14:anchorId="048D38BF" wp14:editId="38C6A5C5">
                                  <wp:extent cx="6757670" cy="5532120"/>
                                  <wp:effectExtent l="0" t="0" r="0" b="0"/>
                                  <wp:docPr id="168" name="Picture"/>
                                  <wp:cNvGraphicFramePr/>
                                  <a:graphic xmlns:a="http://schemas.openxmlformats.org/drawingml/2006/main">
                                    <a:graphicData uri="http://schemas.openxmlformats.org/drawingml/2006/picture">
                                      <pic:pic xmlns:pic="http://schemas.openxmlformats.org/drawingml/2006/picture">
                                        <pic:nvPicPr>
                                          <pic:cNvPr id="168" name="Picture"/>
                                          <pic:cNvPicPr preferRelativeResize="0"/>
                                        </pic:nvPicPr>
                                        <pic:blipFill>
                                          <a:blip r:embed="rId220"/>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A226A" id="Text Box 271" o:spid="_x0000_s1285" type="#_x0000_t202" style="position:absolute;margin-left:63.35pt;margin-top:0;width:532.1pt;height:527.25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U7wEAAMQDAAAOAAAAZHJzL2Uyb0RvYy54bWysU9tu2zAMfR+wfxD0vtgJYHs14hRdiw4D&#10;ugvQ7gMUWbaF2aJGKbGzrx8lx1nXvg17EShejg4Pqe31NPTsqNBpMBVfr1LOlJFQa9NW/PvT/bv3&#10;nDkvTC16MKriJ+X49e7tm+1oS7WBDvpaISMQ48rRVrzz3pZJ4mSnBuFWYJWhYAM4CE9XbJMaxUjo&#10;Q59s0jRPRsDaIkjlHHnv5iDfRfymUdJ/bRqnPOsrTtx8PDGe+3Amu60oWxS20/JMQ/wDi0FoQ49e&#10;oO6EF+yA+hXUoCWCg8avJAwJNI2WKvZA3azTF908dsKq2AuJ4+xFJvf/YOWX4zdkuq54lpE+Rgw0&#10;pCc1efYBJrYp1kGh0bqSEh8tpfqJAjTp2K2zDyB/OGbgthOmVTeIMHZK1MQwVibPSmccF0D242eo&#10;6SFx8BCBpgaHIB8JwgidmJwu0wlkJDnzIivygkKSYnl+ladFFtglolzKLTr/UcHAglFxpPFHeHF8&#10;cH5OXVLCawbudd/HFejNXw7CDJ5IPzCeuftpP0WtNtnVosse6hN1hDCvFn0FMjrAX5yNtFYVdz8P&#10;AhVn/SdDqoQdXAxcjP1iCCOptOKes9m89fOuHizqtiPkWXcDN6Rco2NPQeKZxZkwrUpU5bzWYRef&#10;32PWn8+3+w0AAP//AwBQSwMEFAAGAAgAAAAhAI742RHeAAAACgEAAA8AAABkcnMvZG93bnJldi54&#10;bWxMj8FOwzAQRO9I/IO1SNyo3YoGEuJUFYITEiINB45OvE2ixusQu234e7YnuO1oRrNv8s3sBnHC&#10;KfSeNCwXCgRS421PrYbP6vXuEUSIhqwZPKGGHwywKa6vcpNZf6YST7vYCi6hkBkNXYxjJmVoOnQm&#10;LPyIxN7eT85EllMr7WTOXO4GuVIqkc70xB86M+Jzh81hd3Qatl9UvvTf7/VHuS/7qkoVvSUHrW9v&#10;5u0TiIhz/AvDBZ/RoWCm2h/JBjGwXiUPHNXAiy72MlUpiJovtb5fgyxy+X9C8QsAAP//AwBQSwEC&#10;LQAUAAYACAAAACEAtoM4kv4AAADhAQAAEwAAAAAAAAAAAAAAAAAAAAAAW0NvbnRlbnRfVHlwZXNd&#10;LnhtbFBLAQItABQABgAIAAAAIQA4/SH/1gAAAJQBAAALAAAAAAAAAAAAAAAAAC8BAABfcmVscy8u&#10;cmVsc1BLAQItABQABgAIAAAAIQAu/geU7wEAAMQDAAAOAAAAAAAAAAAAAAAAAC4CAABkcnMvZTJv&#10;RG9jLnhtbFBLAQItABQABgAIAAAAIQCO+NkR3gAAAAoBAAAPAAAAAAAAAAAAAAAAAEkEAABkcnMv&#10;ZG93bnJldi54bWxQSwUGAAAAAAQABADzAAAAVAUAAAAA&#10;" filled="f" stroked="f">
                <v:textbox inset="0,0,0,0">
                  <w:txbxContent>
                    <w:p w14:paraId="177ABFFA" w14:textId="77777777" w:rsidR="00490F33" w:rsidRDefault="00490F33">
                      <w:pPr>
                        <w:spacing w:after="1833"/>
                        <w:textAlignment w:val="baseline"/>
                      </w:pPr>
                      <w:r>
                        <w:rPr>
                          <w:noProof/>
                          <w:lang w:val="en-AU" w:eastAsia="en-AU"/>
                        </w:rPr>
                        <w:drawing>
                          <wp:inline distT="0" distB="0" distL="0" distR="0" wp14:anchorId="048D38BF" wp14:editId="38C6A5C5">
                            <wp:extent cx="6757670" cy="5532120"/>
                            <wp:effectExtent l="0" t="0" r="0" b="0"/>
                            <wp:docPr id="168" name="Picture"/>
                            <wp:cNvGraphicFramePr/>
                            <a:graphic xmlns:a="http://schemas.openxmlformats.org/drawingml/2006/main">
                              <a:graphicData uri="http://schemas.openxmlformats.org/drawingml/2006/picture">
                                <pic:pic xmlns:pic="http://schemas.openxmlformats.org/drawingml/2006/picture">
                                  <pic:nvPicPr>
                                    <pic:cNvPr id="168" name="Picture"/>
                                    <pic:cNvPicPr preferRelativeResize="0"/>
                                  </pic:nvPicPr>
                                  <pic:blipFill>
                                    <a:blip r:embed="rId220"/>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Pr>
          <w:rFonts w:ascii="Arial" w:eastAsia="Arial" w:hAnsi="Arial"/>
          <w:color w:val="00708B"/>
          <w:spacing w:val="12"/>
          <w:w w:val="90"/>
          <w:sz w:val="39"/>
        </w:rPr>
        <w:t xml:space="preserve">CHAPTER 5: </w:t>
      </w:r>
      <w:r w:rsidR="00083242">
        <w:rPr>
          <w:rFonts w:ascii="Tahoma" w:eastAsia="Tahoma" w:hAnsi="Tahoma"/>
          <w:color w:val="00708B"/>
          <w:spacing w:val="12"/>
          <w:w w:val="95"/>
          <w:sz w:val="38"/>
        </w:rPr>
        <w:t>BUILDING MORE FLEXIBLE PATHWAYS</w:t>
      </w:r>
    </w:p>
    <w:p w14:paraId="191AAA6C" w14:textId="77777777" w:rsidR="009757A9" w:rsidRDefault="00083242">
      <w:pPr>
        <w:spacing w:before="6" w:after="3781" w:line="456" w:lineRule="exact"/>
        <w:ind w:left="2376"/>
        <w:textAlignment w:val="baseline"/>
        <w:rPr>
          <w:rFonts w:ascii="Tahoma" w:eastAsia="Tahoma" w:hAnsi="Tahoma"/>
          <w:color w:val="00708B"/>
          <w:spacing w:val="24"/>
          <w:w w:val="95"/>
          <w:sz w:val="38"/>
        </w:rPr>
      </w:pPr>
      <w:r>
        <w:rPr>
          <w:rFonts w:ascii="Tahoma" w:eastAsia="Tahoma" w:hAnsi="Tahoma"/>
          <w:color w:val="00708B"/>
          <w:spacing w:val="24"/>
          <w:w w:val="95"/>
          <w:sz w:val="38"/>
        </w:rPr>
        <w:t>FROM SCHOOL</w:t>
      </w:r>
    </w:p>
    <w:p w14:paraId="2F08A370" w14:textId="77777777" w:rsidR="009757A9" w:rsidRDefault="009757A9">
      <w:pPr>
        <w:spacing w:before="6" w:after="3781" w:line="456" w:lineRule="exact"/>
        <w:sectPr w:rsidR="009757A9">
          <w:pgSz w:w="11909" w:h="16838"/>
          <w:pgMar w:top="0" w:right="1940" w:bottom="0" w:left="869" w:header="720" w:footer="720" w:gutter="0"/>
          <w:cols w:space="720"/>
        </w:sectPr>
      </w:pPr>
    </w:p>
    <w:p w14:paraId="7972D97C" w14:textId="77777777" w:rsidR="009757A9" w:rsidRDefault="00083242">
      <w:pPr>
        <w:spacing w:before="9" w:after="607" w:line="209" w:lineRule="exact"/>
        <w:ind w:left="10656"/>
        <w:textAlignment w:val="baseline"/>
        <w:rPr>
          <w:rFonts w:ascii="Arial" w:eastAsia="Arial" w:hAnsi="Arial"/>
          <w:color w:val="5556A0"/>
          <w:spacing w:val="28"/>
          <w:sz w:val="19"/>
        </w:rPr>
      </w:pPr>
      <w:r>
        <w:rPr>
          <w:rFonts w:ascii="Arial" w:eastAsia="Arial" w:hAnsi="Arial"/>
          <w:color w:val="5556A0"/>
          <w:spacing w:val="28"/>
          <w:sz w:val="19"/>
        </w:rPr>
        <w:t>103</w:t>
      </w:r>
    </w:p>
    <w:p w14:paraId="460E71C8" w14:textId="77777777" w:rsidR="009757A9" w:rsidRDefault="00083242">
      <w:pPr>
        <w:textAlignment w:val="baseline"/>
      </w:pPr>
      <w:r>
        <w:rPr>
          <w:noProof/>
          <w:lang w:val="en-AU" w:eastAsia="en-AU"/>
        </w:rPr>
        <w:drawing>
          <wp:inline distT="0" distB="0" distL="0" distR="0" wp14:anchorId="612E9D27" wp14:editId="544FC353">
            <wp:extent cx="7562215" cy="462915"/>
            <wp:effectExtent l="0" t="0" r="0" b="0"/>
            <wp:docPr id="169" name="Picture"/>
            <wp:cNvGraphicFramePr/>
            <a:graphic xmlns:a="http://schemas.openxmlformats.org/drawingml/2006/main">
              <a:graphicData uri="http://schemas.openxmlformats.org/drawingml/2006/picture">
                <pic:pic xmlns:pic="http://schemas.openxmlformats.org/drawingml/2006/picture">
                  <pic:nvPicPr>
                    <pic:cNvPr id="169"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332FCDF7" w14:textId="77777777" w:rsidR="009757A9" w:rsidRDefault="009757A9">
      <w:pPr>
        <w:sectPr w:rsidR="009757A9">
          <w:type w:val="continuous"/>
          <w:pgSz w:w="11909" w:h="16838"/>
          <w:pgMar w:top="0" w:right="0" w:bottom="0" w:left="0" w:header="720" w:footer="720" w:gutter="0"/>
          <w:cols w:space="720"/>
        </w:sectPr>
      </w:pPr>
    </w:p>
    <w:p w14:paraId="4BFD3B12" w14:textId="7DE0808E" w:rsidR="009757A9" w:rsidRDefault="00124553">
      <w:pPr>
        <w:spacing w:before="6" w:after="573" w:line="240" w:lineRule="exact"/>
        <w:ind w:left="792" w:right="936"/>
        <w:textAlignment w:val="baseline"/>
        <w:rPr>
          <w:rFonts w:ascii="Verdana" w:eastAsia="Verdana" w:hAnsi="Verdana"/>
          <w:color w:val="404042"/>
          <w:spacing w:val="-3"/>
          <w:sz w:val="18"/>
        </w:rPr>
      </w:pPr>
      <w:r>
        <w:rPr>
          <w:noProof/>
          <w:lang w:val="en-AU" w:eastAsia="en-AU"/>
        </w:rPr>
        <w:lastRenderedPageBreak/>
        <mc:AlternateContent>
          <mc:Choice Requires="wps">
            <w:drawing>
              <wp:anchor distT="0" distB="295910" distL="545465" distR="536575" simplePos="0" relativeHeight="252089856" behindDoc="1" locked="0" layoutInCell="1" allowOverlap="1" wp14:anchorId="7BA53A4D" wp14:editId="28B0C05F">
                <wp:simplePos x="0" y="0"/>
                <wp:positionH relativeFrom="margin">
                  <wp:posOffset>333375</wp:posOffset>
                </wp:positionH>
                <wp:positionV relativeFrom="page">
                  <wp:posOffset>647700</wp:posOffset>
                </wp:positionV>
                <wp:extent cx="6886575" cy="4819650"/>
                <wp:effectExtent l="0" t="0" r="28575" b="19050"/>
                <wp:wrapNone/>
                <wp:docPr id="106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4819650"/>
                        </a:xfrm>
                        <a:prstGeom prst="rect">
                          <a:avLst/>
                        </a:prstGeom>
                        <a:solidFill>
                          <a:srgbClr val="DFE6EB"/>
                        </a:solidFill>
                        <a:ln w="9525">
                          <a:solidFill>
                            <a:srgbClr val="000000"/>
                          </a:solidFill>
                          <a:miter lim="800000"/>
                          <a:headEnd/>
                          <a:tailEnd/>
                        </a:ln>
                      </wps:spPr>
                      <wps:txbx>
                        <w:txbxContent>
                          <w:p w14:paraId="4E041B36" w14:textId="77777777" w:rsidR="00490F33" w:rsidRDefault="00490F33" w:rsidP="0012455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53A4D" id="_x0000_s1286" type="#_x0000_t202" style="position:absolute;left:0;text-align:left;margin-left:26.25pt;margin-top:51pt;width:542.25pt;height:379.5pt;z-index:-251226624;visibility:visible;mso-wrap-style:square;mso-width-percent:0;mso-height-percent:0;mso-wrap-distance-left:42.95pt;mso-wrap-distance-top:0;mso-wrap-distance-right:42.25pt;mso-wrap-distance-bottom:23.3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SGLgIAAE8EAAAOAAAAZHJzL2Uyb0RvYy54bWysVMtu2zAQvBfoPxC815KdWLUFy0HiR1Eg&#10;fQBJP4CiKIkoxWVJ2lL69V1SthOk7aWoD8RSXA5nZ3a9uhk6RY7COgm6oNNJSonQHCqpm4J+e9y/&#10;W1DiPNMVU6BFQZ+Eozfrt29WvcnFDFpQlbAEQbTLe1PQ1nuTJ4njreiYm4ARGg9rsB3zuLVNUlnW&#10;I3qnklmaZkkPtjIWuHAOv27HQ7qO+HUtuP9S1054ogqK3HxcbVzLsCbrFcsby0wr+YkG+wcWHZMa&#10;H71AbZln5GDlb1Cd5BYc1H7CoUugriUXsQasZpq+quahZUbEWlAcZy4yuf8Hyz8fv1oiK/QuzZaU&#10;aNahS49i8OQOBnJ1fRUk6o3LMfPBYK4f8ADTY7nO3AP/7oiGTct0I26thb4VrEKK03AzeXF1xHEB&#10;pOw/QYUPsYOHCDTUtgv6oSIE0dGqp4s9gQzHj9likc3fzynheHa9mC6zeTQwYfn5urHOfxDQkRAU&#10;1KL/EZ4d750PdFh+TgmvOVCy2kul4sY25UZZcmTYK9v9LtvdxQpepSlN+oIu57P5qMBfIdL4+xNE&#10;Jz02vZJdQReXJJYH3Xa6ii3pmVRjjJSVPgkZtBtV9EM5RNtmWdQgyFxC9YTaWhi7HKcSgxbsT0p6&#10;7PCCuh8HZgUl6qNGf8I4nAN7DspzwDTHqwX1lIzhxo9jczBWNi0ijx2g4RY9rGVU95nFiTB2bRT9&#10;NGFhLF7uY9bz/8D6FwAAAP//AwBQSwMEFAAGAAgAAAAhAA/UlxLgAAAACwEAAA8AAABkcnMvZG93&#10;bnJldi54bWxMj81OwzAQhO9IvIO1SNyonaCEKI1TVQgkECcKHHpzYjexGq+j2E3D27M90dv+zM5+&#10;U20WN7DZTMF6lJCsBDCDrdcWOwnfX68PBbAQFWo1eDQSfk2ATX17U6lS+zN+mnkXO0YmGEoloY9x&#10;LDkPbW+cCis/GqTdwU9ORWqnjutJncncDTwVIudOWaQPvRrNc2/a4+7kCCOdDy/dcas+3rI8Gd9/&#10;bFPsrZT3d8t2DSyaJf6L4YJPN1ATU+NPqAMbJGRpRkqai5QyXQTJ4xNVjYQiTwTwuuLXGeo/AAAA&#10;//8DAFBLAQItABQABgAIAAAAIQC2gziS/gAAAOEBAAATAAAAAAAAAAAAAAAAAAAAAABbQ29udGVu&#10;dF9UeXBlc10ueG1sUEsBAi0AFAAGAAgAAAAhADj9If/WAAAAlAEAAAsAAAAAAAAAAAAAAAAALwEA&#10;AF9yZWxzLy5yZWxzUEsBAi0AFAAGAAgAAAAhAHbLNIYuAgAATwQAAA4AAAAAAAAAAAAAAAAALgIA&#10;AGRycy9lMm9Eb2MueG1sUEsBAi0AFAAGAAgAAAAhAA/UlxLgAAAACwEAAA8AAAAAAAAAAAAAAAAA&#10;iAQAAGRycy9kb3ducmV2LnhtbFBLBQYAAAAABAAEAPMAAACVBQAAAAA=&#10;" fillcolor="#dfe6eb">
                <v:textbox inset="0,0,0,0">
                  <w:txbxContent>
                    <w:p w14:paraId="4E041B36" w14:textId="77777777" w:rsidR="00490F33" w:rsidRDefault="00490F33" w:rsidP="00124553"/>
                  </w:txbxContent>
                </v:textbox>
                <w10:wrap anchorx="margin" anchory="page"/>
              </v:shape>
            </w:pict>
          </mc:Fallback>
        </mc:AlternateContent>
      </w:r>
      <w:r w:rsidR="000D2E34">
        <w:rPr>
          <w:noProof/>
          <w:lang w:val="en-AU" w:eastAsia="en-AU"/>
        </w:rPr>
        <mc:AlternateContent>
          <mc:Choice Requires="wps">
            <w:drawing>
              <wp:anchor distT="0" distB="0" distL="0" distR="0" simplePos="0" relativeHeight="251612672" behindDoc="1" locked="0" layoutInCell="1" allowOverlap="1" wp14:anchorId="7A34909E" wp14:editId="3CED9C47">
                <wp:simplePos x="0" y="0"/>
                <wp:positionH relativeFrom="page">
                  <wp:posOffset>591820</wp:posOffset>
                </wp:positionH>
                <wp:positionV relativeFrom="page">
                  <wp:posOffset>964565</wp:posOffset>
                </wp:positionV>
                <wp:extent cx="6384925" cy="285115"/>
                <wp:effectExtent l="0" t="0" r="0" b="0"/>
                <wp:wrapSquare wrapText="bothSides"/>
                <wp:docPr id="547"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630A" w14:textId="77777777" w:rsidR="00490F33" w:rsidRDefault="00490F33">
                            <w:pPr>
                              <w:spacing w:line="439" w:lineRule="exact"/>
                              <w:ind w:left="504"/>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4909E" id="Text Box 268" o:spid="_x0000_s1287" type="#_x0000_t202" style="position:absolute;left:0;text-align:left;margin-left:46.6pt;margin-top:75.95pt;width:502.75pt;height:22.45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0J8QEAAMMDAAAOAAAAZHJzL2Uyb0RvYy54bWysU8Fu2zAMvQ/YPwi6L068JsuMOEXXosOA&#10;rhvQ9gMYWY6F2aJGKbGzrx8lJ2m33oZdBEqiHt97pFaXQ9eKvSZv0JZyNplKoa3CythtKZ8eb98t&#10;pfABbAUtWl3Kg/bycv32zap3hc6xwbbSJBjE+qJ3pWxCcEWWedXoDvwEnbZ8WSN1EHhL26wi6Bm9&#10;a7N8Ol1kPVLlCJX2nk9vxku5Tvh1rVX4VtdeB9GWkrmFtFJaN3HN1isotgSuMepIA/6BRQfGctEz&#10;1A0EEDsyr6A6owg91mGisMuwro3SSQOrmU3/UvPQgNNJC5vj3dkm//9g1f3+OwlTlXJ+8UEKCx03&#10;6VEPQXzCQeSLZXSod77gxAfHqWHgC+50UuvdHaofXli8bsBu9RUR9o2GihnO4svsxdMRx0eQTf8V&#10;Ky4Eu4AJaKipi/axIYLRuVOHc3ciGcWHi/fLi4/5XArFd/lyPpvNUwkoTq8d+fBZYydiUEri7id0&#10;2N/5ENlAcUqJxSzemrZNE9DaPw44MZ4k9pHwSD0MmyFZlS+SuKhtg9WBBRGOk8U/gYMG6ZcUPU9V&#10;Kf3PHZCWov1i2ZQ4gqeATsHmFIBV/LSUQYoxvA7jqO4cmW3DyKPtFq/YuNokTc8sjoR5UpLU41TH&#10;UXy5T1nPf2/9GwAA//8DAFBLAwQUAAYACAAAACEAcXoZi+AAAAALAQAADwAAAGRycy9kb3ducmV2&#10;LnhtbEyPPU/DMBCGdyT+g3VIbNRpESEOcaoKwYRUkYaB0YmvidX4HGK3Df++7gTbfTx677liPduB&#10;nXDyxpGE5SIBhtQ6baiT8FW/P2TAfFCk1eAIJfyih3V5e1OoXLszVXjahY7FEPK5ktCHMOac+7ZH&#10;q/zCjUhxt3eTVSG2U8f1pM4x3A58lSQpt8pQvNCrEV97bA+7o5Ww+abqzfxsm89qX5m6Fgl9pAcp&#10;7+/mzQuwgHP4g+GqH9WhjE6NO5L2bJAgHleRjPOnpQB2BRKRPQNrYiXSDHhZ8P8/lBcAAAD//wMA&#10;UEsBAi0AFAAGAAgAAAAhALaDOJL+AAAA4QEAABMAAAAAAAAAAAAAAAAAAAAAAFtDb250ZW50X1R5&#10;cGVzXS54bWxQSwECLQAUAAYACAAAACEAOP0h/9YAAACUAQAACwAAAAAAAAAAAAAAAAAvAQAAX3Jl&#10;bHMvLnJlbHNQSwECLQAUAAYACAAAACEAo339CfEBAADDAwAADgAAAAAAAAAAAAAAAAAuAgAAZHJz&#10;L2Uyb0RvYy54bWxQSwECLQAUAAYACAAAACEAcXoZi+AAAAALAQAADwAAAAAAAAAAAAAAAABLBAAA&#10;ZHJzL2Rvd25yZXYueG1sUEsFBgAAAAAEAAQA8wAAAFgFAAAAAA==&#10;" filled="f" stroked="f">
                <v:textbox inset="0,0,0,0">
                  <w:txbxContent>
                    <w:p w14:paraId="4928630A" w14:textId="77777777" w:rsidR="00490F33" w:rsidRDefault="00490F33">
                      <w:pPr>
                        <w:spacing w:line="439" w:lineRule="exact"/>
                        <w:ind w:left="504"/>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txbxContent>
                </v:textbox>
                <w10:wrap type="square" anchorx="page" anchory="page"/>
              </v:shape>
            </w:pict>
          </mc:Fallback>
        </mc:AlternateContent>
      </w:r>
      <w:r w:rsidR="000D2E34">
        <w:rPr>
          <w:noProof/>
          <w:lang w:val="en-AU" w:eastAsia="en-AU"/>
        </w:rPr>
        <mc:AlternateContent>
          <mc:Choice Requires="wps">
            <w:drawing>
              <wp:anchor distT="0" distB="0" distL="0" distR="0" simplePos="0" relativeHeight="251613696" behindDoc="1" locked="0" layoutInCell="1" allowOverlap="1" wp14:anchorId="1A8BD0C4" wp14:editId="00D49E6A">
                <wp:simplePos x="0" y="0"/>
                <wp:positionH relativeFrom="page">
                  <wp:posOffset>591820</wp:posOffset>
                </wp:positionH>
                <wp:positionV relativeFrom="page">
                  <wp:posOffset>1249680</wp:posOffset>
                </wp:positionV>
                <wp:extent cx="6384925" cy="4065905"/>
                <wp:effectExtent l="0" t="0" r="0" b="0"/>
                <wp:wrapSquare wrapText="bothSides"/>
                <wp:docPr id="54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406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BB6E6" w14:textId="77777777" w:rsidR="00490F33" w:rsidRDefault="00490F33">
                            <w:pPr>
                              <w:spacing w:before="230" w:line="240" w:lineRule="exact"/>
                              <w:ind w:left="504" w:right="288" w:hanging="360"/>
                              <w:textAlignment w:val="baseline"/>
                              <w:rPr>
                                <w:rFonts w:ascii="Verdana" w:eastAsia="Verdana" w:hAnsi="Verdana"/>
                                <w:color w:val="404042"/>
                                <w:sz w:val="18"/>
                              </w:rPr>
                            </w:pPr>
                            <w:r>
                              <w:rPr>
                                <w:rFonts w:ascii="Verdana" w:eastAsia="Verdana" w:hAnsi="Verdana"/>
                                <w:color w:val="404042"/>
                                <w:sz w:val="18"/>
                              </w:rPr>
                              <w:t xml:space="preserve">5.1 A ‘one size fits all’ traditional learning environment cannot bring out the best in all young people. Students who complete Year 12 and attain a Senior Secondary Certificate of Education have a stronger foundation to </w:t>
                            </w:r>
                            <w:r>
                              <w:rPr>
                                <w:rFonts w:ascii="Tahoma" w:eastAsia="Tahoma" w:hAnsi="Tahoma"/>
                                <w:color w:val="404042"/>
                                <w:sz w:val="18"/>
                              </w:rPr>
                              <w:t xml:space="preserve">achieve future success in their working lives and they should be encouraged to stay the course. However, the costs to a young person of remaining in a learning environment that is unsuited to them are also apparent. </w:t>
                            </w:r>
                            <w:r>
                              <w:rPr>
                                <w:rFonts w:ascii="Verdana" w:eastAsia="Verdana" w:hAnsi="Verdana"/>
                                <w:color w:val="404042"/>
                                <w:sz w:val="18"/>
                              </w:rPr>
                              <w:t xml:space="preserve">School systems should have multiple education settings and flexible learning programs so that all young </w:t>
                            </w:r>
                            <w:r>
                              <w:rPr>
                                <w:rFonts w:ascii="Tahoma" w:eastAsia="Tahoma" w:hAnsi="Tahoma"/>
                                <w:color w:val="404042"/>
                                <w:sz w:val="18"/>
                              </w:rPr>
                              <w:t>people are given the opportunity to thrive.</w:t>
                            </w:r>
                          </w:p>
                          <w:p w14:paraId="2F946F2C" w14:textId="77777777" w:rsidR="00490F33" w:rsidRDefault="00490F33">
                            <w:pPr>
                              <w:spacing w:before="168" w:line="240" w:lineRule="exact"/>
                              <w:ind w:left="504" w:right="648" w:hanging="360"/>
                              <w:textAlignment w:val="baseline"/>
                              <w:rPr>
                                <w:rFonts w:ascii="Tahoma" w:eastAsia="Tahoma" w:hAnsi="Tahoma"/>
                                <w:color w:val="404042"/>
                                <w:sz w:val="18"/>
                              </w:rPr>
                            </w:pPr>
                            <w:r>
                              <w:rPr>
                                <w:rFonts w:ascii="Tahoma" w:eastAsia="Tahoma" w:hAnsi="Tahoma"/>
                                <w:color w:val="404042"/>
                                <w:sz w:val="18"/>
                              </w:rPr>
                              <w:t xml:space="preserve">5.2 School does not suit everyone. Legislation exists in states and territories enabling some young people to leave school from the end of Year 10 to transition to secure employment or undertake further study. It is important that such a choice is not seen as a failure. Rather, through Years 9 and 10, young people need to be supported to develop their work skills, have a plan for accessing training, and be provided with a clear pathway back to further education or training in the future. They must be encouraged to achieve </w:t>
                            </w:r>
                            <w:r>
                              <w:rPr>
                                <w:rFonts w:ascii="Verdana" w:eastAsia="Verdana" w:hAnsi="Verdana"/>
                                <w:color w:val="404042"/>
                                <w:sz w:val="18"/>
                              </w:rPr>
                              <w:t>a qualification equivalent to the senior secondary certificate, through an apprenticeship or traineeship, certificated VET courses, or combinations of VET and workplace learning.</w:t>
                            </w:r>
                          </w:p>
                          <w:p w14:paraId="6C79A7C0" w14:textId="77777777" w:rsidR="00490F33" w:rsidRDefault="00490F33">
                            <w:pPr>
                              <w:spacing w:before="172" w:line="240" w:lineRule="exact"/>
                              <w:ind w:left="504" w:right="648" w:hanging="360"/>
                              <w:textAlignment w:val="baseline"/>
                              <w:rPr>
                                <w:rFonts w:ascii="Tahoma" w:eastAsia="Tahoma" w:hAnsi="Tahoma"/>
                                <w:color w:val="404042"/>
                                <w:sz w:val="18"/>
                              </w:rPr>
                            </w:pPr>
                            <w:r>
                              <w:rPr>
                                <w:rFonts w:ascii="Tahoma" w:eastAsia="Tahoma" w:hAnsi="Tahoma"/>
                                <w:color w:val="404042"/>
                                <w:sz w:val="18"/>
                              </w:rPr>
                              <w:t xml:space="preserve">5.3 School students need support to access the great potential of short online courses. Micro-credentials </w:t>
                            </w:r>
                            <w:r>
                              <w:rPr>
                                <w:rFonts w:ascii="Verdana" w:eastAsia="Verdana" w:hAnsi="Verdana"/>
                                <w:color w:val="404042"/>
                                <w:sz w:val="18"/>
                              </w:rPr>
                              <w:t xml:space="preserve">can help them to explore their passions. The Senior Secondary Certificate of Education, ATAR or senior secondary end-of-year assessments need to have sufficient flexibility to credit microcredentials and other learning options. This will ensure that all forms of credential are measurable, verifiable, certifiable </w:t>
                            </w:r>
                            <w:r>
                              <w:rPr>
                                <w:rFonts w:ascii="Tahoma" w:eastAsia="Tahoma" w:hAnsi="Tahoma"/>
                                <w:color w:val="404042"/>
                                <w:sz w:val="18"/>
                              </w:rPr>
                              <w:t>and transferable.</w:t>
                            </w:r>
                          </w:p>
                          <w:p w14:paraId="12255681" w14:textId="77777777" w:rsidR="00490F33" w:rsidRDefault="00490F33">
                            <w:pPr>
                              <w:spacing w:before="169" w:after="379" w:line="240" w:lineRule="exact"/>
                              <w:ind w:left="504" w:right="936" w:hanging="360"/>
                              <w:textAlignment w:val="baseline"/>
                              <w:rPr>
                                <w:rFonts w:ascii="Tahoma" w:eastAsia="Tahoma" w:hAnsi="Tahoma"/>
                                <w:color w:val="404042"/>
                                <w:sz w:val="18"/>
                              </w:rPr>
                            </w:pPr>
                            <w:r>
                              <w:rPr>
                                <w:rFonts w:ascii="Tahoma" w:eastAsia="Tahoma" w:hAnsi="Tahoma"/>
                                <w:color w:val="404042"/>
                                <w:sz w:val="18"/>
                              </w:rPr>
                              <w:t>5.4 Education should be recognised as a lifelong, but not linear, journey. The skills students need and the careers they follow are likely to change over time. If young people are to become productive workers and active citizens, they need to leave school with the capability and enthusiasm to keep on learning throughout their lives.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BD0C4" id="Text Box 267" o:spid="_x0000_s1288" type="#_x0000_t202" style="position:absolute;left:0;text-align:left;margin-left:46.6pt;margin-top:98.4pt;width:502.75pt;height:320.15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nj8wEAAMQDAAAOAAAAZHJzL2Uyb0RvYy54bWysU8Fu2zAMvQ/YPwi6L3a8xGuNOEXXosOA&#10;rhvQ9gNkWY6F2aJGKbGzrx8lx1m33oZdBIqkHh8fqc3V2HfsoNBpMCVfLlLOlJFQa7Mr+fPT3bsL&#10;zpwXphYdGFXyo3L8avv2zWawhcqgha5WyAjEuGKwJW+9t0WSONmqXrgFWGUo2AD2wtMVd0mNYiD0&#10;vkuyNM2TAbC2CFI5R97bKci3Eb9plPRfm8Ypz7qSEzcfT4xnFc5kuxHFDoVttTzREP/AohfaUNEz&#10;1K3wgu1Rv4LqtURw0PiFhD6BptFSxR6om2X6VzePrbAq9kLiOHuWyf0/WPlw+IZM1yVfr3LOjOhp&#10;SE9q9OwjjCzLPwSFBusKSny0lOpHCtCkY7fO3oP87piBm1aYnbpGhKFVoiaGy/AyefF0wnEBpBq+&#10;QE2FxN5DBBob7IN8JAgjdJrU8TydQEaSM39/sbrM1pxJiq3SfH2ZrmMNUczPLTr/SUHPglFypPFH&#10;eHG4dz7QEcWcEqoZuNNdF1egM384KDF4Iv3AeOLux2qMWmV5NutSQX2kjhCm1aKvQEYL+JOzgdaq&#10;5O7HXqDirPtsSJWwg7OBs1HNhjCSnpbcczaZN37a1b1FvWsJedLdwDUp1+jYU5B4YnEiTKsSWz2t&#10;ddjFl/eY9fvzbX8BAAD//wMAUEsDBBQABgAIAAAAIQD9ndRK4AAAAAsBAAAPAAAAZHJzL2Rvd25y&#10;ZXYueG1sTI/BTsMwDIbvSLxDZCRuLNkmdW1pOk0ITkiIrhw4po3XRmuc0mRbeXuyEzva/vT7+4vt&#10;bAd2xskbRxKWCwEMqXXaUCfhq357SoH5oEirwRFK+EUP2/L+rlC5dheq8LwPHYsh5HMloQ9hzDn3&#10;bY9W+YUbkeLt4CarQhynjutJXWK4HfhKiIRbZSh+6NWILz22x/3JSth9U/Vqfj6az+pQmbrOBL0n&#10;RykfH+bdM7CAc/iH4aof1aGMTo07kfZskJCtV5GM+yyJFa6AyNINsEZCut4sgZcFv+1Q/gEAAP//&#10;AwBQSwECLQAUAAYACAAAACEAtoM4kv4AAADhAQAAEwAAAAAAAAAAAAAAAAAAAAAAW0NvbnRlbnRf&#10;VHlwZXNdLnhtbFBLAQItABQABgAIAAAAIQA4/SH/1gAAAJQBAAALAAAAAAAAAAAAAAAAAC8BAABf&#10;cmVscy8ucmVsc1BLAQItABQABgAIAAAAIQDdUQnj8wEAAMQDAAAOAAAAAAAAAAAAAAAAAC4CAABk&#10;cnMvZTJvRG9jLnhtbFBLAQItABQABgAIAAAAIQD9ndRK4AAAAAsBAAAPAAAAAAAAAAAAAAAAAE0E&#10;AABkcnMvZG93bnJldi54bWxQSwUGAAAAAAQABADzAAAAWgUAAAAA&#10;" filled="f" stroked="f">
                <v:textbox inset="0,0,0,0">
                  <w:txbxContent>
                    <w:p w14:paraId="2DABB6E6" w14:textId="77777777" w:rsidR="00490F33" w:rsidRDefault="00490F33">
                      <w:pPr>
                        <w:spacing w:before="230" w:line="240" w:lineRule="exact"/>
                        <w:ind w:left="504" w:right="288" w:hanging="360"/>
                        <w:textAlignment w:val="baseline"/>
                        <w:rPr>
                          <w:rFonts w:ascii="Verdana" w:eastAsia="Verdana" w:hAnsi="Verdana"/>
                          <w:color w:val="404042"/>
                          <w:sz w:val="18"/>
                        </w:rPr>
                      </w:pPr>
                      <w:r>
                        <w:rPr>
                          <w:rFonts w:ascii="Verdana" w:eastAsia="Verdana" w:hAnsi="Verdana"/>
                          <w:color w:val="404042"/>
                          <w:sz w:val="18"/>
                        </w:rPr>
                        <w:t xml:space="preserve">5.1 A ‘one size fits all’ traditional learning environment cannot bring out the best in all young people. Students who complete Year 12 and attain a Senior Secondary Certificate of Education have a stronger foundation to </w:t>
                      </w:r>
                      <w:r>
                        <w:rPr>
                          <w:rFonts w:ascii="Tahoma" w:eastAsia="Tahoma" w:hAnsi="Tahoma"/>
                          <w:color w:val="404042"/>
                          <w:sz w:val="18"/>
                        </w:rPr>
                        <w:t xml:space="preserve">achieve future success in their working lives and they should be encouraged to stay the course. However, the costs to a young person of remaining in a learning environment that is unsuited to them are also apparent. </w:t>
                      </w:r>
                      <w:r>
                        <w:rPr>
                          <w:rFonts w:ascii="Verdana" w:eastAsia="Verdana" w:hAnsi="Verdana"/>
                          <w:color w:val="404042"/>
                          <w:sz w:val="18"/>
                        </w:rPr>
                        <w:t xml:space="preserve">School systems should have multiple education settings and flexible learning programs so that all young </w:t>
                      </w:r>
                      <w:r>
                        <w:rPr>
                          <w:rFonts w:ascii="Tahoma" w:eastAsia="Tahoma" w:hAnsi="Tahoma"/>
                          <w:color w:val="404042"/>
                          <w:sz w:val="18"/>
                        </w:rPr>
                        <w:t>people are given the opportunity to thrive.</w:t>
                      </w:r>
                    </w:p>
                    <w:p w14:paraId="2F946F2C" w14:textId="77777777" w:rsidR="00490F33" w:rsidRDefault="00490F33">
                      <w:pPr>
                        <w:spacing w:before="168" w:line="240" w:lineRule="exact"/>
                        <w:ind w:left="504" w:right="648" w:hanging="360"/>
                        <w:textAlignment w:val="baseline"/>
                        <w:rPr>
                          <w:rFonts w:ascii="Tahoma" w:eastAsia="Tahoma" w:hAnsi="Tahoma"/>
                          <w:color w:val="404042"/>
                          <w:sz w:val="18"/>
                        </w:rPr>
                      </w:pPr>
                      <w:r>
                        <w:rPr>
                          <w:rFonts w:ascii="Tahoma" w:eastAsia="Tahoma" w:hAnsi="Tahoma"/>
                          <w:color w:val="404042"/>
                          <w:sz w:val="18"/>
                        </w:rPr>
                        <w:t xml:space="preserve">5.2 School does not suit everyone. Legislation exists in states and territories enabling some young people to leave school from the end of Year 10 to transition to secure employment or undertake further study. It is important that such a choice is not seen as a failure. Rather, through Years 9 and 10, young people need to be supported to develop their work skills, have a plan for accessing training, and be provided with a clear pathway back to further education or training in the future. They must be encouraged to achieve </w:t>
                      </w:r>
                      <w:r>
                        <w:rPr>
                          <w:rFonts w:ascii="Verdana" w:eastAsia="Verdana" w:hAnsi="Verdana"/>
                          <w:color w:val="404042"/>
                          <w:sz w:val="18"/>
                        </w:rPr>
                        <w:t>a qualification equivalent to the senior secondary certificate, through an apprenticeship or traineeship, certificated VET courses, or combinations of VET and workplace learning.</w:t>
                      </w:r>
                    </w:p>
                    <w:p w14:paraId="6C79A7C0" w14:textId="77777777" w:rsidR="00490F33" w:rsidRDefault="00490F33">
                      <w:pPr>
                        <w:spacing w:before="172" w:line="240" w:lineRule="exact"/>
                        <w:ind w:left="504" w:right="648" w:hanging="360"/>
                        <w:textAlignment w:val="baseline"/>
                        <w:rPr>
                          <w:rFonts w:ascii="Tahoma" w:eastAsia="Tahoma" w:hAnsi="Tahoma"/>
                          <w:color w:val="404042"/>
                          <w:sz w:val="18"/>
                        </w:rPr>
                      </w:pPr>
                      <w:r>
                        <w:rPr>
                          <w:rFonts w:ascii="Tahoma" w:eastAsia="Tahoma" w:hAnsi="Tahoma"/>
                          <w:color w:val="404042"/>
                          <w:sz w:val="18"/>
                        </w:rPr>
                        <w:t xml:space="preserve">5.3 School students need support to access the great potential of short online courses. Micro-credentials </w:t>
                      </w:r>
                      <w:r>
                        <w:rPr>
                          <w:rFonts w:ascii="Verdana" w:eastAsia="Verdana" w:hAnsi="Verdana"/>
                          <w:color w:val="404042"/>
                          <w:sz w:val="18"/>
                        </w:rPr>
                        <w:t xml:space="preserve">can help them to explore their passions. The Senior Secondary Certificate of Education, ATAR or senior secondary end-of-year assessments need to have sufficient flexibility to credit microcredentials and other learning options. This will ensure that all forms of credential are measurable, verifiable, certifiable </w:t>
                      </w:r>
                      <w:r>
                        <w:rPr>
                          <w:rFonts w:ascii="Tahoma" w:eastAsia="Tahoma" w:hAnsi="Tahoma"/>
                          <w:color w:val="404042"/>
                          <w:sz w:val="18"/>
                        </w:rPr>
                        <w:t>and transferable.</w:t>
                      </w:r>
                    </w:p>
                    <w:p w14:paraId="12255681" w14:textId="77777777" w:rsidR="00490F33" w:rsidRDefault="00490F33">
                      <w:pPr>
                        <w:spacing w:before="169" w:after="379" w:line="240" w:lineRule="exact"/>
                        <w:ind w:left="504" w:right="936" w:hanging="360"/>
                        <w:textAlignment w:val="baseline"/>
                        <w:rPr>
                          <w:rFonts w:ascii="Tahoma" w:eastAsia="Tahoma" w:hAnsi="Tahoma"/>
                          <w:color w:val="404042"/>
                          <w:sz w:val="18"/>
                        </w:rPr>
                      </w:pPr>
                      <w:r>
                        <w:rPr>
                          <w:rFonts w:ascii="Tahoma" w:eastAsia="Tahoma" w:hAnsi="Tahoma"/>
                          <w:color w:val="404042"/>
                          <w:sz w:val="18"/>
                        </w:rPr>
                        <w:t>5.4 Education should be recognised as a lifelong, but not linear, journey. The skills students need and the careers they follow are likely to change over time. If young people are to become productive workers and active citizens, they need to leave school with the capability and enthusiasm to keep on learning throughout their lives.</w:t>
                      </w:r>
                    </w:p>
                  </w:txbxContent>
                </v:textbox>
                <w10:wrap type="square" anchorx="page" anchory="page"/>
              </v:shape>
            </w:pict>
          </mc:Fallback>
        </mc:AlternateContent>
      </w:r>
      <w:r w:rsidR="00083242">
        <w:rPr>
          <w:rFonts w:ascii="Verdana" w:eastAsia="Verdana" w:hAnsi="Verdana"/>
          <w:color w:val="404042"/>
          <w:spacing w:val="-3"/>
          <w:sz w:val="18"/>
        </w:rPr>
        <w:t xml:space="preserve">To be competitive in the job market of the future, more students will need to obtain post-school qualifications through </w:t>
      </w:r>
      <w:r w:rsidR="00083242">
        <w:rPr>
          <w:rFonts w:ascii="Tahoma" w:eastAsia="Tahoma" w:hAnsi="Tahoma"/>
          <w:color w:val="404042"/>
          <w:spacing w:val="-3"/>
          <w:sz w:val="18"/>
        </w:rPr>
        <w:t xml:space="preserve">some form of education or training. It is widely recognised that young people who do not complete Year 12 or gain </w:t>
      </w:r>
      <w:r w:rsidR="00083242">
        <w:rPr>
          <w:rFonts w:ascii="Verdana" w:eastAsia="Verdana" w:hAnsi="Verdana"/>
          <w:color w:val="404042"/>
          <w:spacing w:val="-3"/>
          <w:sz w:val="18"/>
        </w:rPr>
        <w:t xml:space="preserve">equivalent qualifications experience greater difficulty in making the transition from school to post-school education </w:t>
      </w:r>
      <w:r w:rsidR="00083242">
        <w:rPr>
          <w:rFonts w:ascii="Tahoma" w:eastAsia="Tahoma" w:hAnsi="Tahoma"/>
          <w:color w:val="404042"/>
          <w:spacing w:val="-3"/>
          <w:sz w:val="18"/>
        </w:rPr>
        <w:t>and training and employment.</w:t>
      </w:r>
      <w:r w:rsidR="00083242">
        <w:rPr>
          <w:rFonts w:ascii="Tahoma" w:eastAsia="Tahoma" w:hAnsi="Tahoma"/>
          <w:color w:val="404042"/>
          <w:spacing w:val="-3"/>
          <w:sz w:val="18"/>
          <w:vertAlign w:val="superscript"/>
        </w:rPr>
        <w:t>138</w:t>
      </w:r>
      <w:r w:rsidR="00083242">
        <w:rPr>
          <w:rFonts w:ascii="Tahoma" w:eastAsia="Tahoma" w:hAnsi="Tahoma"/>
          <w:color w:val="404042"/>
          <w:spacing w:val="-3"/>
          <w:sz w:val="18"/>
        </w:rPr>
        <w:t xml:space="preserve"> These young people are much less likely to gain full access to economic, political and </w:t>
      </w:r>
      <w:r w:rsidR="00083242">
        <w:rPr>
          <w:rFonts w:ascii="Verdana" w:eastAsia="Verdana" w:hAnsi="Verdana"/>
          <w:color w:val="404042"/>
          <w:spacing w:val="-3"/>
          <w:sz w:val="18"/>
        </w:rPr>
        <w:t>social opportunities, and this can affect their ability to achieve financial stability and independence.</w:t>
      </w:r>
      <w:r w:rsidR="00083242">
        <w:rPr>
          <w:rFonts w:ascii="Tahoma" w:eastAsia="Tahoma" w:hAnsi="Tahoma"/>
          <w:color w:val="404042"/>
          <w:spacing w:val="-3"/>
          <w:sz w:val="18"/>
          <w:vertAlign w:val="superscript"/>
        </w:rPr>
        <w:t>139</w:t>
      </w:r>
      <w:r w:rsidR="00083242">
        <w:rPr>
          <w:rFonts w:ascii="Tahoma" w:eastAsia="Tahoma" w:hAnsi="Tahoma"/>
          <w:color w:val="404042"/>
          <w:spacing w:val="-3"/>
          <w:sz w:val="10"/>
        </w:rPr>
        <w:t xml:space="preserve"> </w:t>
      </w:r>
    </w:p>
    <w:p w14:paraId="4CD0002C" w14:textId="77777777" w:rsidR="009757A9" w:rsidRDefault="000D2E34">
      <w:pPr>
        <w:spacing w:before="93" w:line="302" w:lineRule="exact"/>
        <w:ind w:left="1296" w:right="2088"/>
        <w:textAlignment w:val="baseline"/>
        <w:rPr>
          <w:rFonts w:ascii="Verdana" w:eastAsia="Verdana" w:hAnsi="Verdana"/>
          <w:i/>
          <w:color w:val="007994"/>
          <w:sz w:val="18"/>
        </w:rPr>
      </w:pPr>
      <w:r>
        <w:rPr>
          <w:noProof/>
          <w:lang w:val="en-AU" w:eastAsia="en-AU"/>
        </w:rPr>
        <mc:AlternateContent>
          <mc:Choice Requires="wps">
            <w:drawing>
              <wp:anchor distT="0" distB="0" distL="114300" distR="114300" simplePos="0" relativeHeight="251932160" behindDoc="0" locked="0" layoutInCell="1" allowOverlap="1" wp14:anchorId="7AD888FA" wp14:editId="600BD8CD">
                <wp:simplePos x="0" y="0"/>
                <wp:positionH relativeFrom="page">
                  <wp:posOffset>826135</wp:posOffset>
                </wp:positionH>
                <wp:positionV relativeFrom="page">
                  <wp:posOffset>6888480</wp:posOffset>
                </wp:positionV>
                <wp:extent cx="5907405" cy="0"/>
                <wp:effectExtent l="0" t="0" r="0" b="0"/>
                <wp:wrapNone/>
                <wp:docPr id="544"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3C46E" id="Line 265" o:spid="_x0000_s1026" style="position:absolute;z-index:2519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42.4pt" to="530.2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8G0QEAAIYDAAAOAAAAZHJzL2Uyb0RvYy54bWysU02P2yAQvVfqf0DcGztpnG2sOHtIur2k&#10;baTd/oAJYBsVGAQkdv59gXzstr1VvaCBmXnz5s2wehy1IifhvETT0OmkpEQYhlyarqE/Xp4+fKLE&#10;BzAcFBrR0LPw9HH9/t1qsLWYYY+KC0ciiPH1YBvah2DrovCsFxr8BK0w0dmi0xDi1XUFdzBEdK2K&#10;WVkuigEdtw6Z8D6+bi9Ous74bStY+N62XgSiGhq5hXy6fB7SWaxXUHcObC/ZlQb8AwsN0sSid6gt&#10;BCBHJ/+C0pI59NiGCUNdYNtKJnIPsZtp+Uc3zz1YkXuJ4nh7l8n/P1j27bR3RPKGVvM5JQZ0HNJO&#10;GkFmiyqpM1hfx6CN2bvUHxvNs90h++mJwU0PphOZ5cvZxsRpyih+S0kXb2ONw/AVeYyBY8As1dg6&#10;nSCjCGTMEznfJyLGQFh8rJblw7ysKGE3XwH1LdE6H74I1CQZDVWRdQaG086HRATqW0iqY/BJKpUH&#10;rgwZGrr4WJU5waOSPDlTmHfdYaMcOUFamfJhuZznrqLnbVhC3oLvL3HZdVkmh0fDc5VeAP98tQNI&#10;dbEjK2WuKiVhLhIfkJ/37qZeHHamf13MtE1v7zn79fusfwEAAP//AwBQSwMEFAAGAAgAAAAhADXd&#10;kTzcAAAADgEAAA8AAABkcnMvZG93bnJldi54bWxMj0FPwzAMhe9I/IfISNxYMhjTVJpOaGinXWBD&#10;4uo1XtvROFWTdd2/xzsguPnZT8/fy5ejb9VAfWwCW5hODCjiMriGKwufu/XDAlRMyA7bwGThQhGW&#10;xe1NjpkLZ/6gYZsqJSEcM7RQp9RlWseyJo9xEjpiuR1C7zGJ7CvtejxLuG/1ozFz7bFh+VBjR6ua&#10;yu/tyVtYo9m9u80mHOPX82WFSbs3Gqy9vxtfX0AlGtOfGa74gg6FMO3DiV1UregnMxWrDGYxkxJX&#10;i5mbGaj9704Xuf5fo/gBAAD//wMAUEsBAi0AFAAGAAgAAAAhALaDOJL+AAAA4QEAABMAAAAAAAAA&#10;AAAAAAAAAAAAAFtDb250ZW50X1R5cGVzXS54bWxQSwECLQAUAAYACAAAACEAOP0h/9YAAACUAQAA&#10;CwAAAAAAAAAAAAAAAAAvAQAAX3JlbHMvLnJlbHNQSwECLQAUAAYACAAAACEAr6z/BtEBAACGAwAA&#10;DgAAAAAAAAAAAAAAAAAuAgAAZHJzL2Uyb0RvYy54bWxQSwECLQAUAAYACAAAACEANd2RPNwAAAAO&#10;AQAADwAAAAAAAAAAAAAAAAArBAAAZHJzL2Rvd25yZXYueG1sUEsFBgAAAAAEAAQA8wAAADQFAAAA&#10;AA==&#10;" strokecolor="#007994" strokeweight=".5pt">
                <w10:wrap anchorx="page" anchory="page"/>
              </v:line>
            </w:pict>
          </mc:Fallback>
        </mc:AlternateContent>
      </w:r>
      <w:r w:rsidR="00083242">
        <w:rPr>
          <w:rFonts w:ascii="Verdana" w:eastAsia="Verdana" w:hAnsi="Verdana"/>
          <w:i/>
          <w:color w:val="007994"/>
          <w:sz w:val="18"/>
        </w:rPr>
        <w:t>“Missing out on the benefits of education ... affects occupational prospects, wages and job satisfaction, but also ... influences decisions affecting health, marriage, parenting, civic</w:t>
      </w:r>
    </w:p>
    <w:p w14:paraId="62A381A2" w14:textId="77777777" w:rsidR="009757A9" w:rsidRDefault="00083242">
      <w:pPr>
        <w:spacing w:before="56" w:line="242"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engagement and preparing for retirement. These costs accumulate as those who miss out</w:t>
      </w:r>
    </w:p>
    <w:p w14:paraId="35B1020A" w14:textId="77777777" w:rsidR="009757A9" w:rsidRDefault="00083242">
      <w:pPr>
        <w:spacing w:before="60" w:line="242"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progress through adulthood till the end of their working lives.”</w:t>
      </w:r>
    </w:p>
    <w:p w14:paraId="62A7F978" w14:textId="77777777" w:rsidR="009757A9" w:rsidRDefault="00083242">
      <w:pPr>
        <w:spacing w:before="45" w:after="207" w:line="266" w:lineRule="exact"/>
        <w:ind w:left="8784"/>
        <w:textAlignment w:val="baseline"/>
        <w:rPr>
          <w:rFonts w:ascii="Tahoma" w:eastAsia="Tahoma" w:hAnsi="Tahoma"/>
          <w:i/>
          <w:color w:val="007994"/>
          <w:sz w:val="21"/>
        </w:rPr>
      </w:pPr>
      <w:r>
        <w:rPr>
          <w:rFonts w:ascii="Tahoma" w:eastAsia="Tahoma" w:hAnsi="Tahoma"/>
          <w:i/>
          <w:color w:val="007994"/>
          <w:sz w:val="21"/>
        </w:rPr>
        <w:t>Mitchell Institute</w:t>
      </w:r>
      <w:r>
        <w:rPr>
          <w:rFonts w:ascii="Tahoma" w:eastAsia="Tahoma" w:hAnsi="Tahoma"/>
          <w:i/>
          <w:color w:val="007994"/>
          <w:sz w:val="11"/>
        </w:rPr>
        <w:t xml:space="preserve">14 </w:t>
      </w:r>
      <w:r>
        <w:rPr>
          <w:rFonts w:ascii="Tahoma" w:eastAsia="Tahoma" w:hAnsi="Tahoma"/>
          <w:i/>
          <w:color w:val="007994"/>
          <w:sz w:val="11"/>
          <w:vertAlign w:val="superscript"/>
        </w:rPr>
        <w:t>0</w:t>
      </w:r>
      <w:r>
        <w:rPr>
          <w:rFonts w:ascii="Tahoma" w:eastAsia="Tahoma" w:hAnsi="Tahoma"/>
          <w:i/>
          <w:color w:val="007994"/>
          <w:sz w:val="11"/>
        </w:rPr>
        <w:t xml:space="preserve"> </w:t>
      </w:r>
    </w:p>
    <w:p w14:paraId="611A6781" w14:textId="77777777" w:rsidR="009757A9" w:rsidRDefault="000D2E34">
      <w:pPr>
        <w:spacing w:before="367" w:line="171" w:lineRule="exact"/>
        <w:ind w:left="792"/>
        <w:textAlignment w:val="baseline"/>
        <w:rPr>
          <w:rFonts w:ascii="Tahoma" w:eastAsia="Tahoma" w:hAnsi="Tahoma"/>
          <w:color w:val="404042"/>
          <w:spacing w:val="2"/>
          <w:sz w:val="14"/>
        </w:rPr>
      </w:pPr>
      <w:r>
        <w:rPr>
          <w:noProof/>
          <w:lang w:val="en-AU" w:eastAsia="en-AU"/>
        </w:rPr>
        <mc:AlternateContent>
          <mc:Choice Requires="wps">
            <w:drawing>
              <wp:anchor distT="0" distB="0" distL="114300" distR="114300" simplePos="0" relativeHeight="251933184" behindDoc="0" locked="0" layoutInCell="1" allowOverlap="1" wp14:anchorId="41892596" wp14:editId="4573C1A9">
                <wp:simplePos x="0" y="0"/>
                <wp:positionH relativeFrom="page">
                  <wp:posOffset>826135</wp:posOffset>
                </wp:positionH>
                <wp:positionV relativeFrom="page">
                  <wp:posOffset>8049895</wp:posOffset>
                </wp:positionV>
                <wp:extent cx="5907405" cy="0"/>
                <wp:effectExtent l="0" t="0" r="0" b="0"/>
                <wp:wrapNone/>
                <wp:docPr id="543"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A4D2E" id="Line 264" o:spid="_x0000_s1026" style="position:absolute;z-index:2519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633.85pt" to="530.2pt,6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LY0AEAAIYDAAAOAAAAZHJzL2Uyb0RvYy54bWysU8GO2yAQvVfqPyDujZ1skm2sOHtIur2k&#10;baTdfsAEsI0KDAISO39fwEnabW9VL2hgZt68eTOsnwatyFk4L9HUdDopKRGGIZemren31+cPHynx&#10;AQwHhUbU9CI8fdq8f7fubSVm2KHiwpEIYnzV25p2IdiqKDzrhAY/QStMdDboNIR4dW3BHfQRXati&#10;VpbLokfHrUMmvI+vu9FJNxm/aQQL35rGi0BUTSO3kE+Xz2M6i80aqtaB7SS70oB/YKFBmlj0DrWD&#10;AOTk5F9QWjKHHpswYagLbBrJRO4hdjMt/+jmpQMrci9RHG/vMvn/B8u+ng+OSF7TxfyBEgM6Dmkv&#10;jSCz5Typ01tfxaCtObjUHxvMi90j++GJwW0HphWZ5evFxsRpyijepKSLt7HGsf+CPMbAKWCWamic&#10;TpBRBDLkiVzuExFDICw+Llbl47xcUMJuvgKqW6J1PnwWqEkyaqoi6wwM570PiQhUt5BUx+CzVCoP&#10;XBnS13T5sChzgkcleXKmMO/a41Y5coa0MuXjapV1iGBvwhLyDnw3xmXXuEwOT4bnKp0A/ulqB5Bq&#10;tCOQMleVkjCjxEfkl4O7qReHnelfFzNt0+/3nP3r+2x+AgAA//8DAFBLAwQUAAYACAAAACEAiOoJ&#10;hd0AAAAOAQAADwAAAGRycy9kb3ducmV2LnhtbEyPQU/DMAyF70j8h8hI3FiyARsqTSc0tNMusCFx&#10;9RrTFhqnarKu+/d4BzRufvbT8/fy5ehbNVAfm8AWphMDirgMruHKwsduffcEKiZkh21gsnCiCMvi&#10;+irHzIUjv9OwTZWSEI4ZWqhT6jKtY1mTxzgJHbHcvkLvMYnsK+16PEq4b/XMmLn22LB8qLGjVU3l&#10;z/bgLazR7N7cZhO+4+fjaYVJu1carL29GV+eQSUa08UMZ3xBh0KY9uHALqpW9L2ZilWG2XyxAHW2&#10;mLl5ALX/2+ki1/9rFL8AAAD//wMAUEsBAi0AFAAGAAgAAAAhALaDOJL+AAAA4QEAABMAAAAAAAAA&#10;AAAAAAAAAAAAAFtDb250ZW50X1R5cGVzXS54bWxQSwECLQAUAAYACAAAACEAOP0h/9YAAACUAQAA&#10;CwAAAAAAAAAAAAAAAAAvAQAAX3JlbHMvLnJlbHNQSwECLQAUAAYACAAAACEAYEmy2NABAACGAwAA&#10;DgAAAAAAAAAAAAAAAAAuAgAAZHJzL2Uyb0RvYy54bWxQSwECLQAUAAYACAAAACEAiOoJhd0AAAAO&#10;AQAADwAAAAAAAAAAAAAAAAAqBAAAZHJzL2Rvd25yZXYueG1sUEsFBgAAAAAEAAQA8wAAADQFAAAA&#10;AA==&#10;" strokecolor="#007994" strokeweight=".5pt">
                <w10:wrap anchorx="page" anchory="page"/>
              </v:line>
            </w:pict>
          </mc:Fallback>
        </mc:AlternateContent>
      </w:r>
      <w:r>
        <w:rPr>
          <w:noProof/>
          <w:lang w:val="en-AU" w:eastAsia="en-AU"/>
        </w:rPr>
        <mc:AlternateContent>
          <mc:Choice Requires="wps">
            <w:drawing>
              <wp:anchor distT="0" distB="0" distL="114300" distR="114300" simplePos="0" relativeHeight="251934208" behindDoc="0" locked="0" layoutInCell="1" allowOverlap="1" wp14:anchorId="04D945E4" wp14:editId="1E5AF8F9">
                <wp:simplePos x="0" y="0"/>
                <wp:positionH relativeFrom="page">
                  <wp:posOffset>539750</wp:posOffset>
                </wp:positionH>
                <wp:positionV relativeFrom="page">
                  <wp:posOffset>8235950</wp:posOffset>
                </wp:positionV>
                <wp:extent cx="917575" cy="0"/>
                <wp:effectExtent l="0" t="0" r="0" b="0"/>
                <wp:wrapNone/>
                <wp:docPr id="542"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6A301" id="Line 263" o:spid="_x0000_s1026" style="position:absolute;z-index:2519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48.5pt" to="114.7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qNzgEAAIYDAAAOAAAAZHJzL2Uyb0RvYy54bWysU01v2zAMvQ/YfxB0X+x4S7oacXpI1l2y&#10;LUC7H8BIsi1MFgVJiZN/P0r5aLfdivkgiCL5+PhILx6Og2EH5YNG2/DppORMWYFS267hP58fP3zm&#10;LESwEgxa1fCTCvxh+f7dYnS1qrBHI5VnBGJDPbqG9zG6uiiC6NUAYYJOWXK26AeIZPqukB5GQh9M&#10;UZXlvBjRS+dRqBDodX128mXGb1sl4o+2DSoy03DiFvPp87lLZ7FcQN15cL0WFxrwBhYDaEtFb1Br&#10;iMD2Xv8DNWjhMWAbJwKHAttWC5V7oG6m5V/dPPXgVO6FxAnuJlP4f7Di+2HrmZYNn32qOLMw0JA2&#10;2ipWzT8mdUYXagpa2a1P/YmjfXIbFL8Cs7jqwXYqs3w+OUqcpozij5RkBEc1duM3lBQD+4hZqmPr&#10;hwRJIrBjnsjpNhF1jEzQ4/30bnY340xcXQXU1zznQ/yqcGDp0nBDpDMuHDYhJh5QX0NSGYuP2pg8&#10;b2PZSGSrcj7LGQGNlsmb4oLvdivj2QHSyuQvd0We12EJeg2hP8dl13mZPO6tzGV6BfLL5R5Bm/Od&#10;aBl7USkJc5Z4h/K09Vf1aNiZ/2Ux0za9tnP2y++z/A0AAP//AwBQSwMEFAAGAAgAAAAhABLdr0Lf&#10;AAAADAEAAA8AAABkcnMvZG93bnJldi54bWxMj0FPwzAMhe9I/IfISFwQc6k26ErTCU2CG2gMEDtm&#10;jWkrGqdqsrX8e8wBwc1+fnr+XrGaXKeONITWs4arWQKKuPK25VrD68v9ZQYqRMPWdJ5JwxcFWJWn&#10;J4XJrR/5mY7bWCsJ4ZAbDU2MfY4YqoacCTPfE8vtww/ORFmHGu1gRgl3HaZJco3OtCwfGtPTuqHq&#10;c3twGhCTbD69vY+P84uQtbt1vXt42mh9fjbd3YKKNMU/M/zgCzqUwrT3B7ZBdRqyhVSJoqfLG5nE&#10;kabLBaj9r4Rlgf9LlN8AAAD//wMAUEsBAi0AFAAGAAgAAAAhALaDOJL+AAAA4QEAABMAAAAAAAAA&#10;AAAAAAAAAAAAAFtDb250ZW50X1R5cGVzXS54bWxQSwECLQAUAAYACAAAACEAOP0h/9YAAACUAQAA&#10;CwAAAAAAAAAAAAAAAAAvAQAAX3JlbHMvLnJlbHNQSwECLQAUAAYACAAAACEACimqjc4BAACGAwAA&#10;DgAAAAAAAAAAAAAAAAAuAgAAZHJzL2Uyb0RvYy54bWxQSwECLQAUAAYACAAAACEAEt2vQt8AAAAM&#10;AQAADwAAAAAAAAAAAAAAAAAoBAAAZHJzL2Rvd25yZXYueG1sUEsFBgAAAAAEAAQA8wAAADQFAAAA&#10;AA==&#10;" strokeweight=".95pt">
                <w10:wrap anchorx="page" anchory="page"/>
              </v:line>
            </w:pict>
          </mc:Fallback>
        </mc:AlternateContent>
      </w:r>
      <w:r w:rsidR="00083242">
        <w:rPr>
          <w:rFonts w:ascii="Tahoma" w:eastAsia="Tahoma" w:hAnsi="Tahoma"/>
          <w:color w:val="404042"/>
          <w:spacing w:val="2"/>
          <w:sz w:val="14"/>
        </w:rPr>
        <w:t xml:space="preserve">138 Lamb, S., Jackson, J., Walstab, A. and Huo, S. (2015) </w:t>
      </w:r>
      <w:r w:rsidR="00083242">
        <w:rPr>
          <w:rFonts w:ascii="Arial" w:eastAsia="Arial" w:hAnsi="Arial"/>
          <w:i/>
          <w:color w:val="404042"/>
          <w:spacing w:val="2"/>
          <w:sz w:val="14"/>
        </w:rPr>
        <w:t>Educational Opportunity in Australia 2015: Who succeeds and who misses out</w:t>
      </w:r>
      <w:r w:rsidR="00083242">
        <w:rPr>
          <w:rFonts w:ascii="Tahoma" w:eastAsia="Tahoma" w:hAnsi="Tahoma"/>
          <w:color w:val="404042"/>
          <w:spacing w:val="2"/>
          <w:sz w:val="14"/>
        </w:rPr>
        <w:t>, Centre for</w:t>
      </w:r>
    </w:p>
    <w:p w14:paraId="4D01A3D1" w14:textId="77777777" w:rsidR="009757A9" w:rsidRDefault="00083242">
      <w:pPr>
        <w:spacing w:line="197" w:lineRule="exact"/>
        <w:ind w:left="1080" w:right="1008"/>
        <w:textAlignment w:val="baseline"/>
        <w:rPr>
          <w:rFonts w:ascii="Verdana" w:eastAsia="Verdana" w:hAnsi="Verdana"/>
          <w:color w:val="404042"/>
          <w:sz w:val="13"/>
        </w:rPr>
      </w:pPr>
      <w:r>
        <w:rPr>
          <w:rFonts w:ascii="Verdana" w:eastAsia="Verdana" w:hAnsi="Verdana"/>
          <w:color w:val="404042"/>
          <w:sz w:val="13"/>
        </w:rPr>
        <w:t xml:space="preserve">International Research on Education Systems, and Mitchell Institute: Victoria University, October 2015, p. 41, </w:t>
      </w:r>
      <w:hyperlink r:id="rId221">
        <w:r>
          <w:rPr>
            <w:rFonts w:ascii="Tahoma" w:eastAsia="Tahoma" w:hAnsi="Tahoma"/>
            <w:color w:val="0000FF"/>
            <w:sz w:val="14"/>
            <w:u w:val="single"/>
          </w:rPr>
          <w:t>http://www.mitchellinstitute.org.au/ wp-content/uploads/2015/11/Educational-opportunity-in-Australia-2015-Who-succeeds-and-who-misses-out-19Nov15.pdf</w:t>
        </w:r>
      </w:hyperlink>
      <w:r>
        <w:rPr>
          <w:rFonts w:ascii="Tahoma" w:eastAsia="Tahoma" w:hAnsi="Tahoma"/>
          <w:color w:val="404042"/>
          <w:sz w:val="14"/>
        </w:rPr>
        <w:t>.</w:t>
      </w:r>
    </w:p>
    <w:p w14:paraId="52F66E9A" w14:textId="77777777" w:rsidR="009757A9" w:rsidRDefault="00083242">
      <w:pPr>
        <w:spacing w:before="10" w:line="199" w:lineRule="exact"/>
        <w:ind w:left="1080" w:right="936" w:hanging="288"/>
        <w:textAlignment w:val="baseline"/>
        <w:rPr>
          <w:rFonts w:ascii="Tahoma" w:eastAsia="Tahoma" w:hAnsi="Tahoma"/>
          <w:color w:val="404042"/>
          <w:sz w:val="14"/>
        </w:rPr>
      </w:pPr>
      <w:r>
        <w:rPr>
          <w:rFonts w:ascii="Tahoma" w:eastAsia="Tahoma" w:hAnsi="Tahoma"/>
          <w:color w:val="404042"/>
          <w:sz w:val="14"/>
        </w:rPr>
        <w:t xml:space="preserve">139 Australian Institute of Health and Welfare (2017), ‘Disability in Australia: Changes over time in inclusion and participation in education’, fact sheet, </w:t>
      </w:r>
      <w:r>
        <w:rPr>
          <w:rFonts w:ascii="Verdana" w:eastAsia="Verdana" w:hAnsi="Verdana"/>
          <w:color w:val="404042"/>
          <w:sz w:val="13"/>
        </w:rPr>
        <w:t xml:space="preserve">cat. no. DIS 69, p. 4, </w:t>
      </w:r>
      <w:hyperlink r:id="rId222">
        <w:r>
          <w:rPr>
            <w:rFonts w:ascii="Tahoma" w:eastAsia="Tahoma" w:hAnsi="Tahoma"/>
            <w:color w:val="0000FF"/>
            <w:sz w:val="14"/>
            <w:u w:val="single"/>
          </w:rPr>
          <w:t>https://www.aihw.gov.au/getmedia/34f09557-0acf-4adf-837d-eada7b74d466/Education-20905.pdf.aspx</w:t>
        </w:r>
      </w:hyperlink>
      <w:r>
        <w:rPr>
          <w:rFonts w:ascii="Tahoma" w:eastAsia="Tahoma" w:hAnsi="Tahoma"/>
          <w:color w:val="404042"/>
          <w:sz w:val="14"/>
        </w:rPr>
        <w:t>.</w:t>
      </w:r>
    </w:p>
    <w:p w14:paraId="52FDF671" w14:textId="77777777" w:rsidR="009757A9" w:rsidRDefault="00083242">
      <w:pPr>
        <w:spacing w:line="198" w:lineRule="exact"/>
        <w:ind w:left="1080" w:right="1368" w:hanging="288"/>
        <w:textAlignment w:val="baseline"/>
        <w:rPr>
          <w:rFonts w:ascii="Tahoma" w:eastAsia="Tahoma" w:hAnsi="Tahoma"/>
          <w:color w:val="404042"/>
          <w:sz w:val="14"/>
        </w:rPr>
      </w:pPr>
      <w:r>
        <w:rPr>
          <w:rFonts w:ascii="Tahoma" w:eastAsia="Tahoma" w:hAnsi="Tahoma"/>
          <w:color w:val="404042"/>
          <w:sz w:val="14"/>
        </w:rPr>
        <w:t xml:space="preserve">140 Lamb, S. and Huo, S. (2017), </w:t>
      </w:r>
      <w:r>
        <w:rPr>
          <w:rFonts w:ascii="Arial" w:eastAsia="Arial" w:hAnsi="Arial"/>
          <w:i/>
          <w:color w:val="404042"/>
          <w:sz w:val="14"/>
        </w:rPr>
        <w:t>Counting the Costs of Lost Opportunity in Australian Education</w:t>
      </w:r>
      <w:r>
        <w:rPr>
          <w:rFonts w:ascii="Verdana" w:eastAsia="Verdana" w:hAnsi="Verdana"/>
          <w:color w:val="404042"/>
          <w:sz w:val="13"/>
        </w:rPr>
        <w:t xml:space="preserve">, Mitchell Institute Report No. 02/2017, Centre for International Research on Education Systems, and Mitchell Institute: Victoria University, June 2017, p. 8, </w:t>
      </w:r>
      <w:hyperlink r:id="rId223">
        <w:r>
          <w:rPr>
            <w:rFonts w:ascii="Tahoma" w:eastAsia="Tahoma" w:hAnsi="Tahoma"/>
            <w:color w:val="0000FF"/>
            <w:sz w:val="14"/>
            <w:u w:val="single"/>
          </w:rPr>
          <w:t>http://www.mitchellinstitute.org.au/ wp-content/uploads/2017/06/Counting-the-costs-of-lost-opportunity-in-Australian-education.pdf</w:t>
        </w:r>
      </w:hyperlink>
      <w:r>
        <w:rPr>
          <w:rFonts w:ascii="Tahoma" w:eastAsia="Tahoma" w:hAnsi="Tahoma"/>
          <w:color w:val="404042"/>
          <w:sz w:val="14"/>
        </w:rPr>
        <w:t>.</w:t>
      </w:r>
    </w:p>
    <w:p w14:paraId="73E4277D" w14:textId="77777777" w:rsidR="009757A9" w:rsidRDefault="00083242">
      <w:pPr>
        <w:tabs>
          <w:tab w:val="left" w:pos="1368"/>
        </w:tabs>
        <w:spacing w:before="658" w:after="636" w:line="199" w:lineRule="exact"/>
        <w:ind w:left="792"/>
        <w:textAlignment w:val="baseline"/>
        <w:rPr>
          <w:rFonts w:ascii="Arial" w:eastAsia="Arial" w:hAnsi="Arial"/>
          <w:b/>
          <w:color w:val="5556A1"/>
          <w:spacing w:val="1"/>
          <w:sz w:val="18"/>
        </w:rPr>
      </w:pPr>
      <w:r>
        <w:rPr>
          <w:rFonts w:ascii="Arial" w:eastAsia="Arial" w:hAnsi="Arial"/>
          <w:b/>
          <w:color w:val="5556A1"/>
          <w:spacing w:val="1"/>
          <w:sz w:val="18"/>
        </w:rPr>
        <w:t>104</w:t>
      </w:r>
      <w:r>
        <w:rPr>
          <w:rFonts w:ascii="Tahoma" w:eastAsia="Tahoma" w:hAnsi="Tahoma"/>
          <w:color w:val="404042"/>
          <w:spacing w:val="1"/>
          <w:sz w:val="14"/>
        </w:rPr>
        <w:tab/>
        <w:t>Looking to the future</w:t>
      </w:r>
    </w:p>
    <w:p w14:paraId="12CBC978" w14:textId="77777777" w:rsidR="009757A9" w:rsidRDefault="00083242">
      <w:pPr>
        <w:textAlignment w:val="baseline"/>
      </w:pPr>
      <w:r>
        <w:rPr>
          <w:noProof/>
          <w:lang w:val="en-AU" w:eastAsia="en-AU"/>
        </w:rPr>
        <w:drawing>
          <wp:inline distT="0" distB="0" distL="0" distR="0" wp14:anchorId="230E2454" wp14:editId="70946302">
            <wp:extent cx="7562215" cy="462915"/>
            <wp:effectExtent l="0" t="0" r="0" b="0"/>
            <wp:docPr id="172" name="Picture"/>
            <wp:cNvGraphicFramePr/>
            <a:graphic xmlns:a="http://schemas.openxmlformats.org/drawingml/2006/main">
              <a:graphicData uri="http://schemas.openxmlformats.org/drawingml/2006/picture">
                <pic:pic xmlns:pic="http://schemas.openxmlformats.org/drawingml/2006/picture">
                  <pic:nvPicPr>
                    <pic:cNvPr id="172" name="Picture"/>
                    <pic:cNvPicPr preferRelativeResize="0"/>
                  </pic:nvPicPr>
                  <pic:blipFill>
                    <a:blip r:embed="rId200"/>
                    <a:stretch>
                      <a:fillRect/>
                    </a:stretch>
                  </pic:blipFill>
                  <pic:spPr>
                    <a:xfrm>
                      <a:off x="0" y="0"/>
                      <a:ext cx="7562215" cy="462915"/>
                    </a:xfrm>
                    <a:prstGeom prst="rect">
                      <a:avLst/>
                    </a:prstGeom>
                  </pic:spPr>
                </pic:pic>
              </a:graphicData>
            </a:graphic>
          </wp:inline>
        </w:drawing>
      </w:r>
    </w:p>
    <w:p w14:paraId="2EFCB92A" w14:textId="77777777" w:rsidR="009757A9" w:rsidRDefault="009757A9">
      <w:pPr>
        <w:sectPr w:rsidR="009757A9">
          <w:pgSz w:w="11909" w:h="16838"/>
          <w:pgMar w:top="9049" w:right="0" w:bottom="0" w:left="0" w:header="720" w:footer="720" w:gutter="0"/>
          <w:cols w:space="720"/>
        </w:sectPr>
      </w:pPr>
    </w:p>
    <w:p w14:paraId="30585F6B" w14:textId="464A3F48" w:rsidR="009757A9" w:rsidRDefault="00083242">
      <w:pPr>
        <w:spacing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lastRenderedPageBreak/>
        <w:t>Individuals need to be encouraged to move between higher and vocational education, dipping in and out of study throughout their lives, including through training and professional development. They need to upgrade their skills not only through undertaking certificated courses but through making use of the increasing array of micro-credentials. Students already have online access to a vast amount of educational and training content from around the world. They need to be encouraged to use such courses to follow their passions and develop their employability skills.</w:t>
      </w:r>
    </w:p>
    <w:p w14:paraId="49515992" w14:textId="35C965F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The rise in demand for micro-credentialing signals the need to develop resources that can be used throughout life to gain qualifications and acquire skills as young people progress throughout their lifelong learning journey. The journey needs to start in senior secondary school. But for some students the journey can end prematurely.</w:t>
      </w:r>
    </w:p>
    <w:p w14:paraId="50E61DBD" w14:textId="1C9471A8" w:rsidR="009757A9" w:rsidRDefault="00083242">
      <w:pPr>
        <w:spacing w:before="384" w:line="286" w:lineRule="exact"/>
        <w:ind w:left="864"/>
        <w:textAlignment w:val="baseline"/>
        <w:rPr>
          <w:rFonts w:ascii="Arial" w:eastAsia="Arial" w:hAnsi="Arial"/>
          <w:b/>
          <w:color w:val="00708E"/>
          <w:spacing w:val="-4"/>
          <w:sz w:val="25"/>
        </w:rPr>
      </w:pPr>
      <w:r>
        <w:rPr>
          <w:rFonts w:ascii="Arial" w:eastAsia="Arial" w:hAnsi="Arial"/>
          <w:b/>
          <w:color w:val="00708E"/>
          <w:spacing w:val="-4"/>
          <w:sz w:val="25"/>
        </w:rPr>
        <w:t>Early school leavers</w:t>
      </w:r>
    </w:p>
    <w:p w14:paraId="270FC47D" w14:textId="116E3029" w:rsidR="009757A9" w:rsidRDefault="00083242">
      <w:pPr>
        <w:spacing w:before="155" w:line="239" w:lineRule="exact"/>
        <w:ind w:left="864" w:right="1152"/>
        <w:textAlignment w:val="baseline"/>
        <w:rPr>
          <w:rFonts w:ascii="Tahoma" w:eastAsia="Tahoma" w:hAnsi="Tahoma"/>
          <w:color w:val="404042"/>
          <w:sz w:val="18"/>
        </w:rPr>
      </w:pPr>
      <w:r>
        <w:rPr>
          <w:rFonts w:ascii="Tahoma" w:eastAsia="Tahoma" w:hAnsi="Tahoma"/>
          <w:color w:val="404042"/>
          <w:sz w:val="18"/>
        </w:rPr>
        <w:t>Schooling is where young people gain the foundation for their future. We want as many young people as possible to stay in school until they have completed Year 12. If they leave earlier, we need to ensure that they have continued access to training and structured work experience. Otherwise the consequences can be dire. In Australia, those with upper secondary education are a third less likely to be unemployed than those with below secondary education.</w:t>
      </w:r>
      <w:r>
        <w:rPr>
          <w:rFonts w:ascii="Tahoma" w:eastAsia="Tahoma" w:hAnsi="Tahoma"/>
          <w:color w:val="404042"/>
          <w:sz w:val="18"/>
          <w:vertAlign w:val="superscript"/>
        </w:rPr>
        <w:t>141</w:t>
      </w:r>
      <w:r>
        <w:rPr>
          <w:rFonts w:ascii="Tahoma" w:eastAsia="Tahoma" w:hAnsi="Tahoma"/>
          <w:color w:val="404042"/>
          <w:sz w:val="10"/>
        </w:rPr>
        <w:t xml:space="preserve"> </w:t>
      </w:r>
    </w:p>
    <w:p w14:paraId="22F1A74F" w14:textId="4E3C2B97" w:rsidR="009757A9" w:rsidRDefault="00083242">
      <w:pPr>
        <w:spacing w:before="168" w:line="240" w:lineRule="exact"/>
        <w:ind w:left="864" w:right="1152"/>
        <w:textAlignment w:val="baseline"/>
        <w:rPr>
          <w:rFonts w:ascii="Tahoma" w:eastAsia="Tahoma" w:hAnsi="Tahoma"/>
          <w:color w:val="404042"/>
          <w:spacing w:val="4"/>
          <w:sz w:val="18"/>
        </w:rPr>
      </w:pPr>
      <w:r>
        <w:rPr>
          <w:rFonts w:ascii="Tahoma" w:eastAsia="Tahoma" w:hAnsi="Tahoma"/>
          <w:color w:val="404042"/>
          <w:spacing w:val="4"/>
          <w:sz w:val="18"/>
        </w:rPr>
        <w:t>However, a traditional senior secondary school environment is not necessarily the best ‘fit’ for all students to build a strong foundation for their future. Attending an applied learning environment like a VET provider, undertaking an apprenticeship or traineeship, or having access to structured workplace training may be alternative options. The outcome of Australian secondary education is for students to achieve a Year 12 ‘or equivalent’ qualification. Greater effort needs to be directed to the opportunities that may exist for ‘equivalent’ pathways for students who determine that they wish to leave school.</w:t>
      </w:r>
    </w:p>
    <w:p w14:paraId="2BAC4882" w14:textId="0565601D" w:rsidR="009757A9" w:rsidRDefault="00083242">
      <w:pPr>
        <w:spacing w:before="173" w:line="240" w:lineRule="exact"/>
        <w:ind w:left="864" w:right="1224"/>
        <w:textAlignment w:val="baseline"/>
        <w:rPr>
          <w:rFonts w:ascii="Tahoma" w:eastAsia="Tahoma" w:hAnsi="Tahoma"/>
          <w:color w:val="404042"/>
          <w:spacing w:val="5"/>
          <w:sz w:val="18"/>
        </w:rPr>
      </w:pPr>
      <w:r>
        <w:rPr>
          <w:rFonts w:ascii="Tahoma" w:eastAsia="Tahoma" w:hAnsi="Tahoma"/>
          <w:color w:val="404042"/>
          <w:spacing w:val="5"/>
          <w:sz w:val="18"/>
        </w:rPr>
        <w:t>If students intend to leave school early, they need help to plan their departure. Approved reasons for students to leave school vary across states and territories. These generally include attending tertiary education providers; undertaking Australian school-based apprenticeships or employer-based apprenticeships or traineeships; pursuing VET qualifications through RTOs; or engaging in full-time employment. These options – or a blend of them – need to be explored.</w:t>
      </w:r>
    </w:p>
    <w:p w14:paraId="0B666FA8" w14:textId="0D3A0DFE" w:rsidR="009757A9" w:rsidRDefault="00083242">
      <w:pPr>
        <w:spacing w:before="168" w:line="240" w:lineRule="exact"/>
        <w:ind w:left="864" w:right="1152"/>
        <w:textAlignment w:val="baseline"/>
        <w:rPr>
          <w:rFonts w:ascii="Tahoma" w:eastAsia="Tahoma" w:hAnsi="Tahoma"/>
          <w:color w:val="404042"/>
          <w:sz w:val="18"/>
        </w:rPr>
      </w:pPr>
      <w:r>
        <w:rPr>
          <w:rFonts w:ascii="Tahoma" w:eastAsia="Tahoma" w:hAnsi="Tahoma"/>
          <w:color w:val="404042"/>
          <w:sz w:val="18"/>
        </w:rPr>
        <w:t>To meet the needs of disengaged young Australians, it is critical that multiple pathways are available to them, as well as a planned ‘way back’ into further education at a time of their choosing. We need to ensure they develop the solid foundation they need to achieve future success in their working lives. No person, at 20 years of age, should find themselves in a position where they face a lifetime of insecure unskilled labour.</w:t>
      </w:r>
    </w:p>
    <w:p w14:paraId="73D63DFE" w14:textId="3197E9F0" w:rsidR="009757A9" w:rsidRDefault="00083242">
      <w:pPr>
        <w:spacing w:before="166" w:after="544"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The Alice Springs (Mparntwe) Education Declaration emphasises the importance of lifelong learning. Skills, knowledge and capabilities will need to be renewed and updated throughout a young person’s life.</w:t>
      </w:r>
      <w:r>
        <w:rPr>
          <w:rFonts w:ascii="Tahoma" w:eastAsia="Tahoma" w:hAnsi="Tahoma"/>
          <w:color w:val="404042"/>
          <w:spacing w:val="6"/>
          <w:sz w:val="18"/>
          <w:vertAlign w:val="superscript"/>
        </w:rPr>
        <w:t>142</w:t>
      </w:r>
      <w:r>
        <w:rPr>
          <w:rFonts w:ascii="Tahoma" w:eastAsia="Tahoma" w:hAnsi="Tahoma"/>
          <w:color w:val="404042"/>
          <w:spacing w:val="6"/>
          <w:sz w:val="18"/>
        </w:rPr>
        <w:t xml:space="preserve"> All young people should be sufficiently educated and trained to continue to find work, change jobs, acquire new skills, develop careers and build businesses.</w:t>
      </w:r>
    </w:p>
    <w:p w14:paraId="7D1541CA" w14:textId="187D0F81" w:rsidR="009757A9" w:rsidRDefault="000D2E34">
      <w:pPr>
        <w:spacing w:before="102" w:line="300" w:lineRule="exact"/>
        <w:ind w:left="1296" w:right="1512"/>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35232" behindDoc="0" locked="0" layoutInCell="1" allowOverlap="1" wp14:anchorId="07A74249" wp14:editId="75DD2E06">
                <wp:simplePos x="0" y="0"/>
                <wp:positionH relativeFrom="page">
                  <wp:posOffset>826135</wp:posOffset>
                </wp:positionH>
                <wp:positionV relativeFrom="page">
                  <wp:posOffset>6824345</wp:posOffset>
                </wp:positionV>
                <wp:extent cx="5907405" cy="0"/>
                <wp:effectExtent l="0" t="0" r="0" b="0"/>
                <wp:wrapNone/>
                <wp:docPr id="541"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FAE83" id="Line 262" o:spid="_x0000_s1026" style="position:absolute;z-index:2519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37.35pt" to="530.2pt,5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t80QEAAIYDAAAOAAAAZHJzL2Uyb0RvYy54bWysU8GO2yAQvVfqPyDujZ00yTZWnD0k3V7S&#10;NtJuP2AC2EYFBgGJnb8v4CS7bW9VL2hgZt68eTOsHwetyFk4L9HUdDopKRGGIZemremPl6cPnyjx&#10;AQwHhUbU9CI8fdy8f7fubSVm2KHiwpEIYnzV25p2IdiqKDzrhAY/QStMdDboNIR4dW3BHfQRXati&#10;VpbLokfHrUMmvI+vu9FJNxm/aQQL35vGi0BUTSO3kE+Xz2M6i80aqtaB7SS70oB/YKFBmlj0DrWD&#10;AOTk5F9QWjKHHpswYagLbBrJRO4hdjMt/+jmuQMrci9RHG/vMvn/B8u+nQ+OSF7TxXxKiQEdh7SX&#10;RpDZcpbU6a2vYtDWHFzqjw3m2e6R/fTE4LYD04rM8uViY+I0ZRS/paSLt7HGsf+KPMbAKWCWamic&#10;TpBRBDLkiVzuExFDICw+Llblw7xcUMJuvgKqW6J1PnwRqEkyaqoi6wwM570PiQhUt5BUx+CTVCoP&#10;XBnS13T5cVHmBI9K8uRMYd61x61y5AxpZcqH1Wqeu4qet2EJeQe+G+Oya1wmhyfDc5VOAP98tQNI&#10;NdqRlTJXlZIwo8RH5JeDu6kXh53pXxczbdPbe85+/T6bXwAAAP//AwBQSwMEFAAGAAgAAAAhAOjC&#10;g8DdAAAADgEAAA8AAABkcnMvZG93bnJldi54bWxMj0FPwzAMhe9I/IfISNxYMhgbKk0nNLTTLrAh&#10;cfUa0xYap2qyrvv3eAc0bn720/P38uXoWzVQH5vAFqYTA4q4DK7hysLHbn33BComZIdtYLJwogjL&#10;4voqx8yFI7/TsE2VkhCOGVqoU+oyrWNZk8c4CR2x3L5C7zGJ7CvtejxKuG/1vTFz7bFh+VBjR6ua&#10;yp/twVtYo9m9uc0mfMfPx9MKk3avNFh7ezO+PINKNKaLGc74gg6FMO3DgV1UregHMxWrDGYxW4A6&#10;W8zczEDt/3a6yPX/GsUvAAAA//8DAFBLAQItABQABgAIAAAAIQC2gziS/gAAAOEBAAATAAAAAAAA&#10;AAAAAAAAAAAAAABbQ29udGVudF9UeXBlc10ueG1sUEsBAi0AFAAGAAgAAAAhADj9If/WAAAAlAEA&#10;AAsAAAAAAAAAAAAAAAAALwEAAF9yZWxzLy5yZWxzUEsBAi0AFAAGAAgAAAAhAKV2W3zRAQAAhgMA&#10;AA4AAAAAAAAAAAAAAAAALgIAAGRycy9lMm9Eb2MueG1sUEsBAi0AFAAGAAgAAAAhAOjCg8DdAAAA&#10;DgEAAA8AAAAAAAAAAAAAAAAAKwQAAGRycy9kb3ducmV2LnhtbFBLBQYAAAAABAAEAPMAAAA1BQAA&#10;AAA=&#10;" strokecolor="#007994" strokeweight=".5pt">
                <w10:wrap anchorx="page" anchory="page"/>
              </v:line>
            </w:pict>
          </mc:Fallback>
        </mc:AlternateContent>
      </w:r>
      <w:r w:rsidR="00083242">
        <w:rPr>
          <w:rFonts w:ascii="Tahoma" w:eastAsia="Tahoma" w:hAnsi="Tahoma"/>
          <w:i/>
          <w:color w:val="007994"/>
          <w:sz w:val="21"/>
        </w:rPr>
        <w:t>“Much discussion on senior secondary pathways assumes a traditional approach, whereby a student obtained his or her education by attending a traditional secondary school, and moves from there to continue onto work or further education. But this model does not serve some well, with some preferring instead to pursue study in non-traditional settings.”</w:t>
      </w:r>
    </w:p>
    <w:p w14:paraId="3389E0CA" w14:textId="346DA283" w:rsidR="009757A9" w:rsidRDefault="000D2E34">
      <w:pPr>
        <w:spacing w:before="51" w:after="240" w:line="237" w:lineRule="exact"/>
        <w:ind w:left="6984"/>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936256" behindDoc="0" locked="0" layoutInCell="1" allowOverlap="1" wp14:anchorId="2FD75F05" wp14:editId="40FCAD15">
                <wp:simplePos x="0" y="0"/>
                <wp:positionH relativeFrom="page">
                  <wp:posOffset>883285</wp:posOffset>
                </wp:positionH>
                <wp:positionV relativeFrom="page">
                  <wp:posOffset>7900035</wp:posOffset>
                </wp:positionV>
                <wp:extent cx="5907405" cy="0"/>
                <wp:effectExtent l="0" t="0" r="0" b="0"/>
                <wp:wrapNone/>
                <wp:docPr id="540"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9076B" id="Line 261" o:spid="_x0000_s1026" style="position:absolute;z-index:2519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5pt,622.05pt" to="534.7pt,6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fD0QEAAIYDAAAOAAAAZHJzL2Uyb0RvYy54bWysU02PGjEMvVfqf4hyLzNQYMuIYQ/Q7YW2&#10;SLv9ASbJzETNxFESGPj3dcLHdttb1UuU2M/P9rOzfDz1hh2VDxptzcejkjNlBUpt25r/eHn68Imz&#10;EMFKMGhVzc8q8MfV+3fLwVVqgh0aqTwjEhuqwdW8i9FVRRFEp3oII3TKkrNB30Okp28L6WEg9t4U&#10;k7KcFwN66TwKFQJZNxcnX2X+plEifm+aoCIzNafaYj59PvfpLFZLqFoPrtPiWgb8QxU9aEtJ71Qb&#10;iMAOXv9F1WvhMWATRwL7AptGC5V7oG7G5R/dPHfgVO6FxAnuLlP4f7Ti23HnmZY1n01JHws9DWmr&#10;rWKT+TipM7hQEWhtdz71J0722W1R/AzM4roD26pc5cvZUWCOKN6EpEdwlGM/fEVJGDhEzFKdGt8n&#10;ShKBnfJEzveJqFNkgoyzRfkwLWeciZuvgOoW6HyIXxT2LF1qbqjqTAzHbYhUOkFvkJTH4pM2Jg/c&#10;WDbUfP5xVuaAgEbL5Eyw4Nv92nh2hLQy5cNiMU06ENkbWGLeQOguuOy6LJPHg5U5S6dAfr7eI2hz&#10;uRORscR3E+Yi8R7leedTnmSnYeeM18VM2/T7O6Nev8/qFwAAAP//AwBQSwMEFAAGAAgAAAAhAOY7&#10;lHTdAAAADgEAAA8AAABkcnMvZG93bnJldi54bWxMj0FPwkAQhe8m/ofNmHiTLVgJ1G6JwXDiomDi&#10;degObbU723SXUv69w8Ho7b2Zlzff5KvRtWqgPjSeDUwnCSji0tuGKwMf+83DAlSIyBZbz2TgQgFW&#10;xe1Njpn1Z36nYRcrJSUcMjRQx9hlWoeyJodh4jti2R197zCK7SttezxLuWv1LEnm2mHDcqHGjtY1&#10;ld+7kzOwwWT/Zrdb/xU+ny5rjNq+0mDM/d348gwq0hj/wnDFF3QohOngT2yDasU/LqcSFTFLU1HX&#10;SDJfpqAOvzNd5Pr/G8UPAAAA//8DAFBLAQItABQABgAIAAAAIQC2gziS/gAAAOEBAAATAAAAAAAA&#10;AAAAAAAAAAAAAABbQ29udGVudF9UeXBlc10ueG1sUEsBAi0AFAAGAAgAAAAhADj9If/WAAAAlAEA&#10;AAsAAAAAAAAAAAAAAAAALwEAAF9yZWxzLy5yZWxzUEsBAi0AFAAGAAgAAAAhAGdql8PRAQAAhgMA&#10;AA4AAAAAAAAAAAAAAAAALgIAAGRycy9lMm9Eb2MueG1sUEsBAi0AFAAGAAgAAAAhAOY7lHTdAAAA&#10;DgEAAA8AAAAAAAAAAAAAAAAAKwQAAGRycy9kb3ducmV2LnhtbFBLBQYAAAAABAAEAPMAAAA1BQAA&#10;AAA=&#10;" strokecolor="#007994" strokeweight=".5pt">
                <w10:wrap anchorx="page" anchory="page"/>
              </v:line>
            </w:pict>
          </mc:Fallback>
        </mc:AlternateContent>
      </w:r>
      <w:r w:rsidR="00083242">
        <w:rPr>
          <w:rFonts w:ascii="Tahoma" w:eastAsia="Tahoma" w:hAnsi="Tahoma"/>
          <w:i/>
          <w:color w:val="007994"/>
          <w:spacing w:val="1"/>
          <w:sz w:val="21"/>
        </w:rPr>
        <w:t>Victorian TAFE Association submission</w:t>
      </w:r>
    </w:p>
    <w:p w14:paraId="2B445D71" w14:textId="77777777" w:rsidR="00DA5CD8" w:rsidRDefault="00DA5CD8">
      <w:pPr>
        <w:spacing w:line="198" w:lineRule="exact"/>
        <w:ind w:left="1080" w:right="1080" w:hanging="216"/>
        <w:textAlignment w:val="baseline"/>
        <w:rPr>
          <w:rFonts w:ascii="Tahoma" w:eastAsia="Tahoma" w:hAnsi="Tahoma"/>
          <w:color w:val="404042"/>
          <w:sz w:val="14"/>
        </w:rPr>
      </w:pPr>
    </w:p>
    <w:p w14:paraId="34B34D40" w14:textId="72A85072" w:rsidR="00DA5CD8" w:rsidRDefault="00DA5CD8">
      <w:pPr>
        <w:spacing w:line="198" w:lineRule="exact"/>
        <w:ind w:left="1080" w:right="1080" w:hanging="216"/>
        <w:textAlignment w:val="baseline"/>
        <w:rPr>
          <w:rFonts w:ascii="Tahoma" w:eastAsia="Tahoma" w:hAnsi="Tahoma"/>
          <w:color w:val="404042"/>
          <w:sz w:val="14"/>
        </w:rPr>
      </w:pPr>
    </w:p>
    <w:p w14:paraId="7B38FF0A" w14:textId="77777777" w:rsidR="00DA5CD8" w:rsidRDefault="00DA5CD8">
      <w:pPr>
        <w:spacing w:line="198" w:lineRule="exact"/>
        <w:ind w:left="1080" w:right="1080" w:hanging="216"/>
        <w:textAlignment w:val="baseline"/>
        <w:rPr>
          <w:rFonts w:ascii="Tahoma" w:eastAsia="Tahoma" w:hAnsi="Tahoma"/>
          <w:color w:val="404042"/>
          <w:sz w:val="14"/>
        </w:rPr>
      </w:pPr>
    </w:p>
    <w:p w14:paraId="2C623113" w14:textId="4CB1A76A" w:rsidR="00DA5CD8" w:rsidRDefault="00DA5CD8">
      <w:pPr>
        <w:spacing w:line="198" w:lineRule="exact"/>
        <w:ind w:left="1080" w:right="1080" w:hanging="216"/>
        <w:textAlignment w:val="baseline"/>
        <w:rPr>
          <w:rFonts w:ascii="Tahoma" w:eastAsia="Tahoma" w:hAnsi="Tahoma"/>
          <w:color w:val="404042"/>
          <w:sz w:val="14"/>
        </w:rPr>
      </w:pPr>
    </w:p>
    <w:p w14:paraId="29BC9723" w14:textId="089E4E47" w:rsidR="00DA5CD8" w:rsidRDefault="00DA5CD8" w:rsidP="00DA5CD8">
      <w:pPr>
        <w:spacing w:line="198" w:lineRule="exact"/>
        <w:ind w:right="1080"/>
        <w:textAlignment w:val="baseline"/>
        <w:rPr>
          <w:rFonts w:ascii="Tahoma" w:eastAsia="Tahoma" w:hAnsi="Tahoma"/>
          <w:color w:val="404042"/>
          <w:sz w:val="14"/>
        </w:rPr>
      </w:pPr>
    </w:p>
    <w:p w14:paraId="3C2D9CDC" w14:textId="77777777" w:rsidR="00DA5CD8" w:rsidRDefault="00DA5CD8" w:rsidP="00DA5CD8">
      <w:pPr>
        <w:spacing w:line="198" w:lineRule="exact"/>
        <w:ind w:right="1080"/>
        <w:textAlignment w:val="baseline"/>
        <w:rPr>
          <w:rFonts w:ascii="Tahoma" w:eastAsia="Tahoma" w:hAnsi="Tahoma"/>
          <w:color w:val="404042"/>
          <w:sz w:val="14"/>
        </w:rPr>
      </w:pPr>
    </w:p>
    <w:p w14:paraId="48D84B82" w14:textId="13396A1E" w:rsidR="00DA5CD8" w:rsidRDefault="00DA5CD8">
      <w:pPr>
        <w:spacing w:line="198" w:lineRule="exact"/>
        <w:ind w:left="1080" w:right="1080" w:hanging="216"/>
        <w:textAlignment w:val="baseline"/>
        <w:rPr>
          <w:rFonts w:ascii="Tahoma" w:eastAsia="Tahoma" w:hAnsi="Tahoma"/>
          <w:color w:val="404042"/>
          <w:sz w:val="14"/>
        </w:rPr>
      </w:pPr>
    </w:p>
    <w:p w14:paraId="4B816958" w14:textId="1BB85804" w:rsidR="009757A9" w:rsidRDefault="000D2E34">
      <w:pPr>
        <w:spacing w:line="198" w:lineRule="exact"/>
        <w:ind w:left="1080" w:right="1080"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37280" behindDoc="0" locked="0" layoutInCell="1" allowOverlap="1" wp14:anchorId="62715416" wp14:editId="6F27376E">
                <wp:simplePos x="0" y="0"/>
                <wp:positionH relativeFrom="page">
                  <wp:posOffset>539750</wp:posOffset>
                </wp:positionH>
                <wp:positionV relativeFrom="page">
                  <wp:posOffset>8817610</wp:posOffset>
                </wp:positionV>
                <wp:extent cx="917575" cy="0"/>
                <wp:effectExtent l="0" t="0" r="0" b="0"/>
                <wp:wrapNone/>
                <wp:docPr id="539"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27702" id="Line 260" o:spid="_x0000_s1026" style="position:absolute;z-index:2519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94.3pt" to="114.75pt,6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cWzwEAAIYDAAAOAAAAZHJzL2Uyb0RvYy54bWysU01v2zAMvQ/YfxB0X5xkSLoacXpI1l2y&#10;rUC7H8BIcixMFgVRiZN/P0r5aLfdhvkgiCL5+PhILx6OvRMHE8mib+RkNJbCeIXa+l0jf7w8fvgk&#10;BSXwGhx608iTIfmwfP9uMYTaTLFDp00UDOKpHkIju5RCXVWkOtMDjTAYz84WYw+JzbirdISB0XtX&#10;TcfjeTVg1CGiMkT8uj475bLgt61R6XvbkknCNZK5pXLGcm7zWS0XUO8ihM6qCw34BxY9WM9Fb1Br&#10;SCD20f4F1VsVkbBNI4V9hW1rlSk9cDeT8R/dPHcQTOmFxaFwk4n+H6z6dniKwupGzj7eS+Gh5yFt&#10;rDdiOi/qDIFqDlr5p5j7U0f/HDaofpLwuOrA70xh+XIKnDjJela/pWSDAtfYDl9RcwzsExapjm3s&#10;MySLII5lIqfbRMwxCcWP95O72d1MCnV1VVBf80Kk9MVgL/KlkY5JF1w4bChlHlBfQ3IZj4/WuTJv&#10;58XAZKfj+axkEDqrszfHUdxtVy6KA+SVKV/pij1vwzL0Gqg7xxXXeZki7r0uZToD+vPlnsC6851p&#10;OX9RKQuTV5XqLerTU7yqx8Mu/C+LmbfprV2yX3+f5S8AAAD//wMAUEsDBBQABgAIAAAAIQDDIIjc&#10;3wAAAAwBAAAPAAAAZHJzL2Rvd25yZXYueG1sTI/BTsMwEETvSPyDtZW4IOoQ2sqEOBWqBDeqUkD0&#10;6MbbJCJeR7HbhL/vckBw3NnRzJt8ObpWnLAPjScNt9MEBFLpbUOVhve3pxsFIkRD1rSeUMM3BlgW&#10;lxe5yawf6BVP21gJDqGQGQ11jF0mZShrdCZMfYfEv4PvnYl89pW0vRk43LUyTZKFdKYhbqhNh6sa&#10;y6/t0WmQMlGz8eNzeJldB9XsVtXueb3R+moyPj6AiDjGPzP84DM6FMy090eyQbQa1JynRNbvlFqA&#10;YEea3s9B7H8lWeTy/4jiDAAA//8DAFBLAQItABQABgAIAAAAIQC2gziS/gAAAOEBAAATAAAAAAAA&#10;AAAAAAAAAAAAAABbQ29udGVudF9UeXBlc10ueG1sUEsBAi0AFAAGAAgAAAAhADj9If/WAAAAlAEA&#10;AAsAAAAAAAAAAAAAAAAALwEAAF9yZWxzLy5yZWxzUEsBAi0AFAAGAAgAAAAhAGKt1xbPAQAAhgMA&#10;AA4AAAAAAAAAAAAAAAAALgIAAGRycy9lMm9Eb2MueG1sUEsBAi0AFAAGAAgAAAAhAMMgiNzfAAAA&#10;DAEAAA8AAAAAAAAAAAAAAAAAKQQAAGRycy9kb3ducmV2LnhtbFBLBQYAAAAABAAEAPMAAAA1BQAA&#10;AAA=&#10;" strokeweight=".95pt">
                <w10:wrap anchorx="page" anchory="page"/>
              </v:line>
            </w:pict>
          </mc:Fallback>
        </mc:AlternateContent>
      </w:r>
      <w:r w:rsidR="00083242">
        <w:rPr>
          <w:rFonts w:ascii="Tahoma" w:eastAsia="Tahoma" w:hAnsi="Tahoma"/>
          <w:color w:val="404042"/>
          <w:sz w:val="14"/>
        </w:rPr>
        <w:t xml:space="preserve">141 Organisation for Economic Co-operation and Development (2019a), </w:t>
      </w:r>
      <w:r w:rsidR="00083242">
        <w:rPr>
          <w:rFonts w:ascii="Arial" w:eastAsia="Arial" w:hAnsi="Arial"/>
          <w:i/>
          <w:color w:val="404042"/>
          <w:sz w:val="14"/>
        </w:rPr>
        <w:t>Education at a Glance 2019: OECD indicators</w:t>
      </w:r>
      <w:r w:rsidR="00083242">
        <w:rPr>
          <w:rFonts w:ascii="Tahoma" w:eastAsia="Tahoma" w:hAnsi="Tahoma"/>
          <w:color w:val="404042"/>
          <w:sz w:val="14"/>
        </w:rPr>
        <w:t xml:space="preserve">, p. 66, </w:t>
      </w:r>
      <w:hyperlink r:id="rId224">
        <w:r w:rsidR="00083242">
          <w:rPr>
            <w:rFonts w:ascii="Tahoma" w:eastAsia="Tahoma" w:hAnsi="Tahoma"/>
            <w:color w:val="0000FF"/>
            <w:sz w:val="14"/>
            <w:u w:val="single"/>
          </w:rPr>
          <w:t>https://www.oecd-ilibrary. org/education/education-at-a-glance-2019_f8d7880d-en</w:t>
        </w:r>
      </w:hyperlink>
      <w:r w:rsidR="00083242">
        <w:rPr>
          <w:rFonts w:ascii="Tahoma" w:eastAsia="Tahoma" w:hAnsi="Tahoma"/>
          <w:color w:val="404042"/>
          <w:sz w:val="14"/>
        </w:rPr>
        <w:t>.</w:t>
      </w:r>
    </w:p>
    <w:p w14:paraId="3EB32524" w14:textId="77777777" w:rsidR="009757A9" w:rsidRDefault="00083242">
      <w:pPr>
        <w:spacing w:before="30" w:line="162" w:lineRule="exact"/>
        <w:ind w:left="864"/>
        <w:textAlignment w:val="baseline"/>
        <w:rPr>
          <w:rFonts w:ascii="Tahoma" w:eastAsia="Tahoma" w:hAnsi="Tahoma"/>
          <w:color w:val="404042"/>
          <w:spacing w:val="5"/>
          <w:sz w:val="14"/>
        </w:rPr>
      </w:pPr>
      <w:r>
        <w:rPr>
          <w:rFonts w:ascii="Tahoma" w:eastAsia="Tahoma" w:hAnsi="Tahoma"/>
          <w:color w:val="404042"/>
          <w:spacing w:val="5"/>
          <w:sz w:val="14"/>
        </w:rPr>
        <w:t>142 Council of Australian Governments Education Council (2019).</w:t>
      </w:r>
    </w:p>
    <w:p w14:paraId="79A4BD8D" w14:textId="2BF66851" w:rsidR="009757A9" w:rsidRDefault="00DA5CD8">
      <w:pPr>
        <w:spacing w:before="736" w:after="639" w:line="209" w:lineRule="exact"/>
        <w:ind w:left="6768"/>
        <w:textAlignment w:val="baseline"/>
        <w:rPr>
          <w:rFonts w:ascii="Tahoma" w:eastAsia="Tahoma" w:hAnsi="Tahoma"/>
          <w:color w:val="404042"/>
          <w:spacing w:val="7"/>
          <w:sz w:val="14"/>
        </w:rPr>
      </w:pPr>
      <w:r>
        <w:rPr>
          <w:noProof/>
          <w:lang w:val="en-AU" w:eastAsia="en-AU"/>
        </w:rPr>
        <w:drawing>
          <wp:anchor distT="0" distB="0" distL="114300" distR="114300" simplePos="0" relativeHeight="252090880" behindDoc="1" locked="0" layoutInCell="1" allowOverlap="1" wp14:anchorId="79A389BC" wp14:editId="270CB3E2">
            <wp:simplePos x="0" y="0"/>
            <wp:positionH relativeFrom="margin">
              <wp:align>right</wp:align>
            </wp:positionH>
            <wp:positionV relativeFrom="paragraph">
              <wp:posOffset>982980</wp:posOffset>
            </wp:positionV>
            <wp:extent cx="7562215" cy="462915"/>
            <wp:effectExtent l="0" t="0" r="635" b="0"/>
            <wp:wrapNone/>
            <wp:docPr id="173" name="Picture"/>
            <wp:cNvGraphicFramePr/>
            <a:graphic xmlns:a="http://schemas.openxmlformats.org/drawingml/2006/main">
              <a:graphicData uri="http://schemas.openxmlformats.org/drawingml/2006/picture">
                <pic:pic xmlns:pic="http://schemas.openxmlformats.org/drawingml/2006/picture">
                  <pic:nvPicPr>
                    <pic:cNvPr id="173" name="Picture"/>
                    <pic:cNvPicPr preferRelativeResize="0"/>
                  </pic:nvPicPr>
                  <pic:blipFill>
                    <a:blip r:embed="rId8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7"/>
          <w:sz w:val="14"/>
        </w:rPr>
        <w:t>Chapter 5: Building more flexible pathways from school</w:t>
      </w:r>
      <w:r w:rsidR="00083242">
        <w:rPr>
          <w:rFonts w:ascii="Arial" w:eastAsia="Arial" w:hAnsi="Arial"/>
          <w:b/>
          <w:color w:val="5556A1"/>
          <w:spacing w:val="7"/>
          <w:sz w:val="19"/>
        </w:rPr>
        <w:t xml:space="preserve"> 105</w:t>
      </w:r>
    </w:p>
    <w:p w14:paraId="4008C482" w14:textId="712A7E75" w:rsidR="009757A9" w:rsidRDefault="009757A9">
      <w:pPr>
        <w:textAlignment w:val="baseline"/>
      </w:pPr>
    </w:p>
    <w:p w14:paraId="2B67737D" w14:textId="77777777" w:rsidR="009757A9" w:rsidRDefault="009757A9">
      <w:pPr>
        <w:sectPr w:rsidR="009757A9">
          <w:pgSz w:w="11909" w:h="16838"/>
          <w:pgMar w:top="1080" w:right="0" w:bottom="0" w:left="0" w:header="720" w:footer="720" w:gutter="0"/>
          <w:cols w:space="720"/>
        </w:sectPr>
      </w:pPr>
    </w:p>
    <w:p w14:paraId="3AC64818" w14:textId="77777777" w:rsidR="009757A9" w:rsidRDefault="00083242">
      <w:pPr>
        <w:spacing w:line="240" w:lineRule="exact"/>
        <w:ind w:left="864" w:right="1008"/>
        <w:textAlignment w:val="baseline"/>
        <w:rPr>
          <w:rFonts w:ascii="Tahoma" w:eastAsia="Tahoma" w:hAnsi="Tahoma"/>
          <w:color w:val="404042"/>
          <w:sz w:val="18"/>
        </w:rPr>
      </w:pPr>
      <w:r>
        <w:rPr>
          <w:rFonts w:ascii="Tahoma" w:eastAsia="Tahoma" w:hAnsi="Tahoma"/>
          <w:color w:val="404042"/>
          <w:sz w:val="18"/>
        </w:rPr>
        <w:lastRenderedPageBreak/>
        <w:t>According to recent Longitudinal Surveys of Australian Youth data, less than half of participants who left school before graduating cited labour market reasons. They either:</w:t>
      </w:r>
    </w:p>
    <w:p w14:paraId="63C897B5"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3"/>
          <w:sz w:val="18"/>
        </w:rPr>
      </w:pPr>
      <w:r>
        <w:rPr>
          <w:rFonts w:ascii="Tahoma" w:eastAsia="Tahoma" w:hAnsi="Tahoma"/>
          <w:color w:val="404042"/>
          <w:spacing w:val="3"/>
          <w:sz w:val="18"/>
        </w:rPr>
        <w:t>had a job, apprenticeship or traineeship to go to (20%)</w:t>
      </w:r>
    </w:p>
    <w:p w14:paraId="2170F68A" w14:textId="77777777" w:rsidR="009757A9" w:rsidRDefault="00083242">
      <w:pPr>
        <w:numPr>
          <w:ilvl w:val="0"/>
          <w:numId w:val="6"/>
        </w:numPr>
        <w:tabs>
          <w:tab w:val="clear" w:pos="216"/>
          <w:tab w:val="left" w:pos="1080"/>
        </w:tabs>
        <w:spacing w:before="101" w:line="221" w:lineRule="exact"/>
        <w:ind w:left="864"/>
        <w:textAlignment w:val="baseline"/>
        <w:rPr>
          <w:rFonts w:ascii="Tahoma" w:eastAsia="Tahoma" w:hAnsi="Tahoma"/>
          <w:color w:val="404042"/>
          <w:spacing w:val="3"/>
          <w:sz w:val="18"/>
        </w:rPr>
      </w:pPr>
      <w:r>
        <w:rPr>
          <w:rFonts w:ascii="Tahoma" w:eastAsia="Tahoma" w:hAnsi="Tahoma"/>
          <w:color w:val="404042"/>
          <w:spacing w:val="3"/>
          <w:sz w:val="18"/>
        </w:rPr>
        <w:t>wanted to get a job, apprenticeship or traineeship (16%)</w:t>
      </w:r>
    </w:p>
    <w:p w14:paraId="05AEC24F"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4"/>
          <w:sz w:val="18"/>
        </w:rPr>
      </w:pPr>
      <w:r>
        <w:rPr>
          <w:rFonts w:ascii="Tahoma" w:eastAsia="Tahoma" w:hAnsi="Tahoma"/>
          <w:color w:val="404042"/>
          <w:spacing w:val="4"/>
          <w:sz w:val="18"/>
        </w:rPr>
        <w:t>intended to do study or training that wasn’t available at school (7%).</w:t>
      </w:r>
    </w:p>
    <w:p w14:paraId="1C6110B1" w14:textId="77777777" w:rsidR="009757A9" w:rsidRDefault="00083242">
      <w:pPr>
        <w:spacing w:before="179" w:line="238" w:lineRule="exact"/>
        <w:ind w:left="864" w:right="936"/>
        <w:textAlignment w:val="baseline"/>
        <w:rPr>
          <w:rFonts w:ascii="Tahoma" w:eastAsia="Tahoma" w:hAnsi="Tahoma"/>
          <w:color w:val="404042"/>
          <w:sz w:val="18"/>
        </w:rPr>
      </w:pPr>
      <w:r>
        <w:rPr>
          <w:rFonts w:ascii="Tahoma" w:eastAsia="Tahoma" w:hAnsi="Tahoma"/>
          <w:color w:val="404042"/>
          <w:sz w:val="18"/>
        </w:rPr>
        <w:t>But for many others, the reasons were personal. Almost a quarter wanted to leave school early because they didn’t like school (13%) or weren’t doing very well at school (11%). Other reasons cited included their mental health, the pressures of having to look after a family member or friend, or because they faced bullying.</w:t>
      </w:r>
      <w:r>
        <w:rPr>
          <w:rFonts w:ascii="Tahoma" w:eastAsia="Tahoma" w:hAnsi="Tahoma"/>
          <w:color w:val="404042"/>
          <w:sz w:val="18"/>
          <w:vertAlign w:val="superscript"/>
        </w:rPr>
        <w:t>143</w:t>
      </w:r>
      <w:r>
        <w:rPr>
          <w:rFonts w:ascii="Tahoma" w:eastAsia="Tahoma" w:hAnsi="Tahoma"/>
          <w:color w:val="404042"/>
          <w:sz w:val="10"/>
        </w:rPr>
        <w:t xml:space="preserve"> </w:t>
      </w:r>
    </w:p>
    <w:p w14:paraId="52CA0E6C" w14:textId="77777777" w:rsidR="009757A9" w:rsidRDefault="00083242">
      <w:pPr>
        <w:spacing w:before="175" w:line="239"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Today there are fewer opportunities for young people to enter into full-time employment directly from Year 10, although a minority of students who initially accept a low-skill job can find it leading to full-time employment and permanent positions over time.</w:t>
      </w:r>
      <w:r>
        <w:rPr>
          <w:rFonts w:ascii="Tahoma" w:eastAsia="Tahoma" w:hAnsi="Tahoma"/>
          <w:color w:val="404042"/>
          <w:spacing w:val="4"/>
          <w:sz w:val="18"/>
          <w:vertAlign w:val="superscript"/>
        </w:rPr>
        <w:t>144</w:t>
      </w:r>
      <w:r>
        <w:rPr>
          <w:rFonts w:ascii="Tahoma" w:eastAsia="Tahoma" w:hAnsi="Tahoma"/>
          <w:color w:val="404042"/>
          <w:spacing w:val="4"/>
          <w:sz w:val="18"/>
        </w:rPr>
        <w:t xml:space="preserve"> Evidence suggests that after five years, about one-third of young people who began in a low-skill job have moved to a high-skill job.</w:t>
      </w:r>
      <w:r>
        <w:rPr>
          <w:rFonts w:ascii="Tahoma" w:eastAsia="Tahoma" w:hAnsi="Tahoma"/>
          <w:color w:val="404042"/>
          <w:spacing w:val="4"/>
          <w:sz w:val="18"/>
          <w:vertAlign w:val="superscript"/>
        </w:rPr>
        <w:t>145</w:t>
      </w:r>
      <w:r>
        <w:rPr>
          <w:rFonts w:ascii="Tahoma" w:eastAsia="Tahoma" w:hAnsi="Tahoma"/>
          <w:color w:val="404042"/>
          <w:spacing w:val="4"/>
          <w:sz w:val="18"/>
        </w:rPr>
        <w:t xml:space="preserve"> Some students, including those who are academically capable and are looking for earlier entry into the labour market, may also elect to leave school from age 16 to go into full-time training. While this is a viable option under state and territory legislation, data indicates that there has been a significant decline in the number of 15- to 17-year-old students who access this pathway.</w:t>
      </w:r>
      <w:r>
        <w:rPr>
          <w:rFonts w:ascii="Tahoma" w:eastAsia="Tahoma" w:hAnsi="Tahoma"/>
          <w:color w:val="404042"/>
          <w:spacing w:val="4"/>
          <w:sz w:val="18"/>
          <w:vertAlign w:val="superscript"/>
        </w:rPr>
        <w:t>146</w:t>
      </w:r>
      <w:r>
        <w:rPr>
          <w:rFonts w:ascii="Tahoma" w:eastAsia="Tahoma" w:hAnsi="Tahoma"/>
          <w:color w:val="404042"/>
          <w:spacing w:val="4"/>
          <w:sz w:val="18"/>
        </w:rPr>
        <w:t xml:space="preserve"> It is no longer a preferred option.</w:t>
      </w:r>
    </w:p>
    <w:p w14:paraId="2C9820F3"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When a student decides to leave school prior to the completion of Year 12, we need to ensure that there are pathways available to meet their varying needs, abilities and preferences. Crucially, we need to better provide the information to them that they require to make an informed decision,</w:t>
      </w:r>
      <w:r>
        <w:rPr>
          <w:rFonts w:ascii="Tahoma" w:eastAsia="Tahoma" w:hAnsi="Tahoma"/>
          <w:color w:val="404042"/>
          <w:sz w:val="18"/>
          <w:vertAlign w:val="superscript"/>
        </w:rPr>
        <w:t>147</w:t>
      </w:r>
      <w:r>
        <w:rPr>
          <w:rFonts w:ascii="Tahoma" w:eastAsia="Tahoma" w:hAnsi="Tahoma"/>
          <w:color w:val="404042"/>
          <w:sz w:val="18"/>
        </w:rPr>
        <w:t xml:space="preserve"> and to understand the opportunities that exist for them to continue to access training and education.</w:t>
      </w:r>
    </w:p>
    <w:p w14:paraId="6334CA57" w14:textId="77777777" w:rsidR="009757A9" w:rsidRDefault="00083242">
      <w:pPr>
        <w:spacing w:before="177" w:line="237"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No students should leave school without meeting the minimum literacy, numeracy and digital literacy standards, unless they are on a planned pathway that will allow them to meet these standards in an alternative setting. This is especially important for early school leavers, as across OECD countries, individuals who do not finish senior secondary schooling are almost twice as likely to have low numeracy skills as those who do complete.</w:t>
      </w:r>
      <w:r>
        <w:rPr>
          <w:rFonts w:ascii="Tahoma" w:eastAsia="Tahoma" w:hAnsi="Tahoma"/>
          <w:color w:val="404042"/>
          <w:spacing w:val="6"/>
          <w:sz w:val="18"/>
          <w:vertAlign w:val="superscript"/>
        </w:rPr>
        <w:t>148</w:t>
      </w:r>
      <w:r>
        <w:rPr>
          <w:rFonts w:ascii="Tahoma" w:eastAsia="Tahoma" w:hAnsi="Tahoma"/>
          <w:color w:val="404042"/>
          <w:spacing w:val="6"/>
          <w:sz w:val="18"/>
        </w:rPr>
        <w:t xml:space="preserve"> An emphasis on the importance of reading, mathematics and scientific literacy is central to ensuring that post-secondary options are open to all students.</w:t>
      </w:r>
      <w:r>
        <w:rPr>
          <w:rFonts w:ascii="Tahoma" w:eastAsia="Tahoma" w:hAnsi="Tahoma"/>
          <w:color w:val="404042"/>
          <w:spacing w:val="6"/>
          <w:sz w:val="18"/>
          <w:vertAlign w:val="superscript"/>
        </w:rPr>
        <w:t>149</w:t>
      </w:r>
      <w:r>
        <w:rPr>
          <w:rFonts w:ascii="Tahoma" w:eastAsia="Tahoma" w:hAnsi="Tahoma"/>
          <w:color w:val="404042"/>
          <w:spacing w:val="6"/>
          <w:sz w:val="10"/>
        </w:rPr>
        <w:t xml:space="preserve"> </w:t>
      </w:r>
    </w:p>
    <w:p w14:paraId="7B43510E" w14:textId="77777777" w:rsidR="009757A9" w:rsidRDefault="00083242">
      <w:pPr>
        <w:spacing w:before="182" w:after="3172" w:line="240" w:lineRule="exact"/>
        <w:ind w:left="864" w:right="1080"/>
        <w:textAlignment w:val="baseline"/>
        <w:rPr>
          <w:rFonts w:ascii="Tahoma" w:eastAsia="Tahoma" w:hAnsi="Tahoma"/>
          <w:color w:val="404042"/>
          <w:spacing w:val="5"/>
          <w:sz w:val="18"/>
        </w:rPr>
      </w:pPr>
      <w:r>
        <w:rPr>
          <w:rFonts w:ascii="Tahoma" w:eastAsia="Tahoma" w:hAnsi="Tahoma"/>
          <w:color w:val="404042"/>
          <w:spacing w:val="5"/>
          <w:sz w:val="18"/>
        </w:rPr>
        <w:t>While some young people face personal challenges that prevent them from staying in senior secondary education, the Panel strongly believes that all young people should continue to have pathways that lead to a successful future. If a student decides to leave at Year 10 or 11, it should be an informed choice, on the basis of a planned pathway, with career support provided. Importantly, students who leave school early need to have identified a re-entry point to further study and training in the future.</w:t>
      </w:r>
    </w:p>
    <w:p w14:paraId="6089840A" w14:textId="77777777" w:rsidR="009757A9" w:rsidRDefault="009757A9">
      <w:pPr>
        <w:spacing w:before="182" w:after="3172" w:line="240" w:lineRule="exact"/>
        <w:sectPr w:rsidR="009757A9">
          <w:pgSz w:w="11909" w:h="16838"/>
          <w:pgMar w:top="1080" w:right="0" w:bottom="0" w:left="0" w:header="720" w:footer="720" w:gutter="0"/>
          <w:cols w:space="720"/>
        </w:sectPr>
      </w:pPr>
    </w:p>
    <w:p w14:paraId="169B5A83" w14:textId="77777777" w:rsidR="009757A9" w:rsidRDefault="000D2E34">
      <w:pPr>
        <w:spacing w:before="54" w:line="197" w:lineRule="exact"/>
        <w:ind w:left="1080" w:right="1080"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38304" behindDoc="0" locked="0" layoutInCell="1" allowOverlap="1" wp14:anchorId="08F7DAF6" wp14:editId="2797B1D6">
                <wp:simplePos x="0" y="0"/>
                <wp:positionH relativeFrom="page">
                  <wp:posOffset>539750</wp:posOffset>
                </wp:positionH>
                <wp:positionV relativeFrom="page">
                  <wp:posOffset>7982585</wp:posOffset>
                </wp:positionV>
                <wp:extent cx="917575" cy="0"/>
                <wp:effectExtent l="0" t="0" r="0" b="0"/>
                <wp:wrapNone/>
                <wp:docPr id="538"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8A88B" id="Line 259" o:spid="_x0000_s1026" style="position:absolute;z-index:2519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28.55pt" to="114.75pt,6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DlzgEAAIYDAAAOAAAAZHJzL2Uyb0RvYy54bWysU01v2zAMvQ/YfxB0X+xkcLsacXpI1l2y&#10;LUC7H8BIsi1MFgVJiZ1/P0r5aLfdhvkgiCL5+PhILx+nwbCj8kGjbfh8VnKmrECpbdfwHy9PHz5x&#10;FiJYCQatavhJBf64ev9uObpaLbBHI5VnBGJDPbqG9zG6uiiC6NUAYYZOWXK26AeIZPqukB5GQh9M&#10;sSjLu2JEL51HoUKg183ZyVcZv22ViN/bNqjITMOJW8ynz+c+ncVqCXXnwfVaXGjAP7AYQFsqeoPa&#10;QAR28PovqEELjwHbOBM4FNi2WqjcA3UzL//o5rkHp3IvJE5wN5nC/4MV3447z7RsePWRRmVhoCFt&#10;tVVsUT0kdUYXagpa251P/YnJPrstip+BWVz3YDuVWb6cHCXOU0bxW0oygqMa+/ErSoqBQ8Qs1dT6&#10;IUGSCGzKEzndJqKmyAQ9Pszvq/uKM3F1FVBf85wP8YvCgaVLww2Rzrhw3IaYeEB9DUllLD5pY/K8&#10;jWUjkV2Ud1XOCGi0TN4UF3y3XxvPjpBWJn+5K/K8DUvQGwj9OS67zsvk8WBlLtMrkJ8v9wjanO9E&#10;y9iLSkmYs8R7lKedv6pHw878L4uZtumtnbNff5/VLwAAAP//AwBQSwMEFAAGAAgAAAAhAEVvPIXg&#10;AAAADAEAAA8AAABkcnMvZG93bnJldi54bWxMj8FOwzAQRO9I/IO1SFxQ6zRqaEjjVKgS3EClBdGj&#10;G2+TiHgdxW4T/p7lgOhxZ0czb/LVaFtxxt43jhTMphEIpNKZhioF77unSQrCB01Gt45QwTd6WBXX&#10;V7nOjBvoDc/bUAkOIZ9pBXUIXSalL2u02k9dh8S/o+utDnz2lTS9HjjctjKOontpdUPcUOsO1zWW&#10;X9uTVSBllM7Hj8/hZX7n02a/rvbPrxulbm/GxyWIgGP4N8MvPqNDwUwHdyLjRasgTXhKYD1OFjMQ&#10;7IjjhwTE4U+SRS4vRxQ/AAAA//8DAFBLAQItABQABgAIAAAAIQC2gziS/gAAAOEBAAATAAAAAAAA&#10;AAAAAAAAAAAAAABbQ29udGVudF9UeXBlc10ueG1sUEsBAi0AFAAGAAgAAAAhADj9If/WAAAAlAEA&#10;AAsAAAAAAAAAAAAAAAAALwEAAF9yZWxzLy5yZWxzUEsBAi0AFAAGAAgAAAAhAGq0MOXOAQAAhgMA&#10;AA4AAAAAAAAAAAAAAAAALgIAAGRycy9lMm9Eb2MueG1sUEsBAi0AFAAGAAgAAAAhAEVvPIXgAAAA&#10;DAEAAA8AAAAAAAAAAAAAAAAAKAQAAGRycy9kb3ducmV2LnhtbFBLBQYAAAAABAAEAPMAAAA1BQAA&#10;AAA=&#10;" strokeweight=".95pt">
                <w10:wrap anchorx="page" anchory="page"/>
              </v:line>
            </w:pict>
          </mc:Fallback>
        </mc:AlternateContent>
      </w:r>
      <w:r w:rsidR="00083242">
        <w:rPr>
          <w:rFonts w:ascii="Tahoma" w:eastAsia="Tahoma" w:hAnsi="Tahoma"/>
          <w:color w:val="404042"/>
          <w:sz w:val="14"/>
        </w:rPr>
        <w:t xml:space="preserve">143 National Centre for Vocational Education Research (2019c), ‘Generation Z: Leaving school’, infographic, Longitudinal Surveys of Australian Youth, 2 December 2019, </w:t>
      </w:r>
      <w:hyperlink r:id="rId225">
        <w:r w:rsidR="00083242">
          <w:rPr>
            <w:rFonts w:ascii="Tahoma" w:eastAsia="Tahoma" w:hAnsi="Tahoma"/>
            <w:color w:val="0000FF"/>
            <w:sz w:val="14"/>
            <w:u w:val="single"/>
          </w:rPr>
          <w:t>https://www.lsay.edu.au/publications/search-for-lsay-publications/generation-z-leaving-school</w:t>
        </w:r>
      </w:hyperlink>
      <w:r w:rsidR="00083242">
        <w:rPr>
          <w:rFonts w:ascii="Tahoma" w:eastAsia="Tahoma" w:hAnsi="Tahoma"/>
          <w:color w:val="404042"/>
          <w:sz w:val="14"/>
        </w:rPr>
        <w:t>.</w:t>
      </w:r>
    </w:p>
    <w:p w14:paraId="60EC1620" w14:textId="77777777" w:rsidR="009757A9" w:rsidRDefault="00083242">
      <w:pPr>
        <w:spacing w:before="30" w:line="175" w:lineRule="exact"/>
        <w:ind w:left="864"/>
        <w:textAlignment w:val="baseline"/>
        <w:rPr>
          <w:rFonts w:ascii="Tahoma" w:eastAsia="Tahoma" w:hAnsi="Tahoma"/>
          <w:color w:val="404042"/>
          <w:spacing w:val="3"/>
          <w:sz w:val="14"/>
        </w:rPr>
      </w:pPr>
      <w:r>
        <w:rPr>
          <w:rFonts w:ascii="Tahoma" w:eastAsia="Tahoma" w:hAnsi="Tahoma"/>
          <w:color w:val="404042"/>
          <w:spacing w:val="3"/>
          <w:sz w:val="14"/>
        </w:rPr>
        <w:t xml:space="preserve">144 National Centre for Vocational Education Research (2020b), </w:t>
      </w:r>
      <w:r>
        <w:rPr>
          <w:rFonts w:ascii="Arial" w:eastAsia="Arial" w:hAnsi="Arial"/>
          <w:i/>
          <w:color w:val="404042"/>
          <w:spacing w:val="3"/>
          <w:sz w:val="14"/>
        </w:rPr>
        <w:t>Review of Senior Secondary Pathways: Supplementary report</w:t>
      </w:r>
      <w:r>
        <w:rPr>
          <w:rFonts w:ascii="Tahoma" w:eastAsia="Tahoma" w:hAnsi="Tahoma"/>
          <w:color w:val="404042"/>
          <w:spacing w:val="3"/>
          <w:sz w:val="14"/>
        </w:rPr>
        <w:t>, unpublished, p. 8.</w:t>
      </w:r>
    </w:p>
    <w:p w14:paraId="5C19AEDA" w14:textId="77777777" w:rsidR="009757A9" w:rsidRDefault="00083242">
      <w:pPr>
        <w:spacing w:before="1" w:line="197" w:lineRule="exact"/>
        <w:ind w:left="1080" w:right="1296" w:hanging="216"/>
        <w:textAlignment w:val="baseline"/>
        <w:rPr>
          <w:rFonts w:ascii="Tahoma" w:eastAsia="Tahoma" w:hAnsi="Tahoma"/>
          <w:color w:val="404042"/>
          <w:sz w:val="14"/>
        </w:rPr>
      </w:pPr>
      <w:r>
        <w:rPr>
          <w:rFonts w:ascii="Tahoma" w:eastAsia="Tahoma" w:hAnsi="Tahoma"/>
          <w:color w:val="404042"/>
          <w:sz w:val="14"/>
        </w:rPr>
        <w:t xml:space="preserve">145 Karmel, T., Lu, T. and Oliver, D. (2013), </w:t>
      </w:r>
      <w:r>
        <w:rPr>
          <w:rFonts w:ascii="Arial" w:eastAsia="Arial" w:hAnsi="Arial"/>
          <w:i/>
          <w:color w:val="404042"/>
          <w:sz w:val="14"/>
        </w:rPr>
        <w:t>Starting Out in Low-skill Jobs</w:t>
      </w:r>
      <w:r>
        <w:rPr>
          <w:rFonts w:ascii="Tahoma" w:eastAsia="Tahoma" w:hAnsi="Tahoma"/>
          <w:color w:val="404042"/>
          <w:sz w:val="14"/>
        </w:rPr>
        <w:t xml:space="preserve">, Longitudinal Surveys of Australian Youth Research Report No. 64, National Centre for Vocational Education Research, p. 16, </w:t>
      </w:r>
      <w:hyperlink r:id="rId226">
        <w:r>
          <w:rPr>
            <w:rFonts w:ascii="Tahoma" w:eastAsia="Tahoma" w:hAnsi="Tahoma"/>
            <w:color w:val="0000FF"/>
            <w:sz w:val="14"/>
            <w:u w:val="single"/>
          </w:rPr>
          <w:t>https://www.ncver.edu.au/__data/assets/file/0020/5870/starting</w:t>
        </w:r>
      </w:hyperlink>
      <w:r>
        <w:rPr>
          <w:rFonts w:ascii="Tahoma" w:eastAsia="Tahoma" w:hAnsi="Tahoma"/>
          <w:color w:val="0000FF"/>
          <w:sz w:val="14"/>
          <w:u w:val="single"/>
        </w:rPr>
        <w:t>-out-2649.pdf</w:t>
      </w:r>
      <w:r>
        <w:rPr>
          <w:rFonts w:ascii="Tahoma" w:eastAsia="Tahoma" w:hAnsi="Tahoma"/>
          <w:color w:val="404042"/>
          <w:sz w:val="14"/>
        </w:rPr>
        <w:t>.</w:t>
      </w:r>
    </w:p>
    <w:p w14:paraId="6055CA3E" w14:textId="77777777" w:rsidR="009757A9" w:rsidRDefault="00083242">
      <w:pPr>
        <w:spacing w:before="30" w:line="172" w:lineRule="exact"/>
        <w:ind w:left="864"/>
        <w:textAlignment w:val="baseline"/>
        <w:rPr>
          <w:rFonts w:ascii="Tahoma" w:eastAsia="Tahoma" w:hAnsi="Tahoma"/>
          <w:color w:val="404042"/>
          <w:spacing w:val="4"/>
          <w:sz w:val="14"/>
        </w:rPr>
      </w:pPr>
      <w:r>
        <w:rPr>
          <w:rFonts w:ascii="Tahoma" w:eastAsia="Tahoma" w:hAnsi="Tahoma"/>
          <w:color w:val="404042"/>
          <w:spacing w:val="4"/>
          <w:sz w:val="14"/>
        </w:rPr>
        <w:t>146 National Centre for Vocational Education Research (2020b), p. 4.</w:t>
      </w:r>
    </w:p>
    <w:p w14:paraId="563C9FB0" w14:textId="77777777" w:rsidR="009757A9" w:rsidRDefault="00083242">
      <w:pPr>
        <w:spacing w:before="4" w:line="197" w:lineRule="exact"/>
        <w:ind w:left="1080" w:right="936" w:hanging="216"/>
        <w:textAlignment w:val="baseline"/>
        <w:rPr>
          <w:rFonts w:ascii="Tahoma" w:eastAsia="Tahoma" w:hAnsi="Tahoma"/>
          <w:color w:val="404042"/>
          <w:sz w:val="14"/>
        </w:rPr>
      </w:pPr>
      <w:r>
        <w:rPr>
          <w:rFonts w:ascii="Tahoma" w:eastAsia="Tahoma" w:hAnsi="Tahoma"/>
          <w:color w:val="404042"/>
          <w:sz w:val="14"/>
        </w:rPr>
        <w:t xml:space="preserve">147 Dockery, A. (2010), </w:t>
      </w:r>
      <w:r>
        <w:rPr>
          <w:rFonts w:ascii="Arial" w:eastAsia="Arial" w:hAnsi="Arial"/>
          <w:i/>
          <w:color w:val="404042"/>
          <w:sz w:val="14"/>
        </w:rPr>
        <w:t>Education and Happiness in the School-to-Work Transition</w:t>
      </w:r>
      <w:r>
        <w:rPr>
          <w:rFonts w:ascii="Tahoma" w:eastAsia="Tahoma" w:hAnsi="Tahoma"/>
          <w:color w:val="404042"/>
          <w:sz w:val="14"/>
        </w:rPr>
        <w:t xml:space="preserve">, National Centre for Vocational Education Research, </w:t>
      </w:r>
      <w:hyperlink r:id="rId227">
        <w:r>
          <w:rPr>
            <w:rFonts w:ascii="Tahoma" w:eastAsia="Tahoma" w:hAnsi="Tahoma"/>
            <w:color w:val="0000FF"/>
            <w:sz w:val="14"/>
            <w:u w:val="single"/>
          </w:rPr>
          <w:t xml:space="preserve">https://www.ncver. </w:t>
        </w:r>
      </w:hyperlink>
      <w:r>
        <w:rPr>
          <w:rFonts w:ascii="Tahoma" w:eastAsia="Tahoma" w:hAnsi="Tahoma"/>
          <w:color w:val="0000FF"/>
          <w:sz w:val="14"/>
          <w:u w:val="single"/>
        </w:rPr>
        <w:t>edu.au/__data/assets/file/0014/6224/lsay_2239.pdf</w:t>
      </w:r>
      <w:r>
        <w:rPr>
          <w:rFonts w:ascii="Tahoma" w:eastAsia="Tahoma" w:hAnsi="Tahoma"/>
          <w:color w:val="404042"/>
          <w:sz w:val="14"/>
        </w:rPr>
        <w:t>. Cited in National Centre for Vocational Education Research (2020b), p. 11.</w:t>
      </w:r>
    </w:p>
    <w:p w14:paraId="6EC703BE" w14:textId="77777777" w:rsidR="009757A9" w:rsidRDefault="00083242">
      <w:pPr>
        <w:spacing w:before="30" w:line="172" w:lineRule="exact"/>
        <w:ind w:left="864"/>
        <w:textAlignment w:val="baseline"/>
        <w:rPr>
          <w:rFonts w:ascii="Tahoma" w:eastAsia="Tahoma" w:hAnsi="Tahoma"/>
          <w:color w:val="404042"/>
          <w:spacing w:val="5"/>
          <w:sz w:val="14"/>
        </w:rPr>
      </w:pPr>
      <w:r>
        <w:rPr>
          <w:rFonts w:ascii="Tahoma" w:eastAsia="Tahoma" w:hAnsi="Tahoma"/>
          <w:color w:val="404042"/>
          <w:spacing w:val="5"/>
          <w:sz w:val="14"/>
        </w:rPr>
        <w:t>148 Organisation for Economic Co-operation and Development (2019a), p. 40.</w:t>
      </w:r>
    </w:p>
    <w:p w14:paraId="63E783F0" w14:textId="77777777" w:rsidR="009757A9" w:rsidRDefault="00083242">
      <w:pPr>
        <w:spacing w:before="30" w:line="171" w:lineRule="exact"/>
        <w:ind w:left="864"/>
        <w:textAlignment w:val="baseline"/>
        <w:rPr>
          <w:rFonts w:ascii="Tahoma" w:eastAsia="Tahoma" w:hAnsi="Tahoma"/>
          <w:color w:val="404042"/>
          <w:spacing w:val="6"/>
          <w:sz w:val="14"/>
        </w:rPr>
      </w:pPr>
      <w:r>
        <w:rPr>
          <w:rFonts w:ascii="Tahoma" w:eastAsia="Tahoma" w:hAnsi="Tahoma"/>
          <w:color w:val="404042"/>
          <w:spacing w:val="6"/>
          <w:sz w:val="14"/>
        </w:rPr>
        <w:t>149 National Centre for Student Equity in Higher Education submission.</w:t>
      </w:r>
    </w:p>
    <w:p w14:paraId="43BD6807" w14:textId="77777777" w:rsidR="009757A9" w:rsidRDefault="00083242">
      <w:pPr>
        <w:tabs>
          <w:tab w:val="left" w:pos="1368"/>
        </w:tabs>
        <w:spacing w:before="645"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106</w:t>
      </w:r>
      <w:r>
        <w:rPr>
          <w:rFonts w:ascii="Tahoma" w:eastAsia="Tahoma" w:hAnsi="Tahoma"/>
          <w:color w:val="404042"/>
          <w:spacing w:val="4"/>
          <w:sz w:val="14"/>
        </w:rPr>
        <w:tab/>
        <w:t>Looking to the future</w:t>
      </w:r>
    </w:p>
    <w:p w14:paraId="544CA637" w14:textId="77777777" w:rsidR="009757A9" w:rsidRDefault="00083242">
      <w:pPr>
        <w:textAlignment w:val="baseline"/>
      </w:pPr>
      <w:r>
        <w:rPr>
          <w:noProof/>
          <w:lang w:val="en-AU" w:eastAsia="en-AU"/>
        </w:rPr>
        <w:drawing>
          <wp:inline distT="0" distB="0" distL="0" distR="0" wp14:anchorId="018E2780" wp14:editId="458E1B49">
            <wp:extent cx="7562215" cy="462915"/>
            <wp:effectExtent l="0" t="0" r="0" b="0"/>
            <wp:docPr id="174" name="Picture"/>
            <wp:cNvGraphicFramePr/>
            <a:graphic xmlns:a="http://schemas.openxmlformats.org/drawingml/2006/main">
              <a:graphicData uri="http://schemas.openxmlformats.org/drawingml/2006/picture">
                <pic:pic xmlns:pic="http://schemas.openxmlformats.org/drawingml/2006/picture">
                  <pic:nvPicPr>
                    <pic:cNvPr id="174" name="Picture"/>
                    <pic:cNvPicPr preferRelativeResize="0"/>
                  </pic:nvPicPr>
                  <pic:blipFill>
                    <a:blip r:embed="rId38"/>
                    <a:stretch>
                      <a:fillRect/>
                    </a:stretch>
                  </pic:blipFill>
                  <pic:spPr>
                    <a:xfrm>
                      <a:off x="0" y="0"/>
                      <a:ext cx="7562215" cy="462915"/>
                    </a:xfrm>
                    <a:prstGeom prst="rect">
                      <a:avLst/>
                    </a:prstGeom>
                  </pic:spPr>
                </pic:pic>
              </a:graphicData>
            </a:graphic>
          </wp:inline>
        </w:drawing>
      </w:r>
    </w:p>
    <w:p w14:paraId="1B91655F" w14:textId="77777777" w:rsidR="009757A9" w:rsidRDefault="009757A9">
      <w:pPr>
        <w:sectPr w:rsidR="009757A9">
          <w:type w:val="continuous"/>
          <w:pgSz w:w="11909" w:h="16838"/>
          <w:pgMar w:top="1080" w:right="0" w:bottom="0" w:left="0" w:header="720" w:footer="720" w:gutter="0"/>
          <w:cols w:space="720"/>
        </w:sectPr>
      </w:pPr>
    </w:p>
    <w:p w14:paraId="33EABBBD" w14:textId="77777777" w:rsidR="009757A9" w:rsidRDefault="00083242">
      <w:pPr>
        <w:spacing w:before="24" w:line="286" w:lineRule="exact"/>
        <w:ind w:left="864"/>
        <w:textAlignment w:val="baseline"/>
        <w:rPr>
          <w:rFonts w:ascii="Arial" w:eastAsia="Arial" w:hAnsi="Arial"/>
          <w:b/>
          <w:color w:val="00708E"/>
          <w:sz w:val="25"/>
        </w:rPr>
      </w:pPr>
      <w:r>
        <w:rPr>
          <w:rFonts w:ascii="Arial" w:eastAsia="Arial" w:hAnsi="Arial"/>
          <w:b/>
          <w:color w:val="00708E"/>
          <w:sz w:val="25"/>
        </w:rPr>
        <w:lastRenderedPageBreak/>
        <w:t>Youth guarantee</w:t>
      </w:r>
    </w:p>
    <w:p w14:paraId="4F310D69" w14:textId="77777777" w:rsidR="009757A9" w:rsidRDefault="00083242">
      <w:pPr>
        <w:spacing w:before="146" w:line="240" w:lineRule="exact"/>
        <w:ind w:left="864" w:right="1152"/>
        <w:textAlignment w:val="baseline"/>
        <w:rPr>
          <w:rFonts w:ascii="Tahoma" w:eastAsia="Tahoma" w:hAnsi="Tahoma"/>
          <w:color w:val="404042"/>
          <w:sz w:val="18"/>
        </w:rPr>
      </w:pPr>
      <w:r>
        <w:rPr>
          <w:rFonts w:ascii="Tahoma" w:eastAsia="Tahoma" w:hAnsi="Tahoma"/>
          <w:color w:val="404042"/>
          <w:sz w:val="18"/>
        </w:rPr>
        <w:t>The lifetime benefits of completing Year 12 and attaining an SSCE or equivalent qualification are clear. Jobs are more secure, incomes are higher and more career opportunities are available. It is important that students are supported to follow a path that leads to the completion of Year 12, or alternatively, that they are able to gain an equivalent qualification, perhaps while they are working.</w:t>
      </w:r>
    </w:p>
    <w:p w14:paraId="27DC677D" w14:textId="77777777" w:rsidR="009757A9" w:rsidRDefault="00083242">
      <w:pPr>
        <w:spacing w:before="168" w:line="240" w:lineRule="exact"/>
        <w:ind w:left="864" w:right="1296"/>
        <w:textAlignment w:val="baseline"/>
        <w:rPr>
          <w:rFonts w:ascii="Tahoma" w:eastAsia="Tahoma" w:hAnsi="Tahoma"/>
          <w:color w:val="404042"/>
          <w:spacing w:val="3"/>
          <w:sz w:val="18"/>
        </w:rPr>
      </w:pPr>
      <w:r>
        <w:rPr>
          <w:rFonts w:ascii="Tahoma" w:eastAsia="Tahoma" w:hAnsi="Tahoma"/>
          <w:color w:val="404042"/>
          <w:spacing w:val="3"/>
          <w:sz w:val="18"/>
        </w:rPr>
        <w:t>Following the announcement of the Compact with Young Australians in April 2009, which made participation in education, training or employment compulsory until the age of 17, the apparent retention rate to Year 12 increased from 75 per cent in 2008 to 85 per cent in 2018.</w:t>
      </w:r>
      <w:r>
        <w:rPr>
          <w:rFonts w:ascii="Tahoma" w:eastAsia="Tahoma" w:hAnsi="Tahoma"/>
          <w:color w:val="404042"/>
          <w:spacing w:val="3"/>
          <w:sz w:val="18"/>
          <w:vertAlign w:val="superscript"/>
        </w:rPr>
        <w:t>150</w:t>
      </w:r>
      <w:r>
        <w:rPr>
          <w:rFonts w:ascii="Tahoma" w:eastAsia="Tahoma" w:hAnsi="Tahoma"/>
          <w:color w:val="404042"/>
          <w:spacing w:val="3"/>
          <w:sz w:val="18"/>
        </w:rPr>
        <w:t xml:space="preserve"> But it is important not to forget those who never become senior secondary students.</w:t>
      </w:r>
    </w:p>
    <w:p w14:paraId="4D7AE0EE" w14:textId="77777777" w:rsidR="009757A9" w:rsidRDefault="00083242">
      <w:pPr>
        <w:spacing w:before="173"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Choosing to leave school early should not close off all options for gaining the skills development young people need. Young people need to receive help to ‘re-enter’ education or training rather than feeling that they have lost their opportunity if they do not achieve their Year 12 certificate in a traditional school setting, in a ‘normal’ amount of time.</w:t>
      </w:r>
    </w:p>
    <w:p w14:paraId="7E13DEFA"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Early school leavers need to be able to access a variety of alternative programs and post-school pathways, some of which allow attainment of an equivalent certification with no break in education, while some can be entered at a later</w:t>
      </w:r>
    </w:p>
    <w:p w14:paraId="5B5E18D3" w14:textId="77777777" w:rsidR="009757A9" w:rsidRDefault="00083242">
      <w:pPr>
        <w:spacing w:before="20"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stage. These include VET qualifications, apprenticeships or traineeships, and other programs run by external providers.</w:t>
      </w:r>
    </w:p>
    <w:p w14:paraId="43EB482B" w14:textId="77777777" w:rsidR="009757A9" w:rsidRDefault="00083242">
      <w:pPr>
        <w:spacing w:before="173"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For some students, following periods of disengagement, an alternative to finishing senior secondary schooling in a non-school setting is to complete Years 11 and 12 at TAFE. Students who follow this TAFE pathway can achieve a vocational certificate, SSCE and an ATAR if they so choose. However, students will often have to pay some upfront costs when following this pathway, which they would not be required to do if they remained in a traditional school setting.</w:t>
      </w:r>
    </w:p>
    <w:p w14:paraId="343C7A94" w14:textId="77777777" w:rsidR="009757A9" w:rsidRDefault="00083242">
      <w:pPr>
        <w:spacing w:before="167" w:line="240" w:lineRule="exact"/>
        <w:ind w:left="864" w:right="1368"/>
        <w:textAlignment w:val="baseline"/>
        <w:rPr>
          <w:rFonts w:ascii="Tahoma" w:eastAsia="Tahoma" w:hAnsi="Tahoma"/>
          <w:color w:val="404042"/>
          <w:sz w:val="18"/>
        </w:rPr>
      </w:pPr>
      <w:r>
        <w:rPr>
          <w:rFonts w:ascii="Tahoma" w:eastAsia="Tahoma" w:hAnsi="Tahoma"/>
          <w:color w:val="404042"/>
          <w:sz w:val="18"/>
        </w:rPr>
        <w:t>This is inequitable and can act as a disincentive for young people to take up this option and re-enter education after leaving school. Providing free education or training to young people aged 16 to 20 who have left school in order to allow them to achieve an SSCE or equivalent</w:t>
      </w:r>
      <w:r>
        <w:rPr>
          <w:rFonts w:ascii="Tahoma" w:eastAsia="Tahoma" w:hAnsi="Tahoma"/>
          <w:color w:val="404042"/>
          <w:sz w:val="18"/>
          <w:vertAlign w:val="superscript"/>
        </w:rPr>
        <w:t>151</w:t>
      </w:r>
      <w:r>
        <w:rPr>
          <w:rFonts w:ascii="Tahoma" w:eastAsia="Tahoma" w:hAnsi="Tahoma"/>
          <w:color w:val="404042"/>
          <w:sz w:val="18"/>
        </w:rPr>
        <w:t xml:space="preserve"> would encourage more young people to reach this level of educational attainment.</w:t>
      </w:r>
    </w:p>
    <w:p w14:paraId="0F375B42" w14:textId="77777777" w:rsidR="009757A9" w:rsidRDefault="00083242">
      <w:pPr>
        <w:spacing w:before="189" w:line="224" w:lineRule="exact"/>
        <w:ind w:left="864"/>
        <w:textAlignment w:val="baseline"/>
        <w:rPr>
          <w:rFonts w:ascii="Tahoma" w:eastAsia="Tahoma" w:hAnsi="Tahoma"/>
          <w:color w:val="404042"/>
          <w:spacing w:val="3"/>
          <w:sz w:val="18"/>
        </w:rPr>
      </w:pPr>
      <w:r>
        <w:rPr>
          <w:rFonts w:ascii="Tahoma" w:eastAsia="Tahoma" w:hAnsi="Tahoma"/>
          <w:color w:val="404042"/>
          <w:spacing w:val="3"/>
          <w:sz w:val="18"/>
        </w:rPr>
        <w:t>This approach would assist young people both socially</w:t>
      </w:r>
      <w:r>
        <w:rPr>
          <w:rFonts w:ascii="Tahoma" w:eastAsia="Tahoma" w:hAnsi="Tahoma"/>
          <w:color w:val="404042"/>
          <w:spacing w:val="3"/>
          <w:sz w:val="18"/>
          <w:vertAlign w:val="superscript"/>
        </w:rPr>
        <w:t>152</w:t>
      </w:r>
      <w:r>
        <w:rPr>
          <w:rFonts w:ascii="Tahoma" w:eastAsia="Tahoma" w:hAnsi="Tahoma"/>
          <w:color w:val="404042"/>
          <w:spacing w:val="3"/>
          <w:sz w:val="18"/>
        </w:rPr>
        <w:t xml:space="preserve"> and economically.</w:t>
      </w:r>
      <w:r>
        <w:rPr>
          <w:rFonts w:ascii="Tahoma" w:eastAsia="Tahoma" w:hAnsi="Tahoma"/>
          <w:color w:val="404042"/>
          <w:spacing w:val="3"/>
          <w:sz w:val="18"/>
          <w:vertAlign w:val="superscript"/>
        </w:rPr>
        <w:t>153</w:t>
      </w:r>
      <w:r>
        <w:rPr>
          <w:rFonts w:ascii="Tahoma" w:eastAsia="Tahoma" w:hAnsi="Tahoma"/>
          <w:color w:val="404042"/>
          <w:spacing w:val="3"/>
          <w:sz w:val="18"/>
        </w:rPr>
        <w:t xml:space="preserve"> It would have flow-on benefits for</w:t>
      </w:r>
    </w:p>
    <w:p w14:paraId="59B49E22" w14:textId="77777777" w:rsidR="009757A9" w:rsidRDefault="00083242">
      <w:pPr>
        <w:spacing w:before="24" w:after="3480" w:line="228" w:lineRule="exact"/>
        <w:ind w:left="864" w:right="864"/>
        <w:textAlignment w:val="baseline"/>
        <w:rPr>
          <w:rFonts w:ascii="Tahoma" w:eastAsia="Tahoma" w:hAnsi="Tahoma"/>
          <w:color w:val="404042"/>
          <w:sz w:val="18"/>
        </w:rPr>
      </w:pPr>
      <w:r>
        <w:rPr>
          <w:rFonts w:ascii="Tahoma" w:eastAsia="Tahoma" w:hAnsi="Tahoma"/>
          <w:color w:val="404042"/>
          <w:sz w:val="18"/>
        </w:rPr>
        <w:t>Australia as a whole, given that the estimated cost of early school leaving in Australia is $12.6 billion over a lifetime for a single cohort.</w:t>
      </w:r>
      <w:r>
        <w:rPr>
          <w:rFonts w:ascii="Tahoma" w:eastAsia="Tahoma" w:hAnsi="Tahoma"/>
          <w:color w:val="404042"/>
          <w:sz w:val="18"/>
          <w:vertAlign w:val="superscript"/>
        </w:rPr>
        <w:t>154</w:t>
      </w:r>
      <w:r>
        <w:rPr>
          <w:rFonts w:ascii="Tahoma" w:eastAsia="Tahoma" w:hAnsi="Tahoma"/>
          <w:color w:val="404042"/>
          <w:sz w:val="10"/>
        </w:rPr>
        <w:t xml:space="preserve"> </w:t>
      </w:r>
    </w:p>
    <w:p w14:paraId="0123702C" w14:textId="77777777" w:rsidR="009757A9" w:rsidRDefault="009757A9">
      <w:pPr>
        <w:spacing w:before="24" w:after="3480" w:line="228" w:lineRule="exact"/>
        <w:sectPr w:rsidR="009757A9">
          <w:pgSz w:w="11909" w:h="16838"/>
          <w:pgMar w:top="1080" w:right="0" w:bottom="0" w:left="0" w:header="720" w:footer="720" w:gutter="0"/>
          <w:cols w:space="720"/>
        </w:sectPr>
      </w:pPr>
    </w:p>
    <w:p w14:paraId="4792F817" w14:textId="77777777" w:rsidR="009757A9" w:rsidRDefault="000D2E34">
      <w:pPr>
        <w:spacing w:before="46" w:line="201" w:lineRule="exact"/>
        <w:ind w:left="1080" w:right="936" w:hanging="216"/>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39328" behindDoc="0" locked="0" layoutInCell="1" allowOverlap="1" wp14:anchorId="77B9ABCA" wp14:editId="29005BBF">
                <wp:simplePos x="0" y="0"/>
                <wp:positionH relativeFrom="page">
                  <wp:posOffset>539750</wp:posOffset>
                </wp:positionH>
                <wp:positionV relativeFrom="page">
                  <wp:posOffset>7653655</wp:posOffset>
                </wp:positionV>
                <wp:extent cx="917575" cy="0"/>
                <wp:effectExtent l="0" t="0" r="0" b="0"/>
                <wp:wrapNone/>
                <wp:docPr id="537"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0FE8E" id="Line 258" o:spid="_x0000_s1026" style="position:absolute;z-index:2519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02.65pt" to="114.75pt,6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Y9zgEAAIYDAAAOAAAAZHJzL2Uyb0RvYy54bWysU8Fu2zAMvQ/YPwi6L3YyuOmMOD0k6y7Z&#10;FqDdBzCSHAuVRUFS4uTvR8lJ2m23oT4Iokg+Pj7Si4dTb9hR+aDRNnw6KTlTVqDUdt/wX8+Pn+45&#10;CxGsBINWNfysAn9YfvywGFytZtihkcozArGhHlzDuxhdXRRBdKqHMEGnLDlb9D1EMv2+kB4GQu9N&#10;MSvLu2JAL51HoUKg1/Xo5MuM37ZKxJ9tG1RkpuHELebT53OXzmK5gHrvwXVaXGjAf7DoQVsqeoNa&#10;QwR28PofqF4LjwHbOBHYF9i2WqjcA3UzLf/q5qkDp3IvJE5wN5nC+8GKH8etZ1o2vPo858xCT0Pa&#10;aKvYrLpP6gwu1BS0sluf+hMn++Q2KF4Cs7jqwO5VZvl8dpQ4TRnFHynJCI5q7IbvKCkGDhGzVKfW&#10;9wmSRGCnPJHzbSLqFJmgxy/TeTWvOBNXVwH1Nc/5EL8p7Fm6NNwQ6YwLx02IiQfU15BUxuKjNibP&#10;21g2ENlZeVfljIBGy+RNccHvdyvj2RHSyuQvd0Wet2EJeg2hG+Oya1wmjwcrc5lOgfx6uUfQZrwT&#10;LWMvKiVhRol3KM9bf1WPhp35XxYzbdNbO2e//j7L3wAAAP//AwBQSwMEFAAGAAgAAAAhAFKj0pTf&#10;AAAADAEAAA8AAABkcnMvZG93bnJldi54bWxMj8FOwzAQRO9I/IO1lbggahMaFEKcClWCGxUUED26&#10;8TaJiNdR7Dbh77scEBx3djTzplhOrhNHHELrScP1XIFAqrxtqdbw/vZ4lYEI0ZA1nSfU8I0BluX5&#10;WWFy60d6xeMm1oJDKORGQxNjn0sZqgadCXPfI/Fv7wdnIp9DLe1gRg53nUyUupXOtMQNjelx1WD1&#10;tTk4DVKqbDF9fI7Pi8uQtdtVvX1av2h9MZse7kFEnOKfGX7wGR1KZtr5A9kgOg1ZylMi64lKb0Cw&#10;I0nuUhC7X0mWhfw/ojwBAAD//wMAUEsBAi0AFAAGAAgAAAAhALaDOJL+AAAA4QEAABMAAAAAAAAA&#10;AAAAAAAAAAAAAFtDb250ZW50X1R5cGVzXS54bWxQSwECLQAUAAYACAAAACEAOP0h/9YAAACUAQAA&#10;CwAAAAAAAAAAAAAAAAAvAQAAX3JlbHMvLnJlbHNQSwECLQAUAAYACAAAACEAd2UWPc4BAACGAwAA&#10;DgAAAAAAAAAAAAAAAAAuAgAAZHJzL2Uyb0RvYy54bWxQSwECLQAUAAYACAAAACEAUqPSlN8AAAAM&#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 xml:space="preserve">150 Australian Institute of Health and Welfare (2019b), ‘Secondary education: School retention and completion’, snapshot, 11 September 2019, </w:t>
      </w:r>
      <w:hyperlink r:id="rId228">
        <w:r w:rsidR="00083242">
          <w:rPr>
            <w:rFonts w:ascii="Tahoma" w:eastAsia="Tahoma" w:hAnsi="Tahoma"/>
            <w:color w:val="0000FF"/>
            <w:sz w:val="14"/>
            <w:u w:val="single"/>
          </w:rPr>
          <w:t>https:// www.aihw.gov.au/reports/australias-welfare/secondary-education-school-retention-completion</w:t>
        </w:r>
      </w:hyperlink>
      <w:r w:rsidR="00083242">
        <w:rPr>
          <w:rFonts w:ascii="Tahoma" w:eastAsia="Tahoma" w:hAnsi="Tahoma"/>
          <w:color w:val="404042"/>
          <w:sz w:val="14"/>
        </w:rPr>
        <w:t>.</w:t>
      </w:r>
    </w:p>
    <w:p w14:paraId="6C44555C" w14:textId="77777777" w:rsidR="009757A9" w:rsidRDefault="00083242">
      <w:pPr>
        <w:spacing w:before="7" w:line="199" w:lineRule="exact"/>
        <w:ind w:left="1080" w:right="936" w:hanging="216"/>
        <w:textAlignment w:val="baseline"/>
        <w:rPr>
          <w:rFonts w:ascii="Tahoma" w:eastAsia="Tahoma" w:hAnsi="Tahoma"/>
          <w:color w:val="404042"/>
          <w:spacing w:val="2"/>
          <w:sz w:val="14"/>
        </w:rPr>
      </w:pPr>
      <w:r>
        <w:rPr>
          <w:rFonts w:ascii="Tahoma" w:eastAsia="Tahoma" w:hAnsi="Tahoma"/>
          <w:color w:val="404042"/>
          <w:spacing w:val="2"/>
          <w:sz w:val="14"/>
        </w:rPr>
        <w:t xml:space="preserve">151 The SSCE sits outside the level structure in the Australian Qualifications Framework. Though the concept of equivalence is problematic, for the purposes of this report, we have followed the equivalent qualifications as used for the </w:t>
      </w:r>
      <w:r>
        <w:rPr>
          <w:rFonts w:ascii="Arial" w:eastAsia="Arial" w:hAnsi="Arial"/>
          <w:i/>
          <w:color w:val="404042"/>
          <w:spacing w:val="2"/>
          <w:sz w:val="14"/>
        </w:rPr>
        <w:t xml:space="preserve">Measurement Framework for Schooling in Australia 2019 </w:t>
      </w:r>
      <w:r>
        <w:rPr>
          <w:rFonts w:ascii="Tahoma" w:eastAsia="Tahoma" w:hAnsi="Tahoma"/>
          <w:color w:val="404042"/>
          <w:spacing w:val="2"/>
          <w:sz w:val="14"/>
        </w:rPr>
        <w:t xml:space="preserve">(Australian Curriculum, Assessment and Reporting Authority (2019a), </w:t>
      </w:r>
      <w:hyperlink r:id="rId229">
        <w:r>
          <w:rPr>
            <w:rFonts w:ascii="Tahoma" w:eastAsia="Tahoma" w:hAnsi="Tahoma"/>
            <w:color w:val="0000FF"/>
            <w:spacing w:val="2"/>
            <w:sz w:val="14"/>
            <w:u w:val="single"/>
          </w:rPr>
          <w:t>https://www.acara.edu.au/reporting/measurement-framework-for-schooli ng-in-australia</w:t>
        </w:r>
      </w:hyperlink>
      <w:r>
        <w:rPr>
          <w:rFonts w:ascii="Tahoma" w:eastAsia="Tahoma" w:hAnsi="Tahoma"/>
          <w:color w:val="404042"/>
          <w:spacing w:val="2"/>
          <w:sz w:val="14"/>
        </w:rPr>
        <w:t xml:space="preserve">), and the Australia Bureau of Statistics decision table, which places Certificate II–level qualifications below a Year 10 equivalency, and Certificate III–level qualifications above the SSCE. See Australian Bureau of Statistics (2014a), </w:t>
      </w:r>
      <w:r>
        <w:rPr>
          <w:rFonts w:ascii="Arial" w:eastAsia="Arial" w:hAnsi="Arial"/>
          <w:i/>
          <w:color w:val="404042"/>
          <w:spacing w:val="2"/>
          <w:sz w:val="14"/>
        </w:rPr>
        <w:t>Education Variables, June 2014</w:t>
      </w:r>
      <w:r>
        <w:rPr>
          <w:rFonts w:ascii="Tahoma" w:eastAsia="Tahoma" w:hAnsi="Tahoma"/>
          <w:color w:val="404042"/>
          <w:spacing w:val="2"/>
          <w:sz w:val="14"/>
        </w:rPr>
        <w:t xml:space="preserve">, cat. no. 1246.0, </w:t>
      </w:r>
      <w:hyperlink r:id="rId230">
        <w:r>
          <w:rPr>
            <w:rFonts w:ascii="Tahoma" w:eastAsia="Tahoma" w:hAnsi="Tahoma"/>
            <w:color w:val="0000FF"/>
            <w:spacing w:val="2"/>
            <w:sz w:val="14"/>
            <w:u w:val="single"/>
          </w:rPr>
          <w:t>https://</w:t>
        </w:r>
      </w:hyperlink>
      <w:r>
        <w:rPr>
          <w:rFonts w:ascii="Tahoma" w:eastAsia="Tahoma" w:hAnsi="Tahoma"/>
          <w:color w:val="404042"/>
          <w:spacing w:val="2"/>
          <w:sz w:val="14"/>
        </w:rPr>
        <w:t xml:space="preserve"> </w:t>
      </w:r>
    </w:p>
    <w:p w14:paraId="148B88E9" w14:textId="77777777" w:rsidR="009757A9" w:rsidRDefault="00837BFF">
      <w:pPr>
        <w:spacing w:before="44" w:line="201" w:lineRule="exact"/>
        <w:ind w:left="1080"/>
        <w:textAlignment w:val="baseline"/>
        <w:rPr>
          <w:rFonts w:ascii="Tahoma" w:eastAsia="Tahoma" w:hAnsi="Tahoma"/>
          <w:color w:val="404042"/>
          <w:spacing w:val="5"/>
          <w:sz w:val="14"/>
        </w:rPr>
      </w:pPr>
      <w:hyperlink r:id="rId231">
        <w:r w:rsidR="00083242">
          <w:rPr>
            <w:rFonts w:ascii="Tahoma" w:eastAsia="Tahoma" w:hAnsi="Tahoma"/>
            <w:color w:val="0000FF"/>
            <w:spacing w:val="5"/>
            <w:sz w:val="14"/>
            <w:u w:val="single"/>
          </w:rPr>
          <w:t>www.abs.gov.au/ausstats/abs@.nsf/Lookup/1246.0main+features24june%202014</w:t>
        </w:r>
      </w:hyperlink>
      <w:r w:rsidR="00083242">
        <w:rPr>
          <w:rFonts w:ascii="Tahoma" w:eastAsia="Tahoma" w:hAnsi="Tahoma"/>
          <w:color w:val="404042"/>
          <w:spacing w:val="5"/>
          <w:sz w:val="18"/>
        </w:rPr>
        <w:t>.</w:t>
      </w:r>
    </w:p>
    <w:p w14:paraId="48100811" w14:textId="77777777" w:rsidR="009757A9" w:rsidRDefault="00083242">
      <w:pPr>
        <w:spacing w:before="39" w:line="201" w:lineRule="exact"/>
        <w:jc w:val="center"/>
        <w:textAlignment w:val="baseline"/>
        <w:rPr>
          <w:rFonts w:ascii="Tahoma" w:eastAsia="Tahoma" w:hAnsi="Tahoma"/>
          <w:color w:val="404042"/>
          <w:spacing w:val="5"/>
          <w:sz w:val="14"/>
        </w:rPr>
      </w:pPr>
      <w:r>
        <w:rPr>
          <w:rFonts w:ascii="Tahoma" w:eastAsia="Tahoma" w:hAnsi="Tahoma"/>
          <w:color w:val="404042"/>
          <w:spacing w:val="5"/>
          <w:sz w:val="14"/>
        </w:rPr>
        <w:t xml:space="preserve">152 Commonwealth Department of Education (2019b), ‘Benefits of educational attainment: Introduction’, fact sheet, </w:t>
      </w:r>
      <w:hyperlink r:id="rId232">
        <w:r>
          <w:rPr>
            <w:rFonts w:ascii="Tahoma" w:eastAsia="Tahoma" w:hAnsi="Tahoma"/>
            <w:color w:val="0000FF"/>
            <w:spacing w:val="5"/>
            <w:sz w:val="18"/>
            <w:u w:val="single"/>
          </w:rPr>
          <w:t>h</w:t>
        </w:r>
      </w:hyperlink>
      <w:r>
        <w:rPr>
          <w:rFonts w:ascii="Tahoma" w:eastAsia="Tahoma" w:hAnsi="Tahoma"/>
          <w:color w:val="0000FF"/>
          <w:spacing w:val="5"/>
          <w:sz w:val="14"/>
          <w:u w:val="single"/>
        </w:rPr>
        <w:t>ttps://docs.education.gov.au/</w:t>
      </w:r>
      <w:r>
        <w:rPr>
          <w:rFonts w:ascii="Tahoma" w:eastAsia="Tahoma" w:hAnsi="Tahoma"/>
          <w:color w:val="404042"/>
          <w:spacing w:val="5"/>
          <w:sz w:val="14"/>
        </w:rPr>
        <w:t xml:space="preserve"> </w:t>
      </w:r>
    </w:p>
    <w:p w14:paraId="2A126193" w14:textId="77777777" w:rsidR="009757A9" w:rsidRDefault="00837BFF">
      <w:pPr>
        <w:spacing w:before="60" w:line="170" w:lineRule="exact"/>
        <w:ind w:left="1080"/>
        <w:textAlignment w:val="baseline"/>
        <w:rPr>
          <w:rFonts w:ascii="Tahoma" w:eastAsia="Tahoma" w:hAnsi="Tahoma"/>
          <w:color w:val="404042"/>
          <w:spacing w:val="8"/>
          <w:sz w:val="14"/>
        </w:rPr>
      </w:pPr>
      <w:hyperlink r:id="rId233">
        <w:r w:rsidR="00083242">
          <w:rPr>
            <w:rFonts w:ascii="Tahoma" w:eastAsia="Tahoma" w:hAnsi="Tahoma"/>
            <w:color w:val="0000FF"/>
            <w:spacing w:val="8"/>
            <w:sz w:val="14"/>
            <w:u w:val="single"/>
          </w:rPr>
          <w:t>documents/benefits</w:t>
        </w:r>
      </w:hyperlink>
      <w:r w:rsidR="00083242">
        <w:rPr>
          <w:rFonts w:ascii="Tahoma" w:eastAsia="Tahoma" w:hAnsi="Tahoma"/>
          <w:color w:val="0000FF"/>
          <w:spacing w:val="8"/>
          <w:sz w:val="14"/>
          <w:u w:val="single"/>
        </w:rPr>
        <w:t>-educational-attainment-introduction</w:t>
      </w:r>
      <w:r w:rsidR="00083242">
        <w:rPr>
          <w:rFonts w:ascii="Tahoma" w:eastAsia="Tahoma" w:hAnsi="Tahoma"/>
          <w:color w:val="404042"/>
          <w:spacing w:val="8"/>
          <w:sz w:val="14"/>
        </w:rPr>
        <w:t>.</w:t>
      </w:r>
    </w:p>
    <w:p w14:paraId="1E35FF60" w14:textId="77777777" w:rsidR="009757A9" w:rsidRDefault="00083242">
      <w:pPr>
        <w:spacing w:before="31" w:line="170" w:lineRule="exact"/>
        <w:ind w:left="864"/>
        <w:textAlignment w:val="baseline"/>
        <w:rPr>
          <w:rFonts w:ascii="Tahoma" w:eastAsia="Tahoma" w:hAnsi="Tahoma"/>
          <w:color w:val="404042"/>
          <w:spacing w:val="3"/>
          <w:sz w:val="14"/>
        </w:rPr>
      </w:pPr>
      <w:r>
        <w:rPr>
          <w:rFonts w:ascii="Tahoma" w:eastAsia="Tahoma" w:hAnsi="Tahoma"/>
          <w:color w:val="404042"/>
          <w:spacing w:val="3"/>
          <w:sz w:val="14"/>
        </w:rPr>
        <w:t>153 Ibid.</w:t>
      </w:r>
    </w:p>
    <w:p w14:paraId="1892B77B" w14:textId="77777777" w:rsidR="009757A9" w:rsidRDefault="00083242">
      <w:pPr>
        <w:spacing w:before="32" w:line="171" w:lineRule="exact"/>
        <w:ind w:left="864"/>
        <w:textAlignment w:val="baseline"/>
        <w:rPr>
          <w:rFonts w:ascii="Tahoma" w:eastAsia="Tahoma" w:hAnsi="Tahoma"/>
          <w:color w:val="404042"/>
          <w:spacing w:val="2"/>
          <w:sz w:val="14"/>
        </w:rPr>
      </w:pPr>
      <w:r>
        <w:rPr>
          <w:rFonts w:ascii="Tahoma" w:eastAsia="Tahoma" w:hAnsi="Tahoma"/>
          <w:color w:val="404042"/>
          <w:spacing w:val="2"/>
          <w:sz w:val="14"/>
        </w:rPr>
        <w:t>154 Lamb and Huo (2017), p. 3.</w:t>
      </w:r>
    </w:p>
    <w:p w14:paraId="4F95A69A" w14:textId="77777777" w:rsidR="009757A9" w:rsidRDefault="00083242">
      <w:pPr>
        <w:spacing w:before="652" w:after="639" w:line="197" w:lineRule="exact"/>
        <w:ind w:left="6768"/>
        <w:textAlignment w:val="baseline"/>
        <w:rPr>
          <w:rFonts w:ascii="Tahoma" w:eastAsia="Tahoma" w:hAnsi="Tahoma"/>
          <w:color w:val="404042"/>
          <w:spacing w:val="7"/>
          <w:sz w:val="14"/>
        </w:rPr>
      </w:pPr>
      <w:r>
        <w:rPr>
          <w:rFonts w:ascii="Tahoma" w:eastAsia="Tahoma" w:hAnsi="Tahoma"/>
          <w:color w:val="404042"/>
          <w:spacing w:val="7"/>
          <w:sz w:val="14"/>
        </w:rPr>
        <w:t>Chapter 5: Building more flexible pathways from school</w:t>
      </w:r>
      <w:r>
        <w:rPr>
          <w:rFonts w:ascii="Arial" w:eastAsia="Arial" w:hAnsi="Arial"/>
          <w:b/>
          <w:color w:val="5556A1"/>
          <w:spacing w:val="7"/>
          <w:sz w:val="19"/>
        </w:rPr>
        <w:t xml:space="preserve"> 107</w:t>
      </w:r>
    </w:p>
    <w:p w14:paraId="3B252F46" w14:textId="77777777" w:rsidR="009757A9" w:rsidRDefault="00083242">
      <w:pPr>
        <w:textAlignment w:val="baseline"/>
      </w:pPr>
      <w:r>
        <w:rPr>
          <w:noProof/>
          <w:lang w:val="en-AU" w:eastAsia="en-AU"/>
        </w:rPr>
        <w:drawing>
          <wp:inline distT="0" distB="0" distL="0" distR="0" wp14:anchorId="0DCC6F81" wp14:editId="76DE556B">
            <wp:extent cx="7562215" cy="462915"/>
            <wp:effectExtent l="0" t="0" r="0" b="0"/>
            <wp:docPr id="175" name="Picture"/>
            <wp:cNvGraphicFramePr/>
            <a:graphic xmlns:a="http://schemas.openxmlformats.org/drawingml/2006/main">
              <a:graphicData uri="http://schemas.openxmlformats.org/drawingml/2006/picture">
                <pic:pic xmlns:pic="http://schemas.openxmlformats.org/drawingml/2006/picture">
                  <pic:nvPicPr>
                    <pic:cNvPr id="175" name="Picture"/>
                    <pic:cNvPicPr preferRelativeResize="0"/>
                  </pic:nvPicPr>
                  <pic:blipFill>
                    <a:blip r:embed="rId234"/>
                    <a:stretch>
                      <a:fillRect/>
                    </a:stretch>
                  </pic:blipFill>
                  <pic:spPr>
                    <a:xfrm>
                      <a:off x="0" y="0"/>
                      <a:ext cx="7562215" cy="462915"/>
                    </a:xfrm>
                    <a:prstGeom prst="rect">
                      <a:avLst/>
                    </a:prstGeom>
                  </pic:spPr>
                </pic:pic>
              </a:graphicData>
            </a:graphic>
          </wp:inline>
        </w:drawing>
      </w:r>
    </w:p>
    <w:p w14:paraId="1C93554B" w14:textId="77777777" w:rsidR="009757A9" w:rsidRDefault="009757A9">
      <w:pPr>
        <w:sectPr w:rsidR="009757A9">
          <w:type w:val="continuous"/>
          <w:pgSz w:w="11909" w:h="16838"/>
          <w:pgMar w:top="1080" w:right="0" w:bottom="0" w:left="0" w:header="720" w:footer="720" w:gutter="0"/>
          <w:cols w:space="720"/>
        </w:sectPr>
      </w:pPr>
    </w:p>
    <w:p w14:paraId="5B3BCEF3" w14:textId="2F21458C" w:rsidR="009757A9" w:rsidRDefault="009124B1">
      <w:pPr>
        <w:spacing w:before="2" w:line="215" w:lineRule="exact"/>
        <w:ind w:left="864"/>
        <w:textAlignment w:val="baseline"/>
        <w:rPr>
          <w:rFonts w:ascii="Arial" w:eastAsia="Arial" w:hAnsi="Arial"/>
          <w:i/>
          <w:color w:val="007896"/>
          <w:spacing w:val="1"/>
          <w:sz w:val="18"/>
        </w:rPr>
      </w:pPr>
      <w:r>
        <w:rPr>
          <w:noProof/>
          <w:lang w:val="en-AU" w:eastAsia="en-AU"/>
        </w:rPr>
        <w:lastRenderedPageBreak/>
        <mc:AlternateContent>
          <mc:Choice Requires="wps">
            <w:drawing>
              <wp:anchor distT="0" distB="295910" distL="545465" distR="536575" simplePos="0" relativeHeight="252092928" behindDoc="1" locked="0" layoutInCell="1" allowOverlap="1" wp14:anchorId="3182ECC7" wp14:editId="22263739">
                <wp:simplePos x="0" y="0"/>
                <wp:positionH relativeFrom="page">
                  <wp:posOffset>638175</wp:posOffset>
                </wp:positionH>
                <wp:positionV relativeFrom="page">
                  <wp:posOffset>809625</wp:posOffset>
                </wp:positionV>
                <wp:extent cx="6194425" cy="1143000"/>
                <wp:effectExtent l="0" t="0" r="15875" b="19050"/>
                <wp:wrapNone/>
                <wp:docPr id="107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425" cy="1143000"/>
                        </a:xfrm>
                        <a:prstGeom prst="rect">
                          <a:avLst/>
                        </a:prstGeom>
                        <a:solidFill>
                          <a:srgbClr val="DFE6EB"/>
                        </a:solidFill>
                        <a:ln w="9525">
                          <a:solidFill>
                            <a:srgbClr val="000000"/>
                          </a:solidFill>
                          <a:miter lim="800000"/>
                          <a:headEnd/>
                          <a:tailEnd/>
                        </a:ln>
                      </wps:spPr>
                      <wps:txbx>
                        <w:txbxContent>
                          <w:p w14:paraId="5803341A" w14:textId="77777777" w:rsidR="00490F33" w:rsidRDefault="00490F33" w:rsidP="009124B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2ECC7" id="_x0000_s1289" type="#_x0000_t202" style="position:absolute;left:0;text-align:left;margin-left:50.25pt;margin-top:63.75pt;width:487.75pt;height:90pt;z-index:-251223552;visibility:visible;mso-wrap-style:square;mso-width-percent:0;mso-height-percent:0;mso-wrap-distance-left:42.95pt;mso-wrap-distance-top:0;mso-wrap-distance-right:42.25pt;mso-wrap-distance-bottom:23.3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DLAIAAE8EAAAOAAAAZHJzL2Uyb0RvYy54bWysVMtu2zAQvBfoPxC815Jsx00Ey0HiR1Eg&#10;fQBJP4CiKIkoxWVJ2pL79V1StpOmQA9FL8RSXA5nZ3a1vB06RQ7COgm6oNkkpURoDpXUTUG/Pe3e&#10;XVPiPNMVU6BFQY/C0dvV2zfL3uRiCi2oSliCINrlvSlo673Jk8TxVnTMTcAIjYc12I553NomqSzr&#10;Eb1TyTRNF0kPtjIWuHAOv27GQ7qK+HUtuP9S1054ogqK3HxcbVzLsCarJcsby0wr+YkG+wcWHZMa&#10;H71AbZhnZG/lH1Cd5BYc1H7CoUugriUXsQasJktfVfPYMiNiLSiOMxeZ3P+D5Z8PXy2RFXqXvkeB&#10;NOvQpScxeHIPA5nNZ0Gi3rgcMx8N5voBDzA9luvMA/DvjmhYt0w34s5a6FvBKqSYhZvJi6sjjgsg&#10;Zf8JKnyI7T1EoKG2XdAPFSGIjkyOF3sCGY4fF9nNfD69ooTjWZbNZ2kaDUxYfr5urPMfBHQkBAW1&#10;6H+EZ4cH5wMdlp9TwmsOlKx2Uqm4sU25VpYcGPbKZrddbO9jBa/SlCZ9QW+ukMjfIZDdM8HfXuqk&#10;x6ZXsivo9SWJ5UG3ra5iS3om1RgjZaVPQgbtRhX9UA7Rtuni4lAJ1RG1tTB2OU4lBi3Yn5T02OEF&#10;dT/2zApK1EeN/oRxOAf2HJTngGmOVwvqKRnDtR/HZm+sbFpEHjtAwx16WMuobjB7ZHEijF0bRT9N&#10;WBiLl/uY9fwfWP0CAAD//wMAUEsDBBQABgAIAAAAIQDMqonL3QAAAAwBAAAPAAAAZHJzL2Rvd25y&#10;ZXYueG1sTE9NT8MwDL0j8R8iI3FjyYbWTaXpNCGQQJwYcOCWNl4brXGqJuvKv8c9wc3Pfn4fxW7y&#10;nRhxiC6QhuVCgUCqg3XUaPj8eL7bgojJkDVdINTwgxF25fVVYXIbLvSO4yE1gkUo5kZDm1KfSxnr&#10;Fr2Ji9Aj8e0YBm8Sw6GRdjAXFvedXCmVSW8csUNrenxssT4dzp5jrMbjU3Pam7eXdbbsX79ctf12&#10;Wt/eTPsHEAmn9EeGOT7/QMmZqnAmG0XHWKk1U2exDQ8zQ20yrldpuFe8kmUh/5cofwEAAP//AwBQ&#10;SwECLQAUAAYACAAAACEAtoM4kv4AAADhAQAAEwAAAAAAAAAAAAAAAAAAAAAAW0NvbnRlbnRfVHlw&#10;ZXNdLnhtbFBLAQItABQABgAIAAAAIQA4/SH/1gAAAJQBAAALAAAAAAAAAAAAAAAAAC8BAABfcmVs&#10;cy8ucmVsc1BLAQItABQABgAIAAAAIQAU5/eDLAIAAE8EAAAOAAAAAAAAAAAAAAAAAC4CAABkcnMv&#10;ZTJvRG9jLnhtbFBLAQItABQABgAIAAAAIQDMqonL3QAAAAwBAAAPAAAAAAAAAAAAAAAAAIYEAABk&#10;cnMvZG93bnJldi54bWxQSwUGAAAAAAQABADzAAAAkAUAAAAA&#10;" fillcolor="#dfe6eb">
                <v:textbox inset="0,0,0,0">
                  <w:txbxContent>
                    <w:p w14:paraId="5803341A" w14:textId="77777777" w:rsidR="00490F33" w:rsidRDefault="00490F33" w:rsidP="009124B1"/>
                  </w:txbxContent>
                </v:textbox>
                <w10:wrap anchorx="page" anchory="page"/>
              </v:shape>
            </w:pict>
          </mc:Fallback>
        </mc:AlternateContent>
      </w:r>
      <w:r w:rsidR="000D2E34">
        <w:rPr>
          <w:noProof/>
          <w:lang w:val="en-AU" w:eastAsia="en-AU"/>
        </w:rPr>
        <mc:AlternateContent>
          <mc:Choice Requires="wps">
            <w:drawing>
              <wp:anchor distT="0" distB="0" distL="0" distR="0" simplePos="0" relativeHeight="251617792" behindDoc="1" locked="0" layoutInCell="1" allowOverlap="1" wp14:anchorId="0C2A1325" wp14:editId="73D5469F">
                <wp:simplePos x="0" y="0"/>
                <wp:positionH relativeFrom="page">
                  <wp:posOffset>822960</wp:posOffset>
                </wp:positionH>
                <wp:positionV relativeFrom="page">
                  <wp:posOffset>965835</wp:posOffset>
                </wp:positionV>
                <wp:extent cx="5925820" cy="893445"/>
                <wp:effectExtent l="0" t="0" r="0" b="0"/>
                <wp:wrapSquare wrapText="bothSides"/>
                <wp:docPr id="53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F2917" w14:textId="77777777" w:rsidR="00490F33" w:rsidRDefault="00490F33">
                            <w:pPr>
                              <w:spacing w:before="10" w:line="277" w:lineRule="exact"/>
                              <w:ind w:left="144"/>
                              <w:textAlignment w:val="baseline"/>
                              <w:rPr>
                                <w:rFonts w:ascii="Arial" w:eastAsia="Arial" w:hAnsi="Arial"/>
                                <w:b/>
                                <w:color w:val="00708E"/>
                                <w:spacing w:val="-1"/>
                                <w:sz w:val="25"/>
                              </w:rPr>
                            </w:pPr>
                            <w:r>
                              <w:rPr>
                                <w:rFonts w:ascii="Arial" w:eastAsia="Arial" w:hAnsi="Arial"/>
                                <w:b/>
                                <w:color w:val="00708E"/>
                                <w:spacing w:val="-1"/>
                                <w:sz w:val="25"/>
                              </w:rPr>
                              <w:t>Recommendation 13</w:t>
                            </w:r>
                          </w:p>
                          <w:p w14:paraId="69983397" w14:textId="77777777" w:rsidR="00490F33" w:rsidRDefault="00490F33">
                            <w:pPr>
                              <w:spacing w:before="160" w:after="96" w:line="240" w:lineRule="exact"/>
                              <w:ind w:left="144" w:right="504"/>
                              <w:textAlignment w:val="baseline"/>
                              <w:rPr>
                                <w:rFonts w:ascii="Tahoma" w:eastAsia="Tahoma" w:hAnsi="Tahoma"/>
                                <w:color w:val="404042"/>
                                <w:sz w:val="18"/>
                              </w:rPr>
                            </w:pPr>
                            <w:r>
                              <w:rPr>
                                <w:rFonts w:ascii="Tahoma" w:eastAsia="Tahoma" w:hAnsi="Tahoma"/>
                                <w:color w:val="404042"/>
                                <w:sz w:val="18"/>
                              </w:rPr>
                              <w:t>Governments should provide access to free education or training to 16- to 20-year-olds who have left school without obtaining a Senior Secondary Certificate of Education in order to allow them to attain a Senior Secondary Certificate of Education or equivalent, and to attain minimum standards of literacy, numeracy and digital literacy.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A1325" id="Text Box 255" o:spid="_x0000_s1290" type="#_x0000_t202" style="position:absolute;left:0;text-align:left;margin-left:64.8pt;margin-top:76.05pt;width:466.6pt;height:70.35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d48QEAAMMDAAAOAAAAZHJzL2Uyb0RvYy54bWysU9tu2zAMfR+wfxD0vjhxk6I14hRdiw4D&#10;unVAuw9gZDkWZosapcTOvn6UHGfd9jbsRaB4OTo8pNY3Q9eKgyZv0JZyMZtLoa3CythdKb++PLy7&#10;ksIHsBW0aHUpj9rLm83bN+veFTrHBttKk2AQ64velbIJwRVZ5lWjO/AzdNpysEbqIPCVdllF0DN6&#10;12b5fH6Z9UiVI1Tae/bej0G5Sfh1rVV4qmuvg2hLydxCOimd23hmmzUUOwLXGHWiAf/AogNj+dEz&#10;1D0EEHsyf0F1RhF6rMNMYZdhXRulUw/czWL+RzfPDTidemFxvDvL5P8frPp8+ELCVKVcXSylsNDx&#10;kF70EMR7HES+WkWFeucLTnx2nBoGDvCkU7fePaL65oXFuwbsTt8SYd9oqJjhIlZmr0pHHB9Btv0n&#10;rPgh2AdMQENNXZSPBRGMzpM6nqcTySh2rq7z1VXOIcWxq+uL5TKRy6CYqh358EFjJ6JRSuLpJ3Q4&#10;PPoQ2UAxpcTHLD6Ytk0b0NrfHJwYPYl9JDxSD8N2SFLll8tJli1WR26IcNws/glsNEg/pOh5q0rp&#10;v++BtBTtR8uixBWcDJqM7WSAVVxayiDFaN6FcVX3jsyuYeRRdou3LFxtUk9R4ZHFiTBvSmr1tNVx&#10;FV/fU9avv7f5CQAA//8DAFBLAwQUAAYACAAAACEA2rp8vN4AAAAMAQAADwAAAGRycy9kb3ducmV2&#10;LnhtbEyPwU7DMBBE70j8g7VI3KhdS0QkxKkqBCckRJoeODqxm1iN1yF22/D3bE9wm9E+zc6Um8WP&#10;7Gzn6AIqWK8EMItdMA57Bfvm7eEJWEwajR4DWgU/NsKmur0pdWHCBWt73qWeUQjGQisYUpoKzmM3&#10;WK/jKkwW6XYIs9eJ7NxzM+sLhfuRSyEy7rVD+jDoyb4MtjvuTl7B9gvrV/f90X7Wh9o1TS7wPTsq&#10;dX+3bJ+BJbukPxiu9ak6VNSpDSc0kY3kZZ4RSuJRroFdCZFJWtMqkDkJXpX8/4jqFwAA//8DAFBL&#10;AQItABQABgAIAAAAIQC2gziS/gAAAOEBAAATAAAAAAAAAAAAAAAAAAAAAABbQ29udGVudF9UeXBl&#10;c10ueG1sUEsBAi0AFAAGAAgAAAAhADj9If/WAAAAlAEAAAsAAAAAAAAAAAAAAAAALwEAAF9yZWxz&#10;Ly5yZWxzUEsBAi0AFAAGAAgAAAAhAEqop3jxAQAAwwMAAA4AAAAAAAAAAAAAAAAALgIAAGRycy9l&#10;Mm9Eb2MueG1sUEsBAi0AFAAGAAgAAAAhANq6fLzeAAAADAEAAA8AAAAAAAAAAAAAAAAASwQAAGRy&#10;cy9kb3ducmV2LnhtbFBLBQYAAAAABAAEAPMAAABWBQAAAAA=&#10;" filled="f" stroked="f">
                <v:textbox inset="0,0,0,0">
                  <w:txbxContent>
                    <w:p w14:paraId="3DBF2917" w14:textId="77777777" w:rsidR="00490F33" w:rsidRDefault="00490F33">
                      <w:pPr>
                        <w:spacing w:before="10" w:line="277" w:lineRule="exact"/>
                        <w:ind w:left="144"/>
                        <w:textAlignment w:val="baseline"/>
                        <w:rPr>
                          <w:rFonts w:ascii="Arial" w:eastAsia="Arial" w:hAnsi="Arial"/>
                          <w:b/>
                          <w:color w:val="00708E"/>
                          <w:spacing w:val="-1"/>
                          <w:sz w:val="25"/>
                        </w:rPr>
                      </w:pPr>
                      <w:r>
                        <w:rPr>
                          <w:rFonts w:ascii="Arial" w:eastAsia="Arial" w:hAnsi="Arial"/>
                          <w:b/>
                          <w:color w:val="00708E"/>
                          <w:spacing w:val="-1"/>
                          <w:sz w:val="25"/>
                        </w:rPr>
                        <w:t>Recommendation 13</w:t>
                      </w:r>
                    </w:p>
                    <w:p w14:paraId="69983397" w14:textId="77777777" w:rsidR="00490F33" w:rsidRDefault="00490F33">
                      <w:pPr>
                        <w:spacing w:before="160" w:after="96" w:line="240" w:lineRule="exact"/>
                        <w:ind w:left="144" w:right="504"/>
                        <w:textAlignment w:val="baseline"/>
                        <w:rPr>
                          <w:rFonts w:ascii="Tahoma" w:eastAsia="Tahoma" w:hAnsi="Tahoma"/>
                          <w:color w:val="404042"/>
                          <w:sz w:val="18"/>
                        </w:rPr>
                      </w:pPr>
                      <w:r>
                        <w:rPr>
                          <w:rFonts w:ascii="Tahoma" w:eastAsia="Tahoma" w:hAnsi="Tahoma"/>
                          <w:color w:val="404042"/>
                          <w:sz w:val="18"/>
                        </w:rPr>
                        <w:t>Governments should provide access to free education or training to 16- to 20-year-olds who have left school without obtaining a Senior Secondary Certificate of Education in order to allow them to attain a Senior Secondary Certificate of Education or equivalent, and to attain minimum standards of literacy, numeracy and digital literacy.</w:t>
                      </w:r>
                    </w:p>
                  </w:txbxContent>
                </v:textbox>
                <w10:wrap type="square" anchorx="page" anchory="page"/>
              </v:shape>
            </w:pict>
          </mc:Fallback>
        </mc:AlternateContent>
      </w:r>
      <w:r w:rsidR="00083242">
        <w:rPr>
          <w:rFonts w:ascii="Arial" w:eastAsia="Arial" w:hAnsi="Arial"/>
          <w:i/>
          <w:color w:val="007896"/>
          <w:spacing w:val="1"/>
          <w:sz w:val="18"/>
        </w:rPr>
        <w:t>Implementation guidance</w:t>
      </w:r>
    </w:p>
    <w:p w14:paraId="207F1CAB" w14:textId="77777777" w:rsidR="009757A9" w:rsidRDefault="00083242">
      <w:pPr>
        <w:spacing w:before="162" w:line="240" w:lineRule="exact"/>
        <w:ind w:left="864" w:right="1296"/>
        <w:textAlignment w:val="baseline"/>
        <w:rPr>
          <w:rFonts w:ascii="Tahoma" w:eastAsia="Tahoma" w:hAnsi="Tahoma"/>
          <w:color w:val="404042"/>
          <w:sz w:val="18"/>
        </w:rPr>
      </w:pPr>
      <w:r>
        <w:rPr>
          <w:rFonts w:ascii="Tahoma" w:eastAsia="Tahoma" w:hAnsi="Tahoma"/>
          <w:color w:val="404042"/>
          <w:sz w:val="18"/>
        </w:rPr>
        <w:t>Many states and territories have existing initiatives in place that support young people to achieve at least a Year 12 certificate or equivalent.</w:t>
      </w:r>
    </w:p>
    <w:p w14:paraId="477B7E2C" w14:textId="77777777" w:rsidR="009757A9" w:rsidRDefault="00083242">
      <w:pPr>
        <w:spacing w:before="172" w:line="240" w:lineRule="exact"/>
        <w:ind w:left="864" w:right="1584"/>
        <w:textAlignment w:val="baseline"/>
        <w:rPr>
          <w:rFonts w:ascii="Tahoma" w:eastAsia="Tahoma" w:hAnsi="Tahoma"/>
          <w:color w:val="404042"/>
          <w:sz w:val="18"/>
        </w:rPr>
      </w:pPr>
      <w:r>
        <w:rPr>
          <w:rFonts w:ascii="Tahoma" w:eastAsia="Tahoma" w:hAnsi="Tahoma"/>
          <w:color w:val="404042"/>
          <w:sz w:val="18"/>
        </w:rPr>
        <w:t>What we now need to do is send a strong message to young people that they are entitled to a minimum level of education. We need to ensure that financial considerations should not be a barrier to continuing their learning.</w:t>
      </w:r>
    </w:p>
    <w:p w14:paraId="67A444B5" w14:textId="77777777" w:rsidR="009757A9" w:rsidRDefault="00083242">
      <w:pPr>
        <w:spacing w:before="168" w:line="240" w:lineRule="exact"/>
        <w:ind w:left="864" w:right="1800"/>
        <w:textAlignment w:val="baseline"/>
        <w:rPr>
          <w:rFonts w:ascii="Tahoma" w:eastAsia="Tahoma" w:hAnsi="Tahoma"/>
          <w:color w:val="404042"/>
          <w:sz w:val="18"/>
        </w:rPr>
      </w:pPr>
      <w:r>
        <w:rPr>
          <w:rFonts w:ascii="Tahoma" w:eastAsia="Tahoma" w:hAnsi="Tahoma"/>
          <w:color w:val="404042"/>
          <w:sz w:val="18"/>
        </w:rPr>
        <w:t>School leavers for whom it is more beneficial to pursue a vocational qualification should be provided with an entitlement for any government-subsidised VET qualification, subject to admission requirements and course availability. This would offer an additional pathway and encourage a higher level of educational attainment.</w:t>
      </w:r>
    </w:p>
    <w:p w14:paraId="23ECD515" w14:textId="77777777" w:rsidR="009757A9" w:rsidRDefault="00083242">
      <w:pPr>
        <w:spacing w:before="168" w:after="864"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States and territories may wish to go further. One particular benefit of extending the upper age range would be to support older people who may have left school for a variety of reasons but are looking to re-enter education later in life. A number of schools are already undertaking such initiatives in order to provide assistance, for example, to young Indigenous mothers or teenage migrants who are still learning English. Such flexibility often helps to alleviate the long-term consequences of disadvantage.</w:t>
      </w:r>
    </w:p>
    <w:p w14:paraId="4FB74DBC" w14:textId="77777777" w:rsidR="009757A9" w:rsidRDefault="00083242">
      <w:pPr>
        <w:spacing w:after="638"/>
        <w:ind w:left="4205" w:right="504"/>
        <w:textAlignment w:val="baseline"/>
      </w:pPr>
      <w:r>
        <w:rPr>
          <w:noProof/>
          <w:lang w:val="en-AU" w:eastAsia="en-AU"/>
        </w:rPr>
        <w:drawing>
          <wp:inline distT="0" distB="0" distL="0" distR="0" wp14:anchorId="46252999" wp14:editId="1AB9A4B5">
            <wp:extent cx="4572000" cy="3971925"/>
            <wp:effectExtent l="0" t="0" r="0" b="0"/>
            <wp:docPr id="178" name="Picture"/>
            <wp:cNvGraphicFramePr/>
            <a:graphic xmlns:a="http://schemas.openxmlformats.org/drawingml/2006/main">
              <a:graphicData uri="http://schemas.openxmlformats.org/drawingml/2006/picture">
                <pic:pic xmlns:pic="http://schemas.openxmlformats.org/drawingml/2006/picture">
                  <pic:nvPicPr>
                    <pic:cNvPr id="178" name="Picture"/>
                    <pic:cNvPicPr preferRelativeResize="0"/>
                  </pic:nvPicPr>
                  <pic:blipFill>
                    <a:blip r:embed="rId235"/>
                    <a:stretch>
                      <a:fillRect/>
                    </a:stretch>
                  </pic:blipFill>
                  <pic:spPr>
                    <a:xfrm>
                      <a:off x="0" y="0"/>
                      <a:ext cx="4572000" cy="3971925"/>
                    </a:xfrm>
                    <a:prstGeom prst="rect">
                      <a:avLst/>
                    </a:prstGeom>
                  </pic:spPr>
                </pic:pic>
              </a:graphicData>
            </a:graphic>
          </wp:inline>
        </w:drawing>
      </w:r>
    </w:p>
    <w:p w14:paraId="462E0D99" w14:textId="77777777" w:rsidR="009757A9" w:rsidRDefault="00083242">
      <w:pPr>
        <w:tabs>
          <w:tab w:val="left" w:pos="1368"/>
        </w:tabs>
        <w:spacing w:after="634" w:line="201" w:lineRule="exact"/>
        <w:ind w:left="864"/>
        <w:textAlignment w:val="baseline"/>
        <w:rPr>
          <w:rFonts w:ascii="Arial" w:eastAsia="Arial" w:hAnsi="Arial"/>
          <w:b/>
          <w:color w:val="5556A1"/>
          <w:spacing w:val="4"/>
          <w:sz w:val="19"/>
        </w:rPr>
      </w:pPr>
      <w:r>
        <w:rPr>
          <w:rFonts w:ascii="Arial" w:eastAsia="Arial" w:hAnsi="Arial"/>
          <w:b/>
          <w:color w:val="5556A1"/>
          <w:spacing w:val="4"/>
          <w:sz w:val="19"/>
        </w:rPr>
        <w:t>108</w:t>
      </w:r>
      <w:r>
        <w:rPr>
          <w:rFonts w:ascii="Tahoma" w:eastAsia="Tahoma" w:hAnsi="Tahoma"/>
          <w:color w:val="404042"/>
          <w:spacing w:val="4"/>
          <w:sz w:val="14"/>
        </w:rPr>
        <w:tab/>
        <w:t>Looking to the future</w:t>
      </w:r>
    </w:p>
    <w:p w14:paraId="6FCC7A6D" w14:textId="77777777" w:rsidR="009757A9" w:rsidRDefault="00083242">
      <w:pPr>
        <w:textAlignment w:val="baseline"/>
      </w:pPr>
      <w:r>
        <w:rPr>
          <w:noProof/>
          <w:lang w:val="en-AU" w:eastAsia="en-AU"/>
        </w:rPr>
        <w:drawing>
          <wp:inline distT="0" distB="0" distL="0" distR="0" wp14:anchorId="5EF06A3A" wp14:editId="48280EEF">
            <wp:extent cx="7562215" cy="462915"/>
            <wp:effectExtent l="0" t="0" r="0" b="0"/>
            <wp:docPr id="179" name="Picture"/>
            <wp:cNvGraphicFramePr/>
            <a:graphic xmlns:a="http://schemas.openxmlformats.org/drawingml/2006/main">
              <a:graphicData uri="http://schemas.openxmlformats.org/drawingml/2006/picture">
                <pic:pic xmlns:pic="http://schemas.openxmlformats.org/drawingml/2006/picture">
                  <pic:nvPicPr>
                    <pic:cNvPr id="179" name="Picture"/>
                    <pic:cNvPicPr preferRelativeResize="0"/>
                  </pic:nvPicPr>
                  <pic:blipFill>
                    <a:blip r:embed="rId236"/>
                    <a:stretch>
                      <a:fillRect/>
                    </a:stretch>
                  </pic:blipFill>
                  <pic:spPr>
                    <a:xfrm>
                      <a:off x="0" y="0"/>
                      <a:ext cx="7562215" cy="462915"/>
                    </a:xfrm>
                    <a:prstGeom prst="rect">
                      <a:avLst/>
                    </a:prstGeom>
                  </pic:spPr>
                </pic:pic>
              </a:graphicData>
            </a:graphic>
          </wp:inline>
        </w:drawing>
      </w:r>
    </w:p>
    <w:p w14:paraId="12818B41" w14:textId="77777777" w:rsidR="009757A9" w:rsidRDefault="009757A9">
      <w:pPr>
        <w:sectPr w:rsidR="009757A9">
          <w:pgSz w:w="11909" w:h="16838"/>
          <w:pgMar w:top="3735" w:right="0" w:bottom="0" w:left="0" w:header="720" w:footer="720" w:gutter="0"/>
          <w:cols w:space="720"/>
        </w:sectPr>
      </w:pPr>
    </w:p>
    <w:p w14:paraId="0EC80692"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619840" behindDoc="1" locked="0" layoutInCell="1" allowOverlap="1" wp14:anchorId="43D1B4D3" wp14:editId="5F12DFDD">
                <wp:simplePos x="0" y="0"/>
                <wp:positionH relativeFrom="page">
                  <wp:posOffset>539750</wp:posOffset>
                </wp:positionH>
                <wp:positionV relativeFrom="page">
                  <wp:posOffset>524510</wp:posOffset>
                </wp:positionV>
                <wp:extent cx="6553200" cy="6324600"/>
                <wp:effectExtent l="0" t="0" r="0" b="0"/>
                <wp:wrapSquare wrapText="bothSides"/>
                <wp:docPr id="53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632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A8253" w14:textId="77777777" w:rsidR="00490F33" w:rsidRDefault="00490F33">
                            <w:pPr>
                              <w:textAlignment w:val="baseline"/>
                            </w:pPr>
                            <w:r>
                              <w:rPr>
                                <w:noProof/>
                                <w:lang w:val="en-AU" w:eastAsia="en-AU"/>
                              </w:rPr>
                              <w:drawing>
                                <wp:inline distT="0" distB="0" distL="0" distR="0" wp14:anchorId="0F1081A1" wp14:editId="16E39B47">
                                  <wp:extent cx="6553200" cy="6324600"/>
                                  <wp:effectExtent l="0" t="0" r="0" b="0"/>
                                  <wp:docPr id="180" name="Picture" descr="Illustration from NZ Youth Guarantee. Social and Community services: Ratonga Papori; Ratonga Hapori. Construction and infrastructure: Te Mahi me te; Putoi Hanganga. ManufactiringManufacturing and Technology: Te Whakanao me te Hangarau. Primary Industries (Food and Fibre): Ahumahi Matua."/>
                                  <wp:cNvGraphicFramePr/>
                                  <a:graphic xmlns:a="http://schemas.openxmlformats.org/drawingml/2006/main">
                                    <a:graphicData uri="http://schemas.openxmlformats.org/drawingml/2006/picture">
                                      <pic:pic xmlns:pic="http://schemas.openxmlformats.org/drawingml/2006/picture">
                                        <pic:nvPicPr>
                                          <pic:cNvPr id="180" name="Picture" descr="Illustration from NZ Youth Guarantee. Social and Community services: Ratonga Papori; Ratonga Hapori. Construction and infrastructure: Te Mahi me te; Putoi Hanganga. ManufactiringManufacturing and Technology: Te Whakanao me te Hangarau. Primary Industries (Food and Fibre): Ahumahi Matua."/>
                                          <pic:cNvPicPr preferRelativeResize="0"/>
                                        </pic:nvPicPr>
                                        <pic:blipFill>
                                          <a:blip r:embed="rId237"/>
                                          <a:stretch>
                                            <a:fillRect/>
                                          </a:stretch>
                                        </pic:blipFill>
                                        <pic:spPr>
                                          <a:xfrm>
                                            <a:off x="0" y="0"/>
                                            <a:ext cx="6553200" cy="63246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1B4D3" id="Text Box 253" o:spid="_x0000_s1291" type="#_x0000_t202" style="position:absolute;margin-left:42.5pt;margin-top:41.3pt;width:516pt;height:498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S7wEAAMQDAAAOAAAAZHJzL2Uyb0RvYy54bWysU8Fu2zAMvQ/YPwi6L06cJRiMOEXXosOA&#10;bivQ7gMYWY6F2aJGKbGzrx8lx1m33opdBIqkHh8fqc3V0LXiqMkbtKVczOZSaKuwMnZfyu9Pd+8+&#10;SOED2ApatLqUJ+3l1fbtm03vCp1jg22lSTCI9UXvStmE4Ios86rRHfgZOm05WCN1EPhK+6wi6Bm9&#10;a7N8Pl9nPVLlCJX2nr23Y1BuE35daxW+1bXXQbSlZG4hnZTOXTyz7QaKPYFrjDrTgFew6MBYLnqB&#10;uoUA4kDmBVRnFKHHOswUdhnWtVE69cDdLOb/dPPYgNOpFxbHu4tM/v/Bqq/HBxKmKuVqmUthoeMh&#10;PekhiI84iHy1jAr1zhec+Og4NQwc4Emnbr27R/XDC4s3Ddi9vibCvtFQMcNFfJk9ezri+Aiy679g&#10;xYXgEDABDTV1UT4WRDA6T+p0mU4ko9i5XjHFOYcUx9bL/P2aL7EGFNNzRz580tiJaJSSePwJHo73&#10;PoypU0qsZvHOtC37oWjtXw7GjJ5EPzIeuYdhNySt8vVq0mWH1Yk7IhxXi78CGw3SLyl6XqtS+p8H&#10;IC1F+9myKnEHJ4MmYzcZYBU/LWWQYjRvwrirB0dm3zDyqLvFa1auNqmnKPHI4kyYVyWpcl7ruIvP&#10;7ynrz+fb/gYAAP//AwBQSwMEFAAGAAgAAAAhAL9VVcjgAAAACwEAAA8AAABkcnMvZG93bnJldi54&#10;bWxMj81OwzAQhO+VeAdrkbi1diqRhhCnqhCckBBpOHB0YjexGq9D7Lbh7dme6Gl/ZjX7TbGd3cDO&#10;ZgrWo4RkJYAZbL222En4qt+WGbAQFWo1eDQSfk2AbXm3KFSu/QUrc97HjpEJhlxJ6GMcc85D2xun&#10;wsqPBkk7+MmpSOPUcT2pC5m7ga+FSLlTFulDr0bz0pv2uD85CbtvrF7tz0fzWR0qW9dPAt/To5QP&#10;9/PuGVg0c/w/his+oUNJTI0/oQ5skJA9UpRIdZ0Cu+pJsqFNQ53YZCnwsuC3Gco/AAAA//8DAFBL&#10;AQItABQABgAIAAAAIQC2gziS/gAAAOEBAAATAAAAAAAAAAAAAAAAAAAAAABbQ29udGVudF9UeXBl&#10;c10ueG1sUEsBAi0AFAAGAAgAAAAhADj9If/WAAAAlAEAAAsAAAAAAAAAAAAAAAAALwEAAF9yZWxz&#10;Ly5yZWxzUEsBAi0AFAAGAAgAAAAhAJUT99LvAQAAxAMAAA4AAAAAAAAAAAAAAAAALgIAAGRycy9l&#10;Mm9Eb2MueG1sUEsBAi0AFAAGAAgAAAAhAL9VVcjgAAAACwEAAA8AAAAAAAAAAAAAAAAASQQAAGRy&#10;cy9kb3ducmV2LnhtbFBLBQYAAAAABAAEAPMAAABWBQAAAAA=&#10;" filled="f" stroked="f">
                <v:textbox inset="0,0,0,0">
                  <w:txbxContent>
                    <w:p w14:paraId="54BA8253" w14:textId="77777777" w:rsidR="00490F33" w:rsidRDefault="00490F33">
                      <w:pPr>
                        <w:textAlignment w:val="baseline"/>
                      </w:pPr>
                      <w:r>
                        <w:rPr>
                          <w:noProof/>
                          <w:lang w:val="en-AU" w:eastAsia="en-AU"/>
                        </w:rPr>
                        <w:drawing>
                          <wp:inline distT="0" distB="0" distL="0" distR="0" wp14:anchorId="0F1081A1" wp14:editId="16E39B47">
                            <wp:extent cx="6553200" cy="6324600"/>
                            <wp:effectExtent l="0" t="0" r="0" b="0"/>
                            <wp:docPr id="180" name="Picture" descr="Illustration from NZ Youth Guarantee. Social and Community services: Ratonga Papori; Ratonga Hapori. Construction and infrastructure: Te Mahi me te; Putoi Hanganga. ManufactiringManufacturing and Technology: Te Whakanao me te Hangarau. Primary Industries (Food and Fibre): Ahumahi Matua."/>
                            <wp:cNvGraphicFramePr/>
                            <a:graphic xmlns:a="http://schemas.openxmlformats.org/drawingml/2006/main">
                              <a:graphicData uri="http://schemas.openxmlformats.org/drawingml/2006/picture">
                                <pic:pic xmlns:pic="http://schemas.openxmlformats.org/drawingml/2006/picture">
                                  <pic:nvPicPr>
                                    <pic:cNvPr id="180" name="Picture" descr="Illustration from NZ Youth Guarantee. Social and Community services: Ratonga Papori; Ratonga Hapori. Construction and infrastructure: Te Mahi me te; Putoi Hanganga. ManufactiringManufacturing and Technology: Te Whakanao me te Hangarau. Primary Industries (Food and Fibre): Ahumahi Matua."/>
                                    <pic:cNvPicPr preferRelativeResize="0"/>
                                  </pic:nvPicPr>
                                  <pic:blipFill>
                                    <a:blip r:embed="rId237"/>
                                    <a:stretch>
                                      <a:fillRect/>
                                    </a:stretch>
                                  </pic:blipFill>
                                  <pic:spPr>
                                    <a:xfrm>
                                      <a:off x="0" y="0"/>
                                      <a:ext cx="6553200" cy="632460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0864" behindDoc="1" locked="0" layoutInCell="1" allowOverlap="1" wp14:anchorId="7222F99F" wp14:editId="42CF4EE2">
                <wp:simplePos x="0" y="0"/>
                <wp:positionH relativeFrom="page">
                  <wp:posOffset>847090</wp:posOffset>
                </wp:positionH>
                <wp:positionV relativeFrom="page">
                  <wp:posOffset>982980</wp:posOffset>
                </wp:positionV>
                <wp:extent cx="4075430" cy="566420"/>
                <wp:effectExtent l="0" t="0" r="0" b="0"/>
                <wp:wrapSquare wrapText="bothSides"/>
                <wp:docPr id="53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7B12"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7790420B" w14:textId="77777777" w:rsidR="00490F33" w:rsidRDefault="00490F33">
                            <w:pPr>
                              <w:spacing w:line="443" w:lineRule="exact"/>
                              <w:textAlignment w:val="baseline"/>
                              <w:rPr>
                                <w:rFonts w:ascii="Tahoma" w:eastAsia="Tahoma" w:hAnsi="Tahoma"/>
                                <w:color w:val="BF5B1F"/>
                                <w:spacing w:val="18"/>
                                <w:w w:val="95"/>
                                <w:sz w:val="38"/>
                              </w:rPr>
                            </w:pPr>
                            <w:r>
                              <w:rPr>
                                <w:rFonts w:ascii="Tahoma" w:eastAsia="Tahoma" w:hAnsi="Tahoma"/>
                                <w:color w:val="BF5B1F"/>
                                <w:spacing w:val="18"/>
                                <w:w w:val="95"/>
                                <w:sz w:val="38"/>
                              </w:rPr>
                              <w:t>NEW ZEALAND YOUTH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2F99F" id="Text Box 252" o:spid="_x0000_s1292" type="#_x0000_t202" style="position:absolute;margin-left:66.7pt;margin-top:77.4pt;width:320.9pt;height:44.6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8NH8QEAAMMDAAAOAAAAZHJzL2Uyb0RvYy54bWysU9uO0zAQfUfiHyy/07TZtqCo6WrZ1SKk&#10;hUXa5QOmjtNYJB4zdpuUr2fsNGWBN8SLNZ7L8Zkz48310LXiqMkbtKVczOZSaKuwMnZfyq/P92/e&#10;SeED2ApatLqUJ+3l9fb1q03vCp1jg22lSTCI9UXvStmE4Ios86rRHfgZOm05WCN1EPhK+6wi6Bm9&#10;a7N8Pl9nPVLlCJX2nr13Y1BuE35daxUe69rrINpSMreQTkrnLp7ZdgPFnsA1Rp1pwD+w6MBYfvQC&#10;dQcBxIHMX1CdUYQe6zBT2GVY10bp1AN3s5j/0c1TA06nXlgc7y4y+f8Hqz4fv5AwVSlXVwspLHQ8&#10;pGc9BPEeB5Gv8qhQ73zBiU+OU8PAAZ506ta7B1TfvLB424Dd6xsi7BsNFTNcxMrsRemI4yPIrv+E&#10;FT8Eh4AJaKipi/KxIILReVKny3QiGcXO5fztannFIcWx1Xq9zNP4Miimakc+fNDYiWiUknj6CR2O&#10;Dz5ENlBMKfExi/embdMGtPY3BydGT2IfCY/Uw7AbklT5ej3JssPqxA0RjpvFP4GNBumHFD1vVSn9&#10;9wOQlqL9aFmUuIKTQZOxmwywiktLGaQYzdswrurBkdk3jDzKbvGGhatN6ikqPLI4E+ZNSa2etzqu&#10;4st7yvr197Y/AQAA//8DAFBLAwQUAAYACAAAACEAJSrL1t8AAAALAQAADwAAAGRycy9kb3ducmV2&#10;LnhtbEyPy07DMBBF90j8gzVI7KhNmr5CnKpCsEJCpGHB0ondxGo8DrHbhr9nWJXdXM3RfeTbyfXs&#10;bMZgPUp4nAlgBhuvLbYSPqvXhzWwEBVq1Xs0En5MgG1xe5OrTPsLlua8jy0jEwyZktDFOGSch6Yz&#10;ToWZHwzS7+BHpyLJseV6VBcydz1PhFhypyxSQqcG89yZ5rg/OQm7Lyxf7Pd7/VEeSltVG4Fvy6OU&#10;93fT7glYNFO8wvBXn6pDQZ1qf0IdWE96Pk8JpWOR0gYiVqtFAqyWkKSpAF7k/P+G4hcAAP//AwBQ&#10;SwECLQAUAAYACAAAACEAtoM4kv4AAADhAQAAEwAAAAAAAAAAAAAAAAAAAAAAW0NvbnRlbnRfVHlw&#10;ZXNdLnhtbFBLAQItABQABgAIAAAAIQA4/SH/1gAAAJQBAAALAAAAAAAAAAAAAAAAAC8BAABfcmVs&#10;cy8ucmVsc1BLAQItABQABgAIAAAAIQBF98NH8QEAAMMDAAAOAAAAAAAAAAAAAAAAAC4CAABkcnMv&#10;ZTJvRG9jLnhtbFBLAQItABQABgAIAAAAIQAlKsvW3wAAAAsBAAAPAAAAAAAAAAAAAAAAAEsEAABk&#10;cnMvZG93bnJldi54bWxQSwUGAAAAAAQABADzAAAAVwUAAAAA&#10;" filled="f" stroked="f">
                <v:textbox inset="0,0,0,0">
                  <w:txbxContent>
                    <w:p w14:paraId="6D3A7B12"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7790420B" w14:textId="77777777" w:rsidR="00490F33" w:rsidRDefault="00490F33">
                      <w:pPr>
                        <w:spacing w:line="443" w:lineRule="exact"/>
                        <w:textAlignment w:val="baseline"/>
                        <w:rPr>
                          <w:rFonts w:ascii="Tahoma" w:eastAsia="Tahoma" w:hAnsi="Tahoma"/>
                          <w:color w:val="BF5B1F"/>
                          <w:spacing w:val="18"/>
                          <w:w w:val="95"/>
                          <w:sz w:val="38"/>
                        </w:rPr>
                      </w:pPr>
                      <w:r>
                        <w:rPr>
                          <w:rFonts w:ascii="Tahoma" w:eastAsia="Tahoma" w:hAnsi="Tahoma"/>
                          <w:color w:val="BF5B1F"/>
                          <w:spacing w:val="18"/>
                          <w:w w:val="95"/>
                          <w:sz w:val="38"/>
                        </w:rPr>
                        <w:t>NEW ZEALAND YOUTH GUARANTEE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1888" behindDoc="1" locked="0" layoutInCell="1" allowOverlap="1" wp14:anchorId="26121356" wp14:editId="1E7C9EEA">
                <wp:simplePos x="0" y="0"/>
                <wp:positionH relativeFrom="page">
                  <wp:posOffset>905510</wp:posOffset>
                </wp:positionH>
                <wp:positionV relativeFrom="page">
                  <wp:posOffset>1717675</wp:posOffset>
                </wp:positionV>
                <wp:extent cx="5717540" cy="448945"/>
                <wp:effectExtent l="0" t="0" r="0" b="0"/>
                <wp:wrapSquare wrapText="bothSides"/>
                <wp:docPr id="53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39961" w14:textId="77777777" w:rsidR="00490F33" w:rsidRDefault="00490F33">
                            <w:pPr>
                              <w:spacing w:line="231" w:lineRule="exact"/>
                              <w:textAlignment w:val="baseline"/>
                              <w:rPr>
                                <w:rFonts w:ascii="Tahoma" w:eastAsia="Tahoma" w:hAnsi="Tahoma"/>
                                <w:color w:val="414042"/>
                                <w:spacing w:val="5"/>
                                <w:sz w:val="18"/>
                              </w:rPr>
                            </w:pPr>
                            <w:r>
                              <w:rPr>
                                <w:rFonts w:ascii="Tahoma" w:eastAsia="Tahoma" w:hAnsi="Tahoma"/>
                                <w:color w:val="414042"/>
                                <w:spacing w:val="5"/>
                                <w:sz w:val="18"/>
                              </w:rPr>
                              <w:t>The New Zealand Youth Guarantee is a suite of initiatives that focus on improving the transitions of young people who are at risk of disengaging from education and leaving school without any qualifications. Key initiatives include: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21356" id="Text Box 251" o:spid="_x0000_s1293" type="#_x0000_t202" style="position:absolute;margin-left:71.3pt;margin-top:135.25pt;width:450.2pt;height:35.3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Q+8AEAAMMDAAAOAAAAZHJzL2Uyb0RvYy54bWysU21v0zAQ/o7Ef7D8naYtzTqiptPYNIQ0&#10;BtLGD3Acp7GIfebsNim/nrPTlI19Q3yxzvfy+LnnzpurwXTsoNBrsCVfzOacKSuh1nZX8u9Pd+8u&#10;OfNB2Fp0YFXJj8rzq+3bN5veFWoJLXS1QkYg1he9K3kbgiuyzMtWGeFn4JSlYANoRKAr7rIaRU/o&#10;psuW8/lF1gPWDkEq78l7Owb5NuE3jZLha9N4FVhXcuIW0onprOKZbTei2KFwrZYnGuIfWBihLT16&#10;hroVQbA96ldQRksED02YSTAZNI2WKvVA3Szmf3Xz2AqnUi8kjndnmfz/g5UPh2/IdF3y/D3pY4Wh&#10;IT2pIbCPMLBlvogK9c4XlPjoKDUMFKBJp269uwf5wzMLN62wO3WNCH2rRE0MU2X2rHTE8RGk6r9A&#10;TQ+JfYAENDRoonwkCCN0YnI8TyeSkeTM14t1vqKQpNhqdflhlUdymSimaoc+fFJgWDRKjjT9hC4O&#10;9z6MqVNKfMzCne66tAGdfeEgzOhJ7CPhkXoYqiFJtbxYT7JUUB+pIYRxs+gnkNEC/uKsp60quf+5&#10;F6g46z5bEiWu4GTgZFSTIayk0pIHzkbzJoyruneody0hj7JbuCbhGp16igqPLE6EaVOSKqetjqv4&#10;/J6y/vy97W8AAAD//wMAUEsDBBQABgAIAAAAIQByNV2C4AAAAAwBAAAPAAAAZHJzL2Rvd25yZXYu&#10;eG1sTI/BTsMwEETvSPyDtUjcqN00BAhxqgrBCQk1DQeOTuwmVuN1iN02/D3bExxH+zT7pljPbmAn&#10;MwXrUcJyIYAZbL222En4rN/uHoGFqFCrwaOR8GMCrMvrq0Ll2p+xMqdd7BiVYMiVhD7GMec8tL1x&#10;Kiz8aJBuez85FSlOHdeTOlO5G3giRMadskgfejWal960h93RSdh8YfVqvz+abbWvbF0/CXzPDlLe&#10;3sybZ2DRzPEPhos+qUNJTo0/og5soJwmGaESkgdxD+xCiHRF8xoJq3SZAC8L/n9E+QsAAP//AwBQ&#10;SwECLQAUAAYACAAAACEAtoM4kv4AAADhAQAAEwAAAAAAAAAAAAAAAAAAAAAAW0NvbnRlbnRfVHlw&#10;ZXNdLnhtbFBLAQItABQABgAIAAAAIQA4/SH/1gAAAJQBAAALAAAAAAAAAAAAAAAAAC8BAABfcmVs&#10;cy8ucmVsc1BLAQItABQABgAIAAAAIQBVrCQ+8AEAAMMDAAAOAAAAAAAAAAAAAAAAAC4CAABkcnMv&#10;ZTJvRG9jLnhtbFBLAQItABQABgAIAAAAIQByNV2C4AAAAAwBAAAPAAAAAAAAAAAAAAAAAEoEAABk&#10;cnMvZG93bnJldi54bWxQSwUGAAAAAAQABADzAAAAVwUAAAAA&#10;" filled="f" stroked="f">
                <v:textbox inset="0,0,0,0">
                  <w:txbxContent>
                    <w:p w14:paraId="3AC39961" w14:textId="77777777" w:rsidR="00490F33" w:rsidRDefault="00490F33">
                      <w:pPr>
                        <w:spacing w:line="231" w:lineRule="exact"/>
                        <w:textAlignment w:val="baseline"/>
                        <w:rPr>
                          <w:rFonts w:ascii="Tahoma" w:eastAsia="Tahoma" w:hAnsi="Tahoma"/>
                          <w:color w:val="414042"/>
                          <w:spacing w:val="5"/>
                          <w:sz w:val="18"/>
                        </w:rPr>
                      </w:pPr>
                      <w:r>
                        <w:rPr>
                          <w:rFonts w:ascii="Tahoma" w:eastAsia="Tahoma" w:hAnsi="Tahoma"/>
                          <w:color w:val="414042"/>
                          <w:spacing w:val="5"/>
                          <w:sz w:val="18"/>
                        </w:rPr>
                        <w:t>The New Zealand Youth Guarantee is a suite of initiatives that focus on improving the transitions of young people who are at risk of disengaging from education and leaving school without any qualifications. Key initiatives include: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2912" behindDoc="1" locked="0" layoutInCell="1" allowOverlap="1" wp14:anchorId="2DE9343A" wp14:editId="668557E8">
                <wp:simplePos x="0" y="0"/>
                <wp:positionH relativeFrom="page">
                  <wp:posOffset>914400</wp:posOffset>
                </wp:positionH>
                <wp:positionV relativeFrom="page">
                  <wp:posOffset>2278380</wp:posOffset>
                </wp:positionV>
                <wp:extent cx="5706110" cy="455930"/>
                <wp:effectExtent l="0" t="0" r="0" b="0"/>
                <wp:wrapSquare wrapText="bothSides"/>
                <wp:docPr id="52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CF97E" w14:textId="77777777" w:rsidR="00490F33" w:rsidRDefault="00490F33">
                            <w:pPr>
                              <w:spacing w:line="239" w:lineRule="exact"/>
                              <w:ind w:left="144" w:hanging="144"/>
                              <w:textAlignment w:val="baseline"/>
                              <w:rPr>
                                <w:rFonts w:ascii="Tahoma" w:eastAsia="Tahoma" w:hAnsi="Tahoma"/>
                                <w:color w:val="414042"/>
                                <w:sz w:val="18"/>
                              </w:rPr>
                            </w:pPr>
                            <w:r>
                              <w:rPr>
                                <w:rFonts w:ascii="Tahoma" w:eastAsia="Tahoma" w:hAnsi="Tahoma"/>
                                <w:color w:val="414042"/>
                                <w:sz w:val="18"/>
                              </w:rPr>
                              <w:t xml:space="preserve">1. </w:t>
                            </w:r>
                            <w:r>
                              <w:rPr>
                                <w:rFonts w:ascii="Arial" w:eastAsia="Arial" w:hAnsi="Arial"/>
                                <w:b/>
                                <w:color w:val="414042"/>
                                <w:sz w:val="19"/>
                              </w:rPr>
                              <w:t xml:space="preserve">The Youth Guarantee Fund </w:t>
                            </w:r>
                            <w:r>
                              <w:rPr>
                                <w:rFonts w:ascii="Tahoma" w:eastAsia="Tahoma" w:hAnsi="Tahoma"/>
                                <w:color w:val="414042"/>
                                <w:sz w:val="18"/>
                              </w:rPr>
                              <w:t>– provides fee-free tertiary education for students aged 16 to 19 who have low or no prior qualification achievement. Courses often have a vocational focus and students study towards the National Certificate of Educational Achievement (NCEA) or equivalent.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9343A" id="Text Box 250" o:spid="_x0000_s1294" type="#_x0000_t202" style="position:absolute;margin-left:1in;margin-top:179.4pt;width:449.3pt;height:35.9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0/T8gEAAMMDAAAOAAAAZHJzL2Uyb0RvYy54bWysU1Fv0zAQfkfiP1h+p2kDLVvUdBqbhpDG&#10;QNr4ARfHaSwSnzm7Tcqv5+y03YA3xIt19p0/f9935/XV2Hdir8kbtKVczOZSaKuwNnZbym9Pd28u&#10;pPABbA0dWl3Kg/byavP61Xpwhc6xxa7WJBjE+mJwpWxDcEWWedXqHvwMnbacbJB6CLylbVYTDIze&#10;d1k+n6+yAal2hEp7z6e3U1JuEn7TaBW+NI3XQXSlZG4hrZTWKq7ZZg3FlsC1Rh1pwD+w6MFYfvQM&#10;dQsBxI7MX1C9UYQemzBT2GfYNEbppIHVLOZ/qHlswemkhc3x7myT/3+w6mH/lYSpS7nML6Ww0HOT&#10;nvQYxAccRb5MDg3OF1z46Lg0jJzgTie13t2j+u6FxZsW7FZfE+HQaqiZ4SJ6m724GnviCx9BquEz&#10;1vwQ7AImoLGhPtrHhghG504dzt2JZBQfLt/PV4sFpxTn3i2Xl28TuQyK021HPnzU2IsYlJK4+wkd&#10;9vc+RDZQnEriYxbvTNelCejsbwdcGE8S+0h4oh7GakxW5auLKC7KqbA+sCDCabL4J3DQIv2UYuCp&#10;KqX/sQPSUnSfLJsSR/AU0CmoTgFYxVdLGaSYwpswjerOkdm2jDzZbvGajWtM0vTM4kiYJyVJPU51&#10;HMWX+1T1/Pc2vwAAAP//AwBQSwMEFAAGAAgAAAAhAKkkeVDgAAAADAEAAA8AAABkcnMvZG93bnJl&#10;di54bWxMj8FOwzAQRO9I/IO1SNyoTRuiEuJUFYITEiINB45Osk2sxusQu234e7YnOI52NPtevpnd&#10;IE44BetJw/1CgUBqfGup0/BZvd6tQYRoqDWDJ9TwgwE2xfVVbrLWn6nE0y52gkcoZEZDH+OYSRma&#10;Hp0JCz8i8W3vJ2cix6mT7WTOPO4GuVQqlc5Y4g+9GfG5x+awOzoN2y8qX+z3e/1R7ktbVY+K3tKD&#10;1rc38/YJRMQ5/pXhgs/oUDBT7Y/UBjFwThJ2iRpWD2t2uDRUskxB1BqSlUpBFrn8L1H8AgAA//8D&#10;AFBLAQItABQABgAIAAAAIQC2gziS/gAAAOEBAAATAAAAAAAAAAAAAAAAAAAAAABbQ29udGVudF9U&#10;eXBlc10ueG1sUEsBAi0AFAAGAAgAAAAhADj9If/WAAAAlAEAAAsAAAAAAAAAAAAAAAAALwEAAF9y&#10;ZWxzLy5yZWxzUEsBAi0AFAAGAAgAAAAhANe3T9PyAQAAwwMAAA4AAAAAAAAAAAAAAAAALgIAAGRy&#10;cy9lMm9Eb2MueG1sUEsBAi0AFAAGAAgAAAAhAKkkeVDgAAAADAEAAA8AAAAAAAAAAAAAAAAATAQA&#10;AGRycy9kb3ducmV2LnhtbFBLBQYAAAAABAAEAPMAAABZBQAAAAA=&#10;" filled="f" stroked="f">
                <v:textbox inset="0,0,0,0">
                  <w:txbxContent>
                    <w:p w14:paraId="35CCF97E" w14:textId="77777777" w:rsidR="00490F33" w:rsidRDefault="00490F33">
                      <w:pPr>
                        <w:spacing w:line="239" w:lineRule="exact"/>
                        <w:ind w:left="144" w:hanging="144"/>
                        <w:textAlignment w:val="baseline"/>
                        <w:rPr>
                          <w:rFonts w:ascii="Tahoma" w:eastAsia="Tahoma" w:hAnsi="Tahoma"/>
                          <w:color w:val="414042"/>
                          <w:sz w:val="18"/>
                        </w:rPr>
                      </w:pPr>
                      <w:r>
                        <w:rPr>
                          <w:rFonts w:ascii="Tahoma" w:eastAsia="Tahoma" w:hAnsi="Tahoma"/>
                          <w:color w:val="414042"/>
                          <w:sz w:val="18"/>
                        </w:rPr>
                        <w:t xml:space="preserve">1. </w:t>
                      </w:r>
                      <w:r>
                        <w:rPr>
                          <w:rFonts w:ascii="Arial" w:eastAsia="Arial" w:hAnsi="Arial"/>
                          <w:b/>
                          <w:color w:val="414042"/>
                          <w:sz w:val="19"/>
                        </w:rPr>
                        <w:t xml:space="preserve">The Youth Guarantee Fund </w:t>
                      </w:r>
                      <w:r>
                        <w:rPr>
                          <w:rFonts w:ascii="Tahoma" w:eastAsia="Tahoma" w:hAnsi="Tahoma"/>
                          <w:color w:val="414042"/>
                          <w:sz w:val="18"/>
                        </w:rPr>
                        <w:t>– provides fee-free tertiary education for students aged 16 to 19 who have low or no prior qualification achievement. Courses often have a vocational focus and students study towards the National Certificate of Educational Achievement (NCEA) or equivalent.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3936" behindDoc="1" locked="0" layoutInCell="1" allowOverlap="1" wp14:anchorId="248A3A05" wp14:editId="65E0AA61">
                <wp:simplePos x="0" y="0"/>
                <wp:positionH relativeFrom="page">
                  <wp:posOffset>908050</wp:posOffset>
                </wp:positionH>
                <wp:positionV relativeFrom="page">
                  <wp:posOffset>2845435</wp:posOffset>
                </wp:positionV>
                <wp:extent cx="5084445" cy="452755"/>
                <wp:effectExtent l="0" t="0" r="0" b="0"/>
                <wp:wrapSquare wrapText="bothSides"/>
                <wp:docPr id="528"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44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659C8" w14:textId="77777777" w:rsidR="00490F33" w:rsidRDefault="00490F33">
                            <w:pPr>
                              <w:numPr>
                                <w:ilvl w:val="0"/>
                                <w:numId w:val="24"/>
                              </w:numPr>
                              <w:spacing w:line="234" w:lineRule="exact"/>
                              <w:ind w:left="216" w:hanging="216"/>
                              <w:textAlignment w:val="baseline"/>
                              <w:rPr>
                                <w:rFonts w:ascii="Arial" w:eastAsia="Arial" w:hAnsi="Arial"/>
                                <w:b/>
                                <w:color w:val="414042"/>
                                <w:sz w:val="19"/>
                              </w:rPr>
                            </w:pPr>
                            <w:r>
                              <w:rPr>
                                <w:rFonts w:ascii="Arial" w:eastAsia="Arial" w:hAnsi="Arial"/>
                                <w:b/>
                                <w:color w:val="414042"/>
                                <w:sz w:val="19"/>
                              </w:rPr>
                              <w:t xml:space="preserve">Secondary to tertiary programs </w:t>
                            </w:r>
                            <w:r>
                              <w:rPr>
                                <w:rFonts w:ascii="Tahoma" w:eastAsia="Tahoma" w:hAnsi="Tahoma"/>
                                <w:color w:val="414042"/>
                                <w:sz w:val="18"/>
                              </w:rPr>
                              <w:t>(i.e. trades academies) – enable secondary students to combine school and tertiary study to gain skills and knowledge across a range of trades and technology-related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A3A05" id="Text Box 249" o:spid="_x0000_s1295" type="#_x0000_t202" style="position:absolute;margin-left:71.5pt;margin-top:224.05pt;width:400.35pt;height:35.6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76g8QEAAMMDAAAOAAAAZHJzL2Uyb0RvYy54bWysU8Fu2zAMvQ/YPwi6L06MuOuMOEXXosOA&#10;bh3Q7gMYWY6F2aJGKbGzrx8lJ1m33opdBIqkHh8fqdXV2Hdir8kbtJVczOZSaKuwNnZbye9Pd+8u&#10;pfABbA0dWl3Jg/byav32zWpwpc6xxa7WJBjE+nJwlWxDcGWWedXqHvwMnbYcbJB6CHylbVYTDIze&#10;d1k+n19kA1LtCJX2nr23U1CuE37TaBUemsbrILpKMreQTkrnJp7ZegXllsC1Rh1pwCtY9GAsFz1D&#10;3UIAsSPzAqo3itBjE2YK+wybxiideuBuFvN/unlswenUC4vj3Vkm//9g1df9NxKmrmSR86gs9Dyk&#10;Jz0G8RFHkS8/RIUG50tOfHScGkYO8KRTt97do/rhhcWbFuxWXxPh0GqomeEivsyePZ1wfATZDF+w&#10;5kKwC5iAxob6KB8LIhidJ3U4TyeSUews5pfL5bKQQnFsWeTviyKVgPL02pEPnzT2IhqVJJ5+Qof9&#10;vQ+RDZSnlFjM4p3purQBnf3LwYnRk9hHwhP1MG7GJFV+cZZlg/WBGyKcNot/Ahst0i8pBt6qSvqf&#10;OyAtRffZsihxBU8GnYzNyQCr+GklgxSTeROmVd05MtuWkSfZLV6zcI1JPUWFJxZHwrwpqdXjVsdV&#10;fH5PWX/+3vo3AAAA//8DAFBLAwQUAAYACAAAACEAHdlM9+AAAAALAQAADwAAAGRycy9kb3ducmV2&#10;LnhtbEyPMU/DMBSEdyT+g/WQ2KgTakoT4lQVggkJNQ0DoxO7idX4OcRuG/49jwnG053uvis2sxvY&#10;2UzBepSQLhJgBluvLXYSPurXuzWwEBVqNXg0Er5NgE15fVWoXPsLVua8jx2jEgy5ktDHOOach7Y3&#10;ToWFHw2Sd/CTU5Hk1HE9qQuVu4HfJ8mKO2WRFno1mufetMf9yUnYfmL1Yr/em111qGxdZwm+rY5S&#10;3t7M2ydg0czxLwy/+IQOJTE1/oQ6sIG0WNKXKEGIdQqMEplYPgJrJDykmQBeFvz/h/IHAAD//wMA&#10;UEsBAi0AFAAGAAgAAAAhALaDOJL+AAAA4QEAABMAAAAAAAAAAAAAAAAAAAAAAFtDb250ZW50X1R5&#10;cGVzXS54bWxQSwECLQAUAAYACAAAACEAOP0h/9YAAACUAQAACwAAAAAAAAAAAAAAAAAvAQAAX3Jl&#10;bHMvLnJlbHNQSwECLQAUAAYACAAAACEATCO+oPEBAADDAwAADgAAAAAAAAAAAAAAAAAuAgAAZHJz&#10;L2Uyb0RvYy54bWxQSwECLQAUAAYACAAAACEAHdlM9+AAAAALAQAADwAAAAAAAAAAAAAAAABLBAAA&#10;ZHJzL2Rvd25yZXYueG1sUEsFBgAAAAAEAAQA8wAAAFgFAAAAAA==&#10;" filled="f" stroked="f">
                <v:textbox inset="0,0,0,0">
                  <w:txbxContent>
                    <w:p w14:paraId="02B659C8" w14:textId="77777777" w:rsidR="00490F33" w:rsidRDefault="00490F33">
                      <w:pPr>
                        <w:numPr>
                          <w:ilvl w:val="0"/>
                          <w:numId w:val="24"/>
                        </w:numPr>
                        <w:spacing w:line="234" w:lineRule="exact"/>
                        <w:ind w:left="216" w:hanging="216"/>
                        <w:textAlignment w:val="baseline"/>
                        <w:rPr>
                          <w:rFonts w:ascii="Arial" w:eastAsia="Arial" w:hAnsi="Arial"/>
                          <w:b/>
                          <w:color w:val="414042"/>
                          <w:sz w:val="19"/>
                        </w:rPr>
                      </w:pPr>
                      <w:r>
                        <w:rPr>
                          <w:rFonts w:ascii="Arial" w:eastAsia="Arial" w:hAnsi="Arial"/>
                          <w:b/>
                          <w:color w:val="414042"/>
                          <w:sz w:val="19"/>
                        </w:rPr>
                        <w:t xml:space="preserve">Secondary to tertiary programs </w:t>
                      </w:r>
                      <w:r>
                        <w:rPr>
                          <w:rFonts w:ascii="Tahoma" w:eastAsia="Tahoma" w:hAnsi="Tahoma"/>
                          <w:color w:val="414042"/>
                          <w:sz w:val="18"/>
                        </w:rPr>
                        <w:t>(i.e. trades academies) – enable secondary students to combine school and tertiary study to gain skills and knowledge across a range of trades and technology-related areas.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4960" behindDoc="1" locked="0" layoutInCell="1" allowOverlap="1" wp14:anchorId="76F53FE6" wp14:editId="39A153A4">
                <wp:simplePos x="0" y="0"/>
                <wp:positionH relativeFrom="page">
                  <wp:posOffset>908050</wp:posOffset>
                </wp:positionH>
                <wp:positionV relativeFrom="page">
                  <wp:posOffset>3409315</wp:posOffset>
                </wp:positionV>
                <wp:extent cx="5562600" cy="757555"/>
                <wp:effectExtent l="0" t="0" r="0" b="0"/>
                <wp:wrapSquare wrapText="bothSides"/>
                <wp:docPr id="52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5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27BE7" w14:textId="77777777" w:rsidR="00490F33" w:rsidRDefault="00490F33">
                            <w:pPr>
                              <w:numPr>
                                <w:ilvl w:val="0"/>
                                <w:numId w:val="24"/>
                              </w:numPr>
                              <w:spacing w:line="236" w:lineRule="exact"/>
                              <w:ind w:left="216" w:hanging="216"/>
                              <w:textAlignment w:val="baseline"/>
                              <w:rPr>
                                <w:rFonts w:ascii="Arial" w:eastAsia="Arial" w:hAnsi="Arial"/>
                                <w:b/>
                                <w:color w:val="414042"/>
                                <w:spacing w:val="5"/>
                                <w:sz w:val="19"/>
                              </w:rPr>
                            </w:pPr>
                            <w:r>
                              <w:rPr>
                                <w:rFonts w:ascii="Arial" w:eastAsia="Arial" w:hAnsi="Arial"/>
                                <w:b/>
                                <w:color w:val="414042"/>
                                <w:spacing w:val="5"/>
                                <w:sz w:val="19"/>
                              </w:rPr>
                              <w:t xml:space="preserve">Vocational pathways </w:t>
                            </w:r>
                            <w:r>
                              <w:rPr>
                                <w:rFonts w:ascii="Tahoma" w:eastAsia="Tahoma" w:hAnsi="Tahoma"/>
                                <w:color w:val="414042"/>
                                <w:spacing w:val="5"/>
                                <w:sz w:val="18"/>
                              </w:rPr>
                              <w:t>– students can see how their learning is valued in the real world by aligning standards that can be achieved through the NCEA in six different broad industries. This helps employers to easily see how a potential employee’s skills and knowledge match with their industry. Students can achieve a Vocational Pathways Award, together with their NCEA. Students can then use the pathways to choose university entrance subjects.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53FE6" id="Text Box 248" o:spid="_x0000_s1296" type="#_x0000_t202" style="position:absolute;margin-left:71.5pt;margin-top:268.45pt;width:438pt;height:59.6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e8AEAAMMDAAAOAAAAZHJzL2Uyb0RvYy54bWysU8Fu2zAMvQ/YPwi6L06MOSmMOEXXosOA&#10;bivQ7gMYWY6F2aJGKbGzrx8lJ2m33YZdBEqknt57pNbXY9+JgyZv0FZyMZtLoa3C2thdJb8937+7&#10;ksIHsDV0aHUlj9rL683bN+vBlTrHFrtak2AQ68vBVbINwZVZ5lWre/AzdNpyskHqIfCWdllNMDB6&#10;32X5fL7MBqTaESrtPZ/eTUm5SfhNo1X42jReB9FVkrmFtFJat3HNNmsodwSuNepEA/6BRQ/G8qMX&#10;qDsIIPZk/oLqjSL02ISZwj7DpjFKJw2sZjH/Q81TC04nLWyOdxeb/P+DVV8OjyRMXckiX0lhoecm&#10;PesxiA84ivz9VXRocL7kwifHpWHkBHc6qfXuAdV3LyzetmB3+oYIh1ZDzQwX8Wb26uqE4yPIdviM&#10;NT8E+4AJaGyoj/axIYLRuVPHS3ciGcWHRbHMl3NOKc6tilVRFOkJKM+3HfnwUWMvYlBJ4u4ndDg8&#10;+BDZQHkuiY9ZvDddlyags78dcGE8Sewj4Yl6GLdjsipfpcGJ2rZYH1kQ4TRZ/BM4aJF+SjHwVFXS&#10;/9gDaSm6T5ZNiSN4DugcbM8BWMVXKxmkmMLbMI3q3pHZtYw82W7xho1rTNL0wuJEmCclST1NdRzF&#10;1/tU9fL3Nr8AAAD//wMAUEsDBBQABgAIAAAAIQCvrE424QAAAAwBAAAPAAAAZHJzL2Rvd25yZXYu&#10;eG1sTI/BTsMwEETvSPyDtZW4UbstjUgap6oQnJAQaThwdGI3sRqvQ+y24e/ZnspxZkezb/Lt5Hp2&#10;NmOwHiUs5gKYwcZri62Er+rt8RlYiAq16j0aCb8mwLa4v8tVpv0FS3Pex5ZRCYZMSehiHDLOQ9MZ&#10;p8LcDwbpdvCjU5Hk2HI9qguVu54vhUi4UxbpQ6cG89KZ5rg/OQm7byxf7c9H/VkeSltVqcD35Cjl&#10;w2zabYBFM8VbGK74hA4FMdX+hDqwnvTTirZECetVkgK7JsQiJauWkKyTJfAi5/9HFH8AAAD//wMA&#10;UEsBAi0AFAAGAAgAAAAhALaDOJL+AAAA4QEAABMAAAAAAAAAAAAAAAAAAAAAAFtDb250ZW50X1R5&#10;cGVzXS54bWxQSwECLQAUAAYACAAAACEAOP0h/9YAAACUAQAACwAAAAAAAAAAAAAAAAAvAQAAX3Jl&#10;bHMvLnJlbHNQSwECLQAUAAYACAAAACEAP5Is3vABAADDAwAADgAAAAAAAAAAAAAAAAAuAgAAZHJz&#10;L2Uyb0RvYy54bWxQSwECLQAUAAYACAAAACEAr6xONuEAAAAMAQAADwAAAAAAAAAAAAAAAABKBAAA&#10;ZHJzL2Rvd25yZXYueG1sUEsFBgAAAAAEAAQA8wAAAFgFAAAAAA==&#10;" filled="f" stroked="f">
                <v:textbox inset="0,0,0,0">
                  <w:txbxContent>
                    <w:p w14:paraId="77F27BE7" w14:textId="77777777" w:rsidR="00490F33" w:rsidRDefault="00490F33">
                      <w:pPr>
                        <w:numPr>
                          <w:ilvl w:val="0"/>
                          <w:numId w:val="24"/>
                        </w:numPr>
                        <w:spacing w:line="236" w:lineRule="exact"/>
                        <w:ind w:left="216" w:hanging="216"/>
                        <w:textAlignment w:val="baseline"/>
                        <w:rPr>
                          <w:rFonts w:ascii="Arial" w:eastAsia="Arial" w:hAnsi="Arial"/>
                          <w:b/>
                          <w:color w:val="414042"/>
                          <w:spacing w:val="5"/>
                          <w:sz w:val="19"/>
                        </w:rPr>
                      </w:pPr>
                      <w:r>
                        <w:rPr>
                          <w:rFonts w:ascii="Arial" w:eastAsia="Arial" w:hAnsi="Arial"/>
                          <w:b/>
                          <w:color w:val="414042"/>
                          <w:spacing w:val="5"/>
                          <w:sz w:val="19"/>
                        </w:rPr>
                        <w:t xml:space="preserve">Vocational pathways </w:t>
                      </w:r>
                      <w:r>
                        <w:rPr>
                          <w:rFonts w:ascii="Tahoma" w:eastAsia="Tahoma" w:hAnsi="Tahoma"/>
                          <w:color w:val="414042"/>
                          <w:spacing w:val="5"/>
                          <w:sz w:val="18"/>
                        </w:rPr>
                        <w:t>– students can see how their learning is valued in the real world by aligning standards that can be achieved through the NCEA in six different broad industries. This helps employers to easily see how a potential employee’s skills and knowledge match with their industry. Students can achieve a Vocational Pathways Award, together with their NCEA. Students can then use the pathways to choose university entrance subjects.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5984" behindDoc="1" locked="0" layoutInCell="1" allowOverlap="1" wp14:anchorId="7D12826E" wp14:editId="4A22BD95">
                <wp:simplePos x="0" y="0"/>
                <wp:positionH relativeFrom="page">
                  <wp:posOffset>905510</wp:posOffset>
                </wp:positionH>
                <wp:positionV relativeFrom="page">
                  <wp:posOffset>5996940</wp:posOffset>
                </wp:positionV>
                <wp:extent cx="5589905" cy="449580"/>
                <wp:effectExtent l="0" t="0" r="0" b="0"/>
                <wp:wrapSquare wrapText="bothSides"/>
                <wp:docPr id="526"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63B27" w14:textId="77777777" w:rsidR="00490F33" w:rsidRDefault="00490F33">
                            <w:pPr>
                              <w:spacing w:line="236" w:lineRule="exact"/>
                              <w:textAlignment w:val="baseline"/>
                              <w:rPr>
                                <w:rFonts w:ascii="Tahoma" w:eastAsia="Tahoma" w:hAnsi="Tahoma"/>
                                <w:color w:val="414042"/>
                                <w:sz w:val="18"/>
                              </w:rPr>
                            </w:pPr>
                            <w:r>
                              <w:rPr>
                                <w:rFonts w:ascii="Tahoma" w:eastAsia="Tahoma" w:hAnsi="Tahoma"/>
                                <w:color w:val="414042"/>
                                <w:sz w:val="18"/>
                              </w:rPr>
                              <w:t>The key focus is to improve the transition from school to work by providing a wider range of learning opportunities, making better use of the education network, and creating clear pathways from school to work and further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2826E" id="Text Box 247" o:spid="_x0000_s1297" type="#_x0000_t202" style="position:absolute;margin-left:71.3pt;margin-top:472.2pt;width:440.15pt;height:35.4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QA8gEAAMMDAAAOAAAAZHJzL2Uyb0RvYy54bWysU9tu2zAMfR+wfxD0vtgJkjYx4hRdiw4D&#10;ugvQ7gMYWY6F2aJGKbGzrx8lJ2m3vQ17ESiKOjrnkFrfDF0rDpq8QVvK6SSXQluFlbG7Un57fni3&#10;lMIHsBW0aHUpj9rLm83bN+veFXqGDbaVJsEg1he9K2UTgiuyzKtGd+An6LTlwxqpg8Bb2mUVQc/o&#10;XZvN8vwq65EqR6i095y9Hw/lJuHXtVbhS117HURbSuYW0kpp3cY126yh2BG4xqgTDfgHFh0Yy49e&#10;oO4hgNiT+QuqM4rQYx0mCrsM69oonTSwmmn+h5qnBpxOWtgc7y42+f8Hqz4fvpIwVSkXsyspLHTc&#10;pGc9BPEeBzGbX0eHeucLLnxyXBoGPuBOJ7XePaL67oXFuwbsTt8SYd9oqJjhNN7MXl0dcXwE2faf&#10;sOKHYB8wAQ01ddE+NkQwOnfqeOlOJKM4uVgsV6t8IYXis/l8tVim9mVQnG878uGDxk7EoJTE3U/o&#10;cHj0IbKB4lwSH7P4YNo2TUBrf0twYcwk9pHwSD0M2yFZNbtO4qK2LVZHFkQ4Thb/BA4apJ9S9DxV&#10;pfQ/9kBaivajZVPiCJ4DOgfbcwBW8dVSBinG8C6Mo7p3ZHYNI4+2W7xl42qTNL2wOBHmSUlST1Md&#10;R/H1PlW9/L3NLwAAAP//AwBQSwMEFAAGAAgAAAAhAFSSGxngAAAADQEAAA8AAABkcnMvZG93bnJl&#10;di54bWxMj7FOwzAQhnekvoN1ldioXStEJMSpKgQTEiINA6MTu4nV+Bxitw1vjzPR7X7dp/++K3az&#10;HchFT944FLDdMCAaW6cMdgK+6reHJyA+SFRycKgF/GoPu3J1V8hcuStW+nIIHYkl6HMpoA9hzCn1&#10;ba+t9Bs3aoy7o5usDDFOHVWTvMZyO1DOWEqtNBgv9HLUL71uT4ezFbD/xurV/Hw0n9WxMnWdMXxP&#10;T0Lcr+f9M5Cg5/APw6If1aGMTo07o/JkiDnhaUQFZEmSAFkIxnkGpFmm7SMHWhb09ovyDwAA//8D&#10;AFBLAQItABQABgAIAAAAIQC2gziS/gAAAOEBAAATAAAAAAAAAAAAAAAAAAAAAABbQ29udGVudF9U&#10;eXBlc10ueG1sUEsBAi0AFAAGAAgAAAAhADj9If/WAAAAlAEAAAsAAAAAAAAAAAAAAAAALwEAAF9y&#10;ZWxzLy5yZWxzUEsBAi0AFAAGAAgAAAAhAEVgRADyAQAAwwMAAA4AAAAAAAAAAAAAAAAALgIAAGRy&#10;cy9lMm9Eb2MueG1sUEsBAi0AFAAGAAgAAAAhAFSSGxngAAAADQEAAA8AAAAAAAAAAAAAAAAATAQA&#10;AGRycy9kb3ducmV2LnhtbFBLBQYAAAAABAAEAPMAAABZBQAAAAA=&#10;" filled="f" stroked="f">
                <v:textbox inset="0,0,0,0">
                  <w:txbxContent>
                    <w:p w14:paraId="00463B27" w14:textId="77777777" w:rsidR="00490F33" w:rsidRDefault="00490F33">
                      <w:pPr>
                        <w:spacing w:line="236" w:lineRule="exact"/>
                        <w:textAlignment w:val="baseline"/>
                        <w:rPr>
                          <w:rFonts w:ascii="Tahoma" w:eastAsia="Tahoma" w:hAnsi="Tahoma"/>
                          <w:color w:val="414042"/>
                          <w:sz w:val="18"/>
                        </w:rPr>
                      </w:pPr>
                      <w:r>
                        <w:rPr>
                          <w:rFonts w:ascii="Tahoma" w:eastAsia="Tahoma" w:hAnsi="Tahoma"/>
                          <w:color w:val="414042"/>
                          <w:sz w:val="18"/>
                        </w:rPr>
                        <w:t>The key focus is to improve the transition from school to work by providing a wider range of learning opportunities, making better use of the education network, and creating clear pathways from school to work and further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7008" behindDoc="1" locked="0" layoutInCell="1" allowOverlap="1" wp14:anchorId="31CFCE47" wp14:editId="0C2948C5">
                <wp:simplePos x="0" y="0"/>
                <wp:positionH relativeFrom="page">
                  <wp:posOffset>908050</wp:posOffset>
                </wp:positionH>
                <wp:positionV relativeFrom="page">
                  <wp:posOffset>6604635</wp:posOffset>
                </wp:positionV>
                <wp:extent cx="4569460" cy="113030"/>
                <wp:effectExtent l="0" t="0" r="0" b="0"/>
                <wp:wrapSquare wrapText="bothSides"/>
                <wp:docPr id="52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946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C7578" w14:textId="77777777" w:rsidR="00490F33" w:rsidRDefault="00490F33">
                            <w:pPr>
                              <w:spacing w:before="7" w:line="161" w:lineRule="exact"/>
                              <w:textAlignment w:val="baseline"/>
                              <w:rPr>
                                <w:rFonts w:ascii="Tahoma" w:eastAsia="Tahoma" w:hAnsi="Tahoma"/>
                                <w:color w:val="000000"/>
                                <w:spacing w:val="1"/>
                                <w:sz w:val="14"/>
                              </w:rPr>
                            </w:pPr>
                            <w:r>
                              <w:rPr>
                                <w:rFonts w:ascii="Tahoma" w:eastAsia="Tahoma" w:hAnsi="Tahoma"/>
                                <w:color w:val="000000"/>
                                <w:spacing w:val="1"/>
                                <w:sz w:val="14"/>
                              </w:rPr>
                              <w:t xml:space="preserve">Source: New Zealand Ministry of Education Youth Guarantee website, </w:t>
                            </w:r>
                            <w:hyperlink r:id="rId238">
                              <w:r>
                                <w:rPr>
                                  <w:rFonts w:ascii="Tahoma" w:eastAsia="Tahoma" w:hAnsi="Tahoma"/>
                                  <w:color w:val="0000FF"/>
                                  <w:spacing w:val="1"/>
                                  <w:sz w:val="14"/>
                                  <w:u w:val="single"/>
                                </w:rPr>
                                <w:t>http://youthguarantee.education.govt.nz</w:t>
                              </w:r>
                            </w:hyperlink>
                            <w:r>
                              <w:rPr>
                                <w:rFonts w:ascii="Tahoma" w:eastAsia="Tahoma" w:hAnsi="Tahoma"/>
                                <w:color w:val="000000"/>
                                <w:spacing w:val="1"/>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FCE47" id="Text Box 246" o:spid="_x0000_s1298" type="#_x0000_t202" style="position:absolute;margin-left:71.5pt;margin-top:520.05pt;width:359.8pt;height:8.9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Z8QEAAMMDAAAOAAAAZHJzL2Uyb0RvYy54bWysU9uO0zAQfUfiHyy/07TZtkDUdLXsahHS&#10;cpF2+YCp4zQWiceM3Sbl6xk7TVngDfFijedyfObMeHM9dK04avIGbSkXs7kU2iqsjN2X8uvT/as3&#10;UvgAtoIWrS7lSXt5vX35YtO7QufYYFtpEgxifdG7UjYhuCLLvGp0B36GTlsO1kgdBL7SPqsIekbv&#10;2iyfz9dZj1Q5QqW9Z+/dGJTbhF/XWoXPde11EG0pmVtIJ6VzF89su4FiT+Aao8404B9YdGAsP3qB&#10;uoMA4kDmL6jOKEKPdZgp7DKsa6N06oG7Wcz/6OaxAadTLyyOdxeZ/P+DVZ+OX0iYqpSrfCWFhY6H&#10;9KSHIN7hIPLlOirUO19w4qPj1DBwgCeduvXuAdU3LyzeNmD3+oYI+0ZDxQwXsTJ7Vjri+Aiy6z9i&#10;xQ/BIWACGmrqonwsiGB0ntTpMp1IRrFzuVq/Xa45pDi2WFzNr9L4Miimakc+vNfYiWiUknj6CR2O&#10;Dz5ENlBMKfExi/embdMGtPY3BydGT2IfCY/Uw7AbklT563ySZYfViRsiHDeLfwIbDdIPKXreqlL6&#10;7wcgLUX7wbIocQUngyZjNxlgFZeWMkgxmrdhXNWDI7NvGHmU3eINC1eb1FNUeGRxJsybklo9b3Vc&#10;xef3lPXr721/AgAA//8DAFBLAwQUAAYACAAAACEA2+yLmOEAAAANAQAADwAAAGRycy9kb3ducmV2&#10;LnhtbEyPQU/DMAyF70j8h8hI3FiyMcpWmk4TghMSoisHjmnjtdUapzTZVv493glufvbT8/eyzeR6&#10;ccIxdJ40zGcKBFLtbUeNhs/y9W4FIkRD1vSeUMMPBtjk11eZSa0/U4GnXWwEh1BIjYY2xiGVMtQt&#10;OhNmfkDi296PzkSWYyPtaM4c7nq5UCqRznTEH1oz4HOL9WF3dBq2X1S8dN/v1UexL7qyXCt6Sw5a&#10;395M2ycQEaf4Z4YLPqNDzkyVP5INome9vOcukQe1VHMQbFkliwREdVk9PK5B5pn83yL/BQAA//8D&#10;AFBLAQItABQABgAIAAAAIQC2gziS/gAAAOEBAAATAAAAAAAAAAAAAAAAAAAAAABbQ29udGVudF9U&#10;eXBlc10ueG1sUEsBAi0AFAAGAAgAAAAhADj9If/WAAAAlAEAAAsAAAAAAAAAAAAAAAAALwEAAF9y&#10;ZWxzLy5yZWxzUEsBAi0AFAAGAAgAAAAhAPr4TVnxAQAAwwMAAA4AAAAAAAAAAAAAAAAALgIAAGRy&#10;cy9lMm9Eb2MueG1sUEsBAi0AFAAGAAgAAAAhANvsi5jhAAAADQEAAA8AAAAAAAAAAAAAAAAASwQA&#10;AGRycy9kb3ducmV2LnhtbFBLBQYAAAAABAAEAPMAAABZBQAAAAA=&#10;" filled="f" stroked="f">
                <v:textbox inset="0,0,0,0">
                  <w:txbxContent>
                    <w:p w14:paraId="47EC7578" w14:textId="77777777" w:rsidR="00490F33" w:rsidRDefault="00490F33">
                      <w:pPr>
                        <w:spacing w:before="7" w:line="161" w:lineRule="exact"/>
                        <w:textAlignment w:val="baseline"/>
                        <w:rPr>
                          <w:rFonts w:ascii="Tahoma" w:eastAsia="Tahoma" w:hAnsi="Tahoma"/>
                          <w:color w:val="000000"/>
                          <w:spacing w:val="1"/>
                          <w:sz w:val="14"/>
                        </w:rPr>
                      </w:pPr>
                      <w:r>
                        <w:rPr>
                          <w:rFonts w:ascii="Tahoma" w:eastAsia="Tahoma" w:hAnsi="Tahoma"/>
                          <w:color w:val="000000"/>
                          <w:spacing w:val="1"/>
                          <w:sz w:val="14"/>
                        </w:rPr>
                        <w:t xml:space="preserve">Source: New Zealand Ministry of Education Youth Guarantee website, </w:t>
                      </w:r>
                      <w:hyperlink r:id="rId239">
                        <w:r>
                          <w:rPr>
                            <w:rFonts w:ascii="Tahoma" w:eastAsia="Tahoma" w:hAnsi="Tahoma"/>
                            <w:color w:val="0000FF"/>
                            <w:spacing w:val="1"/>
                            <w:sz w:val="14"/>
                            <w:u w:val="single"/>
                          </w:rPr>
                          <w:t>http://youthguarantee.education.govt.nz</w:t>
                        </w:r>
                      </w:hyperlink>
                      <w:r>
                        <w:rPr>
                          <w:rFonts w:ascii="Tahoma" w:eastAsia="Tahoma" w:hAnsi="Tahoma"/>
                          <w:color w:val="000000"/>
                          <w:spacing w:val="1"/>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8032" behindDoc="1" locked="0" layoutInCell="1" allowOverlap="1" wp14:anchorId="26D97247" wp14:editId="7F01D6EB">
                <wp:simplePos x="0" y="0"/>
                <wp:positionH relativeFrom="page">
                  <wp:posOffset>0</wp:posOffset>
                </wp:positionH>
                <wp:positionV relativeFrom="page">
                  <wp:posOffset>7381875</wp:posOffset>
                </wp:positionV>
                <wp:extent cx="7562215" cy="2847340"/>
                <wp:effectExtent l="0" t="0" r="0" b="0"/>
                <wp:wrapSquare wrapText="bothSides"/>
                <wp:docPr id="52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84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4ACC4" w14:textId="77777777" w:rsidR="00490F33" w:rsidRDefault="00490F33">
                            <w:pPr>
                              <w:spacing w:before="10" w:line="287" w:lineRule="exact"/>
                              <w:ind w:left="864"/>
                              <w:textAlignment w:val="baseline"/>
                              <w:rPr>
                                <w:rFonts w:ascii="Arial" w:eastAsia="Arial" w:hAnsi="Arial"/>
                                <w:b/>
                                <w:color w:val="00708C"/>
                                <w:spacing w:val="1"/>
                                <w:sz w:val="25"/>
                              </w:rPr>
                            </w:pPr>
                            <w:r>
                              <w:rPr>
                                <w:rFonts w:ascii="Arial" w:eastAsia="Arial" w:hAnsi="Arial"/>
                                <w:b/>
                                <w:color w:val="00708C"/>
                                <w:spacing w:val="1"/>
                                <w:sz w:val="25"/>
                              </w:rPr>
                              <w:t>Micro-credentialing</w:t>
                            </w:r>
                          </w:p>
                          <w:p w14:paraId="3484BDA9" w14:textId="77777777" w:rsidR="00490F33" w:rsidRDefault="00490F33">
                            <w:pPr>
                              <w:spacing w:before="150" w:line="240" w:lineRule="exact"/>
                              <w:ind w:left="864" w:right="1080"/>
                              <w:textAlignment w:val="baseline"/>
                              <w:rPr>
                                <w:rFonts w:ascii="Tahoma" w:eastAsia="Tahoma" w:hAnsi="Tahoma"/>
                                <w:color w:val="414042"/>
                                <w:sz w:val="18"/>
                              </w:rPr>
                            </w:pPr>
                            <w:r>
                              <w:rPr>
                                <w:rFonts w:ascii="Tahoma" w:eastAsia="Tahoma" w:hAnsi="Tahoma"/>
                                <w:color w:val="414042"/>
                                <w:sz w:val="18"/>
                              </w:rPr>
                              <w:t>Employer groups and industry bodies have emphasised the growing importance of credentials that quickly deliver specific capabilities to workers who wish to reskill or upskill in response to rapidly changing workforce requirements. Many can be delivered by, or on behalf of, employers – online or face to face – over a short period. Other courses are being developed by universities or training organisations.</w:t>
                            </w:r>
                          </w:p>
                          <w:p w14:paraId="636CC9CB" w14:textId="77777777" w:rsidR="00490F33" w:rsidRDefault="00490F33">
                            <w:pPr>
                              <w:spacing w:before="168" w:line="240" w:lineRule="exact"/>
                              <w:ind w:left="864" w:right="936"/>
                              <w:textAlignment w:val="baseline"/>
                              <w:rPr>
                                <w:rFonts w:ascii="Tahoma" w:eastAsia="Tahoma" w:hAnsi="Tahoma"/>
                                <w:color w:val="414042"/>
                                <w:spacing w:val="5"/>
                                <w:sz w:val="18"/>
                              </w:rPr>
                            </w:pPr>
                            <w:r>
                              <w:rPr>
                                <w:rFonts w:ascii="Tahoma" w:eastAsia="Tahoma" w:hAnsi="Tahoma"/>
                                <w:color w:val="414042"/>
                                <w:spacing w:val="5"/>
                                <w:sz w:val="18"/>
                              </w:rPr>
                              <w:t>Often these courses can award a micro-credential, which is a certification of assessed skills and knowledge that learners have demonstrated or acquired through a short course of study or training. Such courses focus on smaller elements of learning and may stand alone or be additional, or complementary, to other certificated training. They may also be a component part of a formal qualification. They may be linked to professional development activities.</w:t>
                            </w:r>
                          </w:p>
                          <w:p w14:paraId="5F8662EF" w14:textId="77777777" w:rsidR="00490F33" w:rsidRDefault="00490F33">
                            <w:pPr>
                              <w:spacing w:before="1091" w:after="631" w:line="217" w:lineRule="exact"/>
                              <w:ind w:left="6768"/>
                              <w:textAlignment w:val="baseline"/>
                              <w:rPr>
                                <w:rFonts w:ascii="Tahoma" w:eastAsia="Tahoma" w:hAnsi="Tahoma"/>
                                <w:color w:val="414042"/>
                                <w:spacing w:val="7"/>
                                <w:sz w:val="14"/>
                              </w:rPr>
                            </w:pPr>
                            <w:r>
                              <w:rPr>
                                <w:rFonts w:ascii="Tahoma" w:eastAsia="Tahoma" w:hAnsi="Tahoma"/>
                                <w:color w:val="414042"/>
                                <w:spacing w:val="7"/>
                                <w:sz w:val="14"/>
                              </w:rPr>
                              <w:t>Chapter 5: Building more flexible pathways from school</w:t>
                            </w:r>
                            <w:r>
                              <w:rPr>
                                <w:rFonts w:ascii="Arial" w:eastAsia="Arial" w:hAnsi="Arial"/>
                                <w:b/>
                                <w:color w:val="5B54A2"/>
                                <w:spacing w:val="7"/>
                                <w:sz w:val="19"/>
                              </w:rPr>
                              <w:t xml:space="preserve"> 109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97247" id="Text Box 245" o:spid="_x0000_s1299" type="#_x0000_t202" style="position:absolute;margin-left:0;margin-top:581.25pt;width:595.45pt;height:224.2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Bk8wEAAMQDAAAOAAAAZHJzL2Uyb0RvYy54bWysU9tu2zAMfR+wfxD0vjhxk7Yw4hRdiw4D&#10;unVAuw9gZDkWZosapcTOvn6UHGfd9jbsRaB4OTo8pNY3Q9eKgyZv0JZyMZtLoa3CythdKb++PLy7&#10;lsIHsBW0aHUpj9rLm83bN+veFTrHBttKk2AQ64velbIJwRVZ5lWjO/AzdNpysEbqIPCVdllF0DN6&#10;12b5fH6Z9UiVI1Tae/bej0G5Sfh1rVV4qmuvg2hLydxCOimd23hmmzUUOwLXGHWiAf/AogNj+dEz&#10;1D0EEHsyf0F1RhF6rMNMYZdhXRulUw/czWL+RzfPDTidemFxvDvL5P8frPp8+ELCVKVc5UspLHQ8&#10;pBc9BPEeB5EvV1Gh3vmCE58dp4aBAzzp1K13j6i+eWHxrgG707dE2DcaKma4iJXZq9IRx0eQbf8J&#10;K34I9gET0FBTF+VjQQSj86SO5+lEMoqdV6vLPF+spFAcy6+XVxfLNL8MiqnckQ8fNHYiGqUkHn+C&#10;h8OjD5EOFFNKfM3ig2nbtAKt/c3BidGT6EfGI/cwbIekVX51MemyxerIHRGOq8VfgY0G6YcUPa9V&#10;Kf33PZCWov1oWZW4g5NBk7GdDLCKS0sZpBjNuzDu6t6R2TWMPOpu8ZaVq03qKUo8sjgR5lVJrZ7W&#10;Ou7i63vK+vX5Nj8BAAD//wMAUEsDBBQABgAIAAAAIQBMd0Uk3gAAAAsBAAAPAAAAZHJzL2Rvd25y&#10;ZXYueG1sTI9BT8MwDIXvSPyHyEjcWNJJVLQ0nSYEJyRE1x04po3XVmuc0mRb+fd4J7g9+1nP3ys2&#10;ixvFGecweNKQrBQIpNbbgToN+/rt4QlEiIasGT2hhh8MsClvbwqTW3+hCs+72AkOoZAbDX2MUy5l&#10;aHt0Jqz8hMTewc/ORB7nTtrZXDjcjXKtVCqdGYg/9GbClx7b4+7kNGy/qHodvj+az+pQDXWdKXpP&#10;j1rf3y3bZxARl/h3DFd8RoeSmRp/IhvEqIGLRN4m6foRxNVPMpWBaFilCStZFvJ/h/IXAAD//wMA&#10;UEsBAi0AFAAGAAgAAAAhALaDOJL+AAAA4QEAABMAAAAAAAAAAAAAAAAAAAAAAFtDb250ZW50X1R5&#10;cGVzXS54bWxQSwECLQAUAAYACAAAACEAOP0h/9YAAACUAQAACwAAAAAAAAAAAAAAAAAvAQAAX3Jl&#10;bHMvLnJlbHNQSwECLQAUAAYACAAAACEAL0XAZPMBAADEAwAADgAAAAAAAAAAAAAAAAAuAgAAZHJz&#10;L2Uyb0RvYy54bWxQSwECLQAUAAYACAAAACEATHdFJN4AAAALAQAADwAAAAAAAAAAAAAAAABNBAAA&#10;ZHJzL2Rvd25yZXYueG1sUEsFBgAAAAAEAAQA8wAAAFgFAAAAAA==&#10;" filled="f" stroked="f">
                <v:textbox inset="0,0,0,0">
                  <w:txbxContent>
                    <w:p w14:paraId="5CA4ACC4" w14:textId="77777777" w:rsidR="00490F33" w:rsidRDefault="00490F33">
                      <w:pPr>
                        <w:spacing w:before="10" w:line="287" w:lineRule="exact"/>
                        <w:ind w:left="864"/>
                        <w:textAlignment w:val="baseline"/>
                        <w:rPr>
                          <w:rFonts w:ascii="Arial" w:eastAsia="Arial" w:hAnsi="Arial"/>
                          <w:b/>
                          <w:color w:val="00708C"/>
                          <w:spacing w:val="1"/>
                          <w:sz w:val="25"/>
                        </w:rPr>
                      </w:pPr>
                      <w:r>
                        <w:rPr>
                          <w:rFonts w:ascii="Arial" w:eastAsia="Arial" w:hAnsi="Arial"/>
                          <w:b/>
                          <w:color w:val="00708C"/>
                          <w:spacing w:val="1"/>
                          <w:sz w:val="25"/>
                        </w:rPr>
                        <w:t>Micro-credentialing</w:t>
                      </w:r>
                    </w:p>
                    <w:p w14:paraId="3484BDA9" w14:textId="77777777" w:rsidR="00490F33" w:rsidRDefault="00490F33">
                      <w:pPr>
                        <w:spacing w:before="150" w:line="240" w:lineRule="exact"/>
                        <w:ind w:left="864" w:right="1080"/>
                        <w:textAlignment w:val="baseline"/>
                        <w:rPr>
                          <w:rFonts w:ascii="Tahoma" w:eastAsia="Tahoma" w:hAnsi="Tahoma"/>
                          <w:color w:val="414042"/>
                          <w:sz w:val="18"/>
                        </w:rPr>
                      </w:pPr>
                      <w:r>
                        <w:rPr>
                          <w:rFonts w:ascii="Tahoma" w:eastAsia="Tahoma" w:hAnsi="Tahoma"/>
                          <w:color w:val="414042"/>
                          <w:sz w:val="18"/>
                        </w:rPr>
                        <w:t>Employer groups and industry bodies have emphasised the growing importance of credentials that quickly deliver specific capabilities to workers who wish to reskill or upskill in response to rapidly changing workforce requirements. Many can be delivered by, or on behalf of, employers – online or face to face – over a short period. Other courses are being developed by universities or training organisations.</w:t>
                      </w:r>
                    </w:p>
                    <w:p w14:paraId="636CC9CB" w14:textId="77777777" w:rsidR="00490F33" w:rsidRDefault="00490F33">
                      <w:pPr>
                        <w:spacing w:before="168" w:line="240" w:lineRule="exact"/>
                        <w:ind w:left="864" w:right="936"/>
                        <w:textAlignment w:val="baseline"/>
                        <w:rPr>
                          <w:rFonts w:ascii="Tahoma" w:eastAsia="Tahoma" w:hAnsi="Tahoma"/>
                          <w:color w:val="414042"/>
                          <w:spacing w:val="5"/>
                          <w:sz w:val="18"/>
                        </w:rPr>
                      </w:pPr>
                      <w:r>
                        <w:rPr>
                          <w:rFonts w:ascii="Tahoma" w:eastAsia="Tahoma" w:hAnsi="Tahoma"/>
                          <w:color w:val="414042"/>
                          <w:spacing w:val="5"/>
                          <w:sz w:val="18"/>
                        </w:rPr>
                        <w:t>Often these courses can award a micro-credential, which is a certification of assessed skills and knowledge that learners have demonstrated or acquired through a short course of study or training. Such courses focus on smaller elements of learning and may stand alone or be additional, or complementary, to other certificated training. They may also be a component part of a formal qualification. They may be linked to professional development activities.</w:t>
                      </w:r>
                    </w:p>
                    <w:p w14:paraId="5F8662EF" w14:textId="77777777" w:rsidR="00490F33" w:rsidRDefault="00490F33">
                      <w:pPr>
                        <w:spacing w:before="1091" w:after="631" w:line="217" w:lineRule="exact"/>
                        <w:ind w:left="6768"/>
                        <w:textAlignment w:val="baseline"/>
                        <w:rPr>
                          <w:rFonts w:ascii="Tahoma" w:eastAsia="Tahoma" w:hAnsi="Tahoma"/>
                          <w:color w:val="414042"/>
                          <w:spacing w:val="7"/>
                          <w:sz w:val="14"/>
                        </w:rPr>
                      </w:pPr>
                      <w:r>
                        <w:rPr>
                          <w:rFonts w:ascii="Tahoma" w:eastAsia="Tahoma" w:hAnsi="Tahoma"/>
                          <w:color w:val="414042"/>
                          <w:spacing w:val="7"/>
                          <w:sz w:val="14"/>
                        </w:rPr>
                        <w:t>Chapter 5: Building more flexible pathways from school</w:t>
                      </w:r>
                      <w:r>
                        <w:rPr>
                          <w:rFonts w:ascii="Arial" w:eastAsia="Arial" w:hAnsi="Arial"/>
                          <w:b/>
                          <w:color w:val="5B54A2"/>
                          <w:spacing w:val="7"/>
                          <w:sz w:val="19"/>
                        </w:rPr>
                        <w:t xml:space="preserve"> 109</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29056" behindDoc="1" locked="0" layoutInCell="1" allowOverlap="1" wp14:anchorId="049F005E" wp14:editId="62DDC786">
                <wp:simplePos x="0" y="0"/>
                <wp:positionH relativeFrom="page">
                  <wp:posOffset>0</wp:posOffset>
                </wp:positionH>
                <wp:positionV relativeFrom="page">
                  <wp:posOffset>10229215</wp:posOffset>
                </wp:positionV>
                <wp:extent cx="7562215" cy="462915"/>
                <wp:effectExtent l="0" t="0" r="0" b="0"/>
                <wp:wrapSquare wrapText="bothSides"/>
                <wp:docPr id="523"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4491E" w14:textId="77777777" w:rsidR="00490F33" w:rsidRDefault="00490F33">
                            <w:pPr>
                              <w:textAlignment w:val="baseline"/>
                            </w:pPr>
                            <w:r>
                              <w:rPr>
                                <w:noProof/>
                                <w:lang w:val="en-AU" w:eastAsia="en-AU"/>
                              </w:rPr>
                              <w:drawing>
                                <wp:inline distT="0" distB="0" distL="0" distR="0" wp14:anchorId="341922BE" wp14:editId="4356B481">
                                  <wp:extent cx="7562215" cy="462915"/>
                                  <wp:effectExtent l="0" t="0" r="0" b="0"/>
                                  <wp:docPr id="181" name="Picture"/>
                                  <wp:cNvGraphicFramePr/>
                                  <a:graphic xmlns:a="http://schemas.openxmlformats.org/drawingml/2006/main">
                                    <a:graphicData uri="http://schemas.openxmlformats.org/drawingml/2006/picture">
                                      <pic:pic xmlns:pic="http://schemas.openxmlformats.org/drawingml/2006/picture">
                                        <pic:nvPicPr>
                                          <pic:cNvPr id="181"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F005E" id="Text Box 244" o:spid="_x0000_s1300" type="#_x0000_t202" style="position:absolute;margin-left:0;margin-top:805.45pt;width:595.45pt;height:36.4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dH8AEAAMMDAAAOAAAAZHJzL2Uyb0RvYy54bWysU9tu2zAMfR+wfxD0vjjxknQz4hRdiw4D&#10;ugvQ7gMYWY6F2aJGKbGzrx8lx1m3vQ17ESiSOjw8pDbXQ9eKoyZv0JZyMZtLoa3Cyth9Kb8+3b96&#10;I4UPYCto0epSnrSX19uXLza9K3SODbaVJsEg1he9K2UTgiuyzKtGd+Bn6LTlYI3UQeAr7bOKoGf0&#10;rs3y+Xyd9UiVI1Tae/bejUG5Tfh1rVX4XNdeB9GWkrmFdFI6d/HMthso9gSuMepMA/6BRQfGctEL&#10;1B0EEAcyf0F1RhF6rMNMYZdhXRulUw/czWL+RzePDTidemFxvLvI5P8frPp0/ELCVKVc5a+lsNDx&#10;kJ70EMQ7HES+XEaFeucLTnx0nBoGDvCkU7fePaD65oXF2wbsXt8QYd9oqJjhIr7Mnj0dcXwE2fUf&#10;seJCcAiYgIaauigfCyIYnSd1ukwnklHsvFqt83yxkkJxbLnO37IdS0AxvXbkw3uNnYhGKYmnn9Dh&#10;+ODDmDqlxGIW703bsh+K1v7mYMzoSewj4ZF6GHZDkiq/usiyw+rEDRGOm8U/gY0G6YcUPW9VKf33&#10;A5CWov1gWZS4gpNBk7GbDLCKn5YySDGat2Fc1YMjs28YeZTd4g0LV5vUU1R4ZHEmzJuSVDlvdVzF&#10;5/eU9evvbX8C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sDF3R/ABAADDAwAADgAAAAAAAAAAAAAAAAAuAgAAZHJzL2Uy&#10;b0RvYy54bWxQSwECLQAUAAYACAAAACEAOwbrv94AAAALAQAADwAAAAAAAAAAAAAAAABKBAAAZHJz&#10;L2Rvd25yZXYueG1sUEsFBgAAAAAEAAQA8wAAAFUFAAAAAA==&#10;" filled="f" stroked="f">
                <v:textbox inset="0,0,0,0">
                  <w:txbxContent>
                    <w:p w14:paraId="0EA4491E" w14:textId="77777777" w:rsidR="00490F33" w:rsidRDefault="00490F33">
                      <w:pPr>
                        <w:textAlignment w:val="baseline"/>
                      </w:pPr>
                      <w:r>
                        <w:rPr>
                          <w:noProof/>
                          <w:lang w:val="en-AU" w:eastAsia="en-AU"/>
                        </w:rPr>
                        <w:drawing>
                          <wp:inline distT="0" distB="0" distL="0" distR="0" wp14:anchorId="341922BE" wp14:editId="4356B481">
                            <wp:extent cx="7562215" cy="462915"/>
                            <wp:effectExtent l="0" t="0" r="0" b="0"/>
                            <wp:docPr id="181" name="Picture"/>
                            <wp:cNvGraphicFramePr/>
                            <a:graphic xmlns:a="http://schemas.openxmlformats.org/drawingml/2006/main">
                              <a:graphicData uri="http://schemas.openxmlformats.org/drawingml/2006/picture">
                                <pic:pic xmlns:pic="http://schemas.openxmlformats.org/drawingml/2006/picture">
                                  <pic:nvPicPr>
                                    <pic:cNvPr id="181"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2AB0CD3B" w14:textId="77777777" w:rsidR="009757A9" w:rsidRDefault="009757A9">
      <w:pPr>
        <w:sectPr w:rsidR="009757A9">
          <w:pgSz w:w="11909" w:h="16838"/>
          <w:pgMar w:top="532" w:right="0" w:bottom="0" w:left="0" w:header="720" w:footer="720" w:gutter="0"/>
          <w:cols w:space="720"/>
        </w:sectPr>
      </w:pPr>
    </w:p>
    <w:p w14:paraId="5BBE2121" w14:textId="77777777" w:rsidR="009757A9" w:rsidRDefault="000D2E34">
      <w:pPr>
        <w:spacing w:before="164" w:line="242" w:lineRule="exact"/>
        <w:ind w:left="1296"/>
        <w:textAlignment w:val="baseline"/>
        <w:rPr>
          <w:rFonts w:ascii="Tahoma" w:eastAsia="Tahoma" w:hAnsi="Tahoma"/>
          <w:i/>
          <w:color w:val="007994"/>
          <w:spacing w:val="1"/>
          <w:sz w:val="21"/>
        </w:rPr>
      </w:pPr>
      <w:r>
        <w:rPr>
          <w:noProof/>
          <w:lang w:val="en-AU" w:eastAsia="en-AU"/>
        </w:rPr>
        <w:lastRenderedPageBreak/>
        <mc:AlternateContent>
          <mc:Choice Requires="wps">
            <w:drawing>
              <wp:anchor distT="0" distB="0" distL="114300" distR="114300" simplePos="0" relativeHeight="251940352" behindDoc="0" locked="0" layoutInCell="1" allowOverlap="1" wp14:anchorId="713C546A" wp14:editId="327F6690">
                <wp:simplePos x="0" y="0"/>
                <wp:positionH relativeFrom="page">
                  <wp:posOffset>826135</wp:posOffset>
                </wp:positionH>
                <wp:positionV relativeFrom="page">
                  <wp:posOffset>963295</wp:posOffset>
                </wp:positionV>
                <wp:extent cx="5907405" cy="0"/>
                <wp:effectExtent l="0" t="0" r="0" b="0"/>
                <wp:wrapNone/>
                <wp:docPr id="52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CD9D8" id="Line 243" o:spid="_x0000_s1026" style="position:absolute;z-index:2519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75.85pt" to="530.2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PPf0gEAAIYDAAAOAAAAZHJzL2Uyb0RvYy54bWysU01v2zAMvQ/YfxB0X+y4SbsYcXpI1l2y&#10;LUDbH8BIsi1MEgVJiZ1/P0n5WLfehl0ESiQfHx+p5eOoFTkK5yWahk4nJSXCMOTSdA19fXn69JkS&#10;H8BwUGhEQ0/C08fVxw/Lwdaiwh4VF45EEOPrwTa0D8HWReFZLzT4CVphorNFpyHEq+sK7mCI6FoV&#10;VVneFwM6bh0y4X183ZyddJXx21aw8KNtvQhENTRyC/l0+dyns1gtoe4c2F6yCw34BxYapIlFb1Ab&#10;CEAOTr6D0pI59NiGCUNdYNtKJnIPsZtp+Vc3zz1YkXuJ4nh7k8n/P1j2/bhzRPKGzquKEgM6Dmkr&#10;jSDV7C6pM1hfx6C12bnUHxvNs90i++mJwXUPphOZ5cvJxsRpyij+SEkXb2ON/fANeYyBQ8As1dg6&#10;nSCjCGTMEzndJiLGQFh8nC/Kh1k5p4RdfQXU10TrfPgqUJNkNFRF1hkYjlsfEhGoryGpjsEnqVQe&#10;uDJkaOj93bzMCR6V5MmZwrzr9mvlyBHSypQPi8UsdxU9b8MS8gZ8f47LrvMyOTwYnqv0AviXix1A&#10;qrMdWSlzUSkJc5Z4j/y0c1f14rAz/ctipm16e8/Zv7/P6hcAAAD//wMAUEsDBBQABgAIAAAAIQDA&#10;5G0u3AAAAAwBAAAPAAAAZHJzL2Rvd25yZXYueG1sTI9BT8MwDIXvSPyHyEjcWFJgA5WmExraaRfY&#10;kLh6jWkLjVM1Wdf9ezwJCW5+9tPz94rl5Ds10hDbwBaymQFFXAXXcm3hfbe+eQQVE7LDLjBZOFGE&#10;ZXl5UWDuwpHfaNymWkkIxxwtNCn1udaxashjnIWeWG6fYfCYRA61dgMeJdx3+taYhfbYsnxosKdV&#10;Q9X39uAtrNHsXt1mE77ix/y0wqTdC43WXl9Nz0+gEk3pzwxnfEGHUpj24cAuqk70ncnEKsM8ewB1&#10;dpiFuQe1/13pstD/S5Q/AAAA//8DAFBLAQItABQABgAIAAAAIQC2gziS/gAAAOEBAAATAAAAAAAA&#10;AAAAAAAAAAAAAABbQ29udGVudF9UeXBlc10ueG1sUEsBAi0AFAAGAAgAAAAhADj9If/WAAAAlAEA&#10;AAsAAAAAAAAAAAAAAAAALwEAAF9yZWxzLy5yZWxzUEsBAi0AFAAGAAgAAAAhAEf089/SAQAAhgMA&#10;AA4AAAAAAAAAAAAAAAAALgIAAGRycy9lMm9Eb2MueG1sUEsBAi0AFAAGAAgAAAAhAMDkbS7cAAAA&#10;DAEAAA8AAAAAAAAAAAAAAAAALAQAAGRycy9kb3ducmV2LnhtbFBLBQYAAAAABAAEAPMAAAA1BQAA&#10;AAA=&#10;" strokecolor="#007994" strokeweight=".5pt">
                <w10:wrap anchorx="page" anchory="page"/>
              </v:line>
            </w:pict>
          </mc:Fallback>
        </mc:AlternateContent>
      </w:r>
      <w:r w:rsidR="00083242">
        <w:rPr>
          <w:rFonts w:ascii="Tahoma" w:eastAsia="Tahoma" w:hAnsi="Tahoma"/>
          <w:i/>
          <w:color w:val="007994"/>
          <w:spacing w:val="1"/>
          <w:sz w:val="21"/>
        </w:rPr>
        <w:t>“Micro-credentials provide students with a new set of options to develop both essential and</w:t>
      </w:r>
    </w:p>
    <w:p w14:paraId="2809E0E2" w14:textId="77777777" w:rsidR="009757A9" w:rsidRDefault="00083242">
      <w:pPr>
        <w:spacing w:before="60" w:line="247"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just-in-time skills and knowledge.”</w:t>
      </w:r>
    </w:p>
    <w:p w14:paraId="1E04F52D" w14:textId="77777777" w:rsidR="009757A9" w:rsidRDefault="00083242">
      <w:pPr>
        <w:spacing w:before="51" w:after="232" w:line="240" w:lineRule="exact"/>
        <w:ind w:left="5256"/>
        <w:textAlignment w:val="baseline"/>
        <w:rPr>
          <w:rFonts w:ascii="Tahoma" w:eastAsia="Tahoma" w:hAnsi="Tahoma"/>
          <w:i/>
          <w:color w:val="007994"/>
          <w:spacing w:val="3"/>
          <w:sz w:val="21"/>
        </w:rPr>
      </w:pPr>
      <w:r>
        <w:rPr>
          <w:rFonts w:ascii="Tahoma" w:eastAsia="Tahoma" w:hAnsi="Tahoma"/>
          <w:i/>
          <w:color w:val="007994"/>
          <w:spacing w:val="3"/>
          <w:sz w:val="21"/>
        </w:rPr>
        <w:t>Queensland Catholic Education Commission submission</w:t>
      </w:r>
    </w:p>
    <w:p w14:paraId="3F3E863B" w14:textId="77777777" w:rsidR="009757A9" w:rsidRDefault="000D2E34">
      <w:pPr>
        <w:spacing w:before="485" w:line="217" w:lineRule="exact"/>
        <w:ind w:left="792"/>
        <w:textAlignment w:val="baseline"/>
        <w:rPr>
          <w:rFonts w:ascii="Verdana" w:eastAsia="Verdana" w:hAnsi="Verdana"/>
          <w:color w:val="404042"/>
          <w:spacing w:val="-5"/>
          <w:sz w:val="18"/>
        </w:rPr>
      </w:pPr>
      <w:r>
        <w:rPr>
          <w:noProof/>
          <w:lang w:val="en-AU" w:eastAsia="en-AU"/>
        </w:rPr>
        <mc:AlternateContent>
          <mc:Choice Requires="wps">
            <w:drawing>
              <wp:anchor distT="0" distB="0" distL="114300" distR="114300" simplePos="0" relativeHeight="251941376" behindDoc="0" locked="0" layoutInCell="1" allowOverlap="1" wp14:anchorId="5C8E661F" wp14:editId="5DF09BDC">
                <wp:simplePos x="0" y="0"/>
                <wp:positionH relativeFrom="page">
                  <wp:posOffset>826135</wp:posOffset>
                </wp:positionH>
                <wp:positionV relativeFrom="page">
                  <wp:posOffset>1743710</wp:posOffset>
                </wp:positionV>
                <wp:extent cx="5907405" cy="0"/>
                <wp:effectExtent l="0" t="0" r="0" b="0"/>
                <wp:wrapNone/>
                <wp:docPr id="52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0F008" id="Line 242" o:spid="_x0000_s1026" style="position:absolute;z-index:2519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37.3pt" to="530.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4sC0QEAAIYDAAAOAAAAZHJzL2Uyb0RvYy54bWysU01v2zAMvQ/YfxB0X+x4SbsYcXpI1l2y&#10;LUDbH8BIsi1MEgVJiZ1/P0n5aLfdil0ESiQfHx+p5cOoFTkK5yWahk4nJSXCMOTSdA19eX789IUS&#10;H8BwUGhEQ0/C04fVxw/Lwdaiwh4VF45EEOPrwTa0D8HWReFZLzT4CVphorNFpyHEq+sK7mCI6FoV&#10;VVneFQM6bh0y4X183ZyddJXx21aw8LNtvQhENTRyC/l0+dyns1gtoe4c2F6yCw14BwsN0sSiN6gN&#10;BCAHJ/+B0pI59NiGCUNdYNtKJnIPsZtp+Vc3Tz1YkXuJ4nh7k8n/P1j247hzRPKGzqspJQZ0HNJW&#10;GkGqWZXUGayvY9Da7Fzqj43myW6R/fLE4LoH04nM8vlkY+I0ZRR/pKSLt7HGfviOPMbAIWCWamyd&#10;TpBRBDLmiZxuExFjICw+zhfl/aycU8KuvgLqa6J1PnwTqEkyGqoi6wwMx60PiQjU15BUx+CjVCoP&#10;XBkyNPTu87zMCR6V5MmZwrzr9mvlyBHSypT3i8UsdxU9b8MS8gZ8f47LrvMyOTwYnqv0AvjXix1A&#10;qrMdWSlzUSkJc5Z4j/y0c1f14rAz/ctipm16e8/Zr99n9RsAAP//AwBQSwMEFAAGAAgAAAAhAHlT&#10;XEvcAAAADAEAAA8AAABkcnMvZG93bnJldi54bWxMj8FuwjAMhu+T9g6RkXYbCYx1qGuKJiZOXDZA&#10;2tU0pu1onKoJpbz9gjQJjr/96ffnbDHYRvTU+dqxhslYgSAunKm51LDbrp7nIHxANtg4Jg0X8rDI&#10;Hx8yTI078zf1m1CKWMI+RQ1VCG0qpS8qsujHriWOu4PrLIYYu1KaDs+x3DZyqlQiLdYcL1TY0rKi&#10;4rg5WQ0rVNsvs167X//zellikOaTeq2fRsPHO4hAQ7jBcNWP6pBHp707sfGiiflFTSKqYfo2S0Bc&#10;CZWoGYj9/0jmmbx/Iv8DAAD//wMAUEsBAi0AFAAGAAgAAAAhALaDOJL+AAAA4QEAABMAAAAAAAAA&#10;AAAAAAAAAAAAAFtDb250ZW50X1R5cGVzXS54bWxQSwECLQAUAAYACAAAACEAOP0h/9YAAACUAQAA&#10;CwAAAAAAAAAAAAAAAAAvAQAAX3JlbHMvLnJlbHNQSwECLQAUAAYACAAAACEA4YuLAtEBAACGAwAA&#10;DgAAAAAAAAAAAAAAAAAuAgAAZHJzL2Uyb0RvYy54bWxQSwECLQAUAAYACAAAACEAeVNcS9wAAAAM&#10;AQAADwAAAAAAAAAAAAAAAAArBAAAZHJzL2Rvd25yZXYueG1sUEsFBgAAAAAEAAQA8wAAADQFAAAA&#10;AA==&#10;" strokecolor="#007994" strokeweight=".5pt">
                <w10:wrap anchorx="page" anchory="page"/>
              </v:line>
            </w:pict>
          </mc:Fallback>
        </mc:AlternateContent>
      </w:r>
      <w:r w:rsidR="00083242">
        <w:rPr>
          <w:rFonts w:ascii="Verdana" w:eastAsia="Verdana" w:hAnsi="Verdana"/>
          <w:color w:val="404042"/>
          <w:spacing w:val="-5"/>
          <w:sz w:val="18"/>
        </w:rPr>
        <w:t>There are many advantages to such micro-credentials, including efficiency, cost-effectiveness and flexibility.</w:t>
      </w:r>
    </w:p>
    <w:p w14:paraId="5CB058D4" w14:textId="77777777" w:rsidR="009757A9" w:rsidRDefault="00083242">
      <w:pPr>
        <w:spacing w:before="8" w:line="240" w:lineRule="exact"/>
        <w:ind w:left="792" w:right="1080"/>
        <w:textAlignment w:val="baseline"/>
        <w:rPr>
          <w:rFonts w:ascii="Tahoma" w:eastAsia="Tahoma" w:hAnsi="Tahoma"/>
          <w:color w:val="404042"/>
          <w:sz w:val="18"/>
        </w:rPr>
      </w:pPr>
      <w:r>
        <w:rPr>
          <w:rFonts w:ascii="Tahoma" w:eastAsia="Tahoma" w:hAnsi="Tahoma"/>
          <w:color w:val="404042"/>
          <w:sz w:val="18"/>
        </w:rPr>
        <w:t>The need for micro-credentials is increasingly well established in business, where they are used to address particular skill requirements in new or emerging occupations, provide evidence of workplace capabilities, or warrant the currency of existing skills.</w:t>
      </w:r>
      <w:r>
        <w:rPr>
          <w:rFonts w:ascii="Tahoma" w:eastAsia="Tahoma" w:hAnsi="Tahoma"/>
          <w:color w:val="404042"/>
          <w:sz w:val="18"/>
          <w:vertAlign w:val="superscript"/>
        </w:rPr>
        <w:t>155</w:t>
      </w:r>
      <w:r>
        <w:rPr>
          <w:rFonts w:ascii="Tahoma" w:eastAsia="Tahoma" w:hAnsi="Tahoma"/>
          <w:color w:val="404042"/>
          <w:sz w:val="9"/>
        </w:rPr>
        <w:t xml:space="preserve"> </w:t>
      </w:r>
    </w:p>
    <w:p w14:paraId="744C9D38" w14:textId="77777777" w:rsidR="009757A9" w:rsidRDefault="00083242">
      <w:pPr>
        <w:spacing w:before="162" w:line="240" w:lineRule="exact"/>
        <w:ind w:left="792" w:right="864"/>
        <w:textAlignment w:val="baseline"/>
        <w:rPr>
          <w:rFonts w:ascii="Tahoma" w:eastAsia="Tahoma" w:hAnsi="Tahoma"/>
          <w:color w:val="404042"/>
          <w:sz w:val="18"/>
        </w:rPr>
      </w:pPr>
      <w:r>
        <w:rPr>
          <w:rFonts w:ascii="Tahoma" w:eastAsia="Tahoma" w:hAnsi="Tahoma"/>
          <w:color w:val="404042"/>
          <w:sz w:val="18"/>
        </w:rPr>
        <w:t xml:space="preserve">The Business Council of Australia believes that micro-credentials provide the best opportunity for skill and knowledge </w:t>
      </w:r>
      <w:r>
        <w:rPr>
          <w:rFonts w:ascii="Verdana" w:eastAsia="Verdana" w:hAnsi="Verdana"/>
          <w:color w:val="404042"/>
          <w:sz w:val="18"/>
        </w:rPr>
        <w:t>development for already-qualified workers who have to adapt to rapid change.</w:t>
      </w:r>
      <w:r>
        <w:rPr>
          <w:rFonts w:ascii="Tahoma" w:eastAsia="Tahoma" w:hAnsi="Tahoma"/>
          <w:color w:val="404042"/>
          <w:sz w:val="18"/>
          <w:vertAlign w:val="superscript"/>
        </w:rPr>
        <w:t>156</w:t>
      </w:r>
      <w:r>
        <w:rPr>
          <w:rFonts w:ascii="Tahoma" w:eastAsia="Tahoma" w:hAnsi="Tahoma"/>
          <w:color w:val="404042"/>
          <w:sz w:val="18"/>
        </w:rPr>
        <w:t xml:space="preserve"> The potential of micro-credentials has come into particular focus as a result of the impacts of the COVID-19 pandemic, where there has been huge demand for the development of short, online courses to support rapid reskilling of the workforce to meet the needs of the economy for more care workers.</w:t>
      </w:r>
    </w:p>
    <w:p w14:paraId="3A38763D" w14:textId="77777777" w:rsidR="009757A9" w:rsidRDefault="00083242">
      <w:pPr>
        <w:spacing w:before="183" w:after="587" w:line="240" w:lineRule="exact"/>
        <w:ind w:left="792" w:right="1080"/>
        <w:textAlignment w:val="baseline"/>
        <w:rPr>
          <w:rFonts w:ascii="Tahoma" w:eastAsia="Tahoma" w:hAnsi="Tahoma"/>
          <w:color w:val="404042"/>
          <w:spacing w:val="4"/>
          <w:sz w:val="18"/>
        </w:rPr>
      </w:pPr>
      <w:r>
        <w:rPr>
          <w:rFonts w:ascii="Tahoma" w:eastAsia="Tahoma" w:hAnsi="Tahoma"/>
          <w:color w:val="404042"/>
          <w:spacing w:val="4"/>
          <w:sz w:val="18"/>
        </w:rPr>
        <w:t>The COVID-19 pandemic has shown the value of being able to pivot an economy in unforeseen ways. Even before the economic shock of the pandemic, the market for micro-credentials was growing in both higher education and the VET sector. They are already being used for a variety of purposes, including as ‘stackable’ credit towards aggregated awards.</w:t>
      </w:r>
      <w:r>
        <w:rPr>
          <w:rFonts w:ascii="Tahoma" w:eastAsia="Tahoma" w:hAnsi="Tahoma"/>
          <w:color w:val="404042"/>
          <w:spacing w:val="4"/>
          <w:sz w:val="18"/>
          <w:vertAlign w:val="superscript"/>
        </w:rPr>
        <w:t>157</w:t>
      </w:r>
      <w:r>
        <w:rPr>
          <w:rFonts w:ascii="Tahoma" w:eastAsia="Tahoma" w:hAnsi="Tahoma"/>
          <w:color w:val="404042"/>
          <w:spacing w:val="4"/>
          <w:sz w:val="18"/>
        </w:rPr>
        <w:t xml:space="preserve"> They are also being employed to recognise prior learning, evidence graduate attributes, and warrant professional and continuing education for registration and licensing.</w:t>
      </w:r>
      <w:r>
        <w:rPr>
          <w:rFonts w:ascii="Tahoma" w:eastAsia="Tahoma" w:hAnsi="Tahoma"/>
          <w:color w:val="404042"/>
          <w:spacing w:val="4"/>
          <w:sz w:val="18"/>
          <w:vertAlign w:val="superscript"/>
        </w:rPr>
        <w:t>158</w:t>
      </w:r>
      <w:r>
        <w:rPr>
          <w:rFonts w:ascii="Tahoma" w:eastAsia="Tahoma" w:hAnsi="Tahoma"/>
          <w:color w:val="404042"/>
          <w:spacing w:val="4"/>
          <w:sz w:val="9"/>
        </w:rPr>
        <w:t xml:space="preserve"> </w:t>
      </w:r>
    </w:p>
    <w:p w14:paraId="231CD69B" w14:textId="77777777" w:rsidR="009757A9" w:rsidRDefault="000D2E34">
      <w:pPr>
        <w:spacing w:before="157" w:line="242" w:lineRule="exact"/>
        <w:ind w:left="1296"/>
        <w:textAlignment w:val="baseline"/>
        <w:rPr>
          <w:rFonts w:ascii="Tahoma" w:eastAsia="Tahoma" w:hAnsi="Tahoma"/>
          <w:i/>
          <w:color w:val="007994"/>
          <w:spacing w:val="1"/>
          <w:sz w:val="21"/>
        </w:rPr>
      </w:pPr>
      <w:r>
        <w:rPr>
          <w:noProof/>
          <w:lang w:val="en-AU" w:eastAsia="en-AU"/>
        </w:rPr>
        <mc:AlternateContent>
          <mc:Choice Requires="wps">
            <w:drawing>
              <wp:anchor distT="0" distB="0" distL="114300" distR="114300" simplePos="0" relativeHeight="251942400" behindDoc="0" locked="0" layoutInCell="1" allowOverlap="1" wp14:anchorId="729836A3" wp14:editId="547504BF">
                <wp:simplePos x="0" y="0"/>
                <wp:positionH relativeFrom="page">
                  <wp:posOffset>826135</wp:posOffset>
                </wp:positionH>
                <wp:positionV relativeFrom="page">
                  <wp:posOffset>4773295</wp:posOffset>
                </wp:positionV>
                <wp:extent cx="5907405" cy="0"/>
                <wp:effectExtent l="0" t="0" r="0" b="0"/>
                <wp:wrapNone/>
                <wp:docPr id="52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A0D19" id="Line 241" o:spid="_x0000_s1026" style="position:absolute;z-index:2519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75.85pt" to="530.2pt,3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e90QEAAIYDAAAOAAAAZHJzL2Uyb0RvYy54bWysU01v2zAMvQ/YfxB0X+xkSbsYcXpI1l2y&#10;LUDbH8BIcixMFgVJiZ1/P0r56Lrdil0EiXx8JB+pxcPQGXZUPmi0NR+PSs6UFSi13df85fnx0xfO&#10;QgQrwaBVNT+pwB+WHz8selepCbZopPKMSGyoelfzNkZXFUUQreogjNApS84GfQeRnn5fSA89sXem&#10;mJTlXdGjl86jUCGQdX128mXmbxol4s+mCSoyU3OqLebT53OXzmK5gGrvwbVaXMqAd1TRgbaU9Ea1&#10;hgjs4PU/VJ0WHgM2cSSwK7BptFC5B+pmXP7VzVMLTuVeSJzgbjKF/0crfhy3nmlZ89mE9LHQ0ZA2&#10;2io2mY6TOr0LFYFWdutTf2KwT26D4ldgFlct2L3KVT6fHAXmiOJNSHoERzl2/XeUhIFDxCzV0Pgu&#10;UZIIbMgTOd0moobIBBln8/J+Ws44E1dfAdU10PkQvynsWLrU3FDVmRiOmxCpdIJeISmPxUdtTB64&#10;sayv+d3nWZkDAhotkzPBgt/vVsazI6SVKe/n82nSgcjewBLzGkJ7xmXXeZk8HqzMWVoF8uvlHkGb&#10;852IjCW+qzBniXcoT1uf8iQ7DTtnvCxm2qY/3xn1+n2WvwEAAP//AwBQSwMEFAAGAAgAAAAhAEXX&#10;fkHcAAAADAEAAA8AAABkcnMvZG93bnJldi54bWxMj8FuwjAMhu+TeIfISLuNpGzAVJoixMSJywaT&#10;djWNabs1TtWEUt5+QZrEjr/96ffnbDXYRvTU+dqxhmSiQBAXztRcavg8bJ9eQfiAbLBxTBqu5GGV&#10;jx4yTI278Af1+1CKWMI+RQ1VCG0qpS8qsugnriWOu5PrLIYYu1KaDi+x3DZyqtRcWqw5XqiwpU1F&#10;xc/+bDVsUR3ezW7nvv3X7LrBIM0b9Vo/jof1EkSgIdxhuOlHdcij09Gd2XjRxPyskohqWMySBYgb&#10;oebqBcTxbyTzTP5/Iv8FAAD//wMAUEsBAi0AFAAGAAgAAAAhALaDOJL+AAAA4QEAABMAAAAAAAAA&#10;AAAAAAAAAAAAAFtDb250ZW50X1R5cGVzXS54bWxQSwECLQAUAAYACAAAACEAOP0h/9YAAACUAQAA&#10;CwAAAAAAAAAAAAAAAAAvAQAAX3JlbHMvLnJlbHNQSwECLQAUAAYACAAAACEAI5dHvdEBAACGAwAA&#10;DgAAAAAAAAAAAAAAAAAuAgAAZHJzL2Uyb0RvYy54bWxQSwECLQAUAAYACAAAACEARdd+Q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pacing w:val="1"/>
          <w:sz w:val="21"/>
        </w:rPr>
        <w:t>“The use of micro-credentials, non-accredited training, skill sets and individual units of</w:t>
      </w:r>
    </w:p>
    <w:p w14:paraId="2461C6FC" w14:textId="77777777" w:rsidR="009757A9" w:rsidRDefault="00083242">
      <w:pPr>
        <w:spacing w:before="7" w:line="299" w:lineRule="exact"/>
        <w:ind w:left="1296" w:right="1368"/>
        <w:jc w:val="both"/>
        <w:textAlignment w:val="baseline"/>
        <w:rPr>
          <w:rFonts w:ascii="Tahoma" w:eastAsia="Tahoma" w:hAnsi="Tahoma"/>
          <w:i/>
          <w:color w:val="007994"/>
          <w:sz w:val="21"/>
        </w:rPr>
      </w:pPr>
      <w:r>
        <w:rPr>
          <w:rFonts w:ascii="Tahoma" w:eastAsia="Tahoma" w:hAnsi="Tahoma"/>
          <w:i/>
          <w:color w:val="007994"/>
          <w:sz w:val="21"/>
        </w:rPr>
        <w:t>competency could all be used to provide specialised training and education outcomes which could support specialised requirements.”</w:t>
      </w:r>
    </w:p>
    <w:p w14:paraId="561B80BF" w14:textId="77777777" w:rsidR="009757A9" w:rsidRDefault="00083242">
      <w:pPr>
        <w:spacing w:before="51" w:after="220" w:line="242" w:lineRule="exact"/>
        <w:ind w:left="6912"/>
        <w:textAlignment w:val="baseline"/>
        <w:rPr>
          <w:rFonts w:ascii="Tahoma" w:eastAsia="Tahoma" w:hAnsi="Tahoma"/>
          <w:i/>
          <w:color w:val="007994"/>
          <w:spacing w:val="2"/>
          <w:sz w:val="21"/>
        </w:rPr>
      </w:pPr>
      <w:r>
        <w:rPr>
          <w:rFonts w:ascii="Tahoma" w:eastAsia="Tahoma" w:hAnsi="Tahoma"/>
          <w:i/>
          <w:color w:val="007994"/>
          <w:spacing w:val="2"/>
          <w:sz w:val="21"/>
        </w:rPr>
        <w:t>Naval Shipbuilding College submission</w:t>
      </w:r>
    </w:p>
    <w:p w14:paraId="7826F8FF" w14:textId="77777777" w:rsidR="009757A9" w:rsidRDefault="000D2E34">
      <w:pPr>
        <w:spacing w:before="474" w:after="1629" w:line="240" w:lineRule="exact"/>
        <w:ind w:left="792" w:right="936"/>
        <w:textAlignment w:val="baseline"/>
        <w:rPr>
          <w:rFonts w:ascii="Verdana" w:eastAsia="Verdana" w:hAnsi="Verdana"/>
          <w:color w:val="404042"/>
          <w:sz w:val="18"/>
        </w:rPr>
      </w:pPr>
      <w:r>
        <w:rPr>
          <w:noProof/>
          <w:lang w:val="en-AU" w:eastAsia="en-AU"/>
        </w:rPr>
        <mc:AlternateContent>
          <mc:Choice Requires="wps">
            <w:drawing>
              <wp:anchor distT="0" distB="0" distL="114300" distR="114300" simplePos="0" relativeHeight="251943424" behindDoc="0" locked="0" layoutInCell="1" allowOverlap="1" wp14:anchorId="28440534" wp14:editId="5488725B">
                <wp:simplePos x="0" y="0"/>
                <wp:positionH relativeFrom="page">
                  <wp:posOffset>826135</wp:posOffset>
                </wp:positionH>
                <wp:positionV relativeFrom="page">
                  <wp:posOffset>5745480</wp:posOffset>
                </wp:positionV>
                <wp:extent cx="5907405" cy="0"/>
                <wp:effectExtent l="0" t="0" r="0" b="0"/>
                <wp:wrapNone/>
                <wp:docPr id="51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A8E68" id="Line 240" o:spid="_x0000_s1026" style="position:absolute;z-index:2519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52.4pt" to="530.2pt,4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Nw0gEAAIYDAAAOAAAAZHJzL2Uyb0RvYy54bWysU01v2zAMvQ/YfxB0X+xkSbsYcXpI1l2y&#10;LUDbH8BIsi1MFgVRiZN/P0n5aLfdil0ESiQfHx+pxcOxN+ygPGm0NR+PSs6UFSi1bWv+8vz46Qtn&#10;FMBKMGhVzU+K+MPy44fF4Co1wQ6NVJ5FEEvV4GreheCqoiDRqR5ohE7Z6GzQ9xDi1beF9DBE9N4U&#10;k7K8Kwb00nkUiii+rs9Ovsz4TaNE+Nk0pAIzNY/cQj59PnfpLJYLqFoPrtPiQgPewaIHbWPRG9Qa&#10;ArC91/9A9Vp4JGzCSGBfYNNooXIPsZtx+Vc3Tx04lXuJ4pC7yUT/D1b8OGw907Lms/GcMwt9HNJG&#10;W8Um06zO4KiKQSu79ak/cbRPboPiFzGLqw5sqzLL55OLieOkZ/FHSrqQizV2w3eUMQb2AbNUx8b3&#10;CTKKwI55IqfbRNQxMBEfZ/PyflrOOBNXXwHVNdF5Ct8U9iwZNTeRdQaGw4ZCIgLVNSTVsfiojckD&#10;N5YNNb/7PCtzAqHRMjlTGPl2tzKeHSCtTHk/n09zV9HzNiwhr4G6c1x2nZfJ497KXKVTIL9e7ADa&#10;nO3IytiLSkmYtKpU7VCetv6qXhx2pn9ZzLRNb+85+/X7LH8DAAD//wMAUEsDBBQABgAIAAAAIQBW&#10;akAu3AAAAAwBAAAPAAAAZHJzL2Rvd25yZXYueG1sTI/BTsMwEETvSPyDtUjcqF0oVRviVKiop16g&#10;ReK6jZckEK+j2E3Tv2crIcFxZp9mZ/LV6Fs1UB+bwBamEwOKuAyu4crC+35ztwAVE7LDNjBZOFOE&#10;VXF9lWPmwonfaNilSkkIxwwt1Cl1mdaxrMljnISOWG6fofeYRPaVdj2eJNy3+t6YufbYsHyosaN1&#10;TeX37ugtbNDsX912G77ix+N5jUm7Fxqsvb0Zn59AJRrTHwyX+lIdCul0CEd2UbWiH8xUUAtLM5MN&#10;F8LMzQzU4dfSRa7/jyh+AAAA//8DAFBLAQItABQABgAIAAAAIQC2gziS/gAAAOEBAAATAAAAAAAA&#10;AAAAAAAAAAAAAABbQ29udGVudF9UeXBlc10ueG1sUEsBAi0AFAAGAAgAAAAhADj9If/WAAAAlAEA&#10;AAsAAAAAAAAAAAAAAAAALwEAAF9yZWxzLy5yZWxzUEsBAi0AFAAGAAgAAAAhAEmc43DSAQAAhgMA&#10;AA4AAAAAAAAAAAAAAAAALgIAAGRycy9lMm9Eb2MueG1sUEsBAi0AFAAGAAgAAAAhAFZqQC7cAAAA&#10;DAEAAA8AAAAAAAAAAAAAAAAALAQAAGRycy9kb3ducmV2LnhtbFBLBQYAAAAABAAEAPMAAAA1BQAA&#10;AAA=&#10;" strokecolor="#007994" strokeweight=".5pt">
                <w10:wrap anchorx="page" anchory="page"/>
              </v:line>
            </w:pict>
          </mc:Fallback>
        </mc:AlternateContent>
      </w:r>
      <w:r w:rsidR="00083242">
        <w:rPr>
          <w:rFonts w:ascii="Verdana" w:eastAsia="Verdana" w:hAnsi="Verdana"/>
          <w:color w:val="404042"/>
          <w:sz w:val="18"/>
        </w:rPr>
        <w:t>Thirty-six of Australia’s 42 universities are currently either offering or developing some form of microcredential.</w:t>
      </w:r>
      <w:r w:rsidR="00083242">
        <w:rPr>
          <w:rFonts w:ascii="Tahoma" w:eastAsia="Tahoma" w:hAnsi="Tahoma"/>
          <w:color w:val="404042"/>
          <w:sz w:val="18"/>
          <w:vertAlign w:val="superscript"/>
        </w:rPr>
        <w:t>159</w:t>
      </w:r>
      <w:r w:rsidR="00083242">
        <w:rPr>
          <w:rFonts w:ascii="Tahoma" w:eastAsia="Tahoma" w:hAnsi="Tahoma"/>
          <w:color w:val="404042"/>
          <w:sz w:val="18"/>
        </w:rPr>
        <w:t xml:space="preserve"> Total program enrolments in nationally accredited skill sets have risen by 65 per cent between 2015 and 2018. They now make up almost half of non-AQF VET program enrolments.</w:t>
      </w:r>
      <w:r w:rsidR="00083242">
        <w:rPr>
          <w:rFonts w:ascii="Tahoma" w:eastAsia="Tahoma" w:hAnsi="Tahoma"/>
          <w:color w:val="404042"/>
          <w:sz w:val="9"/>
        </w:rPr>
        <w:t xml:space="preserve">16 </w:t>
      </w:r>
      <w:r w:rsidR="00083242">
        <w:rPr>
          <w:rFonts w:ascii="Tahoma" w:eastAsia="Tahoma" w:hAnsi="Tahoma"/>
          <w:color w:val="404042"/>
          <w:sz w:val="9"/>
          <w:vertAlign w:val="superscript"/>
        </w:rPr>
        <w:t>0</w:t>
      </w:r>
      <w:r w:rsidR="00083242">
        <w:rPr>
          <w:rFonts w:ascii="Tahoma" w:eastAsia="Tahoma" w:hAnsi="Tahoma"/>
          <w:color w:val="404042"/>
          <w:sz w:val="9"/>
        </w:rPr>
        <w:t xml:space="preserve"> </w:t>
      </w:r>
    </w:p>
    <w:p w14:paraId="0A2B5822" w14:textId="77777777" w:rsidR="009757A9" w:rsidRDefault="000D2E34">
      <w:pPr>
        <w:spacing w:before="49" w:line="200" w:lineRule="exact"/>
        <w:ind w:left="1080" w:right="864" w:hanging="288"/>
        <w:textAlignment w:val="baseline"/>
        <w:rPr>
          <w:rFonts w:ascii="Verdana" w:eastAsia="Verdana" w:hAnsi="Verdana"/>
          <w:color w:val="404042"/>
          <w:sz w:val="14"/>
        </w:rPr>
      </w:pPr>
      <w:r>
        <w:rPr>
          <w:noProof/>
          <w:lang w:val="en-AU" w:eastAsia="en-AU"/>
        </w:rPr>
        <mc:AlternateContent>
          <mc:Choice Requires="wps">
            <w:drawing>
              <wp:anchor distT="0" distB="0" distL="114300" distR="114300" simplePos="0" relativeHeight="251944448" behindDoc="0" locked="0" layoutInCell="1" allowOverlap="1" wp14:anchorId="1197FE6E" wp14:editId="0F086E9F">
                <wp:simplePos x="0" y="0"/>
                <wp:positionH relativeFrom="page">
                  <wp:posOffset>539750</wp:posOffset>
                </wp:positionH>
                <wp:positionV relativeFrom="page">
                  <wp:posOffset>7550150</wp:posOffset>
                </wp:positionV>
                <wp:extent cx="917575" cy="0"/>
                <wp:effectExtent l="0" t="0" r="0" b="0"/>
                <wp:wrapNone/>
                <wp:docPr id="518"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563FE" id="Line 239" o:spid="_x0000_s1026" style="position:absolute;z-index:2519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94.5pt" to="114.75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5oOzgEAAIYDAAAOAAAAZHJzL2Uyb0RvYy54bWysU01v2zAMvQ/YfxB0X2xnSLsacXpI1l2y&#10;LUC7H8BIsi1MFgVJiZ1/P0r5aLfdhvkgiCL5+PhILx+nwbCj8kGjbXg1KzlTVqDUtmv4j5enD584&#10;CxGsBINWNfykAn9cvX+3HF2t5tijkcozArGhHl3D+xhdXRRB9GqAMEOnLDlb9ANEMn1XSA8joQ+m&#10;mJflXTGil86jUCHQ6+bs5KuM37ZKxO9tG1RkpuHELebT53OfzmK1hLrz4HotLjTgH1gMoC0VvUFt&#10;IAI7eP0X1KCFx4BtnAkcCmxbLVTugbqpyj+6ee7BqdwLiRPcTabw/2DFt+POMy0bvqhoVBYGGtJW&#10;W8XmHx+SOqMLNQWt7c6n/sRkn90Wxc/ALK57sJ3KLF9OjhKrlFH8lpKM4KjGfvyKkmLgEDFLNbV+&#10;SJAkApvyRE63iagpMkGPD9X94n7Bmbi6Cqivec6H+EXhwNKl4YZIZ1w4bkNMPKC+hqQyFp+0MXne&#10;xrKRyM7Lu0XOCGi0TN4UF3y3XxvPjpBWJn+5K/K8DUvQGwj9OS67zsvk8WBlLtMrkJ8v9wjanO9E&#10;y9iLSkmYs8R7lKedv6pHw878L4uZtumtnbNff5/VLwAAAP//AwBQSwMEFAAGAAgAAAAhAHL1ZNTf&#10;AAAADAEAAA8AAABkcnMvZG93bnJldi54bWxMj81OwzAQhO9IvIO1lbgg6jRqkRviVKgS3ED0B9Gj&#10;G2+TiHgdxW4T3p7lgOC2Ozua/SZfja4VF+xD40nDbJqAQCq9bajSsN893SkQIRqypvWEGr4wwKq4&#10;vspNZv1AG7xsYyU4hEJmNNQxdpmUoazRmTD1HRLfTr53JvLaV9L2ZuBw18o0Se6lMw3xh9p0uK6x&#10;/NyenQYpEzUf3z+Gl/ltUM1hXR2eX9+0vpmMjw8gIo7xzww/+IwOBTMd/ZlsEK0GteAqkfWZWvLE&#10;jjRdLkAcfyVZ5PJ/ieIbAAD//wMAUEsBAi0AFAAGAAgAAAAhALaDOJL+AAAA4QEAABMAAAAAAAAA&#10;AAAAAAAAAAAAAFtDb250ZW50X1R5cGVzXS54bWxQSwECLQAUAAYACAAAACEAOP0h/9YAAACUAQAA&#10;CwAAAAAAAAAAAAAAAAAvAQAAX3JlbHMvLnJlbHNQSwECLQAUAAYACAAAACEAamuaDs4BAACGAwAA&#10;DgAAAAAAAAAAAAAAAAAuAgAAZHJzL2Uyb0RvYy54bWxQSwECLQAUAAYACAAAACEAcvVk1N8AAAAM&#10;AQAADwAAAAAAAAAAAAAAAAAoBAAAZHJzL2Rvd25yZXYueG1sUEsFBgAAAAAEAAQA8wAAADQFAAAA&#10;AA==&#10;" strokeweight=".95pt">
                <w10:wrap anchorx="page" anchory="page"/>
              </v:line>
            </w:pict>
          </mc:Fallback>
        </mc:AlternateContent>
      </w:r>
      <w:r w:rsidR="00083242">
        <w:rPr>
          <w:rFonts w:ascii="Verdana" w:eastAsia="Verdana" w:hAnsi="Verdana"/>
          <w:color w:val="404042"/>
          <w:sz w:val="14"/>
        </w:rPr>
        <w:t xml:space="preserve">155 Milligan, S. and Kennedy, G. (2017), ‘To what degree? Alternative micro-credentialing in a digital age’, in James, R., French, S. and Kelly, P. (eds), </w:t>
      </w:r>
      <w:r w:rsidR="00083242">
        <w:rPr>
          <w:rFonts w:ascii="Arial" w:eastAsia="Arial" w:hAnsi="Arial"/>
          <w:i/>
          <w:color w:val="404042"/>
          <w:sz w:val="14"/>
        </w:rPr>
        <w:t>Visions for Australian Tertiary Education</w:t>
      </w:r>
      <w:r w:rsidR="00083242">
        <w:rPr>
          <w:rFonts w:ascii="Verdana" w:eastAsia="Verdana" w:hAnsi="Verdana"/>
          <w:color w:val="404042"/>
          <w:sz w:val="14"/>
        </w:rPr>
        <w:t xml:space="preserve">, Melbourne Centre for the Study of Higher Education: University of Melbourne, p. 47, </w:t>
      </w:r>
      <w:hyperlink r:id="rId240">
        <w:r w:rsidR="00083242">
          <w:rPr>
            <w:rFonts w:ascii="Tahoma" w:eastAsia="Tahoma" w:hAnsi="Tahoma"/>
            <w:color w:val="0000FF"/>
            <w:sz w:val="14"/>
            <w:u w:val="single"/>
          </w:rPr>
          <w:t xml:space="preserve">https://melbourne-cshe. </w:t>
        </w:r>
      </w:hyperlink>
      <w:r w:rsidR="00083242">
        <w:rPr>
          <w:rFonts w:ascii="Verdana" w:eastAsia="Verdana" w:hAnsi="Verdana"/>
          <w:color w:val="0000FF"/>
          <w:sz w:val="14"/>
          <w:u w:val="single"/>
        </w:rPr>
        <w:t>unimelb.edu.au/__data/assets/pdf_file/0006/2263137/MCSHE</w:t>
      </w:r>
      <w:r w:rsidR="00083242">
        <w:rPr>
          <w:rFonts w:ascii="Tahoma" w:eastAsia="Tahoma" w:hAnsi="Tahoma"/>
          <w:color w:val="0000FF"/>
          <w:sz w:val="14"/>
          <w:u w:val="single"/>
        </w:rPr>
        <w:t>-Visions-for-Aust-Ter-Ed-web2.pdf</w:t>
      </w:r>
      <w:r w:rsidR="00083242">
        <w:rPr>
          <w:rFonts w:ascii="Tahoma" w:eastAsia="Tahoma" w:hAnsi="Tahoma"/>
          <w:color w:val="404042"/>
          <w:sz w:val="14"/>
        </w:rPr>
        <w:t>.</w:t>
      </w:r>
    </w:p>
    <w:p w14:paraId="3BE0CFD1" w14:textId="77777777" w:rsidR="009757A9" w:rsidRDefault="00083242">
      <w:pPr>
        <w:spacing w:line="198" w:lineRule="exact"/>
        <w:ind w:left="1080" w:right="1296" w:hanging="288"/>
        <w:textAlignment w:val="baseline"/>
        <w:rPr>
          <w:rFonts w:ascii="Tahoma" w:eastAsia="Tahoma" w:hAnsi="Tahoma"/>
          <w:color w:val="404042"/>
          <w:sz w:val="14"/>
        </w:rPr>
      </w:pPr>
      <w:r>
        <w:rPr>
          <w:rFonts w:ascii="Tahoma" w:eastAsia="Tahoma" w:hAnsi="Tahoma"/>
          <w:color w:val="404042"/>
          <w:sz w:val="14"/>
        </w:rPr>
        <w:t xml:space="preserve">156 Business Council of Australia (2018), </w:t>
      </w:r>
      <w:r>
        <w:rPr>
          <w:rFonts w:ascii="Arial" w:eastAsia="Arial" w:hAnsi="Arial"/>
          <w:i/>
          <w:color w:val="404042"/>
          <w:sz w:val="14"/>
        </w:rPr>
        <w:t>Future-proof: Australia’s future post-secondary education and skills system</w:t>
      </w:r>
      <w:r>
        <w:rPr>
          <w:rFonts w:ascii="Verdana" w:eastAsia="Verdana" w:hAnsi="Verdana"/>
          <w:color w:val="404042"/>
          <w:sz w:val="14"/>
        </w:rPr>
        <w:t xml:space="preserve">, August 2018, p. 42, </w:t>
      </w:r>
      <w:hyperlink r:id="rId241">
        <w:r>
          <w:rPr>
            <w:rFonts w:ascii="Tahoma" w:eastAsia="Tahoma" w:hAnsi="Tahoma"/>
            <w:color w:val="0000FF"/>
            <w:sz w:val="14"/>
            <w:u w:val="single"/>
          </w:rPr>
          <w:t>https:// d3n8a8pro7vhmx.cloudfront.net/bca/pages/4386/attachments/original/1542258016/LoRes-2018_BCA_EDUC_Future_Proof_WIP1A_%281%29. pdf?1542258016</w:t>
        </w:r>
      </w:hyperlink>
      <w:r>
        <w:rPr>
          <w:rFonts w:ascii="Tahoma" w:eastAsia="Tahoma" w:hAnsi="Tahoma"/>
          <w:color w:val="404042"/>
          <w:sz w:val="14"/>
        </w:rPr>
        <w:t>.</w:t>
      </w:r>
    </w:p>
    <w:p w14:paraId="3A9158FF" w14:textId="77777777" w:rsidR="009757A9" w:rsidRDefault="00083242">
      <w:pPr>
        <w:spacing w:before="33" w:line="168" w:lineRule="exact"/>
        <w:ind w:left="792"/>
        <w:textAlignment w:val="baseline"/>
        <w:rPr>
          <w:rFonts w:ascii="Verdana" w:eastAsia="Verdana" w:hAnsi="Verdana"/>
          <w:color w:val="404042"/>
          <w:spacing w:val="-5"/>
          <w:sz w:val="14"/>
        </w:rPr>
      </w:pPr>
      <w:r>
        <w:rPr>
          <w:rFonts w:ascii="Verdana" w:eastAsia="Verdana" w:hAnsi="Verdana"/>
          <w:color w:val="404042"/>
          <w:spacing w:val="-5"/>
          <w:sz w:val="14"/>
        </w:rPr>
        <w:t>157 Milligan and Kennedy (2017), p. 45.</w:t>
      </w:r>
    </w:p>
    <w:p w14:paraId="751000D5" w14:textId="77777777" w:rsidR="009757A9" w:rsidRDefault="00083242">
      <w:pPr>
        <w:spacing w:before="34" w:line="172" w:lineRule="exact"/>
        <w:ind w:left="792"/>
        <w:textAlignment w:val="baseline"/>
        <w:rPr>
          <w:rFonts w:ascii="Verdana" w:eastAsia="Verdana" w:hAnsi="Verdana"/>
          <w:color w:val="404042"/>
          <w:spacing w:val="-7"/>
          <w:sz w:val="14"/>
        </w:rPr>
      </w:pPr>
      <w:r>
        <w:rPr>
          <w:rFonts w:ascii="Verdana" w:eastAsia="Verdana" w:hAnsi="Verdana"/>
          <w:color w:val="404042"/>
          <w:spacing w:val="-7"/>
          <w:sz w:val="14"/>
        </w:rPr>
        <w:t>158 Ibid., p. 47.</w:t>
      </w:r>
    </w:p>
    <w:p w14:paraId="01FCCF30" w14:textId="77777777" w:rsidR="009757A9" w:rsidRDefault="00083242">
      <w:pPr>
        <w:spacing w:line="197" w:lineRule="exact"/>
        <w:ind w:left="1080" w:right="864" w:hanging="288"/>
        <w:jc w:val="both"/>
        <w:textAlignment w:val="baseline"/>
        <w:rPr>
          <w:rFonts w:ascii="Verdana" w:eastAsia="Verdana" w:hAnsi="Verdana"/>
          <w:color w:val="404042"/>
          <w:sz w:val="14"/>
        </w:rPr>
      </w:pPr>
      <w:r>
        <w:rPr>
          <w:rFonts w:ascii="Verdana" w:eastAsia="Verdana" w:hAnsi="Verdana"/>
          <w:color w:val="404042"/>
          <w:sz w:val="14"/>
        </w:rPr>
        <w:t>159 Research commissioned by DeakinCo and shared with the Review of the Australian Qualifications Framework. Cited in Expert Panel for the Review of the Australian Qualifications Framework (2019), p. 56.</w:t>
      </w:r>
    </w:p>
    <w:p w14:paraId="5AA515D0" w14:textId="77777777" w:rsidR="009757A9" w:rsidRDefault="00083242">
      <w:pPr>
        <w:spacing w:before="73" w:line="167" w:lineRule="exact"/>
        <w:ind w:left="792"/>
        <w:textAlignment w:val="baseline"/>
        <w:rPr>
          <w:rFonts w:ascii="Tahoma" w:eastAsia="Tahoma" w:hAnsi="Tahoma"/>
          <w:color w:val="404042"/>
          <w:spacing w:val="6"/>
          <w:sz w:val="14"/>
        </w:rPr>
      </w:pPr>
      <w:r>
        <w:rPr>
          <w:rFonts w:ascii="Tahoma" w:eastAsia="Tahoma" w:hAnsi="Tahoma"/>
          <w:color w:val="404042"/>
          <w:spacing w:val="6"/>
          <w:sz w:val="14"/>
        </w:rPr>
        <w:t xml:space="preserve">160 National Centre for Vocational Education Research, VOCSTATS, </w:t>
      </w:r>
      <w:hyperlink r:id="rId242">
        <w:r>
          <w:rPr>
            <w:rFonts w:ascii="Tahoma" w:eastAsia="Tahoma" w:hAnsi="Tahoma"/>
            <w:color w:val="0000FF"/>
            <w:spacing w:val="6"/>
            <w:sz w:val="14"/>
            <w:u w:val="single"/>
          </w:rPr>
          <w:t>https://www.ncver.edu.au/research-and-statistics/vocstats</w:t>
        </w:r>
      </w:hyperlink>
      <w:r>
        <w:rPr>
          <w:rFonts w:ascii="Tahoma" w:eastAsia="Tahoma" w:hAnsi="Tahoma"/>
          <w:color w:val="404042"/>
          <w:spacing w:val="6"/>
          <w:sz w:val="14"/>
        </w:rPr>
        <w:t>, extracted</w:t>
      </w:r>
    </w:p>
    <w:p w14:paraId="0A42C14F" w14:textId="77777777" w:rsidR="009757A9" w:rsidRDefault="00083242">
      <w:pPr>
        <w:spacing w:before="42" w:line="200" w:lineRule="exact"/>
        <w:ind w:left="1080" w:right="1296"/>
        <w:jc w:val="both"/>
        <w:textAlignment w:val="baseline"/>
        <w:rPr>
          <w:rFonts w:ascii="Verdana" w:eastAsia="Verdana" w:hAnsi="Verdana"/>
          <w:color w:val="404042"/>
          <w:sz w:val="14"/>
        </w:rPr>
      </w:pPr>
      <w:r>
        <w:rPr>
          <w:rFonts w:ascii="Verdana" w:eastAsia="Verdana" w:hAnsi="Verdana"/>
          <w:color w:val="404042"/>
          <w:sz w:val="14"/>
        </w:rPr>
        <w:t xml:space="preserve">19 September 2019. Data originally collected by registered training organisations and state training authorities around Australia. The National </w:t>
      </w:r>
      <w:r>
        <w:rPr>
          <w:rFonts w:ascii="Tahoma" w:eastAsia="Tahoma" w:hAnsi="Tahoma"/>
          <w:color w:val="404042"/>
          <w:sz w:val="14"/>
        </w:rPr>
        <w:t>Centre for Vocational Education Research is not responsible for the correct extraction, analysis or interpretation of the data presented.</w:t>
      </w:r>
    </w:p>
    <w:p w14:paraId="3DFE97AA" w14:textId="77777777" w:rsidR="009757A9" w:rsidRDefault="00083242">
      <w:pPr>
        <w:tabs>
          <w:tab w:val="left" w:pos="1368"/>
        </w:tabs>
        <w:spacing w:before="658" w:after="634" w:line="200" w:lineRule="exact"/>
        <w:ind w:left="792"/>
        <w:textAlignment w:val="baseline"/>
        <w:rPr>
          <w:rFonts w:ascii="Arial" w:eastAsia="Arial" w:hAnsi="Arial"/>
          <w:b/>
          <w:color w:val="5556A1"/>
          <w:spacing w:val="1"/>
          <w:sz w:val="19"/>
        </w:rPr>
      </w:pPr>
      <w:r>
        <w:rPr>
          <w:rFonts w:ascii="Arial" w:eastAsia="Arial" w:hAnsi="Arial"/>
          <w:b/>
          <w:color w:val="5556A1"/>
          <w:spacing w:val="1"/>
          <w:sz w:val="19"/>
        </w:rPr>
        <w:t>110</w:t>
      </w:r>
      <w:r>
        <w:rPr>
          <w:rFonts w:ascii="Tahoma" w:eastAsia="Tahoma" w:hAnsi="Tahoma"/>
          <w:color w:val="404042"/>
          <w:spacing w:val="1"/>
          <w:sz w:val="14"/>
        </w:rPr>
        <w:tab/>
        <w:t>Looking to the future</w:t>
      </w:r>
    </w:p>
    <w:p w14:paraId="6B0D35CA" w14:textId="77777777" w:rsidR="009757A9" w:rsidRDefault="00083242">
      <w:pPr>
        <w:textAlignment w:val="baseline"/>
      </w:pPr>
      <w:r>
        <w:rPr>
          <w:noProof/>
          <w:lang w:val="en-AU" w:eastAsia="en-AU"/>
        </w:rPr>
        <w:drawing>
          <wp:inline distT="0" distB="0" distL="0" distR="0" wp14:anchorId="51888721" wp14:editId="7DB4CDC2">
            <wp:extent cx="7562215" cy="462915"/>
            <wp:effectExtent l="0" t="0" r="0" b="0"/>
            <wp:docPr id="182" name="Picture"/>
            <wp:cNvGraphicFramePr/>
            <a:graphic xmlns:a="http://schemas.openxmlformats.org/drawingml/2006/main">
              <a:graphicData uri="http://schemas.openxmlformats.org/drawingml/2006/picture">
                <pic:pic xmlns:pic="http://schemas.openxmlformats.org/drawingml/2006/picture">
                  <pic:nvPicPr>
                    <pic:cNvPr id="182"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74D568D6" w14:textId="77777777" w:rsidR="009757A9" w:rsidRDefault="009757A9">
      <w:pPr>
        <w:sectPr w:rsidR="009757A9">
          <w:pgSz w:w="11909" w:h="16838"/>
          <w:pgMar w:top="1500" w:right="0" w:bottom="0" w:left="0" w:header="720" w:footer="720" w:gutter="0"/>
          <w:cols w:space="720"/>
        </w:sectPr>
      </w:pPr>
    </w:p>
    <w:p w14:paraId="3A23CDA8" w14:textId="77777777" w:rsidR="009757A9" w:rsidRDefault="00083242">
      <w:pPr>
        <w:spacing w:line="240" w:lineRule="exact"/>
        <w:ind w:left="864" w:right="1152"/>
        <w:textAlignment w:val="baseline"/>
        <w:rPr>
          <w:rFonts w:ascii="Tahoma" w:eastAsia="Tahoma" w:hAnsi="Tahoma"/>
          <w:color w:val="404042"/>
          <w:spacing w:val="6"/>
          <w:sz w:val="18"/>
        </w:rPr>
      </w:pPr>
      <w:r>
        <w:rPr>
          <w:rFonts w:ascii="Tahoma" w:eastAsia="Tahoma" w:hAnsi="Tahoma"/>
          <w:color w:val="404042"/>
          <w:spacing w:val="6"/>
          <w:sz w:val="18"/>
        </w:rPr>
        <w:lastRenderedPageBreak/>
        <w:t>Despite the demonstrated value and market for micro-credentials, there remain a number of challenges. They presently sit outside the Australian Qualifications Framework (AQF). Although it is envisioned that micro-credentials could complement rather than seek to replicate the existing qualifications framework,</w:t>
      </w:r>
      <w:r>
        <w:rPr>
          <w:rFonts w:ascii="Tahoma" w:eastAsia="Tahoma" w:hAnsi="Tahoma"/>
          <w:color w:val="404042"/>
          <w:spacing w:val="6"/>
          <w:sz w:val="18"/>
          <w:vertAlign w:val="superscript"/>
        </w:rPr>
        <w:t>161</w:t>
      </w:r>
      <w:r>
        <w:rPr>
          <w:rFonts w:ascii="Tahoma" w:eastAsia="Tahoma" w:hAnsi="Tahoma"/>
          <w:color w:val="404042"/>
          <w:spacing w:val="6"/>
          <w:sz w:val="18"/>
        </w:rPr>
        <w:t xml:space="preserve"> these arrangements could be potentially confusing if they occur outside an overarching agreed framework.</w:t>
      </w:r>
      <w:r>
        <w:rPr>
          <w:rFonts w:ascii="Tahoma" w:eastAsia="Tahoma" w:hAnsi="Tahoma"/>
          <w:color w:val="404042"/>
          <w:spacing w:val="6"/>
          <w:sz w:val="18"/>
          <w:vertAlign w:val="superscript"/>
        </w:rPr>
        <w:t>162</w:t>
      </w:r>
      <w:r>
        <w:rPr>
          <w:rFonts w:ascii="Tahoma" w:eastAsia="Tahoma" w:hAnsi="Tahoma"/>
          <w:color w:val="404042"/>
          <w:spacing w:val="6"/>
          <w:sz w:val="18"/>
        </w:rPr>
        <w:t xml:space="preserve"> The widespread recognition and transferability of micro-credentials requires a national approach, and the development of a verifiable quality assurance process.</w:t>
      </w:r>
    </w:p>
    <w:p w14:paraId="0A957FE0" w14:textId="77777777" w:rsidR="009757A9" w:rsidRDefault="00083242">
      <w:pPr>
        <w:spacing w:before="159" w:line="240" w:lineRule="exact"/>
        <w:ind w:left="864" w:right="1080"/>
        <w:textAlignment w:val="baseline"/>
        <w:rPr>
          <w:rFonts w:ascii="Tahoma" w:eastAsia="Tahoma" w:hAnsi="Tahoma"/>
          <w:color w:val="404042"/>
          <w:sz w:val="18"/>
        </w:rPr>
      </w:pPr>
      <w:r>
        <w:rPr>
          <w:rFonts w:ascii="Tahoma" w:eastAsia="Tahoma" w:hAnsi="Tahoma"/>
          <w:color w:val="404042"/>
          <w:sz w:val="18"/>
        </w:rPr>
        <w:t>Work is already underway to develop guidelines and principles for microcredentialing and its place within the current qualification structures in Australia, in response to recommendations within the final report of the AQF Review, released in October 2019.</w:t>
      </w:r>
      <w:r>
        <w:rPr>
          <w:rFonts w:ascii="Tahoma" w:eastAsia="Tahoma" w:hAnsi="Tahoma"/>
          <w:color w:val="404042"/>
          <w:sz w:val="18"/>
          <w:vertAlign w:val="superscript"/>
        </w:rPr>
        <w:t>163</w:t>
      </w:r>
      <w:r>
        <w:rPr>
          <w:rFonts w:ascii="Tahoma" w:eastAsia="Tahoma" w:hAnsi="Tahoma"/>
          <w:color w:val="404042"/>
          <w:sz w:val="10"/>
        </w:rPr>
        <w:t xml:space="preserve"> </w:t>
      </w:r>
    </w:p>
    <w:p w14:paraId="24575FB0" w14:textId="77777777" w:rsidR="009757A9" w:rsidRDefault="00083242">
      <w:pPr>
        <w:spacing w:before="283" w:line="242" w:lineRule="exact"/>
        <w:ind w:left="864"/>
        <w:textAlignment w:val="baseline"/>
        <w:rPr>
          <w:rFonts w:ascii="Arial" w:eastAsia="Arial" w:hAnsi="Arial"/>
          <w:b/>
          <w:color w:val="000000"/>
          <w:sz w:val="21"/>
        </w:rPr>
      </w:pPr>
      <w:r>
        <w:rPr>
          <w:rFonts w:ascii="Arial" w:eastAsia="Arial" w:hAnsi="Arial"/>
          <w:b/>
          <w:color w:val="000000"/>
          <w:sz w:val="21"/>
        </w:rPr>
        <w:t>Micro-credentials in senior secondary school</w:t>
      </w:r>
    </w:p>
    <w:p w14:paraId="46FE95F7" w14:textId="77777777" w:rsidR="009757A9" w:rsidRDefault="00083242">
      <w:pPr>
        <w:spacing w:before="181" w:line="220" w:lineRule="exact"/>
        <w:ind w:left="864"/>
        <w:textAlignment w:val="baseline"/>
        <w:rPr>
          <w:rFonts w:ascii="Tahoma" w:eastAsia="Tahoma" w:hAnsi="Tahoma"/>
          <w:color w:val="404042"/>
          <w:spacing w:val="4"/>
          <w:sz w:val="18"/>
        </w:rPr>
      </w:pPr>
      <w:r>
        <w:rPr>
          <w:rFonts w:ascii="Tahoma" w:eastAsia="Tahoma" w:hAnsi="Tahoma"/>
          <w:color w:val="404042"/>
          <w:spacing w:val="4"/>
          <w:sz w:val="18"/>
        </w:rPr>
        <w:t>The role of micro-credentialing in the schooling sector is less clear.</w:t>
      </w:r>
    </w:p>
    <w:p w14:paraId="2FCBF2F5"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During our consultations, the Panel heard a great amount of interest expressed for introducing senior secondary students to the capabilities of micro-credentials while still at school. Industry and employer groups were enthusiastic. Students were excited at the prospect. And various departments of education indicated that they saw micro-credentials and other flexible modules as a valuable new means of skill acquisition. At a time when schools have been forced by COVID-19 to move quickly to remote learning, the ability for students to access online micro-credentialed courses appears particularly attractive. It would allow teachers, in the post-virus ‘new normal’, to develop more blended learning options.</w:t>
      </w:r>
    </w:p>
    <w:p w14:paraId="3E346CC2" w14:textId="77777777" w:rsidR="009757A9" w:rsidRDefault="00083242">
      <w:pPr>
        <w:spacing w:before="173" w:line="240" w:lineRule="exact"/>
        <w:ind w:left="864" w:right="2016"/>
        <w:textAlignment w:val="baseline"/>
        <w:rPr>
          <w:rFonts w:ascii="Tahoma" w:eastAsia="Tahoma" w:hAnsi="Tahoma"/>
          <w:color w:val="404042"/>
          <w:sz w:val="18"/>
        </w:rPr>
      </w:pPr>
      <w:r>
        <w:rPr>
          <w:rFonts w:ascii="Tahoma" w:eastAsia="Tahoma" w:hAnsi="Tahoma"/>
          <w:color w:val="404042"/>
          <w:sz w:val="18"/>
        </w:rPr>
        <w:t>The level of interest was not unexpected. Curriculum reviews in a number of different states have already recommended further exploration of micro-credentialing in the senior secondary space:</w:t>
      </w:r>
    </w:p>
    <w:p w14:paraId="7C3D1A73" w14:textId="77777777" w:rsidR="009757A9" w:rsidRDefault="00083242">
      <w:pPr>
        <w:numPr>
          <w:ilvl w:val="0"/>
          <w:numId w:val="6"/>
        </w:numPr>
        <w:tabs>
          <w:tab w:val="clear" w:pos="216"/>
          <w:tab w:val="left" w:pos="1080"/>
        </w:tabs>
        <w:spacing w:before="82" w:line="238" w:lineRule="exact"/>
        <w:ind w:left="1080" w:right="1296" w:hanging="216"/>
        <w:textAlignment w:val="baseline"/>
        <w:rPr>
          <w:rFonts w:ascii="Tahoma" w:eastAsia="Tahoma" w:hAnsi="Tahoma"/>
          <w:color w:val="404042"/>
          <w:sz w:val="18"/>
        </w:rPr>
      </w:pPr>
      <w:r>
        <w:rPr>
          <w:rFonts w:ascii="Tahoma" w:eastAsia="Tahoma" w:hAnsi="Tahoma"/>
          <w:color w:val="404042"/>
          <w:sz w:val="18"/>
        </w:rPr>
        <w:t xml:space="preserve">The </w:t>
      </w:r>
      <w:r>
        <w:rPr>
          <w:rFonts w:ascii="Arial" w:eastAsia="Arial" w:hAnsi="Arial"/>
          <w:b/>
          <w:color w:val="404042"/>
          <w:sz w:val="19"/>
        </w:rPr>
        <w:t xml:space="preserve">NSW Curriculum Review Interim Report </w:t>
      </w:r>
      <w:r>
        <w:rPr>
          <w:rFonts w:ascii="Tahoma" w:eastAsia="Tahoma" w:hAnsi="Tahoma"/>
          <w:color w:val="404042"/>
          <w:sz w:val="18"/>
        </w:rPr>
        <w:t>proposes a common structure of progress and attainment in advanced courses, including “the possibility of recognising the achievement of individual modules in the form of ‘micro-credentials’ based on teachers’ assessments of student achievement.”</w:t>
      </w:r>
      <w:r>
        <w:rPr>
          <w:rFonts w:ascii="Tahoma" w:eastAsia="Tahoma" w:hAnsi="Tahoma"/>
          <w:color w:val="404042"/>
          <w:sz w:val="18"/>
          <w:vertAlign w:val="superscript"/>
        </w:rPr>
        <w:t>164</w:t>
      </w:r>
      <w:r>
        <w:rPr>
          <w:rFonts w:ascii="Tahoma" w:eastAsia="Tahoma" w:hAnsi="Tahoma"/>
          <w:color w:val="404042"/>
          <w:sz w:val="10"/>
        </w:rPr>
        <w:t xml:space="preserve"> </w:t>
      </w:r>
    </w:p>
    <w:p w14:paraId="4F2CB506" w14:textId="77777777" w:rsidR="009757A9" w:rsidRDefault="00083242">
      <w:pPr>
        <w:numPr>
          <w:ilvl w:val="0"/>
          <w:numId w:val="6"/>
        </w:numPr>
        <w:tabs>
          <w:tab w:val="clear" w:pos="216"/>
          <w:tab w:val="left" w:pos="1080"/>
        </w:tabs>
        <w:spacing w:before="92" w:line="240" w:lineRule="exact"/>
        <w:ind w:left="1080" w:right="1296" w:hanging="216"/>
        <w:textAlignment w:val="baseline"/>
        <w:rPr>
          <w:rFonts w:ascii="Tahoma" w:eastAsia="Tahoma" w:hAnsi="Tahoma"/>
          <w:color w:val="404042"/>
          <w:spacing w:val="4"/>
          <w:sz w:val="18"/>
        </w:rPr>
      </w:pPr>
      <w:r>
        <w:rPr>
          <w:rFonts w:ascii="Tahoma" w:eastAsia="Tahoma" w:hAnsi="Tahoma"/>
          <w:color w:val="404042"/>
          <w:spacing w:val="4"/>
          <w:sz w:val="18"/>
        </w:rPr>
        <w:t xml:space="preserve">The </w:t>
      </w:r>
      <w:r>
        <w:rPr>
          <w:rFonts w:ascii="Tahoma" w:eastAsia="Tahoma" w:hAnsi="Tahoma"/>
          <w:b/>
          <w:color w:val="404042"/>
          <w:spacing w:val="4"/>
          <w:sz w:val="17"/>
        </w:rPr>
        <w:t xml:space="preserve">South Australian Certificate of Education (SACE) Stage 2 Review </w:t>
      </w:r>
      <w:r>
        <w:rPr>
          <w:rFonts w:ascii="Tahoma" w:eastAsia="Tahoma" w:hAnsi="Tahoma"/>
          <w:color w:val="404042"/>
          <w:spacing w:val="4"/>
          <w:sz w:val="18"/>
        </w:rPr>
        <w:t>recommended exploring the use of micro-credentials to accredit clusters of skills from different certificates to form ‘pathways’ for students. They recommended exploring micro-credentialing for the small units of learning undertaken by students, particularly by those students achieving lower grades, or at risk of not completing their SACE, and those involved in flexible learning options.</w:t>
      </w:r>
      <w:r>
        <w:rPr>
          <w:rFonts w:ascii="Tahoma" w:eastAsia="Tahoma" w:hAnsi="Tahoma"/>
          <w:color w:val="404042"/>
          <w:spacing w:val="4"/>
          <w:sz w:val="18"/>
          <w:vertAlign w:val="superscript"/>
        </w:rPr>
        <w:t>165</w:t>
      </w:r>
      <w:r>
        <w:rPr>
          <w:rFonts w:ascii="Tahoma" w:eastAsia="Tahoma" w:hAnsi="Tahoma"/>
          <w:color w:val="404042"/>
          <w:spacing w:val="4"/>
          <w:sz w:val="10"/>
        </w:rPr>
        <w:t xml:space="preserve"> </w:t>
      </w:r>
    </w:p>
    <w:p w14:paraId="01297BC7" w14:textId="77777777" w:rsidR="009757A9" w:rsidRDefault="00083242">
      <w:pPr>
        <w:numPr>
          <w:ilvl w:val="0"/>
          <w:numId w:val="6"/>
        </w:numPr>
        <w:tabs>
          <w:tab w:val="clear" w:pos="216"/>
          <w:tab w:val="left" w:pos="1080"/>
        </w:tabs>
        <w:spacing w:before="72" w:line="240" w:lineRule="exact"/>
        <w:ind w:left="1080" w:right="936" w:hanging="216"/>
        <w:textAlignment w:val="baseline"/>
        <w:rPr>
          <w:rFonts w:ascii="Tahoma" w:eastAsia="Tahoma" w:hAnsi="Tahoma"/>
          <w:color w:val="404042"/>
          <w:spacing w:val="2"/>
          <w:sz w:val="18"/>
        </w:rPr>
      </w:pPr>
      <w:r>
        <w:rPr>
          <w:rFonts w:ascii="Tahoma" w:eastAsia="Tahoma" w:hAnsi="Tahoma"/>
          <w:color w:val="404042"/>
          <w:spacing w:val="2"/>
          <w:sz w:val="18"/>
        </w:rPr>
        <w:t xml:space="preserve">The </w:t>
      </w:r>
      <w:r>
        <w:rPr>
          <w:rFonts w:ascii="Arial" w:eastAsia="Arial" w:hAnsi="Arial"/>
          <w:b/>
          <w:color w:val="404042"/>
          <w:spacing w:val="2"/>
          <w:sz w:val="19"/>
        </w:rPr>
        <w:t xml:space="preserve">Tasmanian Years 9 to 12 Curriculum Framework </w:t>
      </w:r>
      <w:r>
        <w:rPr>
          <w:rFonts w:ascii="Tahoma" w:eastAsia="Tahoma" w:hAnsi="Tahoma"/>
          <w:color w:val="404042"/>
          <w:spacing w:val="2"/>
          <w:sz w:val="18"/>
        </w:rPr>
        <w:t>supports “[p]rogressive assessment practices [that] allow students to accrue micro-credentials or mini qualifications that demonstrate skills, knowledge, and/or experience in a given subject area or capability. Different combinations can be collected to develop an individualised portfolio of achievement.”</w:t>
      </w:r>
      <w:r>
        <w:rPr>
          <w:rFonts w:ascii="Tahoma" w:eastAsia="Tahoma" w:hAnsi="Tahoma"/>
          <w:color w:val="404042"/>
          <w:spacing w:val="2"/>
          <w:sz w:val="18"/>
          <w:vertAlign w:val="superscript"/>
        </w:rPr>
        <w:t>166</w:t>
      </w:r>
      <w:r>
        <w:rPr>
          <w:rFonts w:ascii="Tahoma" w:eastAsia="Tahoma" w:hAnsi="Tahoma"/>
          <w:color w:val="404042"/>
          <w:spacing w:val="2"/>
          <w:sz w:val="10"/>
        </w:rPr>
        <w:t xml:space="preserve"> </w:t>
      </w:r>
    </w:p>
    <w:p w14:paraId="2F7E378B" w14:textId="77777777" w:rsidR="009757A9" w:rsidRDefault="00083242">
      <w:pPr>
        <w:numPr>
          <w:ilvl w:val="0"/>
          <w:numId w:val="6"/>
        </w:numPr>
        <w:tabs>
          <w:tab w:val="clear" w:pos="216"/>
          <w:tab w:val="left" w:pos="1080"/>
        </w:tabs>
        <w:spacing w:before="100" w:line="240" w:lineRule="exact"/>
        <w:ind w:left="1080" w:right="1080" w:hanging="216"/>
        <w:textAlignment w:val="baseline"/>
        <w:rPr>
          <w:rFonts w:ascii="Tahoma" w:eastAsia="Tahoma" w:hAnsi="Tahoma"/>
          <w:color w:val="404042"/>
          <w:sz w:val="18"/>
        </w:rPr>
      </w:pPr>
      <w:r>
        <w:rPr>
          <w:rFonts w:ascii="Tahoma" w:eastAsia="Tahoma" w:hAnsi="Tahoma"/>
          <w:color w:val="404042"/>
          <w:sz w:val="18"/>
        </w:rPr>
        <w:t xml:space="preserve">The </w:t>
      </w:r>
      <w:r>
        <w:rPr>
          <w:rFonts w:ascii="Arial" w:eastAsia="Arial" w:hAnsi="Arial"/>
          <w:b/>
          <w:color w:val="404042"/>
          <w:sz w:val="19"/>
        </w:rPr>
        <w:t xml:space="preserve">Queensland Government’s Micro-credentialing Pilots Program </w:t>
      </w:r>
      <w:r>
        <w:rPr>
          <w:rFonts w:ascii="Tahoma" w:eastAsia="Tahoma" w:hAnsi="Tahoma"/>
          <w:color w:val="404042"/>
          <w:sz w:val="18"/>
        </w:rPr>
        <w:t>will “test how these modern and flexible pathways can be used to address current, emerging and future skills needs... The pilots will aim to support a range of approaches to micro-credentials targeting priority industry skills, developed by public providers of nationally recognised training (TAFE Queensland and CQUniversity), by industry and through regional partnerships”.</w:t>
      </w:r>
      <w:r>
        <w:rPr>
          <w:rFonts w:ascii="Tahoma" w:eastAsia="Tahoma" w:hAnsi="Tahoma"/>
          <w:color w:val="404042"/>
          <w:sz w:val="18"/>
          <w:vertAlign w:val="superscript"/>
        </w:rPr>
        <w:t>167</w:t>
      </w:r>
      <w:r>
        <w:rPr>
          <w:rFonts w:ascii="Tahoma" w:eastAsia="Tahoma" w:hAnsi="Tahoma"/>
          <w:color w:val="404042"/>
          <w:sz w:val="10"/>
        </w:rPr>
        <w:t xml:space="preserve"> </w:t>
      </w:r>
    </w:p>
    <w:p w14:paraId="18259675" w14:textId="77777777" w:rsidR="009757A9" w:rsidRDefault="00083242">
      <w:pPr>
        <w:spacing w:before="168" w:after="461" w:line="240" w:lineRule="exact"/>
        <w:ind w:left="864" w:right="1656"/>
        <w:textAlignment w:val="baseline"/>
        <w:rPr>
          <w:rFonts w:ascii="Tahoma" w:eastAsia="Tahoma" w:hAnsi="Tahoma"/>
          <w:color w:val="404042"/>
          <w:sz w:val="18"/>
        </w:rPr>
      </w:pPr>
      <w:r>
        <w:rPr>
          <w:rFonts w:ascii="Tahoma" w:eastAsia="Tahoma" w:hAnsi="Tahoma"/>
          <w:color w:val="404042"/>
          <w:sz w:val="18"/>
        </w:rPr>
        <w:t>The Panel is persuaded that the use of micro-credentialing within senior secondary schooling may offer a host of benefits akin to those being seen in higher education, VET and the workforce. Yet the implementation of micro-credentialing within schools is neither simple nor straightforward.</w:t>
      </w:r>
    </w:p>
    <w:p w14:paraId="7509C601" w14:textId="77777777" w:rsidR="009757A9" w:rsidRDefault="000D2E34">
      <w:pPr>
        <w:spacing w:before="79" w:line="172" w:lineRule="exact"/>
        <w:ind w:left="864"/>
        <w:textAlignment w:val="baseline"/>
        <w:rPr>
          <w:rFonts w:ascii="Tahoma" w:eastAsia="Tahoma" w:hAnsi="Tahoma"/>
          <w:color w:val="404042"/>
          <w:spacing w:val="3"/>
          <w:sz w:val="14"/>
        </w:rPr>
      </w:pPr>
      <w:r>
        <w:rPr>
          <w:noProof/>
          <w:lang w:val="en-AU" w:eastAsia="en-AU"/>
        </w:rPr>
        <mc:AlternateContent>
          <mc:Choice Requires="wps">
            <w:drawing>
              <wp:anchor distT="0" distB="0" distL="114300" distR="114300" simplePos="0" relativeHeight="251945472" behindDoc="0" locked="0" layoutInCell="1" allowOverlap="1" wp14:anchorId="1C468457" wp14:editId="584FB0A1">
                <wp:simplePos x="0" y="0"/>
                <wp:positionH relativeFrom="page">
                  <wp:posOffset>539750</wp:posOffset>
                </wp:positionH>
                <wp:positionV relativeFrom="page">
                  <wp:posOffset>7854950</wp:posOffset>
                </wp:positionV>
                <wp:extent cx="917575" cy="0"/>
                <wp:effectExtent l="0" t="0" r="0" b="0"/>
                <wp:wrapNone/>
                <wp:docPr id="517"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72C67" id="Line 238" o:spid="_x0000_s1026" style="position:absolute;z-index:2519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18.5pt" to="114.75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zWzgEAAIYDAAAOAAAAZHJzL2Uyb0RvYy54bWysU8Fu2zAMvQ/YPwi6L3YypOmMOD0k6y7Z&#10;FqDdBzCSbAuVRUFS4uTvR8lJ2m23oT4Iokg+Pj7Sy4dTb9hR+aDR1nw6KTlTVqDUtq35r+fHT/ec&#10;hQhWgkGran5WgT+sPn5YDq5SM+zQSOUZgdhQDa7mXYyuKoogOtVDmKBTlpwN+h4imb4tpIeB0HtT&#10;zMryrhjQS+dRqBDodTM6+SrjN40S8WfTBBWZqTlxi/n0+dyns1gtoWo9uE6LCw34DxY9aEtFb1Ab&#10;iMAOXv8D1WvhMWATJwL7AptGC5V7oG6m5V/dPHXgVO6FxAnuJlN4P1jx47jzTMuaz6cLziz0NKSt&#10;torNPt8ndQYXKgpa251P/YmTfXJbFC+BWVx3YFuVWT6fHSVOU0bxR0oygqMa++E7SoqBQ8Qs1anx&#10;fYIkEdgpT+R8m4g6RSbo8ct0MV/MORNXVwHVNc/5EL8p7Fm61NwQ6YwLx22IiQdU15BUxuKjNibP&#10;21g2ENlZeTfPGQGNlsmb4oJv92vj2RHSyuQvd0Wet2EJegOhG+Oya1wmjwcrc5lOgfx6uUfQZrwT&#10;LWMvKiVhRon3KM87f1WPhp35XxYzbdNbO2e//j6r3wAAAP//AwBQSwMEFAAGAAgAAAAhACl2Enzf&#10;AAAADAEAAA8AAABkcnMvZG93bnJldi54bWxMj0FPwzAMhe9I/IfISFwQSykblNJ0QpPgxgQDxI5e&#10;Y9qKxqmabC3/HnNAcLOfn56/Vywn16kDDaH1bOBiloAirrxtuTbw+nJ/noEKEdli55kMfFGAZXl8&#10;VGBu/cjPdNjEWkkIhxwNNDH2udahashhmPmeWG4ffnAYZR1qbQccJdx1Ok2SK+2wZfnQYE+rhqrP&#10;zd4Z0DrJ5tPb+/g4PwtZu13V24f1kzGnJ9PdLahIU/wzww++oEMpTDu/ZxtUZyBbSJUoenp5LZM4&#10;0vRmAWr3K+my0P9LlN8AAAD//wMAUEsBAi0AFAAGAAgAAAAhALaDOJL+AAAA4QEAABMAAAAAAAAA&#10;AAAAAAAAAAAAAFtDb250ZW50X1R5cGVzXS54bWxQSwECLQAUAAYACAAAACEAOP0h/9YAAACUAQAA&#10;CwAAAAAAAAAAAAAAAAAvAQAAX3JlbHMvLnJlbHNQSwECLQAUAAYACAAAACEAd7q81s4BAACGAwAA&#10;DgAAAAAAAAAAAAAAAAAuAgAAZHJzL2Uyb0RvYy54bWxQSwECLQAUAAYACAAAACEAKXYSfN8AAAAM&#10;AQAADwAAAAAAAAAAAAAAAAAoBAAAZHJzL2Rvd25yZXYueG1sUEsFBgAAAAAEAAQA8wAAADQFAAAA&#10;AA==&#10;" strokeweight=".95pt">
                <w10:wrap anchorx="page" anchory="page"/>
              </v:line>
            </w:pict>
          </mc:Fallback>
        </mc:AlternateContent>
      </w:r>
      <w:r w:rsidR="00083242">
        <w:rPr>
          <w:rFonts w:ascii="Tahoma" w:eastAsia="Tahoma" w:hAnsi="Tahoma"/>
          <w:color w:val="404042"/>
          <w:spacing w:val="3"/>
          <w:sz w:val="14"/>
        </w:rPr>
        <w:t>161 Business Council of Australia (2018), p. 42.</w:t>
      </w:r>
    </w:p>
    <w:p w14:paraId="12FDFF1A" w14:textId="77777777" w:rsidR="009757A9" w:rsidRDefault="00083242">
      <w:pPr>
        <w:spacing w:line="199" w:lineRule="exact"/>
        <w:ind w:left="1080" w:right="936" w:hanging="216"/>
        <w:jc w:val="both"/>
        <w:textAlignment w:val="baseline"/>
        <w:rPr>
          <w:rFonts w:ascii="Tahoma" w:eastAsia="Tahoma" w:hAnsi="Tahoma"/>
          <w:color w:val="404042"/>
          <w:sz w:val="14"/>
        </w:rPr>
      </w:pPr>
      <w:r>
        <w:rPr>
          <w:rFonts w:ascii="Tahoma" w:eastAsia="Tahoma" w:hAnsi="Tahoma"/>
          <w:color w:val="404042"/>
          <w:sz w:val="14"/>
        </w:rPr>
        <w:t xml:space="preserve">162 Ithaca Group (2018), </w:t>
      </w:r>
      <w:r>
        <w:rPr>
          <w:rFonts w:ascii="Arial" w:eastAsia="Arial" w:hAnsi="Arial"/>
          <w:i/>
          <w:color w:val="404042"/>
          <w:sz w:val="14"/>
        </w:rPr>
        <w:t>Credit Pathways in VET and Higher Education: Research project: Final report</w:t>
      </w:r>
      <w:r>
        <w:rPr>
          <w:rFonts w:ascii="Tahoma" w:eastAsia="Tahoma" w:hAnsi="Tahoma"/>
          <w:color w:val="404042"/>
          <w:sz w:val="14"/>
        </w:rPr>
        <w:t xml:space="preserve">, October 2018, p. 43, </w:t>
      </w:r>
      <w:hyperlink r:id="rId243">
        <w:r>
          <w:rPr>
            <w:rFonts w:ascii="Tahoma" w:eastAsia="Tahoma" w:hAnsi="Tahoma"/>
            <w:color w:val="0000FF"/>
            <w:sz w:val="14"/>
            <w:u w:val="single"/>
          </w:rPr>
          <w:t xml:space="preserve">https://docs.education.gov.au/ </w:t>
        </w:r>
      </w:hyperlink>
      <w:r>
        <w:rPr>
          <w:rFonts w:ascii="Tahoma" w:eastAsia="Tahoma" w:hAnsi="Tahoma"/>
          <w:color w:val="0000FF"/>
          <w:sz w:val="14"/>
          <w:u w:val="single"/>
        </w:rPr>
        <w:t>system/files/doc/other/aqfcreditpathways.pdf</w:t>
      </w:r>
      <w:r>
        <w:rPr>
          <w:rFonts w:ascii="Tahoma" w:eastAsia="Tahoma" w:hAnsi="Tahoma"/>
          <w:color w:val="404042"/>
          <w:sz w:val="14"/>
        </w:rPr>
        <w:t>.</w:t>
      </w:r>
    </w:p>
    <w:p w14:paraId="35304583" w14:textId="77777777" w:rsidR="009757A9" w:rsidRDefault="00083242">
      <w:pPr>
        <w:spacing w:before="30" w:line="172" w:lineRule="exact"/>
        <w:ind w:left="864"/>
        <w:textAlignment w:val="baseline"/>
        <w:rPr>
          <w:rFonts w:ascii="Tahoma" w:eastAsia="Tahoma" w:hAnsi="Tahoma"/>
          <w:color w:val="404042"/>
          <w:spacing w:val="4"/>
          <w:sz w:val="14"/>
        </w:rPr>
      </w:pPr>
      <w:r>
        <w:rPr>
          <w:rFonts w:ascii="Tahoma" w:eastAsia="Tahoma" w:hAnsi="Tahoma"/>
          <w:color w:val="404042"/>
          <w:spacing w:val="4"/>
          <w:sz w:val="14"/>
        </w:rPr>
        <w:t>163 Expert Panel for the Review of the Australian Qualifications Framework (2019), p. 62.</w:t>
      </w:r>
    </w:p>
    <w:p w14:paraId="17E78DDB" w14:textId="77777777" w:rsidR="009757A9" w:rsidRDefault="00083242">
      <w:pPr>
        <w:spacing w:before="30" w:line="171" w:lineRule="exact"/>
        <w:ind w:left="864"/>
        <w:textAlignment w:val="baseline"/>
        <w:rPr>
          <w:rFonts w:ascii="Tahoma" w:eastAsia="Tahoma" w:hAnsi="Tahoma"/>
          <w:color w:val="404042"/>
          <w:spacing w:val="4"/>
          <w:sz w:val="14"/>
        </w:rPr>
      </w:pPr>
      <w:r>
        <w:rPr>
          <w:rFonts w:ascii="Tahoma" w:eastAsia="Tahoma" w:hAnsi="Tahoma"/>
          <w:color w:val="404042"/>
          <w:spacing w:val="4"/>
          <w:sz w:val="14"/>
        </w:rPr>
        <w:t>164 NSW Education Standards Authority (2019), p. xiv.</w:t>
      </w:r>
    </w:p>
    <w:p w14:paraId="2939C72D" w14:textId="77777777" w:rsidR="009757A9" w:rsidRDefault="00083242">
      <w:pPr>
        <w:spacing w:before="1" w:line="199" w:lineRule="exact"/>
        <w:ind w:left="1080" w:right="936" w:hanging="216"/>
        <w:jc w:val="both"/>
        <w:textAlignment w:val="baseline"/>
        <w:rPr>
          <w:rFonts w:ascii="Tahoma" w:eastAsia="Tahoma" w:hAnsi="Tahoma"/>
          <w:color w:val="404042"/>
          <w:spacing w:val="2"/>
          <w:sz w:val="14"/>
        </w:rPr>
      </w:pPr>
      <w:r>
        <w:rPr>
          <w:rFonts w:ascii="Tahoma" w:eastAsia="Tahoma" w:hAnsi="Tahoma"/>
          <w:color w:val="404042"/>
          <w:spacing w:val="2"/>
          <w:sz w:val="14"/>
        </w:rPr>
        <w:t xml:space="preserve">165 South Australian Government (2018), </w:t>
      </w:r>
      <w:r>
        <w:rPr>
          <w:rFonts w:ascii="Arial" w:eastAsia="Arial" w:hAnsi="Arial"/>
          <w:i/>
          <w:color w:val="404042"/>
          <w:spacing w:val="2"/>
          <w:sz w:val="14"/>
        </w:rPr>
        <w:t>SACE Stage 2 Review</w:t>
      </w:r>
      <w:r>
        <w:rPr>
          <w:rFonts w:ascii="Tahoma" w:eastAsia="Tahoma" w:hAnsi="Tahoma"/>
          <w:color w:val="404042"/>
          <w:spacing w:val="2"/>
          <w:sz w:val="14"/>
        </w:rPr>
        <w:t xml:space="preserve">, September 2018, p. 6, </w:t>
      </w:r>
      <w:hyperlink r:id="rId244">
        <w:r>
          <w:rPr>
            <w:rFonts w:ascii="Tahoma" w:eastAsia="Tahoma" w:hAnsi="Tahoma"/>
            <w:color w:val="0000FF"/>
            <w:spacing w:val="2"/>
            <w:sz w:val="14"/>
            <w:u w:val="single"/>
          </w:rPr>
          <w:t>https://www.education.sa.gov.au/sites/default/files/sace</w:t>
        </w:r>
      </w:hyperlink>
      <w:r>
        <w:rPr>
          <w:rFonts w:ascii="Tahoma" w:eastAsia="Tahoma" w:hAnsi="Tahoma"/>
          <w:color w:val="0000FF"/>
          <w:spacing w:val="2"/>
          <w:sz w:val="14"/>
          <w:u w:val="single"/>
        </w:rPr>
        <w:t>-stage-2-review.pdf</w:t>
      </w:r>
      <w:r>
        <w:rPr>
          <w:rFonts w:ascii="Tahoma" w:eastAsia="Tahoma" w:hAnsi="Tahoma"/>
          <w:color w:val="404042"/>
          <w:spacing w:val="2"/>
          <w:sz w:val="14"/>
        </w:rPr>
        <w:t>.</w:t>
      </w:r>
    </w:p>
    <w:p w14:paraId="289AE12A" w14:textId="77777777" w:rsidR="009757A9" w:rsidRDefault="00083242">
      <w:pPr>
        <w:spacing w:line="199" w:lineRule="exact"/>
        <w:ind w:left="1080" w:right="1080" w:hanging="216"/>
        <w:textAlignment w:val="baseline"/>
        <w:rPr>
          <w:rFonts w:ascii="Tahoma" w:eastAsia="Tahoma" w:hAnsi="Tahoma"/>
          <w:color w:val="404042"/>
          <w:sz w:val="14"/>
        </w:rPr>
      </w:pPr>
      <w:r>
        <w:rPr>
          <w:rFonts w:ascii="Tahoma" w:eastAsia="Tahoma" w:hAnsi="Tahoma"/>
          <w:color w:val="404042"/>
          <w:sz w:val="14"/>
        </w:rPr>
        <w:t xml:space="preserve">166 Tasmanian Government (2019), ‘Years 9 to 12 Curriculum Framework’, fact sheet, version 3, April 2019, </w:t>
      </w:r>
      <w:hyperlink r:id="rId245">
        <w:r>
          <w:rPr>
            <w:rFonts w:ascii="Tahoma" w:eastAsia="Tahoma" w:hAnsi="Tahoma"/>
            <w:color w:val="0000FF"/>
            <w:sz w:val="14"/>
            <w:u w:val="single"/>
          </w:rPr>
          <w:t>https://publicdocumentcentre.education. tas.gov.au/Documents/Education%209-12%20Frameworks%20A3%20WEB%20POSTER.pdf</w:t>
        </w:r>
      </w:hyperlink>
      <w:r>
        <w:rPr>
          <w:rFonts w:ascii="Tahoma" w:eastAsia="Tahoma" w:hAnsi="Tahoma"/>
          <w:color w:val="404042"/>
          <w:sz w:val="14"/>
        </w:rPr>
        <w:t>.</w:t>
      </w:r>
    </w:p>
    <w:p w14:paraId="58BCDD9A" w14:textId="77777777" w:rsidR="009757A9" w:rsidRDefault="00083242">
      <w:pPr>
        <w:spacing w:before="5" w:line="199" w:lineRule="exact"/>
        <w:ind w:left="1080" w:right="864" w:hanging="216"/>
        <w:jc w:val="both"/>
        <w:textAlignment w:val="baseline"/>
        <w:rPr>
          <w:rFonts w:ascii="Tahoma" w:eastAsia="Tahoma" w:hAnsi="Tahoma"/>
          <w:color w:val="404042"/>
          <w:sz w:val="14"/>
        </w:rPr>
      </w:pPr>
      <w:r>
        <w:rPr>
          <w:rFonts w:ascii="Tahoma" w:eastAsia="Tahoma" w:hAnsi="Tahoma"/>
          <w:color w:val="404042"/>
          <w:sz w:val="14"/>
        </w:rPr>
        <w:t xml:space="preserve">167 Queensland Department of Employment, Small Business and Training (2019), ‘Micro-credentialing Pilots Program’, fact sheet, </w:t>
      </w:r>
      <w:hyperlink r:id="rId246">
        <w:r>
          <w:rPr>
            <w:rFonts w:ascii="Tahoma" w:eastAsia="Tahoma" w:hAnsi="Tahoma"/>
            <w:color w:val="0000FF"/>
            <w:sz w:val="14"/>
            <w:u w:val="single"/>
          </w:rPr>
          <w:t xml:space="preserve">https://desbt.qld.gov. </w:t>
        </w:r>
      </w:hyperlink>
      <w:r>
        <w:rPr>
          <w:rFonts w:ascii="Tahoma" w:eastAsia="Tahoma" w:hAnsi="Tahoma"/>
          <w:color w:val="0000FF"/>
          <w:sz w:val="14"/>
          <w:u w:val="single"/>
        </w:rPr>
        <w:t>au/__data/assets/pdf_file/0012/11019/micro-credentialing-pilots-program-fact-sheet.pdf</w:t>
      </w:r>
      <w:r>
        <w:rPr>
          <w:rFonts w:ascii="Tahoma" w:eastAsia="Tahoma" w:hAnsi="Tahoma"/>
          <w:color w:val="404042"/>
          <w:sz w:val="14"/>
        </w:rPr>
        <w:t>.</w:t>
      </w:r>
    </w:p>
    <w:p w14:paraId="608E3283" w14:textId="77777777" w:rsidR="009757A9" w:rsidRDefault="00083242">
      <w:pPr>
        <w:spacing w:before="640" w:after="634" w:line="214" w:lineRule="exact"/>
        <w:ind w:left="6768"/>
        <w:textAlignment w:val="baseline"/>
        <w:rPr>
          <w:rFonts w:ascii="Tahoma" w:eastAsia="Tahoma" w:hAnsi="Tahoma"/>
          <w:color w:val="404042"/>
          <w:spacing w:val="7"/>
          <w:sz w:val="14"/>
        </w:rPr>
      </w:pPr>
      <w:r>
        <w:rPr>
          <w:rFonts w:ascii="Tahoma" w:eastAsia="Tahoma" w:hAnsi="Tahoma"/>
          <w:color w:val="404042"/>
          <w:spacing w:val="7"/>
          <w:sz w:val="14"/>
        </w:rPr>
        <w:t>Chapter 5: Building more flexible pathways from school</w:t>
      </w:r>
      <w:r>
        <w:rPr>
          <w:rFonts w:ascii="Arial" w:eastAsia="Arial" w:hAnsi="Arial"/>
          <w:b/>
          <w:color w:val="5556A1"/>
          <w:spacing w:val="7"/>
          <w:sz w:val="19"/>
        </w:rPr>
        <w:t xml:space="preserve"> 111</w:t>
      </w:r>
    </w:p>
    <w:p w14:paraId="4A34B610" w14:textId="77777777" w:rsidR="009757A9" w:rsidRDefault="00083242">
      <w:pPr>
        <w:textAlignment w:val="baseline"/>
      </w:pPr>
      <w:r>
        <w:rPr>
          <w:noProof/>
          <w:lang w:val="en-AU" w:eastAsia="en-AU"/>
        </w:rPr>
        <w:drawing>
          <wp:inline distT="0" distB="0" distL="0" distR="0" wp14:anchorId="04380515" wp14:editId="74279C04">
            <wp:extent cx="7562215" cy="462915"/>
            <wp:effectExtent l="0" t="0" r="0" b="0"/>
            <wp:docPr id="183" name="Picture"/>
            <wp:cNvGraphicFramePr/>
            <a:graphic xmlns:a="http://schemas.openxmlformats.org/drawingml/2006/main">
              <a:graphicData uri="http://schemas.openxmlformats.org/drawingml/2006/picture">
                <pic:pic xmlns:pic="http://schemas.openxmlformats.org/drawingml/2006/picture">
                  <pic:nvPicPr>
                    <pic:cNvPr id="183" name="Picture"/>
                    <pic:cNvPicPr preferRelativeResize="0"/>
                  </pic:nvPicPr>
                  <pic:blipFill>
                    <a:blip r:embed="rId27"/>
                    <a:stretch>
                      <a:fillRect/>
                    </a:stretch>
                  </pic:blipFill>
                  <pic:spPr>
                    <a:xfrm>
                      <a:off x="0" y="0"/>
                      <a:ext cx="7562215" cy="462915"/>
                    </a:xfrm>
                    <a:prstGeom prst="rect">
                      <a:avLst/>
                    </a:prstGeom>
                  </pic:spPr>
                </pic:pic>
              </a:graphicData>
            </a:graphic>
          </wp:inline>
        </w:drawing>
      </w:r>
    </w:p>
    <w:p w14:paraId="633961EC" w14:textId="77777777" w:rsidR="009757A9" w:rsidRDefault="009757A9">
      <w:pPr>
        <w:sectPr w:rsidR="009757A9">
          <w:pgSz w:w="11909" w:h="16838"/>
          <w:pgMar w:top="1080" w:right="0" w:bottom="0" w:left="0" w:header="720" w:footer="720" w:gutter="0"/>
          <w:cols w:space="720"/>
        </w:sectPr>
      </w:pPr>
    </w:p>
    <w:p w14:paraId="2B6E79F8" w14:textId="77777777" w:rsidR="009757A9" w:rsidRDefault="000D2E34">
      <w:pPr>
        <w:spacing w:before="119" w:line="300" w:lineRule="exact"/>
        <w:ind w:left="1296" w:right="1512"/>
        <w:textAlignment w:val="baseline"/>
        <w:rPr>
          <w:rFonts w:ascii="Verdana" w:eastAsia="Verdana" w:hAnsi="Verdana"/>
          <w:i/>
          <w:color w:val="007994"/>
          <w:sz w:val="19"/>
        </w:rPr>
      </w:pPr>
      <w:r>
        <w:rPr>
          <w:noProof/>
          <w:lang w:val="en-AU" w:eastAsia="en-AU"/>
        </w:rPr>
        <w:lastRenderedPageBreak/>
        <mc:AlternateContent>
          <mc:Choice Requires="wps">
            <w:drawing>
              <wp:anchor distT="0" distB="0" distL="114300" distR="114300" simplePos="0" relativeHeight="251946496" behindDoc="0" locked="0" layoutInCell="1" allowOverlap="1" wp14:anchorId="2E9937CC" wp14:editId="46FE47C7">
                <wp:simplePos x="0" y="0"/>
                <wp:positionH relativeFrom="page">
                  <wp:posOffset>826135</wp:posOffset>
                </wp:positionH>
                <wp:positionV relativeFrom="page">
                  <wp:posOffset>597535</wp:posOffset>
                </wp:positionV>
                <wp:extent cx="5907405" cy="0"/>
                <wp:effectExtent l="0" t="0" r="0" b="0"/>
                <wp:wrapNone/>
                <wp:docPr id="516"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FF301" id="Line 237" o:spid="_x0000_s1026" style="position:absolute;z-index:25194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7.05pt" to="530.2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So0gEAAIYDAAAOAAAAZHJzL2Uyb0RvYy54bWysU01v2zAMvQ/YfxB0X2ynTbMYcXpI1l2y&#10;LUDbH8BIsi1MEgVJiZ1/P0n5WLfehl0ESiQfHx+p5eOoFTkK5yWahlaTkhJhGHJpuoa+vjx9+kyJ&#10;D2A4KDSioSfh6ePq44flYGsxxR4VF45EEOPrwTa0D8HWReFZLzT4CVphorNFpyHEq+sK7mCI6FoV&#10;07J8KAZ03Dpkwvv4ujk76Srjt61g4UfbehGIamjkFvLp8rlPZ7FaQt05sL1kFxrwDyw0SBOL3qA2&#10;EIAcnHwHpSVz6LENE4a6wLaVTOQeYjdV+Vc3zz1YkXuJ4nh7k8n/P1j2/bhzRPKGzqoHSgzoOKSt&#10;NIJM7+ZJncH6Ogatzc6l/thonu0W2U9PDK57MJ3ILF9ONiZWKaP4IyVdvI019sM35DEGDgGzVGPr&#10;dIKMIpAxT+R0m4gYA2HxcbYo5/fljBJ29RVQXxOt8+GrQE2S0VAVWWdgOG59SESgvoakOgafpFJ5&#10;4MqQoaF31XyWEzwqyZMzhXnX7dfKkSOklSnni8V97ip63oYl5A34/hyXXedlcngwPFfpBfAvFzuA&#10;VGc7slLmolIS5izxHvlp567qxWFn+pfFTNv09p6zf3+f1S8AAAD//wMAUEsDBBQABgAIAAAAIQB0&#10;boOI3wAAAAoBAAAPAAAAZHJzL2Rvd25yZXYueG1sTI/NTsMwEITvSLyDtZW4UbulVBDiVIDEgVPp&#10;j4S4ufGSpInXUew26duzFYf2tJrd0ew36WJwjThiFypPGiZjBQIp97aiQsN283H/BCJEQ9Y0nlDD&#10;CQMsstub1CTW97TC4zoWgkMoJEZDGWObSBnyEp0JY98i8e3Xd85Ell0hbWd6DneNnCo1l85UxB9K&#10;0+J7iXm9PjgNNRaqr5eb0/I7fO0f27cfO91+an03Gl5fQEQc4sUMZ3xGh4yZdv5ANoiG9YOasFXD&#10;84zn2aDmagZi97+RWSqvK2R/AAAA//8DAFBLAQItABQABgAIAAAAIQC2gziS/gAAAOEBAAATAAAA&#10;AAAAAAAAAAAAAAAAAABbQ29udGVudF9UeXBlc10ueG1sUEsBAi0AFAAGAAgAAAAhADj9If/WAAAA&#10;lAEAAAsAAAAAAAAAAAAAAAAALwEAAF9yZWxzLy5yZWxzUEsBAi0AFAAGAAgAAAAhAHKCRKjSAQAA&#10;hgMAAA4AAAAAAAAAAAAAAAAALgIAAGRycy9lMm9Eb2MueG1sUEsBAi0AFAAGAAgAAAAhAHRug4jf&#10;AAAACgEAAA8AAAAAAAAAAAAAAAAALAQAAGRycy9kb3ducmV2LnhtbFBLBQYAAAAABAAEAPMAAAA4&#10;BQAAAAA=&#10;" strokecolor="#007994" strokeweight=".25pt">
                <w10:wrap anchorx="page" anchory="page"/>
              </v:line>
            </w:pict>
          </mc:Fallback>
        </mc:AlternateContent>
      </w:r>
      <w:r w:rsidR="00083242">
        <w:rPr>
          <w:rFonts w:ascii="Verdana" w:eastAsia="Verdana" w:hAnsi="Verdana"/>
          <w:i/>
          <w:color w:val="007994"/>
          <w:sz w:val="19"/>
        </w:rPr>
        <w:t xml:space="preserve">“By taking away the existing structure of school ... giving students a model that is flexible enough </w:t>
      </w:r>
      <w:r w:rsidR="00083242">
        <w:rPr>
          <w:rFonts w:ascii="Tahoma" w:eastAsia="Tahoma" w:hAnsi="Tahoma"/>
          <w:i/>
          <w:color w:val="007994"/>
          <w:sz w:val="21"/>
        </w:rPr>
        <w:t>to respond to their situation, their interests and goals, we will help create the environment that encourages creativity, problem solving and entrepreneurship.”</w:t>
      </w:r>
    </w:p>
    <w:p w14:paraId="4849F3C3" w14:textId="77777777" w:rsidR="009757A9" w:rsidRDefault="00083242">
      <w:pPr>
        <w:spacing w:before="56" w:after="220" w:line="247" w:lineRule="exact"/>
        <w:ind w:left="6624"/>
        <w:textAlignment w:val="baseline"/>
        <w:rPr>
          <w:rFonts w:ascii="Tahoma" w:eastAsia="Tahoma" w:hAnsi="Tahoma"/>
          <w:i/>
          <w:color w:val="007994"/>
          <w:spacing w:val="1"/>
          <w:sz w:val="21"/>
        </w:rPr>
      </w:pPr>
      <w:r>
        <w:rPr>
          <w:rFonts w:ascii="Tahoma" w:eastAsia="Tahoma" w:hAnsi="Tahoma"/>
          <w:i/>
          <w:color w:val="007994"/>
          <w:spacing w:val="1"/>
          <w:sz w:val="21"/>
        </w:rPr>
        <w:t>Christina Broughton, teacher, submission</w:t>
      </w:r>
    </w:p>
    <w:p w14:paraId="5819636B" w14:textId="77777777" w:rsidR="009757A9" w:rsidRDefault="000D2E34">
      <w:pPr>
        <w:spacing w:before="414" w:line="240" w:lineRule="exact"/>
        <w:ind w:left="864" w:right="864"/>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947520" behindDoc="0" locked="0" layoutInCell="1" allowOverlap="1" wp14:anchorId="24147FC0" wp14:editId="4175B627">
                <wp:simplePos x="0" y="0"/>
                <wp:positionH relativeFrom="page">
                  <wp:posOffset>826135</wp:posOffset>
                </wp:positionH>
                <wp:positionV relativeFrom="page">
                  <wp:posOffset>1572895</wp:posOffset>
                </wp:positionV>
                <wp:extent cx="5907405" cy="0"/>
                <wp:effectExtent l="0" t="0" r="0" b="0"/>
                <wp:wrapNone/>
                <wp:docPr id="515"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F7FB4" id="Line 236" o:spid="_x0000_s1026" style="position:absolute;z-index:25194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23.85pt" to="530.2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cJ0QEAAIYDAAAOAAAAZHJzL2Uyb0RvYy54bWysU01v2zAMvQ/YfxB0X+ykTboYcXpI1l2y&#10;LUDbH8BIcixMFgVJiZ1/P0r5WLfehl0ESiQfHx+pxePQGXZUPmi0NR+PSs6UFSi13df89eXp02fO&#10;QgQrwaBVNT+pwB+XHz8selepCbZopPKMQGyoelfzNkZXFUUQreogjNApS84GfQeRrn5fSA89oXem&#10;mJTlrOjRS+dRqBDodX128mXGbxol4o+mCSoyU3PiFvPp87lLZ7FcQLX34FotLjTgH1h0oC0VvUGt&#10;IQI7eP0OqtPCY8AmjgR2BTaNFir3QN2My7+6eW7BqdwLiRPcTabw/2DF9+PWMy1rPh1PObPQ0ZA2&#10;2io2uZsldXoXKgpa2a1P/YnBPrsNip+BWVy1YPcqs3w5OUocp4zij5R0CY5q7PpvKCkGDhGzVEPj&#10;uwRJIrAhT+R0m4gaIhP0OJ2XD/clERNXXwHVNdH5EL8q7Fgyam6IdQaG4ybERASqa0iqY/FJG5MH&#10;bizraz67m5Y5IaDRMjlTWPD73cp4doS0MuXDfH6fuyLP27CEvIbQnuOy67xMHg9W5iqtAvnlYkfQ&#10;5mwTK2MvKiVhzhLvUJ62/qoeDTvTvyxm2qa395z9+/ssfwEAAP//AwBQSwMEFAAGAAgAAAAhAJlN&#10;pjzcAAAADAEAAA8AAABkcnMvZG93bnJldi54bWxMj8FOwzAMhu9IvENkJG4s2RgbKk0nNLTTLrAh&#10;cfUa0xYap2qyrnt7PAkJjr/96ffnfDX6Vg3UxyawhenEgCIug2u4svC+39w9gooJ2WEbmCycKcKq&#10;uL7KMXPhxG807FKlpIRjhhbqlLpM61jW5DFOQkcsu8/Qe0wS+0q7Hk9S7ls9M2ahPTYsF2rsaF1T&#10;+b07egsbNPtXt92Gr/jxcF5j0u6FBmtvb8bnJ1CJxvQHw0Vf1KEQp0M4souqlXxvpoJamM2XS1AX&#10;wizMHNThd6SLXP9/ovgBAAD//wMAUEsBAi0AFAAGAAgAAAAhALaDOJL+AAAA4QEAABMAAAAAAAAA&#10;AAAAAAAAAAAAAFtDb250ZW50X1R5cGVzXS54bWxQSwECLQAUAAYACAAAACEAOP0h/9YAAACUAQAA&#10;CwAAAAAAAAAAAAAAAAAvAQAAX3JlbHMvLnJlbHNQSwECLQAUAAYACAAAACEAuBoXCdEBAACGAwAA&#10;DgAAAAAAAAAAAAAAAAAuAgAAZHJzL2Uyb0RvYy54bWxQSwECLQAUAAYACAAAACEAmU2mPN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5"/>
          <w:sz w:val="18"/>
        </w:rPr>
        <w:t>Challenges for providers relate to time, cost, privacy, questions of micro-credential ownership, verification and integrity issues, student concerns about credibility, faculty and student acceptance, and the fact that micro-credentials are not yet recognised by regulating authorities.</w:t>
      </w:r>
      <w:r w:rsidR="00083242">
        <w:rPr>
          <w:rFonts w:ascii="Tahoma" w:eastAsia="Tahoma" w:hAnsi="Tahoma"/>
          <w:color w:val="404042"/>
          <w:spacing w:val="5"/>
          <w:sz w:val="18"/>
          <w:vertAlign w:val="superscript"/>
        </w:rPr>
        <w:t>168</w:t>
      </w:r>
      <w:r w:rsidR="00083242">
        <w:rPr>
          <w:rFonts w:ascii="Tahoma" w:eastAsia="Tahoma" w:hAnsi="Tahoma"/>
          <w:color w:val="404042"/>
          <w:spacing w:val="5"/>
          <w:sz w:val="18"/>
        </w:rPr>
        <w:t xml:space="preserve"> There is also the risk of micro-credentials being produced and undertaken solely to ‘tick off’ certain skill sets, without due rigour or true learning benefits to the young people undertaking them.</w:t>
      </w:r>
    </w:p>
    <w:p w14:paraId="6107E912"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A way forward</w:t>
      </w:r>
    </w:p>
    <w:p w14:paraId="07853248" w14:textId="77777777" w:rsidR="009757A9" w:rsidRDefault="00083242">
      <w:pPr>
        <w:spacing w:before="152"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Such multifaceted challenges should not become an excuse for inaction. Micro-credentialing within a pathway can offer numerous benefits, including providing courses with the flexibility to address specific work or learning needs relating to identified careers.</w:t>
      </w:r>
    </w:p>
    <w:p w14:paraId="1BE6A65C" w14:textId="77777777" w:rsidR="009757A9" w:rsidRDefault="00083242">
      <w:pPr>
        <w:spacing w:before="173" w:after="594"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As a first step, schools should encourage students to undertake relevant short courses and microcredentials related to their interests, passions and outside employment. Teachers should guide the process. Courses undertaken by students do not need to be formally counted toward their SSCE (although some may be), but should be included within the student’s Learner Profile. Indeed, microcredentials may provide one important means by which to learn and demonstrate the attributes identified in their Learner Profile.</w:t>
      </w:r>
    </w:p>
    <w:p w14:paraId="7A88E5B8" w14:textId="77777777" w:rsidR="009757A9" w:rsidRDefault="000D2E34">
      <w:pPr>
        <w:spacing w:before="100" w:line="300" w:lineRule="exact"/>
        <w:ind w:left="1296" w:right="1728"/>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48544" behindDoc="0" locked="0" layoutInCell="1" allowOverlap="1" wp14:anchorId="5BD9C1FE" wp14:editId="4BF42695">
                <wp:simplePos x="0" y="0"/>
                <wp:positionH relativeFrom="page">
                  <wp:posOffset>826135</wp:posOffset>
                </wp:positionH>
                <wp:positionV relativeFrom="page">
                  <wp:posOffset>4584065</wp:posOffset>
                </wp:positionV>
                <wp:extent cx="5907405" cy="0"/>
                <wp:effectExtent l="0" t="0" r="0" b="0"/>
                <wp:wrapNone/>
                <wp:docPr id="514"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CB246" id="Line 235" o:spid="_x0000_s1026" style="position:absolute;z-index:25194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60.95pt" to="530.2pt,3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tu20gEAAIYDAAAOAAAAZHJzL2Uyb0RvYy54bWysU01v2zAMvQ/YfxB0X+ykcbsYcXpI1l2y&#10;LUDbH8BIsi1MEgVJiZ1/P0n5WLfehl0ESiQfHx+p5eOoFTkK5yWahk4nJSXCMOTSdA19fXn69JkS&#10;H8BwUGhEQ0/C08fVxw/LwdZihj0qLhyJIMbXg21oH4Kti8KzXmjwE7TCRGeLTkOIV9cV3MEQ0bUq&#10;ZmV5XwzouHXIhPfxdXN20lXGb1vBwo+29SIQ1dDILeTT5XOfzmK1hLpzYHvJLjTgH1hokCYWvUFt&#10;IAA5OPkOSkvm0GMbJgx1gW0rmcg9xG6m5V/dPPdgRe4liuPtTSb//2DZ9+POEckbWk3nlBjQcUhb&#10;aQSZ3VVJncH6Ogatzc6l/thonu0W2U9PDK57MJ3ILF9ONiZOU0bxR0q6eBtr7IdvyGMMHAJmqcbW&#10;6QQZRSBjnsjpNhExBsLiY7UoH+ZlRQm7+gqor4nW+fBVoCbJaKiKrDMwHLc+JCJQX0NSHYNPUqk8&#10;cGXI0ND7u6rMCR6V5MmZwrzr9mvlyBHSypQPi8U8dxU9b8MS8gZ8f47LrvMyOTwYnqv0AviXix1A&#10;qrMdWSlzUSkJc5Z4j/y0c1f14rAz/ctipm16e8/Zv7/P6hcAAAD//wMAUEsDBBQABgAIAAAAIQCE&#10;Tmhq3QAAAAwBAAAPAAAAZHJzL2Rvd25yZXYueG1sTI/BbsIwDIbvk/YOkSdxG0kZY9A1RROIE5cB&#10;k3Y1jdd2a5yqCaW8PUGatB1/+9Pvz9lysI3oqfO1Yw3JWIEgLpypudTwcdg8zkH4gGywcUwaLuRh&#10;md/fZZgad+Yd9ftQiljCPkUNVQhtKqUvKrLox64ljrsv11kMMXalNB2eY7lt5ESpmbRYc7xQYUur&#10;ioqf/clq2KA6vJvt1n37z+fLCoM0a+q1Hj0Mb68gAg3hD4abflSHPDod3YmNF03MTyqJqIaXSbIA&#10;cSPUTE1BHH9HMs/k/yfyKwAAAP//AwBQSwECLQAUAAYACAAAACEAtoM4kv4AAADhAQAAEwAAAAAA&#10;AAAAAAAAAAAAAAAAW0NvbnRlbnRfVHlwZXNdLnhtbFBLAQItABQABgAIAAAAIQA4/SH/1gAAAJQB&#10;AAALAAAAAAAAAAAAAAAAAC8BAABfcmVscy8ucmVsc1BLAQItABQABgAIAAAAIQB6Btu20gEAAIYD&#10;AAAOAAAAAAAAAAAAAAAAAC4CAABkcnMvZTJvRG9jLnhtbFBLAQItABQABgAIAAAAIQCETmhq3QAA&#10;AAwBAAAPAAAAAAAAAAAAAAAAACwEAABkcnMvZG93bnJldi54bWxQSwUGAAAAAAQABADzAAAANgUA&#10;AAAA&#10;" strokecolor="#007994" strokeweight=".5pt">
                <w10:wrap anchorx="page" anchory="page"/>
              </v:line>
            </w:pict>
          </mc:Fallback>
        </mc:AlternateContent>
      </w:r>
      <w:r w:rsidR="00083242">
        <w:rPr>
          <w:rFonts w:ascii="Tahoma" w:eastAsia="Tahoma" w:hAnsi="Tahoma"/>
          <w:i/>
          <w:color w:val="007994"/>
          <w:sz w:val="21"/>
        </w:rPr>
        <w:t xml:space="preserve">“The use of micro -credentialing (or badging), linked to the achievement and demonstration of key knowledge, skills, dispositions and experience is one such approach to record skills and </w:t>
      </w:r>
      <w:r w:rsidR="00083242">
        <w:rPr>
          <w:rFonts w:ascii="Verdana" w:eastAsia="Verdana" w:hAnsi="Verdana"/>
          <w:i/>
          <w:color w:val="007994"/>
          <w:sz w:val="19"/>
        </w:rPr>
        <w:t>achievements not reflected in the SSCE.”</w:t>
      </w:r>
    </w:p>
    <w:p w14:paraId="70E1BCED" w14:textId="77777777" w:rsidR="009757A9" w:rsidRDefault="00083242">
      <w:pPr>
        <w:spacing w:before="55" w:after="225" w:line="247" w:lineRule="exact"/>
        <w:ind w:left="4104"/>
        <w:textAlignment w:val="baseline"/>
        <w:rPr>
          <w:rFonts w:ascii="Tahoma" w:eastAsia="Tahoma" w:hAnsi="Tahoma"/>
          <w:i/>
          <w:color w:val="007994"/>
          <w:spacing w:val="2"/>
          <w:sz w:val="21"/>
        </w:rPr>
      </w:pPr>
      <w:r>
        <w:rPr>
          <w:rFonts w:ascii="Tahoma" w:eastAsia="Tahoma" w:hAnsi="Tahoma"/>
          <w:i/>
          <w:color w:val="007994"/>
          <w:spacing w:val="2"/>
          <w:sz w:val="21"/>
        </w:rPr>
        <w:t>Association of Independent Schools of Western Australia submission</w:t>
      </w:r>
    </w:p>
    <w:p w14:paraId="1F19BE52" w14:textId="77777777" w:rsidR="009757A9" w:rsidRDefault="000D2E34">
      <w:pPr>
        <w:spacing w:before="467" w:line="240" w:lineRule="exact"/>
        <w:ind w:left="864" w:right="1008"/>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949568" behindDoc="0" locked="0" layoutInCell="1" allowOverlap="1" wp14:anchorId="7078FEE3" wp14:editId="6CD745B8">
                <wp:simplePos x="0" y="0"/>
                <wp:positionH relativeFrom="page">
                  <wp:posOffset>826135</wp:posOffset>
                </wp:positionH>
                <wp:positionV relativeFrom="page">
                  <wp:posOffset>5556250</wp:posOffset>
                </wp:positionV>
                <wp:extent cx="5907405" cy="0"/>
                <wp:effectExtent l="0" t="0" r="0" b="0"/>
                <wp:wrapNone/>
                <wp:docPr id="513"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73D8" id="Line 234" o:spid="_x0000_s1026" style="position:absolute;z-index:25194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37.5pt" to="530.2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5Zo0AEAAIYDAAAOAAAAZHJzL2Uyb0RvYy54bWysU8Fu2zAMvQ/YPwi6L3aSpl2MOD0k6y7Z&#10;FqDtBzCSbAuTREFSYufvJ8lJtq63YReBEsnHx0dq9ThoRU7CeYmmptNJSYkwDLk0bU1fX54+fabE&#10;BzAcFBpR07Pw9HH98cOqt5WYYYeKC0ciiPFVb2vahWCrovCsExr8BK0w0dmg0xDi1bUFd9BHdK2K&#10;WVneFz06bh0y4X183Y5Ous74TSNY+NE0XgSiahq5hXy6fB7SWaxXULUObCfZhQb8AwsN0sSiN6gt&#10;BCBHJ99BackcemzChKEusGkkE7mH2M20/Kub5w6syL1Ecby9yeT/Hyz7fto7InlNF9M5JQZ0HNJO&#10;GkFm87ukTm99FYM2Zu9Sf2wwz3aH7KcnBjcdmFZkli9nGxOnKaN4k5Iu3sYah/4b8hgDx4BZqqFx&#10;OkFGEciQJ3K+TUQMgbD4uFiWD3flghJ29RVQXROt8+GrQE2SUVMVWWdgOO18SESguoakOgafpFJ5&#10;4MqQvqb380WZEzwqyZMzhXnXHjbKkROklSkflsusQwR7E5aQt+C7MS67xmVyeDQ8V+kE8C8XO4BU&#10;ox2BlLmolIQZJT4gP+/dVb047Ez/sphpm/685+zf32f9CwAA//8DAFBLAwQUAAYACAAAACEAxDyL&#10;19wAAAAMAQAADwAAAGRycy9kb3ducmV2LnhtbEyPwU7DMBBE70j8g7VI3KhdoKUKcSpU1FMv0CJx&#10;3cZLEojXUeym6d+zlZDKcWafZmfy5ehbNVAfm8AWphMDirgMruHKwsdufbcAFROywzYwWThRhGVx&#10;fZVj5sKR32nYpkpJCMcMLdQpdZnWsazJY5yEjlhuX6H3mET2lXY9HiXct/remLn22LB8qLGjVU3l&#10;z/bgLazR7N7cZhO+4+fstMKk3SsN1t7ejC/PoBKN6QLDub5Uh0I67cOBXVSt6AczFdTC4mkmo86E&#10;mZtHUPs/Sxe5/j+i+AUAAP//AwBQSwECLQAUAAYACAAAACEAtoM4kv4AAADhAQAAEwAAAAAAAAAA&#10;AAAAAAAAAAAAW0NvbnRlbnRfVHlwZXNdLnhtbFBLAQItABQABgAIAAAAIQA4/SH/1gAAAJQBAAAL&#10;AAAAAAAAAAAAAAAAAC8BAABfcmVscy8ucmVsc1BLAQItABQABgAIAAAAIQC145Zo0AEAAIYDAAAO&#10;AAAAAAAAAAAAAAAAAC4CAABkcnMvZTJvRG9jLnhtbFBLAQItABQABgAIAAAAIQDEPIvX3AAAAAwB&#10;AAAPAAAAAAAAAAAAAAAAACoEAABkcnMvZG93bnJldi54bWxQSwUGAAAAAAQABADzAAAAMwUAAAAA&#10;" strokecolor="#007994" strokeweight=".5pt">
                <w10:wrap anchorx="page" anchory="page"/>
              </v:line>
            </w:pict>
          </mc:Fallback>
        </mc:AlternateContent>
      </w:r>
      <w:r w:rsidR="00083242">
        <w:rPr>
          <w:rFonts w:ascii="Tahoma" w:eastAsia="Tahoma" w:hAnsi="Tahoma"/>
          <w:color w:val="404042"/>
          <w:sz w:val="18"/>
        </w:rPr>
        <w:t>Business groups and industry leaders should be encouraged to develop short courses that allow students to test or demonstrate their work-ready capabilities and skills, and articulate these to potential employers. Higher education and VET providers should be motivated to develop micro-credentials that allow students to be better prepared and/or receive recognition for prior learning at their institution.</w:t>
      </w:r>
    </w:p>
    <w:p w14:paraId="39A70AC2" w14:textId="77777777" w:rsidR="009757A9" w:rsidRDefault="00083242">
      <w:pPr>
        <w:spacing w:before="168" w:line="240" w:lineRule="exact"/>
        <w:ind w:left="864" w:right="1368"/>
        <w:textAlignment w:val="baseline"/>
        <w:rPr>
          <w:rFonts w:ascii="Tahoma" w:eastAsia="Tahoma" w:hAnsi="Tahoma"/>
          <w:color w:val="404042"/>
          <w:spacing w:val="6"/>
          <w:sz w:val="18"/>
        </w:rPr>
      </w:pPr>
      <w:r>
        <w:rPr>
          <w:rFonts w:ascii="Tahoma" w:eastAsia="Tahoma" w:hAnsi="Tahoma"/>
          <w:color w:val="404042"/>
          <w:spacing w:val="6"/>
          <w:sz w:val="18"/>
        </w:rPr>
        <w:t>Students will require advice and guidance on the value and veracity of online courses and external providers, particularly those accessed from overseas. In assessing the value of courses, consideration should be given to the ways in which they might contribute to student learning attributes; whether they will expand students’ interests and enthusiasm for specific topics or learning in general; and how they will be recognised for educational and training purposes.</w:t>
      </w:r>
    </w:p>
    <w:p w14:paraId="58548C71" w14:textId="77777777" w:rsidR="009757A9" w:rsidRDefault="00083242">
      <w:pPr>
        <w:spacing w:before="173" w:after="1598"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The main challenge with micro-credentials, if they were to be included in either an SSCE or a Learner Profile, is the need for a verifiable internal or external quality assurance process. Mitigating the risks associated with micro-credentials by requiring them to meet AQF standards may not be a practical or even desirable solution. This is an area that will continue to develop and evolve over time.</w:t>
      </w:r>
    </w:p>
    <w:p w14:paraId="3E9CAE55" w14:textId="77777777" w:rsidR="009757A9" w:rsidRDefault="000D2E34">
      <w:pPr>
        <w:spacing w:before="79" w:line="172" w:lineRule="exact"/>
        <w:ind w:left="864"/>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1950592" behindDoc="0" locked="0" layoutInCell="1" allowOverlap="1" wp14:anchorId="199A9C68" wp14:editId="5B6EFF4C">
                <wp:simplePos x="0" y="0"/>
                <wp:positionH relativeFrom="page">
                  <wp:posOffset>539750</wp:posOffset>
                </wp:positionH>
                <wp:positionV relativeFrom="page">
                  <wp:posOffset>9070975</wp:posOffset>
                </wp:positionV>
                <wp:extent cx="917575" cy="0"/>
                <wp:effectExtent l="0" t="0" r="0" b="0"/>
                <wp:wrapNone/>
                <wp:docPr id="512"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DA349" id="Line 233" o:spid="_x0000_s1026" style="position:absolute;z-index:25195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4.25pt" to="114.75pt,7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49zgEAAIYDAAAOAAAAZHJzL2Uyb0RvYy54bWysU01v2zAMvQ/YfxB0X+ykSLsZcXpI1l2y&#10;LUC7H8BIcixMEgVJiZ1/P0r5aLfdhvkgiCL5+PhILx5Ha9hRhajRtXw6qTlTTqDUbt/yHy9PHz5y&#10;FhM4CQadavlJRf64fP9uMfhGzbBHI1VgBOJiM/iW9yn5pqqi6JWFOEGvHDk7DBYSmWFfyQADoVtT&#10;zer6vhowSB9QqBjpdX128mXB7zol0veuiyox03LilsoZyrnLZ7VcQLMP4HstLjTgH1hY0I6K3qDW&#10;kIAdgv4LymoRMGKXJgJthV2nhSo9UDfT+o9unnvwqvRC4kR/kyn+P1jx7bgNTMuWz6czzhxYGtJG&#10;O8Vmd3dZncHHhoJWbhtyf2J0z36D4mdkDlc9uL0qLF9OnhKnOaP6LSUb0VON3fAVJcXAIWGRauyC&#10;zZAkAhvLRE63iagxMUGPn6YP84c5Z+LqqqC55vkQ0xeFluVLyw2RLrhw3MSUeUBzDcllHD5pY8q8&#10;jWMDkZ3V9/OSEdFomb05Lob9bmUCO0JemfKVrsjzNixDryH257jiOi9TwIOTpUyvQH6+3BNoc74T&#10;LeMuKmVhzhLvUJ624aoeDbvwvyxm3qa3dsl+/X2WvwAAAP//AwBQSwMEFAAGAAgAAAAhANLKp5zf&#10;AAAADAEAAA8AAABkcnMvZG93bnJldi54bWxMj0FPwzAMhe9I+w+RJ3FBLKXqUOiaTmgS3EBsgNgx&#10;a7y2onGqJlvLv8ccENzs56fn7xXryXXijENoPWm4WSQgkCpvW6o1vL0+XCsQIRqypvOEGr4wwLqc&#10;XRQmt36kLZ53sRYcQiE3GpoY+1zKUDXoTFj4HolvRz84E3kdamkHM3K462SaJLfSmZb4Q2N63DRY&#10;fe5OToOUicqm94/xKbsKqt1v6v3j84vWl/PpfgUi4hT/zPCDz+hQMtPBn8gG0WlQS64SWc9StQTB&#10;jjS94+HwK8mykP9LlN8AAAD//wMAUEsBAi0AFAAGAAgAAAAhALaDOJL+AAAA4QEAABMAAAAAAAAA&#10;AAAAAAAAAAAAAFtDb250ZW50X1R5cGVzXS54bWxQSwECLQAUAAYACAAAACEAOP0h/9YAAACUAQAA&#10;CwAAAAAAAAAAAAAAAAAvAQAAX3JlbHMvLnJlbHNQSwECLQAUAAYACAAAACEA34OOPc4BAACGAwAA&#10;DgAAAAAAAAAAAAAAAAAuAgAAZHJzL2Uyb0RvYy54bWxQSwECLQAUAAYACAAAACEA0sqnnN8AAAAM&#10;AQAADwAAAAAAAAAAAAAAAAAoBAAAZHJzL2Rvd25yZXYueG1sUEsFBgAAAAAEAAQA8wAAADQFAAAA&#10;AA==&#10;" strokeweight=".95pt">
                <w10:wrap anchorx="page" anchory="page"/>
              </v:line>
            </w:pict>
          </mc:Fallback>
        </mc:AlternateContent>
      </w:r>
      <w:r w:rsidR="00083242">
        <w:rPr>
          <w:rFonts w:ascii="Tahoma" w:eastAsia="Tahoma" w:hAnsi="Tahoma"/>
          <w:color w:val="404042"/>
          <w:spacing w:val="4"/>
          <w:sz w:val="14"/>
        </w:rPr>
        <w:t>168 Milligan and Kennedy (2017), p. 44.</w:t>
      </w:r>
    </w:p>
    <w:p w14:paraId="1BD8C035" w14:textId="77777777" w:rsidR="009757A9" w:rsidRDefault="00083242">
      <w:pPr>
        <w:tabs>
          <w:tab w:val="left" w:pos="1368"/>
        </w:tabs>
        <w:spacing w:before="731"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112</w:t>
      </w:r>
      <w:r>
        <w:rPr>
          <w:rFonts w:ascii="Tahoma" w:eastAsia="Tahoma" w:hAnsi="Tahoma"/>
          <w:color w:val="404042"/>
          <w:spacing w:val="4"/>
          <w:sz w:val="14"/>
        </w:rPr>
        <w:tab/>
        <w:t>Looking to the future</w:t>
      </w:r>
    </w:p>
    <w:p w14:paraId="6552761C" w14:textId="77777777" w:rsidR="009757A9" w:rsidRDefault="00083242">
      <w:pPr>
        <w:textAlignment w:val="baseline"/>
      </w:pPr>
      <w:r>
        <w:rPr>
          <w:noProof/>
          <w:lang w:val="en-AU" w:eastAsia="en-AU"/>
        </w:rPr>
        <w:drawing>
          <wp:inline distT="0" distB="0" distL="0" distR="0" wp14:anchorId="4C44E551" wp14:editId="0A1E450C">
            <wp:extent cx="7562215" cy="462915"/>
            <wp:effectExtent l="0" t="0" r="0" b="0"/>
            <wp:docPr id="184" name="Picture"/>
            <wp:cNvGraphicFramePr/>
            <a:graphic xmlns:a="http://schemas.openxmlformats.org/drawingml/2006/main">
              <a:graphicData uri="http://schemas.openxmlformats.org/drawingml/2006/picture">
                <pic:pic xmlns:pic="http://schemas.openxmlformats.org/drawingml/2006/picture">
                  <pic:nvPicPr>
                    <pic:cNvPr id="184"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278A0D9B" w14:textId="77777777" w:rsidR="009757A9" w:rsidRDefault="009757A9">
      <w:pPr>
        <w:sectPr w:rsidR="009757A9">
          <w:pgSz w:w="11909" w:h="16838"/>
          <w:pgMar w:top="920" w:right="0" w:bottom="0" w:left="0" w:header="720" w:footer="720" w:gutter="0"/>
          <w:cols w:space="720"/>
        </w:sectPr>
      </w:pPr>
    </w:p>
    <w:p w14:paraId="7638A954" w14:textId="2270D17E" w:rsidR="009757A9" w:rsidRDefault="000D2E34">
      <w:pPr>
        <w:spacing w:before="2" w:line="215" w:lineRule="exact"/>
        <w:ind w:left="864"/>
        <w:textAlignment w:val="baseline"/>
        <w:rPr>
          <w:rFonts w:ascii="Arial" w:eastAsia="Arial" w:hAnsi="Arial"/>
          <w:i/>
          <w:color w:val="00718E"/>
          <w:spacing w:val="1"/>
          <w:sz w:val="18"/>
        </w:rPr>
      </w:pPr>
      <w:r>
        <w:rPr>
          <w:noProof/>
          <w:lang w:val="en-AU" w:eastAsia="en-AU"/>
        </w:rPr>
        <w:lastRenderedPageBreak/>
        <mc:AlternateContent>
          <mc:Choice Requires="wps">
            <w:drawing>
              <wp:anchor distT="0" distB="314325" distL="545465" distR="536575" simplePos="0" relativeHeight="251630080" behindDoc="1" locked="0" layoutInCell="1" allowOverlap="1" wp14:anchorId="464B910F" wp14:editId="5C08D306">
                <wp:simplePos x="0" y="0"/>
                <wp:positionH relativeFrom="page">
                  <wp:posOffset>545465</wp:posOffset>
                </wp:positionH>
                <wp:positionV relativeFrom="page">
                  <wp:posOffset>723900</wp:posOffset>
                </wp:positionV>
                <wp:extent cx="6480175" cy="1262380"/>
                <wp:effectExtent l="0" t="0" r="0" b="0"/>
                <wp:wrapSquare wrapText="bothSides"/>
                <wp:docPr id="51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262380"/>
                        </a:xfrm>
                        <a:prstGeom prst="rect">
                          <a:avLst/>
                        </a:prstGeom>
                        <a:solidFill>
                          <a:srgbClr val="DFE6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AF815"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B910F" id="Text Box 232" o:spid="_x0000_s1301" type="#_x0000_t202" style="position:absolute;left:0;text-align:left;margin-left:42.95pt;margin-top:57pt;width:510.25pt;height:99.4pt;z-index:-251686400;visibility:visible;mso-wrap-style:square;mso-width-percent:0;mso-height-percent:0;mso-wrap-distance-left:42.95pt;mso-wrap-distance-top:0;mso-wrap-distance-right:42.25pt;mso-wrap-distance-bottom:24.7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yjCQIAAO0DAAAOAAAAZHJzL2Uyb0RvYy54bWysU8tu2zAQvBfoPxC817KUxjUEy0Fix0WB&#10;9AEk/QCKoiSiEpdd0pbcr++Sst0guQW9EEtydzgzu1zdjH3HDgqdBlPwdDbnTBkJlTZNwX8+7T4s&#10;OXNemEp0YFTBj8rxm/X7d6vB5iqDFrpKISMQ4/LBFrz13uZJ4mSreuFmYJWhyxqwF5622CQVioHQ&#10;+y7J5vNFMgBWFkEq5+h0O13ydcSvayX997p2yrOu4MTNxxXjWoY1Wa9E3qCwrZYnGuINLHqhDT16&#10;gdoKL9ge9SuoXksEB7WfSegTqGstVdRAatL5CzWPrbAqaiFznL3Y5P4frPx2+IFMVwW/TlPOjOip&#10;SU9q9OwORpZdZcGhwbqcEh8tpfqRLqjTUa2zDyB/OWZg0wrTqFtEGFolKmKYhsrkWemE4wJIOXyF&#10;ih4Sew8RaKyxD/aRIYzQqVPHS3cCGUmHi4/LefrpmjNJd2m2yK6WsX+JyM/lFp3/rKBnISg4Uvsj&#10;vDg8OB/oiPycEl5z0Olqp7subrApNx2yg6BR2e7uF/d3UcGLtM6EZAOhbEIMJ1FnkDaJ9GM5RlMz&#10;4nsysITqSNIRphmkP0NBC/iHs4Hmr+Du916g4qz7Ysi+MKznAM9BeQ6EkVRacM/ZFG78NNR7i7pp&#10;CXlqkIFbsrjWUXzoxcTiRJhmKnpymv8wtM/3MevfL13/BQAA//8DAFBLAwQUAAYACAAAACEAiYXm&#10;zeIAAAALAQAADwAAAGRycy9kb3ducmV2LnhtbEyPwU7DMAyG70i8Q2QkLoilLWOU0nSqkMaF0waC&#10;HbPGpGWJU5p0Kzw92QmOtj/9/v5yOVnDDjj4zpGAdJYAQ2qc6kgLeH1ZXefAfJCkpHGEAr7Rw7I6&#10;PytlodyR1njYBM1iCPlCCmhD6AvOfdOilX7meqR4+3CDlSGOg+ZqkMcYbg3PkmTBrewofmhlj48t&#10;NvvNaAU8b7dZ/zXW70Z/utXV/u7pR9dvQlxeTPUDsIBT+IPhpB/VoYpOOzeS8swIyG/vIxn36Tx2&#10;OgFpspgD2wm4SbMceFXy/x2qXwAAAP//AwBQSwECLQAUAAYACAAAACEAtoM4kv4AAADhAQAAEwAA&#10;AAAAAAAAAAAAAAAAAAAAW0NvbnRlbnRfVHlwZXNdLnhtbFBLAQItABQABgAIAAAAIQA4/SH/1gAA&#10;AJQBAAALAAAAAAAAAAAAAAAAAC8BAABfcmVscy8ucmVsc1BLAQItABQABgAIAAAAIQDrZZyjCQIA&#10;AO0DAAAOAAAAAAAAAAAAAAAAAC4CAABkcnMvZTJvRG9jLnhtbFBLAQItABQABgAIAAAAIQCJhebN&#10;4gAAAAsBAAAPAAAAAAAAAAAAAAAAAGMEAABkcnMvZG93bnJldi54bWxQSwUGAAAAAAQABADzAAAA&#10;cgUAAAAA&#10;" fillcolor="#dfe6eb" stroked="f">
                <v:textbox inset="0,0,0,0">
                  <w:txbxContent>
                    <w:p w14:paraId="3CEAF815"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631104" behindDoc="1" locked="0" layoutInCell="1" allowOverlap="1" wp14:anchorId="59948091" wp14:editId="31153064">
                <wp:simplePos x="0" y="0"/>
                <wp:positionH relativeFrom="page">
                  <wp:posOffset>597535</wp:posOffset>
                </wp:positionH>
                <wp:positionV relativeFrom="page">
                  <wp:posOffset>723900</wp:posOffset>
                </wp:positionV>
                <wp:extent cx="6428105" cy="241935"/>
                <wp:effectExtent l="0" t="0" r="0" b="0"/>
                <wp:wrapSquare wrapText="bothSides"/>
                <wp:docPr id="51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02318" w14:textId="6E31CD82" w:rsidR="00490F33" w:rsidRDefault="00490F33">
                            <w:pPr>
                              <w:spacing w:after="139" w:line="230" w:lineRule="exact"/>
                              <w:ind w:right="5"/>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48091" id="Text Box 231" o:spid="_x0000_s1302" type="#_x0000_t202" style="position:absolute;left:0;text-align:left;margin-left:47.05pt;margin-top:57pt;width:506.15pt;height:19.0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Us7wEAAMMDAAAOAAAAZHJzL2Uyb0RvYy54bWysU9tu1DAQfUfiHyy/s7m0u5Ros1VpVYRU&#10;ClLLBziOk1gkHjP2brJ8PWNnsxR4Q7xY47kcnzkz3l5PQ88OCp0GU/JslXKmjIRam7bkX5/v31xx&#10;5rwwtejBqJIflePXu9evtqMtVA4d9LVCRiDGFaMteee9LZLEyU4Nwq3AKkPBBnAQnq7YJjWKkdCH&#10;PsnTdJOMgLVFkMo58t7NQb6L+E2jpP/cNE551pecuPl4YjyrcCa7rShaFLbT8kRD/AOLQWhDj56h&#10;7oQXbI/6L6hBSwQHjV9JGBJoGi1V7IG6ydI/unnqhFWxFxLH2bNM7v/BysfDF2S6Lvk6I32MGGhI&#10;z2ry7D1MLL/IgkKjdQUlPllK9RMFaNKxW2cfQH5zzMBtJ0yrbhBh7JSoiWGsTF6UzjgugFTjJ6jp&#10;IbH3EIGmBocgHwnCCJ2YHM/TCWQkOTeX+VWWrjmTFMsvs3cX60AuEcVSbdH5DwoGFoySI00/oovD&#10;g/Nz6pISHjNwr/s+bkBvfnMQZvBE9oHwTN1P1RSlyt9uFlkqqI/UEMK8WfQTyOgAf3A20laV3H3f&#10;C1Sc9R8NiRJWcDFwMarFEEZSack9Z7N56+dV3VvUbUfIs+wGbki4RseegsIzixNh2pSoymmrwyq+&#10;vMesX39v9xMAAP//AwBQSwMEFAAGAAgAAAAhAKD6BFXgAAAACwEAAA8AAABkcnMvZG93bnJldi54&#10;bWxMj8FOwzAQRO9I/QdrK3GjdqoQ0RCnqhCckBBpOHB0YjexGq9D7Lbh79me6G13ZzT7ptjObmBn&#10;MwXrUUKyEsAMtl5b7CR81W8PT8BCVKjV4NFI+DUBtuXirlC59heszHkfO0YhGHIloY9xzDkPbW+c&#10;Cis/GiTt4CenIq1Tx/WkLhTuBr4WIuNOWaQPvRrNS2/a4/7kJOy+sXq1Px/NZ3WobF1vBL5nRynv&#10;l/PuGVg0c/w3wxWf0KEkpsafUAc2SNikCTnpnqTU6WpIRJYCa2h6XCfAy4Lfdij/AAAA//8DAFBL&#10;AQItABQABgAIAAAAIQC2gziS/gAAAOEBAAATAAAAAAAAAAAAAAAAAAAAAABbQ29udGVudF9UeXBl&#10;c10ueG1sUEsBAi0AFAAGAAgAAAAhADj9If/WAAAAlAEAAAsAAAAAAAAAAAAAAAAALwEAAF9yZWxz&#10;Ly5yZWxzUEsBAi0AFAAGAAgAAAAhAOpwZSzvAQAAwwMAAA4AAAAAAAAAAAAAAAAALgIAAGRycy9l&#10;Mm9Eb2MueG1sUEsBAi0AFAAGAAgAAAAhAKD6BFXgAAAACwEAAA8AAAAAAAAAAAAAAAAASQQAAGRy&#10;cy9kb3ducmV2LnhtbFBLBQYAAAAABAAEAPMAAABWBQAAAAA=&#10;" filled="f" stroked="f">
                <v:textbox inset="0,0,0,0">
                  <w:txbxContent>
                    <w:p w14:paraId="25D02318" w14:textId="6E31CD82" w:rsidR="00490F33" w:rsidRDefault="00490F33">
                      <w:pPr>
                        <w:spacing w:after="139" w:line="230" w:lineRule="exact"/>
                        <w:ind w:right="5"/>
                        <w:textAlignment w:val="baseline"/>
                      </w:pP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32128" behindDoc="1" locked="0" layoutInCell="1" allowOverlap="1" wp14:anchorId="14EE2D85" wp14:editId="1054FBD8">
                <wp:simplePos x="0" y="0"/>
                <wp:positionH relativeFrom="page">
                  <wp:posOffset>597535</wp:posOffset>
                </wp:positionH>
                <wp:positionV relativeFrom="page">
                  <wp:posOffset>965835</wp:posOffset>
                </wp:positionV>
                <wp:extent cx="6428105" cy="862965"/>
                <wp:effectExtent l="0" t="0" r="0" b="0"/>
                <wp:wrapSquare wrapText="bothSides"/>
                <wp:docPr id="50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3F90E" w14:textId="77777777" w:rsidR="00490F33" w:rsidRDefault="00490F33">
                            <w:pPr>
                              <w:spacing w:before="10" w:line="277" w:lineRule="exact"/>
                              <w:ind w:left="504"/>
                              <w:textAlignment w:val="baseline"/>
                              <w:rPr>
                                <w:rFonts w:ascii="Arial" w:eastAsia="Arial" w:hAnsi="Arial"/>
                                <w:b/>
                                <w:color w:val="00718E"/>
                                <w:spacing w:val="-1"/>
                                <w:sz w:val="25"/>
                              </w:rPr>
                            </w:pPr>
                            <w:r>
                              <w:rPr>
                                <w:rFonts w:ascii="Arial" w:eastAsia="Arial" w:hAnsi="Arial"/>
                                <w:b/>
                                <w:color w:val="00718E"/>
                                <w:spacing w:val="-1"/>
                                <w:sz w:val="25"/>
                              </w:rPr>
                              <w:t>Recommendation 14</w:t>
                            </w:r>
                          </w:p>
                          <w:p w14:paraId="1FF6666E" w14:textId="77777777" w:rsidR="00490F33" w:rsidRDefault="00490F33">
                            <w:pPr>
                              <w:spacing w:before="160" w:after="192" w:line="240" w:lineRule="exact"/>
                              <w:ind w:left="504" w:right="864"/>
                              <w:textAlignment w:val="baseline"/>
                              <w:rPr>
                                <w:rFonts w:ascii="Tahoma" w:eastAsia="Tahoma" w:hAnsi="Tahoma"/>
                                <w:color w:val="414042"/>
                                <w:sz w:val="18"/>
                              </w:rPr>
                            </w:pPr>
                            <w:r>
                              <w:rPr>
                                <w:rFonts w:ascii="Tahoma" w:eastAsia="Tahoma" w:hAnsi="Tahoma"/>
                                <w:color w:val="414042"/>
                                <w:sz w:val="18"/>
                              </w:rPr>
                              <w:t>Education Council should develop a national approach to the use of micro credentialing in schools that encourages senior secondary students to access high-quality, relevant courses developed by tertiary education and training providers, industry groups or employers.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E2D85" id="Text Box 230" o:spid="_x0000_s1303" type="#_x0000_t202" style="position:absolute;left:0;text-align:left;margin-left:47.05pt;margin-top:76.05pt;width:506.15pt;height:67.9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R48wEAAMMDAAAOAAAAZHJzL2Uyb0RvYy54bWysU9tu2zAMfR+wfxD0vtjxljQ14hRdiw4D&#10;ugvQ7gMYWY6F2aJGKbG7rx8lJ2m3vQ17ESiJOjznkFpfjX0nDpq8QVvJ+SyXQluFtbG7Sn57vHuz&#10;ksIHsDV0aHUln7SXV5vXr9aDK3WBLXa1JsEg1peDq2QbgiuzzKtW9+Bn6LTlywaph8Bb2mU1wcDo&#10;fZcVeb7MBqTaESrtPZ/eTpdyk/CbRqvwpWm8DqKrJHMLaaW0buOabdZQ7ghca9SRBvwDix6M5aJn&#10;qFsIIPZk/oLqjSL02ISZwj7DpjFKJw2sZp7/oeahBaeTFjbHu7NN/v/Bqs+HryRMXclFfimFhZ6b&#10;9KjHIN7jKIq3yaHB+ZITHxynhpEvuNNJrXf3qL57YfGmBbvT10Q4tBpqZjiP3mYvnsae+NJHkO3w&#10;CWsuBPuACWhsqI/2sSGC0blTT+fuRDKKD5fvitU8X0ih+G61LC6Xi1QCytNrRz580NiLGFSSuPsJ&#10;HQ73PkQ2UJ5SYjGLd6br0gR09rcDTowniX0kPFEP43ZMVhUXF7FylLPF+okFEU6TxT+BgxbppxQD&#10;T1Ul/Y89kJai+2jZlDiCp4BOwfYUgFX8tJJBiim8CdOo7h2ZXcvIk+0Wr9m4xiRNzyyOhHlSktTj&#10;VMdRfLlPWc9/b/MLAAD//wMAUEsDBBQABgAIAAAAIQBfeBRl3wAAAAsBAAAPAAAAZHJzL2Rvd25y&#10;ZXYueG1sTI89T8MwEIZ3JP6DdUhs1E5UojTEqSoEExIiDQOjE7uJ1fgcYrcN/57rBNt9PHrvuXK7&#10;uJGdzRysRwnJSgAz2HltsZfw2bw+5MBCVKjV6NFI+DEBttXtTakK7S9Ym/M+9oxCMBRKwhDjVHAe&#10;usE4FVZ+Mki7g5+ditTOPdezulC4G3kqRMadskgXBjWZ58F0x/3JSdh9Yf1iv9/bj/pQ26bZCHzL&#10;jlLe3y27J2DRLPEPhqs+qUNFTq0/oQ5slLBZJ0TS/DGl4gokIlsDayWkeS6AVyX//0P1CwAA//8D&#10;AFBLAQItABQABgAIAAAAIQC2gziS/gAAAOEBAAATAAAAAAAAAAAAAAAAAAAAAABbQ29udGVudF9U&#10;eXBlc10ueG1sUEsBAi0AFAAGAAgAAAAhADj9If/WAAAAlAEAAAsAAAAAAAAAAAAAAAAALwEAAF9y&#10;ZWxzLy5yZWxzUEsBAi0AFAAGAAgAAAAhAAzKRHjzAQAAwwMAAA4AAAAAAAAAAAAAAAAALgIAAGRy&#10;cy9lMm9Eb2MueG1sUEsBAi0AFAAGAAgAAAAhAF94FGXfAAAACwEAAA8AAAAAAAAAAAAAAAAATQQA&#10;AGRycy9kb3ducmV2LnhtbFBLBQYAAAAABAAEAPMAAABZBQAAAAA=&#10;" filled="f" stroked="f">
                <v:textbox inset="0,0,0,0">
                  <w:txbxContent>
                    <w:p w14:paraId="5683F90E" w14:textId="77777777" w:rsidR="00490F33" w:rsidRDefault="00490F33">
                      <w:pPr>
                        <w:spacing w:before="10" w:line="277" w:lineRule="exact"/>
                        <w:ind w:left="504"/>
                        <w:textAlignment w:val="baseline"/>
                        <w:rPr>
                          <w:rFonts w:ascii="Arial" w:eastAsia="Arial" w:hAnsi="Arial"/>
                          <w:b/>
                          <w:color w:val="00718E"/>
                          <w:spacing w:val="-1"/>
                          <w:sz w:val="25"/>
                        </w:rPr>
                      </w:pPr>
                      <w:r>
                        <w:rPr>
                          <w:rFonts w:ascii="Arial" w:eastAsia="Arial" w:hAnsi="Arial"/>
                          <w:b/>
                          <w:color w:val="00718E"/>
                          <w:spacing w:val="-1"/>
                          <w:sz w:val="25"/>
                        </w:rPr>
                        <w:t>Recommendation 14</w:t>
                      </w:r>
                    </w:p>
                    <w:p w14:paraId="1FF6666E" w14:textId="77777777" w:rsidR="00490F33" w:rsidRDefault="00490F33">
                      <w:pPr>
                        <w:spacing w:before="160" w:after="192" w:line="240" w:lineRule="exact"/>
                        <w:ind w:left="504" w:right="864"/>
                        <w:textAlignment w:val="baseline"/>
                        <w:rPr>
                          <w:rFonts w:ascii="Tahoma" w:eastAsia="Tahoma" w:hAnsi="Tahoma"/>
                          <w:color w:val="414042"/>
                          <w:sz w:val="18"/>
                        </w:rPr>
                      </w:pPr>
                      <w:r>
                        <w:rPr>
                          <w:rFonts w:ascii="Tahoma" w:eastAsia="Tahoma" w:hAnsi="Tahoma"/>
                          <w:color w:val="414042"/>
                          <w:sz w:val="18"/>
                        </w:rPr>
                        <w:t>Education Council should develop a national approach to the use of micro credentialing in schools that encourages senior secondary students to access high-quality, relevant courses developed by tertiary education and training providers, industry groups or employers.</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951616" behindDoc="0" locked="0" layoutInCell="1" allowOverlap="1" wp14:anchorId="73421C67" wp14:editId="5D21A131">
                <wp:simplePos x="0" y="0"/>
                <wp:positionH relativeFrom="page">
                  <wp:posOffset>545465</wp:posOffset>
                </wp:positionH>
                <wp:positionV relativeFrom="page">
                  <wp:posOffset>723900</wp:posOffset>
                </wp:positionV>
                <wp:extent cx="6480175" cy="0"/>
                <wp:effectExtent l="0" t="0" r="0" b="0"/>
                <wp:wrapNone/>
                <wp:docPr id="50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1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1342B" id="Line 228" o:spid="_x0000_s1026" style="position:absolute;z-index:25195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553.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JdX0AEAAIYDAAAOAAAAZHJzL2Uyb0RvYy54bWysU02PGyEMvVfqf0Dcm5mkzSYaZbKHZLeX&#10;tI202x/gADODymAEJDP59zXko9v2VvWCDLafn5/N6nHsDTspHzTamk8nJWfKCpTatjX//vr8YclZ&#10;iGAlGLSq5mcV+OP6/bvV4Co1ww6NVJ4RiA3V4GrexeiqogiiUz2ECTplydmg7yHS1beF9DAQem+K&#10;WVk+FAN66TwKFQK9bi9Ovs74TaNE/NY0QUVmak7cYj59Pg/pLNYrqFoPrtPiSgP+gUUP2lLRO9QW&#10;IrCj139B9Vp4DNjEicC+wKbRQuUeqJtp+Uc3Lx04lXshcYK7yxT+H6z4etp7pmXN5+WCMws9DWmn&#10;rWKz2TKpM7hQUdDG7n3qT4z2xe1Q/AjM4qYD26rM8vXsKHGaMorfUtIlOKpxGL6gpBg4RsxSjY3v&#10;EySJwMY8kfN9ImqMTNDjw6dlOV3MORM3XwHVLdH5ED8r7Fkyam6IdQaG0y7ERASqW0iqY/FZG5MH&#10;biwbCPzjvMwJAY2WyZnCgm8PG+PZCdLKlIvp8il3RZ63YQl5C6G7xGXXZZk8Hq3MVToF8ulqR9Dm&#10;YhMrY68qJWEuEh9Qnvf+ph4NO9O/Lmbaprf3nP3r+6x/AgAA//8DAFBLAwQUAAYACAAAACEAyc8C&#10;D90AAAALAQAADwAAAGRycy9kb3ducmV2LnhtbEyPTUvDQBCG74L/YRnBm92N1FpjNqUoSk8Fq3ie&#10;JNMkZnc2ZLdt8u/dglCP887D+5GtRmvEkQbfOtaQzBQI4tJVLdcavj7f7pYgfECu0DgmDRN5WOXX&#10;VxmmlTvxBx13oRbRhH2KGpoQ+lRKXzZk0c9cTxx/ezdYDPEcalkNeIrm1sh7pRbSYssxocGeXhoq&#10;u93Batir7tH8GLtd43bqis2rLab3b61vb8b1M4hAY7jAcK4fq0MeOxXuwJUXRsPy4SmSUU/mcdMZ&#10;SNRiDqL4k2Seyf8b8l8AAAD//wMAUEsBAi0AFAAGAAgAAAAhALaDOJL+AAAA4QEAABMAAAAAAAAA&#10;AAAAAAAAAAAAAFtDb250ZW50X1R5cGVzXS54bWxQSwECLQAUAAYACAAAACEAOP0h/9YAAACUAQAA&#10;CwAAAAAAAAAAAAAAAAAvAQAAX3JlbHMvLnJlbHNQSwECLQAUAAYACAAAACEA9NyXV9ABAACGAwAA&#10;DgAAAAAAAAAAAAAAAAAuAgAAZHJzL2Uyb0RvYy54bWxQSwECLQAUAAYACAAAACEAyc8CD90AAAAL&#10;AQAADwAAAAAAAAAAAAAAAAAqBAAAZHJzL2Rvd25yZXYueG1sUEsFBgAAAAAEAAQA8wAAADQFAAAA&#10;AA==&#10;" strokecolor="#00718e" strokeweight=".5pt">
                <w10:wrap anchorx="page" anchory="page"/>
              </v:line>
            </w:pict>
          </mc:Fallback>
        </mc:AlternateContent>
      </w:r>
      <w:r>
        <w:rPr>
          <w:noProof/>
          <w:lang w:val="en-AU" w:eastAsia="en-AU"/>
        </w:rPr>
        <mc:AlternateContent>
          <mc:Choice Requires="wps">
            <w:drawing>
              <wp:anchor distT="0" distB="0" distL="114300" distR="114300" simplePos="0" relativeHeight="251952640" behindDoc="0" locked="0" layoutInCell="1" allowOverlap="1" wp14:anchorId="5AC6F6A1" wp14:editId="1DF07088">
                <wp:simplePos x="0" y="0"/>
                <wp:positionH relativeFrom="page">
                  <wp:posOffset>545465</wp:posOffset>
                </wp:positionH>
                <wp:positionV relativeFrom="page">
                  <wp:posOffset>1986280</wp:posOffset>
                </wp:positionV>
                <wp:extent cx="6480175" cy="0"/>
                <wp:effectExtent l="0" t="0" r="0" b="0"/>
                <wp:wrapNone/>
                <wp:docPr id="506"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1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D4254" id="Line 227" o:spid="_x0000_s1026" style="position:absolute;z-index:25195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156.4pt" to="553.2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150AEAAIYDAAAOAAAAZHJzL2Uyb0RvYy54bWysU02PGjEMvVfqf4hyLzPQ8qERwx5gtxfa&#10;Iu32B5gkw0TNxFESGPj3dTJAt93bqpfIie3n52dn+XDuDDspHzTamo9HJWfKCpTaHmr+8+Xp04Kz&#10;EMFKMGhVzS8q8IfVxw/L3lVqgi0aqTwjEBuq3tW8jdFVRRFEqzoII3TKkrNB30Gkqz8U0kNP6J0p&#10;JmU5K3r00nkUKgR63QxOvsr4TaNE/NE0QUVmak7cYj59PvfpLFZLqA4eXKvFlQa8g0UH2lLRO9QG&#10;IrCj12+gOi08BmziSGBXYNNooXIP1M24/Keb5xacyr2QOMHdZQr/D1Z8P+0807Lm03LGmYWOhrTV&#10;VrHJZJ7U6V2oKGhtdz71J8722W1R/ArM4roFe1CZ5cvFUeI4ZRR/paRLcFRj339DSTFwjJilOje+&#10;S5AkAjvniVzuE1HnyAQ9zr4syvF8ypm4+QqobonOh/hVYceSUXNDrDMwnLYhJiJQ3UJSHYtP2pg8&#10;cGNZT+Cfp2VOCGi0TM4UFvxhvzaenSCtTDkfLx5zV+R5HZaQNxDaIS67hmXyeLQyV2kVyMerHUGb&#10;wSZWxl5VSsIMEu9RXnb+ph4NO9O/Lmbaptf3nP3n+6x+AwAA//8DAFBLAwQUAAYACAAAACEAO2So&#10;bN4AAAALAQAADwAAAGRycy9kb3ducmV2LnhtbEyPwU7DMAyG70i8Q2QkbizpgDFK02kCgThNYiDO&#10;buu1pYlTNdnWvj2ZNAmOtj/9/v5sNVojDjT41rGGZKZAEJeuarnW8PX5erME4QNyhcYxaZjIwyq/&#10;vMgwrdyRP+iwDbWIIexT1NCE0KdS+rIhi37meuJ427nBYojjUMtqwGMMt0bOlVpIiy3HDw329NxQ&#10;2W33VsNOdQ/mx9jNGjdTV7y/2GJ6+9b6+mpcP4EINIY/GE76UR3y6FS4PVdeGA3L+8dIarhN5rHC&#10;CUjU4g5EcV7JPJP/O+S/AAAA//8DAFBLAQItABQABgAIAAAAIQC2gziS/gAAAOEBAAATAAAAAAAA&#10;AAAAAAAAAAAAAABbQ29udGVudF9UeXBlc10ueG1sUEsBAi0AFAAGAAgAAAAhADj9If/WAAAAlAEA&#10;AAsAAAAAAAAAAAAAAAAALwEAAF9yZWxzLy5yZWxzUEsBAi0AFAAGAAgAAAAhAJQjzXnQAQAAhgMA&#10;AA4AAAAAAAAAAAAAAAAALgIAAGRycy9lMm9Eb2MueG1sUEsBAi0AFAAGAAgAAAAhADtkqGzeAAAA&#10;CwEAAA8AAAAAAAAAAAAAAAAAKgQAAGRycy9kb3ducmV2LnhtbFBLBQYAAAAABAAEAPMAAAA1BQAA&#10;AAA=&#10;" strokecolor="#00718e" strokeweight=".5pt">
                <w10:wrap anchorx="page" anchory="page"/>
              </v:line>
            </w:pict>
          </mc:Fallback>
        </mc:AlternateContent>
      </w:r>
      <w:r>
        <w:rPr>
          <w:noProof/>
          <w:lang w:val="en-AU" w:eastAsia="en-AU"/>
        </w:rPr>
        <mc:AlternateContent>
          <mc:Choice Requires="wps">
            <w:drawing>
              <wp:anchor distT="0" distB="0" distL="114300" distR="114300" simplePos="0" relativeHeight="251953664" behindDoc="0" locked="0" layoutInCell="1" allowOverlap="1" wp14:anchorId="2C19D66B" wp14:editId="76438582">
                <wp:simplePos x="0" y="0"/>
                <wp:positionH relativeFrom="page">
                  <wp:posOffset>545465</wp:posOffset>
                </wp:positionH>
                <wp:positionV relativeFrom="page">
                  <wp:posOffset>723900</wp:posOffset>
                </wp:positionV>
                <wp:extent cx="0" cy="1262380"/>
                <wp:effectExtent l="0" t="0" r="0" b="0"/>
                <wp:wrapNone/>
                <wp:docPr id="505"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2380"/>
                        </a:xfrm>
                        <a:prstGeom prst="line">
                          <a:avLst/>
                        </a:prstGeom>
                        <a:noFill/>
                        <a:ln w="6350">
                          <a:solidFill>
                            <a:srgbClr val="0071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5C600" id="Line 226" o:spid="_x0000_s1026" style="position:absolute;z-index:25195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42.95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BO0AEAAIYDAAAOAAAAZHJzL2Uyb0RvYy54bWysU8uOGyEQvEfKPyDu8TxWdqyRx3uwd3Nx&#10;Eku7+YA2MDMoQCPAHvvvA4zt3SS3KBcE/aiurm5Wj2etyEk4L9G0tJqVlAjDkEvTt/TH6/OnJSU+&#10;gOGg0IiWXoSnj+uPH1ajbUSNAyouHIkgxjejbekQgm2KwrNBaPAztMJEZ4dOQ4hP1xfcwRjRtSrq&#10;slwUIzpuHTLhfbRuJyddZ/yuEyx87zovAlEtjdxCPl0+D+ks1itoegd2kOxKA/6BhQZpYtE71BYC&#10;kKOTf0FpyRx67MKMoS6w6yQTuYfYTVX+0c3LAFbkXqI43t5l8v8Pln077R2RvKXzck6JAR2HtJNG&#10;kLpeJHVG65sYtDF7l/pjZ/Nid8h+emJwM4DpRWb5erExsUoZxW8p6eFtrHEYvyKPMXAMmKU6d04n&#10;yCgCOeeJXO4TEedA2GRk0VrVi/phmadVQHNLtM6HLwI1SZeWqsg6A8Np50MiAs0tJNUx+CyVygNX&#10;howtXTzMy5zgUUmenCnMu/6wUY6cIK1M+blaPuWuoud9WELegh+muOyalsnh0fBcZRDAn673AFJN&#10;98hKmatKSZhJ4gPyy97d1IvDzvSvi5m26f07Z799n/UvAAAA//8DAFBLAwQUAAYACAAAACEAZATD&#10;JNwAAAAJAQAADwAAAGRycy9kb3ducmV2LnhtbEyPy07DMBBF90j8gzVI7KiT8gohTlWBQKwqURDr&#10;SewmIfY4it02+XuGbmA5d47uo1hNzoqDGUPnSUG6SEAYqr3uqFHw+fFylYEIEUmj9WQUzCbAqjw/&#10;KzDX/kjv5rCNjWATCjkqaGMccilD3RqHYeEHQ/zb+dFh5HNspB7xyObOymWS3EmHHXFCi4N5ak3d&#10;b/dOwS7p7+23dZs1bua+ent21fz6pdTlxbR+BBHNFP9g+K3P1aHkTpXfkw7CKshuH5hkPb3hTQyc&#10;hErBdbrMQJaF/L+g/AEAAP//AwBQSwECLQAUAAYACAAAACEAtoM4kv4AAADhAQAAEwAAAAAAAAAA&#10;AAAAAAAAAAAAW0NvbnRlbnRfVHlwZXNdLnhtbFBLAQItABQABgAIAAAAIQA4/SH/1gAAAJQBAAAL&#10;AAAAAAAAAAAAAAAAAC8BAABfcmVscy8ucmVsc1BLAQItABQABgAIAAAAIQCRfaBO0AEAAIYDAAAO&#10;AAAAAAAAAAAAAAAAAC4CAABkcnMvZTJvRG9jLnhtbFBLAQItABQABgAIAAAAIQBkBMMk3AAAAAkB&#10;AAAPAAAAAAAAAAAAAAAAACoEAABkcnMvZG93bnJldi54bWxQSwUGAAAAAAQABADzAAAAMwUAAAAA&#10;" strokecolor="#00718e" strokeweight=".5pt">
                <w10:wrap anchorx="page" anchory="page"/>
              </v:line>
            </w:pict>
          </mc:Fallback>
        </mc:AlternateContent>
      </w:r>
      <w:r w:rsidR="00083242">
        <w:rPr>
          <w:rFonts w:ascii="Arial" w:eastAsia="Arial" w:hAnsi="Arial"/>
          <w:i/>
          <w:color w:val="00718E"/>
          <w:spacing w:val="1"/>
          <w:sz w:val="18"/>
        </w:rPr>
        <w:t>Implementation guidance</w:t>
      </w:r>
    </w:p>
    <w:p w14:paraId="76C4FA4B" w14:textId="77777777" w:rsidR="009757A9" w:rsidRDefault="00083242">
      <w:pPr>
        <w:spacing w:before="167" w:line="240" w:lineRule="exact"/>
        <w:ind w:left="864" w:right="936"/>
        <w:textAlignment w:val="baseline"/>
        <w:rPr>
          <w:rFonts w:ascii="Tahoma" w:eastAsia="Tahoma" w:hAnsi="Tahoma"/>
          <w:color w:val="414042"/>
          <w:sz w:val="18"/>
        </w:rPr>
      </w:pPr>
      <w:r>
        <w:rPr>
          <w:rFonts w:ascii="Tahoma" w:eastAsia="Tahoma" w:hAnsi="Tahoma"/>
          <w:color w:val="414042"/>
          <w:sz w:val="18"/>
        </w:rPr>
        <w:t>In the longer term, given the strong interest across jurisdictions in understanding how micro-credentials could be used in senior secondary education and their potential, it is recommended that further work be commissioned by Education Council. Advice should be sought on the potential of micro-credentials to:</w:t>
      </w:r>
    </w:p>
    <w:p w14:paraId="7DC2F5F8" w14:textId="77777777" w:rsidR="009757A9" w:rsidRDefault="00083242">
      <w:pPr>
        <w:numPr>
          <w:ilvl w:val="0"/>
          <w:numId w:val="6"/>
        </w:numPr>
        <w:tabs>
          <w:tab w:val="clear" w:pos="216"/>
          <w:tab w:val="left" w:pos="1080"/>
        </w:tabs>
        <w:spacing w:before="100" w:line="221" w:lineRule="exact"/>
        <w:ind w:left="864"/>
        <w:textAlignment w:val="baseline"/>
        <w:rPr>
          <w:rFonts w:ascii="Tahoma" w:eastAsia="Tahoma" w:hAnsi="Tahoma"/>
          <w:color w:val="414042"/>
          <w:spacing w:val="6"/>
          <w:sz w:val="18"/>
        </w:rPr>
      </w:pPr>
      <w:r>
        <w:rPr>
          <w:rFonts w:ascii="Tahoma" w:eastAsia="Tahoma" w:hAnsi="Tahoma"/>
          <w:color w:val="414042"/>
          <w:spacing w:val="6"/>
          <w:sz w:val="18"/>
        </w:rPr>
        <w:t>customise learning choices</w:t>
      </w:r>
    </w:p>
    <w:p w14:paraId="3B632C7F" w14:textId="77777777" w:rsidR="009757A9" w:rsidRDefault="00083242">
      <w:pPr>
        <w:numPr>
          <w:ilvl w:val="0"/>
          <w:numId w:val="21"/>
        </w:numPr>
        <w:tabs>
          <w:tab w:val="clear" w:pos="216"/>
          <w:tab w:val="left" w:pos="1080"/>
        </w:tabs>
        <w:spacing w:before="108" w:line="209" w:lineRule="exact"/>
        <w:ind w:left="864"/>
        <w:textAlignment w:val="baseline"/>
        <w:rPr>
          <w:rFonts w:ascii="Verdana" w:eastAsia="Verdana" w:hAnsi="Verdana"/>
          <w:color w:val="414042"/>
          <w:spacing w:val="-1"/>
          <w:sz w:val="17"/>
        </w:rPr>
      </w:pPr>
      <w:r>
        <w:rPr>
          <w:rFonts w:ascii="Verdana" w:eastAsia="Verdana" w:hAnsi="Verdana"/>
          <w:color w:val="414042"/>
          <w:spacing w:val="-1"/>
          <w:sz w:val="17"/>
        </w:rPr>
        <w:t>record skills and achievements not reflected in the SSCE</w:t>
      </w:r>
    </w:p>
    <w:p w14:paraId="66AED249" w14:textId="77777777" w:rsidR="009757A9" w:rsidRDefault="00083242">
      <w:pPr>
        <w:numPr>
          <w:ilvl w:val="0"/>
          <w:numId w:val="6"/>
        </w:numPr>
        <w:tabs>
          <w:tab w:val="clear" w:pos="216"/>
          <w:tab w:val="left" w:pos="1080"/>
        </w:tabs>
        <w:spacing w:before="115" w:line="221" w:lineRule="exact"/>
        <w:ind w:left="864"/>
        <w:textAlignment w:val="baseline"/>
        <w:rPr>
          <w:rFonts w:ascii="Tahoma" w:eastAsia="Tahoma" w:hAnsi="Tahoma"/>
          <w:color w:val="414042"/>
          <w:spacing w:val="7"/>
          <w:sz w:val="18"/>
        </w:rPr>
      </w:pPr>
      <w:r>
        <w:rPr>
          <w:rFonts w:ascii="Tahoma" w:eastAsia="Tahoma" w:hAnsi="Tahoma"/>
          <w:color w:val="414042"/>
          <w:spacing w:val="7"/>
          <w:sz w:val="18"/>
        </w:rPr>
        <w:t>demonstrate learning achievement</w:t>
      </w:r>
    </w:p>
    <w:p w14:paraId="5BC625AA" w14:textId="77777777" w:rsidR="009757A9" w:rsidRDefault="00083242">
      <w:pPr>
        <w:numPr>
          <w:ilvl w:val="0"/>
          <w:numId w:val="6"/>
        </w:numPr>
        <w:tabs>
          <w:tab w:val="clear" w:pos="216"/>
          <w:tab w:val="left" w:pos="1080"/>
        </w:tabs>
        <w:spacing w:before="101" w:line="221" w:lineRule="exact"/>
        <w:ind w:left="864"/>
        <w:textAlignment w:val="baseline"/>
        <w:rPr>
          <w:rFonts w:ascii="Tahoma" w:eastAsia="Tahoma" w:hAnsi="Tahoma"/>
          <w:color w:val="414042"/>
          <w:spacing w:val="7"/>
          <w:sz w:val="18"/>
        </w:rPr>
      </w:pPr>
      <w:r>
        <w:rPr>
          <w:rFonts w:ascii="Tahoma" w:eastAsia="Tahoma" w:hAnsi="Tahoma"/>
          <w:color w:val="414042"/>
          <w:spacing w:val="7"/>
          <w:sz w:val="18"/>
        </w:rPr>
        <w:t>demonstrate aptitude for specialisations</w:t>
      </w:r>
    </w:p>
    <w:p w14:paraId="5B9FE138" w14:textId="77777777" w:rsidR="009757A9" w:rsidRDefault="00083242">
      <w:pPr>
        <w:numPr>
          <w:ilvl w:val="0"/>
          <w:numId w:val="6"/>
        </w:numPr>
        <w:tabs>
          <w:tab w:val="clear" w:pos="216"/>
          <w:tab w:val="left" w:pos="1080"/>
        </w:tabs>
        <w:spacing w:before="105" w:line="218" w:lineRule="exact"/>
        <w:ind w:left="864"/>
        <w:textAlignment w:val="baseline"/>
        <w:rPr>
          <w:rFonts w:ascii="Tahoma" w:eastAsia="Tahoma" w:hAnsi="Tahoma"/>
          <w:color w:val="414042"/>
          <w:spacing w:val="4"/>
          <w:sz w:val="18"/>
        </w:rPr>
      </w:pPr>
      <w:r>
        <w:rPr>
          <w:rFonts w:ascii="Tahoma" w:eastAsia="Tahoma" w:hAnsi="Tahoma"/>
          <w:color w:val="414042"/>
          <w:spacing w:val="4"/>
          <w:sz w:val="18"/>
        </w:rPr>
        <w:t>count as credits towards the SSCE</w:t>
      </w:r>
    </w:p>
    <w:p w14:paraId="1F9001DB" w14:textId="77777777" w:rsidR="009757A9" w:rsidRDefault="00083242">
      <w:pPr>
        <w:numPr>
          <w:ilvl w:val="0"/>
          <w:numId w:val="6"/>
        </w:numPr>
        <w:tabs>
          <w:tab w:val="clear" w:pos="216"/>
          <w:tab w:val="left" w:pos="1080"/>
        </w:tabs>
        <w:spacing w:before="109" w:line="221" w:lineRule="exact"/>
        <w:ind w:left="864"/>
        <w:textAlignment w:val="baseline"/>
        <w:rPr>
          <w:rFonts w:ascii="Tahoma" w:eastAsia="Tahoma" w:hAnsi="Tahoma"/>
          <w:color w:val="414042"/>
          <w:spacing w:val="6"/>
          <w:sz w:val="18"/>
        </w:rPr>
      </w:pPr>
      <w:r>
        <w:rPr>
          <w:rFonts w:ascii="Tahoma" w:eastAsia="Tahoma" w:hAnsi="Tahoma"/>
          <w:color w:val="414042"/>
          <w:spacing w:val="6"/>
          <w:sz w:val="18"/>
        </w:rPr>
        <w:t>count as recognition of prior learning for entry into tertiary education</w:t>
      </w:r>
    </w:p>
    <w:p w14:paraId="72A3E03C"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14042"/>
          <w:spacing w:val="5"/>
          <w:sz w:val="18"/>
        </w:rPr>
      </w:pPr>
      <w:r>
        <w:rPr>
          <w:rFonts w:ascii="Tahoma" w:eastAsia="Tahoma" w:hAnsi="Tahoma"/>
          <w:color w:val="414042"/>
          <w:spacing w:val="5"/>
          <w:sz w:val="18"/>
        </w:rPr>
        <w:t>count toward SSCE completion (particularly for at-risk students)</w:t>
      </w:r>
    </w:p>
    <w:p w14:paraId="13DE480C" w14:textId="77777777" w:rsidR="009757A9" w:rsidRDefault="00083242">
      <w:pPr>
        <w:numPr>
          <w:ilvl w:val="0"/>
          <w:numId w:val="21"/>
        </w:numPr>
        <w:tabs>
          <w:tab w:val="clear" w:pos="216"/>
          <w:tab w:val="left" w:pos="1080"/>
        </w:tabs>
        <w:spacing w:before="103" w:after="297" w:line="219" w:lineRule="exact"/>
        <w:ind w:left="864"/>
        <w:textAlignment w:val="baseline"/>
        <w:rPr>
          <w:rFonts w:ascii="Verdana" w:eastAsia="Verdana" w:hAnsi="Verdana"/>
          <w:color w:val="414042"/>
          <w:sz w:val="17"/>
        </w:rPr>
      </w:pPr>
      <w:r>
        <w:rPr>
          <w:rFonts w:ascii="Verdana" w:eastAsia="Verdana" w:hAnsi="Verdana"/>
          <w:color w:val="414042"/>
          <w:sz w:val="17"/>
        </w:rPr>
        <w:t>be incorporated as a means of evidencing students’ capabilities, as set out in their Learner Profile.</w:t>
      </w:r>
    </w:p>
    <w:p w14:paraId="517EBDB7" w14:textId="77777777" w:rsidR="009757A9" w:rsidRDefault="000D2E34">
      <w:pPr>
        <w:spacing w:after="639" w:line="203" w:lineRule="exact"/>
        <w:ind w:left="6768"/>
        <w:textAlignment w:val="baseline"/>
        <w:rPr>
          <w:rFonts w:ascii="Verdana" w:eastAsia="Verdana" w:hAnsi="Verdana"/>
          <w:color w:val="414042"/>
          <w:spacing w:val="4"/>
          <w:sz w:val="13"/>
        </w:rPr>
      </w:pPr>
      <w:r>
        <w:rPr>
          <w:noProof/>
          <w:lang w:val="en-AU" w:eastAsia="en-AU"/>
        </w:rPr>
        <mc:AlternateContent>
          <mc:Choice Requires="wps">
            <w:drawing>
              <wp:anchor distT="0" distB="0" distL="0" distR="0" simplePos="0" relativeHeight="251634176" behindDoc="1" locked="0" layoutInCell="1" allowOverlap="1" wp14:anchorId="1765C6BD" wp14:editId="3685F38A">
                <wp:simplePos x="0" y="0"/>
                <wp:positionH relativeFrom="page">
                  <wp:posOffset>0</wp:posOffset>
                </wp:positionH>
                <wp:positionV relativeFrom="page">
                  <wp:posOffset>4834255</wp:posOffset>
                </wp:positionV>
                <wp:extent cx="7562215" cy="4853940"/>
                <wp:effectExtent l="0" t="0" r="0" b="0"/>
                <wp:wrapSquare wrapText="bothSides"/>
                <wp:docPr id="504"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85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EAECF"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5C6BD" id="Text Box 225" o:spid="_x0000_s1304" type="#_x0000_t202" style="position:absolute;left:0;text-align:left;margin-left:0;margin-top:380.65pt;width:595.45pt;height:382.2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9D8wEAAMQDAAAOAAAAZHJzL2Uyb0RvYy54bWysU21v0zAQ/o7Ef7D8naYN7VaiptPYNIQ0&#10;BtLGD7g6TmOR+MzZbTJ+PWenKQO+Ib5Y53t5/Nxz583V0LXiqMkbtKVczOZSaKuwMnZfyq9Pd2/W&#10;UvgAtoIWrS7ls/byavv61aZ3hc6xwbbSJBjE+qJ3pWxCcEWWedXoDvwMnbYcrJE6CHylfVYR9Ize&#10;tVk+n19kPVLlCJX2nr23Y1BuE35daxU+17XXQbSlZG4hnZTOXTyz7QaKPYFrjDrRgH9g0YGx/OgZ&#10;6hYCiAOZv6A6owg91mGmsMuwro3SqQfuZjH/o5vHBpxOvbA43p1l8v8PVj0cv5AwVSlX86UUFjoe&#10;0pMegniPg8jzVVSod77gxEfHqWHgAE86devdPapvXli8acDu9TUR9o2GihkuYmX2onTE8RFk13/C&#10;ih+CQ8AENNTURflYEMHoPKnn83QiGcXOy9VFni9WUiiOLdert++WaX4ZFFO5Ix8+aOxENEpJPP4E&#10;D8d7HyIdKKaU+JrFO9O2aQVa+5uDE6Mn0Y+MR+5h2A1Jq/xyPemyw+qZOyIcV4u/AhsN0g8pel6r&#10;UvrvByAtRfvRsipxByeDJmM3GWAVl5YySDGaN2Hc1YMjs28YedTd4jUrV5vUU5R4ZHEizKuSWj2t&#10;ddzFl/eU9evzbX8CAAD//wMAUEsDBBQABgAIAAAAIQBYWlwG4AAAAAoBAAAPAAAAZHJzL2Rvd25y&#10;ZXYueG1sTI/BTsMwEETvSPyDtUjcqJ2ipiTEqSoEJyREGg4cnXibWI3XIXbb8Pe4p3Kb1axm3hSb&#10;2Q7shJM3jiQkCwEMqXXaUCfhq357eALmgyKtBkco4Rc9bMrbm0Ll2p2pwtMudCyGkM+VhD6EMefc&#10;tz1a5RduRIre3k1WhXhOHdeTOsdwO/ClECm3ylBs6NWILz22h93RSth+U/Vqfj6az2pfmbrOBL2n&#10;Bynv7+btM7CAc7g+wwU/okMZmRp3JO3ZICEOCRLWafII7GInmciANVGtlqs18LLg/yeUfwAAAP//&#10;AwBQSwECLQAUAAYACAAAACEAtoM4kv4AAADhAQAAEwAAAAAAAAAAAAAAAAAAAAAAW0NvbnRlbnRf&#10;VHlwZXNdLnhtbFBLAQItABQABgAIAAAAIQA4/SH/1gAAAJQBAAALAAAAAAAAAAAAAAAAAC8BAABf&#10;cmVscy8ucmVsc1BLAQItABQABgAIAAAAIQBD509D8wEAAMQDAAAOAAAAAAAAAAAAAAAAAC4CAABk&#10;cnMvZTJvRG9jLnhtbFBLAQItABQABgAIAAAAIQBYWlwG4AAAAAoBAAAPAAAAAAAAAAAAAAAAAE0E&#10;AABkcnMvZG93bnJldi54bWxQSwUGAAAAAAQABADzAAAAWgUAAAAA&#10;" filled="f" stroked="f">
                <v:textbox inset="0,0,0,0">
                  <w:txbxContent>
                    <w:p w14:paraId="03DEAECF"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635200" behindDoc="1" locked="0" layoutInCell="1" allowOverlap="1" wp14:anchorId="4BDCB56C" wp14:editId="6D28C43A">
                <wp:simplePos x="0" y="0"/>
                <wp:positionH relativeFrom="page">
                  <wp:posOffset>539750</wp:posOffset>
                </wp:positionH>
                <wp:positionV relativeFrom="page">
                  <wp:posOffset>4834255</wp:posOffset>
                </wp:positionV>
                <wp:extent cx="6553200" cy="4785360"/>
                <wp:effectExtent l="0" t="0" r="0" b="0"/>
                <wp:wrapSquare wrapText="bothSides"/>
                <wp:docPr id="50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478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89B2C" w14:textId="77777777" w:rsidR="00490F33" w:rsidRDefault="00490F33">
                            <w:pPr>
                              <w:textAlignment w:val="baseline"/>
                            </w:pPr>
                            <w:r>
                              <w:rPr>
                                <w:noProof/>
                                <w:lang w:val="en-AU" w:eastAsia="en-AU"/>
                              </w:rPr>
                              <w:drawing>
                                <wp:inline distT="0" distB="0" distL="0" distR="0" wp14:anchorId="3DCA3BD2" wp14:editId="0D011875">
                                  <wp:extent cx="6553200" cy="4785360"/>
                                  <wp:effectExtent l="0" t="0" r="0" b="0"/>
                                  <wp:docPr id="187" name="Picture" descr="logo."/>
                                  <wp:cNvGraphicFramePr/>
                                  <a:graphic xmlns:a="http://schemas.openxmlformats.org/drawingml/2006/main">
                                    <a:graphicData uri="http://schemas.openxmlformats.org/drawingml/2006/picture">
                                      <pic:pic xmlns:pic="http://schemas.openxmlformats.org/drawingml/2006/picture">
                                        <pic:nvPicPr>
                                          <pic:cNvPr id="187" name="Picture" descr="logo."/>
                                          <pic:cNvPicPr preferRelativeResize="0"/>
                                        </pic:nvPicPr>
                                        <pic:blipFill>
                                          <a:blip r:embed="rId247"/>
                                          <a:stretch>
                                            <a:fillRect/>
                                          </a:stretch>
                                        </pic:blipFill>
                                        <pic:spPr>
                                          <a:xfrm>
                                            <a:off x="0" y="0"/>
                                            <a:ext cx="6553200" cy="478536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CB56C" id="Text Box 224" o:spid="_x0000_s1305" type="#_x0000_t202" style="position:absolute;left:0;text-align:left;margin-left:42.5pt;margin-top:380.65pt;width:516pt;height:376.8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Yb8gEAAMQDAAAOAAAAZHJzL2Uyb0RvYy54bWysU9tu2zAMfR+wfxD0vjiXJm2NOEXXosOA&#10;7gK0+wBGlmNhtqhRSuzs60fJcdZub8NeBIqXo8NDan3Tt404aPIGbSFnk6kU2iosjd0V8tvzw7sr&#10;KXwAW0KDVhfyqL282bx9s+5crudYY1NqEgxifd65QtYhuDzLvKp1C36CTlsOVkgtBL7SLisJOkZv&#10;m2w+na6yDql0hEp7z977ISg3Cb+qtApfqsrrIJpCMreQTkrnNp7ZZg35jsDVRp1owD+waMFYfvQM&#10;dQ8BxJ7MX1CtUYQeqzBR2GZYVUbp1AN3M5v+0c1TDU6nXlgc784y+f8Hqz4fvpIwZSGX04UUFloe&#10;0rPug3iPvZjPL6JCnfM5Jz45Tg09B3jSqVvvHlF998LiXQ12p2+JsKs1lMxwFiuzF6UDjo8g2+4T&#10;lvwQ7AMmoL6iNsrHgghG50kdz9OJZBQ7V8vlgkcuheLYxeXVcrFK88sgH8sd+fBBYyuiUUji8Sd4&#10;ODz6EOlAPqbE1yw+mKZJK9DYVw5OjJ5EPzIeuId+2yet5pfXoy5bLI/cEeGwWvwV2KiRfkrR8VoV&#10;0v/YA2kpmo+WVYk7OBo0GtvRAKu4tJBBisG8C8Ou7h2ZXc3Ig+4Wb1m5yqSeosQDixNhXpXU6mmt&#10;4y6+vKes359v8wsAAP//AwBQSwMEFAAGAAgAAAAhAKYL5jriAAAADAEAAA8AAABkcnMvZG93bnJl&#10;di54bWxMj8FOwzAQRO9I/IO1SNyoY6BpG+JUFYJTJUQaDhydeJtYjdchdtv073FPcNvdGc2+ydeT&#10;7dkJR28cSRCzBBhS47ShVsJX9f6wBOaDIq16Ryjhgh7Wxe1NrjLtzlTiaRdaFkPIZ0pCF8KQce6b&#10;Dq3yMzcgRW3vRqtCXMeW61GdY7jt+WOSpNwqQ/FDpwZ87bA57I5Wwuabyjfz81F/lvvSVNUqoW16&#10;kPL+btq8AAs4hT8zXPEjOhSRqXZH0p71EpbzWCVIWKTiCdjVIMQinuo4zcXzCniR8/8lil8AAAD/&#10;/wMAUEsBAi0AFAAGAAgAAAAhALaDOJL+AAAA4QEAABMAAAAAAAAAAAAAAAAAAAAAAFtDb250ZW50&#10;X1R5cGVzXS54bWxQSwECLQAUAAYACAAAACEAOP0h/9YAAACUAQAACwAAAAAAAAAAAAAAAAAvAQAA&#10;X3JlbHMvLnJlbHNQSwECLQAUAAYACAAAACEAedP2G/IBAADEAwAADgAAAAAAAAAAAAAAAAAuAgAA&#10;ZHJzL2Uyb0RvYy54bWxQSwECLQAUAAYACAAAACEApgvmOuIAAAAMAQAADwAAAAAAAAAAAAAAAABM&#10;BAAAZHJzL2Rvd25yZXYueG1sUEsFBgAAAAAEAAQA8wAAAFsFAAAAAA==&#10;" filled="f" stroked="f">
                <v:textbox inset="0,0,0,0">
                  <w:txbxContent>
                    <w:p w14:paraId="3BD89B2C" w14:textId="77777777" w:rsidR="00490F33" w:rsidRDefault="00490F33">
                      <w:pPr>
                        <w:textAlignment w:val="baseline"/>
                      </w:pPr>
                      <w:r>
                        <w:rPr>
                          <w:noProof/>
                          <w:lang w:val="en-AU" w:eastAsia="en-AU"/>
                        </w:rPr>
                        <w:drawing>
                          <wp:inline distT="0" distB="0" distL="0" distR="0" wp14:anchorId="3DCA3BD2" wp14:editId="0D011875">
                            <wp:extent cx="6553200" cy="4785360"/>
                            <wp:effectExtent l="0" t="0" r="0" b="0"/>
                            <wp:docPr id="187" name="Picture" descr="logo."/>
                            <wp:cNvGraphicFramePr/>
                            <a:graphic xmlns:a="http://schemas.openxmlformats.org/drawingml/2006/main">
                              <a:graphicData uri="http://schemas.openxmlformats.org/drawingml/2006/picture">
                                <pic:pic xmlns:pic="http://schemas.openxmlformats.org/drawingml/2006/picture">
                                  <pic:nvPicPr>
                                    <pic:cNvPr id="187" name="Picture" descr="logo."/>
                                    <pic:cNvPicPr preferRelativeResize="0"/>
                                  </pic:nvPicPr>
                                  <pic:blipFill>
                                    <a:blip r:embed="rId247"/>
                                    <a:stretch>
                                      <a:fillRect/>
                                    </a:stretch>
                                  </pic:blipFill>
                                  <pic:spPr>
                                    <a:xfrm>
                                      <a:off x="0" y="0"/>
                                      <a:ext cx="6553200" cy="478536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36224" behindDoc="1" locked="0" layoutInCell="1" allowOverlap="1" wp14:anchorId="4FFCD6A9" wp14:editId="31C3F952">
                <wp:simplePos x="0" y="0"/>
                <wp:positionH relativeFrom="page">
                  <wp:posOffset>847090</wp:posOffset>
                </wp:positionH>
                <wp:positionV relativeFrom="page">
                  <wp:posOffset>5094605</wp:posOffset>
                </wp:positionV>
                <wp:extent cx="4511040" cy="566420"/>
                <wp:effectExtent l="0" t="0" r="0" b="0"/>
                <wp:wrapSquare wrapText="bothSides"/>
                <wp:docPr id="50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174B8"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7E87A941" w14:textId="77777777" w:rsidR="00490F33" w:rsidRDefault="00490F33">
                            <w:pPr>
                              <w:spacing w:line="448" w:lineRule="exact"/>
                              <w:textAlignment w:val="baseline"/>
                              <w:rPr>
                                <w:rFonts w:ascii="Tahoma" w:eastAsia="Tahoma" w:hAnsi="Tahoma"/>
                                <w:color w:val="BF5B1F"/>
                                <w:spacing w:val="13"/>
                                <w:w w:val="95"/>
                                <w:sz w:val="38"/>
                              </w:rPr>
                            </w:pPr>
                            <w:r>
                              <w:rPr>
                                <w:rFonts w:ascii="Tahoma" w:eastAsia="Tahoma" w:hAnsi="Tahoma"/>
                                <w:color w:val="BF5B1F"/>
                                <w:spacing w:val="13"/>
                                <w:w w:val="95"/>
                                <w:sz w:val="38"/>
                              </w:rPr>
                              <w:t>MICRO-CREDENTIALS IN NEW ZEALAND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CD6A9" id="Text Box 223" o:spid="_x0000_s1306" type="#_x0000_t202" style="position:absolute;left:0;text-align:left;margin-left:66.7pt;margin-top:401.15pt;width:355.2pt;height:44.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Bs8AEAAMMDAAAOAAAAZHJzL2Uyb0RvYy54bWysU8Fu2zAMvQ/YPwi6L3a8JCiMOEXXosOA&#10;bivQ7gMYWY6F2aJGKbGzrx8lJ2m33YZdBEqknt57pNbXY9+JgyZv0FZyPsul0FZhbeyukt+e799d&#10;SeED2Bo6tLqSR+3l9ebtm/XgSl1gi12tSTCI9eXgKtmG4Mos86rVPfgZOm052SD1EHhLu6wmGBi9&#10;77Iiz1fZgFQ7QqW959O7KSk3Cb9ptApfm8brILpKMreQVkrrNq7ZZg3ljsC1Rp1owD+w6MFYfvQC&#10;dQcBxJ7MX1C9UYQemzBT2GfYNEbppIHVzPM/1Dy14HTSwuZ4d7HJ/z9Y9eXwSMLUlVzmhRQWem7S&#10;sx6D+ICjKIr30aHB+ZILnxyXhpET3Omk1rsHVN+9sHjbgt3pGyIcWg01M5zHm9mrqxOOjyDb4TPW&#10;/BDsAyagsaE+2seGCEbnTh0v3YlkFB8ulvN5vuCU4txytVoUqX0ZlOfbjnz4qLEXMagkcfcTOhwe&#10;fIhsoDyXxMcs3puuSxPQ2d8OuDCeJPaR8EQ9jNsxWVVcpZejti3WRxZEOE0W/wQOWqSfUgw8VZX0&#10;P/ZAWoruk2VT4gieAzoH23MAVvHVSgYppvA2TKO6d2R2LSNPtlu8YeMakzS9sDgR5klJUk9THUfx&#10;9T5Vvfy9zS8AAAD//wMAUEsDBBQABgAIAAAAIQCbj3kf4AAAAAsBAAAPAAAAZHJzL2Rvd25yZXYu&#10;eG1sTI89T8MwEIZ3pP4H6yqxUbtNqdIQp6oQTEiINAyMTuwmVuNziN02/HuOqWz36h69H/lucj27&#10;mDFYjxKWCwHMYOO1xVbCZ/X6kAILUaFWvUcj4ccE2BWzu1xl2l+xNJdDbBmZYMiUhC7GIeM8NJ1x&#10;Kiz8YJB+Rz86FUmOLdejupK56/lKiA13yiIldGowz51pToezk7D/wvLFfr/XH+WxtFW1Ffi2OUl5&#10;P5/2T8CimeINhr/6VB0K6lT7M+rAetJJsiZUQipWCTAi0nVCY2o6tstH4EXO/28ofgEAAP//AwBQ&#10;SwECLQAUAAYACAAAACEAtoM4kv4AAADhAQAAEwAAAAAAAAAAAAAAAAAAAAAAW0NvbnRlbnRfVHlw&#10;ZXNdLnhtbFBLAQItABQABgAIAAAAIQA4/SH/1gAAAJQBAAALAAAAAAAAAAAAAAAAAC8BAABfcmVs&#10;cy8ucmVsc1BLAQItABQABgAIAAAAIQC9SMBs8AEAAMMDAAAOAAAAAAAAAAAAAAAAAC4CAABkcnMv&#10;ZTJvRG9jLnhtbFBLAQItABQABgAIAAAAIQCbj3kf4AAAAAsBAAAPAAAAAAAAAAAAAAAAAEoEAABk&#10;cnMvZG93bnJldi54bWxQSwUGAAAAAAQABADzAAAAVwUAAAAA&#10;" filled="f" stroked="f">
                <v:textbox inset="0,0,0,0">
                  <w:txbxContent>
                    <w:p w14:paraId="602174B8"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7E87A941" w14:textId="77777777" w:rsidR="00490F33" w:rsidRDefault="00490F33">
                      <w:pPr>
                        <w:spacing w:line="448" w:lineRule="exact"/>
                        <w:textAlignment w:val="baseline"/>
                        <w:rPr>
                          <w:rFonts w:ascii="Tahoma" w:eastAsia="Tahoma" w:hAnsi="Tahoma"/>
                          <w:color w:val="BF5B1F"/>
                          <w:spacing w:val="13"/>
                          <w:w w:val="95"/>
                          <w:sz w:val="38"/>
                        </w:rPr>
                      </w:pPr>
                      <w:r>
                        <w:rPr>
                          <w:rFonts w:ascii="Tahoma" w:eastAsia="Tahoma" w:hAnsi="Tahoma"/>
                          <w:color w:val="BF5B1F"/>
                          <w:spacing w:val="13"/>
                          <w:w w:val="95"/>
                          <w:sz w:val="38"/>
                        </w:rPr>
                        <w:t>MICRO-CREDENTIALS IN NEW ZEALAND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37248" behindDoc="1" locked="0" layoutInCell="1" allowOverlap="1" wp14:anchorId="46409628" wp14:editId="36CD4E6E">
                <wp:simplePos x="0" y="0"/>
                <wp:positionH relativeFrom="page">
                  <wp:posOffset>905510</wp:posOffset>
                </wp:positionH>
                <wp:positionV relativeFrom="page">
                  <wp:posOffset>5835015</wp:posOffset>
                </wp:positionV>
                <wp:extent cx="5486400" cy="291465"/>
                <wp:effectExtent l="0" t="0" r="0" b="0"/>
                <wp:wrapSquare wrapText="bothSides"/>
                <wp:docPr id="50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F0590" w14:textId="77777777" w:rsidR="00490F33" w:rsidRDefault="00490F33">
                            <w:pPr>
                              <w:spacing w:line="229" w:lineRule="exact"/>
                              <w:jc w:val="both"/>
                              <w:textAlignment w:val="baseline"/>
                              <w:rPr>
                                <w:rFonts w:ascii="Verdana" w:eastAsia="Verdana" w:hAnsi="Verdana"/>
                                <w:color w:val="414042"/>
                                <w:sz w:val="17"/>
                              </w:rPr>
                            </w:pPr>
                            <w:r>
                              <w:rPr>
                                <w:rFonts w:ascii="Verdana" w:eastAsia="Verdana" w:hAnsi="Verdana"/>
                                <w:color w:val="414042"/>
                                <w:sz w:val="17"/>
                              </w:rPr>
                              <w:t xml:space="preserve">In 2017–18, the New Zealand Qualifications Authority (NZQA) piloted the use of micro-credentials with </w:t>
                            </w:r>
                            <w:r>
                              <w:rPr>
                                <w:rFonts w:ascii="Tahoma" w:eastAsia="Tahoma" w:hAnsi="Tahoma"/>
                                <w:color w:val="414042"/>
                                <w:sz w:val="18"/>
                              </w:rPr>
                              <w:t>three organisations for students at the secondary and tertiary education level, including: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9628" id="Text Box 222" o:spid="_x0000_s1307" type="#_x0000_t202" style="position:absolute;left:0;text-align:left;margin-left:71.3pt;margin-top:459.45pt;width:6in;height:22.9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x8AEAAMMDAAAOAAAAZHJzL2Uyb0RvYy54bWysU8Fu2zAMvQ/YPwi6L3aMJMiMOkXXosOA&#10;bivQ7gMYWY6F2aJGKbGzrx8lJ2m33YZdBEqknt57pK6ux74TB03eoK3kfJZLoa3C2thdJb89379b&#10;S+ED2Bo6tLqSR+3l9ebtm6vBlbrAFrtak2AQ68vBVbINwZVZ5lWre/AzdNpyskHqIfCWdllNMDB6&#10;32VFnq+yAal2hEp7z6d3U1JuEn7TaBW+No3XQXSVZG4hrZTWbVyzzRWUOwLXGnWiAf/Aogdj+dEL&#10;1B0EEHsyf0H1RhF6bMJMYZ9h0xilkwZWM8//UPPUgtNJC5vj3cUm//9g1ZfDIwlTV3KZz6Ww0HOT&#10;nvUYxAccRVEU0aHB+ZILnxyXhpET3Omk1rsHVN+9sHjbgt3pGyIcWg01M5zHm9mrqxOOjyDb4TPW&#10;/BDsAyagsaE+2seGCEbnTh0v3YlkFB8uF+vVIueU4lzxfr5YLdMTUJ5vO/Lho8ZexKCSxN1P6HB4&#10;8CGygfJcEh+zeG+6Lk1AZ3874MJ4kthHwhP1MG7HZFWxTuKiti3WRxZEOE0W/wQOWqSfUgw8VZX0&#10;P/ZAWoruk2VT4gieAzoH23MAVvHVSgYppvA2TKO6d2R2LSNPtlu8YeMakzS9sDgR5klJUk9THUfx&#10;9T5Vvfy9zS8AAAD//wMAUEsDBBQABgAIAAAAIQCXMwEJ3wAAAAwBAAAPAAAAZHJzL2Rvd25yZXYu&#10;eG1sTI/BboMwEETvlfIP1kbqrTGJIgQUE0VVe6pUlZBDjwZvAAWvKXYS+vfdnNrjzI5m3ua72Q7i&#10;ipPvHSlYryIQSI0zPbUKjtXbUwLCB01GD45QwQ962BWLh1xnxt2oxOshtIJLyGdaQRfCmEnpmw6t&#10;9is3IvHt5CarA8uplWbSNy63g9xEUSyt7okXOj3iS4fN+XCxCvZfVL723x/1Z3kq+6pKI3qPz0o9&#10;Luf9M4iAc/gLwx2f0aFgptpdyHgxsN5uYo4qSNdJCuKe4D22arbibQKyyOX/J4pfAAAA//8DAFBL&#10;AQItABQABgAIAAAAIQC2gziS/gAAAOEBAAATAAAAAAAAAAAAAAAAAAAAAABbQ29udGVudF9UeXBl&#10;c10ueG1sUEsBAi0AFAAGAAgAAAAhADj9If/WAAAAlAEAAAsAAAAAAAAAAAAAAAAALwEAAF9yZWxz&#10;Ly5yZWxzUEsBAi0AFAAGAAgAAAAhAFD4YXHwAQAAwwMAAA4AAAAAAAAAAAAAAAAALgIAAGRycy9l&#10;Mm9Eb2MueG1sUEsBAi0AFAAGAAgAAAAhAJczAQnfAAAADAEAAA8AAAAAAAAAAAAAAAAASgQAAGRy&#10;cy9kb3ducmV2LnhtbFBLBQYAAAAABAAEAPMAAABWBQAAAAA=&#10;" filled="f" stroked="f">
                <v:textbox inset="0,0,0,0">
                  <w:txbxContent>
                    <w:p w14:paraId="6BDF0590" w14:textId="77777777" w:rsidR="00490F33" w:rsidRDefault="00490F33">
                      <w:pPr>
                        <w:spacing w:line="229" w:lineRule="exact"/>
                        <w:jc w:val="both"/>
                        <w:textAlignment w:val="baseline"/>
                        <w:rPr>
                          <w:rFonts w:ascii="Verdana" w:eastAsia="Verdana" w:hAnsi="Verdana"/>
                          <w:color w:val="414042"/>
                          <w:sz w:val="17"/>
                        </w:rPr>
                      </w:pPr>
                      <w:r>
                        <w:rPr>
                          <w:rFonts w:ascii="Verdana" w:eastAsia="Verdana" w:hAnsi="Verdana"/>
                          <w:color w:val="414042"/>
                          <w:sz w:val="17"/>
                        </w:rPr>
                        <w:t xml:space="preserve">In 2017–18, the New Zealand Qualifications Authority (NZQA) piloted the use of micro-credentials with </w:t>
                      </w:r>
                      <w:r>
                        <w:rPr>
                          <w:rFonts w:ascii="Tahoma" w:eastAsia="Tahoma" w:hAnsi="Tahoma"/>
                          <w:color w:val="414042"/>
                          <w:sz w:val="18"/>
                        </w:rPr>
                        <w:t>three organisations for students at the secondary and tertiary education level, including: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38272" behindDoc="1" locked="0" layoutInCell="1" allowOverlap="1" wp14:anchorId="7D4699E4" wp14:editId="188AA80E">
                <wp:simplePos x="0" y="0"/>
                <wp:positionH relativeFrom="page">
                  <wp:posOffset>905510</wp:posOffset>
                </wp:positionH>
                <wp:positionV relativeFrom="page">
                  <wp:posOffset>8612505</wp:posOffset>
                </wp:positionV>
                <wp:extent cx="3757930" cy="336550"/>
                <wp:effectExtent l="0" t="0" r="0" b="0"/>
                <wp:wrapSquare wrapText="bothSides"/>
                <wp:docPr id="50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89B88" w14:textId="77777777" w:rsidR="00490F33" w:rsidRDefault="00490F33">
                            <w:pPr>
                              <w:spacing w:line="170" w:lineRule="exact"/>
                              <w:textAlignment w:val="baseline"/>
                              <w:rPr>
                                <w:rFonts w:ascii="Verdana" w:eastAsia="Verdana" w:hAnsi="Verdana"/>
                                <w:color w:val="000000"/>
                                <w:sz w:val="13"/>
                              </w:rPr>
                            </w:pPr>
                            <w:r>
                              <w:rPr>
                                <w:rFonts w:ascii="Verdana" w:eastAsia="Verdana" w:hAnsi="Verdana"/>
                                <w:color w:val="000000"/>
                                <w:sz w:val="13"/>
                              </w:rPr>
                              <w:t>Source: New Zealand Qualifications Authority, ‘Micro-credential pilots’,</w:t>
                            </w:r>
                          </w:p>
                          <w:p w14:paraId="1EB3847A" w14:textId="77777777" w:rsidR="00490F33" w:rsidRDefault="00490F33">
                            <w:pPr>
                              <w:spacing w:before="8" w:line="169" w:lineRule="exact"/>
                              <w:textAlignment w:val="baseline"/>
                              <w:rPr>
                                <w:rFonts w:ascii="Tahoma" w:eastAsia="Tahoma" w:hAnsi="Tahoma"/>
                                <w:color w:val="000000"/>
                                <w:spacing w:val="6"/>
                                <w:sz w:val="13"/>
                              </w:rPr>
                            </w:pPr>
                            <w:r>
                              <w:rPr>
                                <w:rFonts w:ascii="Tahoma" w:eastAsia="Tahoma" w:hAnsi="Tahoma"/>
                                <w:color w:val="000000"/>
                                <w:spacing w:val="6"/>
                                <w:sz w:val="13"/>
                              </w:rPr>
                              <w:t>webpage (accessed 21 May 2020),</w:t>
                            </w:r>
                          </w:p>
                          <w:p w14:paraId="67EE0E84" w14:textId="77777777" w:rsidR="00490F33" w:rsidRDefault="00837BFF">
                            <w:pPr>
                              <w:spacing w:before="13" w:line="160" w:lineRule="exact"/>
                              <w:textAlignment w:val="baseline"/>
                              <w:rPr>
                                <w:rFonts w:ascii="Tahoma" w:eastAsia="Tahoma" w:hAnsi="Tahoma"/>
                                <w:color w:val="000000"/>
                                <w:spacing w:val="6"/>
                                <w:sz w:val="13"/>
                              </w:rPr>
                            </w:pPr>
                            <w:hyperlink r:id="rId248">
                              <w:r w:rsidR="00490F33">
                                <w:rPr>
                                  <w:rFonts w:ascii="Tahoma" w:eastAsia="Tahoma" w:hAnsi="Tahoma"/>
                                  <w:color w:val="0000FF"/>
                                  <w:spacing w:val="6"/>
                                  <w:sz w:val="13"/>
                                  <w:u w:val="single"/>
                                </w:rPr>
                                <w:t>https://www.nzqa.govt.nz/about-us/future-state/quality-assurance/micro-credential-pilots.</w:t>
                              </w:r>
                            </w:hyperlink>
                            <w:r w:rsidR="00490F33">
                              <w:rPr>
                                <w:rFonts w:ascii="Tahoma" w:eastAsia="Tahoma" w:hAnsi="Tahoma"/>
                                <w:color w:val="000000"/>
                                <w:spacing w:val="6"/>
                                <w:sz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699E4" id="Text Box 221" o:spid="_x0000_s1308" type="#_x0000_t202" style="position:absolute;left:0;text-align:left;margin-left:71.3pt;margin-top:678.15pt;width:295.9pt;height:26.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q8AEAAMMDAAAOAAAAZHJzL2Uyb0RvYy54bWysU8tu2zAQvBfoPxC815JlOEkFy0GaIEWB&#10;9AEk/QCKIi2iEpdd0pbcr++Ssty0vQW5EEvucjgzu9xcj33HDgq9AVvx5SLnTFkJjbG7in9/un93&#10;xZkPwjaiA6sqflSeX2/fvtkMrlQFtNA1ChmBWF8OruJtCK7MMi9b1Qu/AKcsJTVgLwJtcZc1KAZC&#10;77usyPOLbABsHIJU3tPp3ZTk24SvtZLhq9ZeBdZVnLiFtGJa67hm240odyhca+SJhngBi14YS4+e&#10;oe5EEGyP5j+o3kgEDzosJPQZaG2kShpIzTL/R81jK5xKWsgc7842+deDlV8O35CZpuLrnPyxoqcm&#10;PakxsA8wsqJYRocG50sqfHRUGkZKUKeTWu8eQP7wzMJtK+xO3SDC0CrREMN0M3t2dcLxEaQePkND&#10;D4l9gAQ0auyjfWQII3Ricjx3J5KRdLi6XF++X1FKUm61ulivU/syUc63HfrwUUHPYlBxpO4ndHF4&#10;8IF0UOlcEh+zcG+6Lk1AZ/86oMJ4kthHwhP1MNZjsqq4KmZbamiOJAhhmiz6CRS0gL84G2iqKu5/&#10;7gUqzrpPlkyJIzgHOAf1HAgr6WrFA2dTeBumUd07NLuWkCfbLdyQcdokTdHhicWJME1Kknqa6jiK&#10;z/ep6s/f2/4GAAD//wMAUEsDBBQABgAIAAAAIQDNn4b+4QAAAA0BAAAPAAAAZHJzL2Rvd25yZXYu&#10;eG1sTI/BTsMwEETvSPyDtUjcqE0TAg1xqgrBCQk1DQeOTuwmVuN1iN02/D3bE9x2NE+zM8V6dgM7&#10;mSlYjxLuFwKYwdZri52Ez/rt7glYiAq1GjwaCT8mwLq8vipUrv0ZK3PaxY5RCIZcSehjHHPOQ9sb&#10;p8LCjwbJ2/vJqUhy6rie1JnC3cCXQmTcKYv0oVejeelNe9gdnYTNF1av9vuj2Vb7ytb1SuB7dpDy&#10;9mbePAOLZo5/MFzqU3UoqVPjj6gDG0iny4xQOpKHLAFGyGOSpsCaiydWCfCy4P9XlL8AAAD//wMA&#10;UEsBAi0AFAAGAAgAAAAhALaDOJL+AAAA4QEAABMAAAAAAAAAAAAAAAAAAAAAAFtDb250ZW50X1R5&#10;cGVzXS54bWxQSwECLQAUAAYACAAAACEAOP0h/9YAAACUAQAACwAAAAAAAAAAAAAAAAAvAQAAX3Jl&#10;bHMvLnJlbHNQSwECLQAUAAYACAAAACEAV/7I6vABAADDAwAADgAAAAAAAAAAAAAAAAAuAgAAZHJz&#10;L2Uyb0RvYy54bWxQSwECLQAUAAYACAAAACEAzZ+G/uEAAAANAQAADwAAAAAAAAAAAAAAAABKBAAA&#10;ZHJzL2Rvd25yZXYueG1sUEsFBgAAAAAEAAQA8wAAAFgFAAAAAA==&#10;" filled="f" stroked="f">
                <v:textbox inset="0,0,0,0">
                  <w:txbxContent>
                    <w:p w14:paraId="28389B88" w14:textId="77777777" w:rsidR="00490F33" w:rsidRDefault="00490F33">
                      <w:pPr>
                        <w:spacing w:line="170" w:lineRule="exact"/>
                        <w:textAlignment w:val="baseline"/>
                        <w:rPr>
                          <w:rFonts w:ascii="Verdana" w:eastAsia="Verdana" w:hAnsi="Verdana"/>
                          <w:color w:val="000000"/>
                          <w:sz w:val="13"/>
                        </w:rPr>
                      </w:pPr>
                      <w:r>
                        <w:rPr>
                          <w:rFonts w:ascii="Verdana" w:eastAsia="Verdana" w:hAnsi="Verdana"/>
                          <w:color w:val="000000"/>
                          <w:sz w:val="13"/>
                        </w:rPr>
                        <w:t>Source: New Zealand Qualifications Authority, ‘Micro-credential pilots’,</w:t>
                      </w:r>
                    </w:p>
                    <w:p w14:paraId="1EB3847A" w14:textId="77777777" w:rsidR="00490F33" w:rsidRDefault="00490F33">
                      <w:pPr>
                        <w:spacing w:before="8" w:line="169" w:lineRule="exact"/>
                        <w:textAlignment w:val="baseline"/>
                        <w:rPr>
                          <w:rFonts w:ascii="Tahoma" w:eastAsia="Tahoma" w:hAnsi="Tahoma"/>
                          <w:color w:val="000000"/>
                          <w:spacing w:val="6"/>
                          <w:sz w:val="13"/>
                        </w:rPr>
                      </w:pPr>
                      <w:r>
                        <w:rPr>
                          <w:rFonts w:ascii="Tahoma" w:eastAsia="Tahoma" w:hAnsi="Tahoma"/>
                          <w:color w:val="000000"/>
                          <w:spacing w:val="6"/>
                          <w:sz w:val="13"/>
                        </w:rPr>
                        <w:t>webpage (accessed 21 May 2020),</w:t>
                      </w:r>
                    </w:p>
                    <w:p w14:paraId="67EE0E84" w14:textId="77777777" w:rsidR="00490F33" w:rsidRDefault="00837BFF">
                      <w:pPr>
                        <w:spacing w:before="13" w:line="160" w:lineRule="exact"/>
                        <w:textAlignment w:val="baseline"/>
                        <w:rPr>
                          <w:rFonts w:ascii="Tahoma" w:eastAsia="Tahoma" w:hAnsi="Tahoma"/>
                          <w:color w:val="000000"/>
                          <w:spacing w:val="6"/>
                          <w:sz w:val="13"/>
                        </w:rPr>
                      </w:pPr>
                      <w:hyperlink r:id="rId249">
                        <w:r w:rsidR="00490F33">
                          <w:rPr>
                            <w:rFonts w:ascii="Tahoma" w:eastAsia="Tahoma" w:hAnsi="Tahoma"/>
                            <w:color w:val="0000FF"/>
                            <w:spacing w:val="6"/>
                            <w:sz w:val="13"/>
                            <w:u w:val="single"/>
                          </w:rPr>
                          <w:t>https://www.nzqa.govt.nz/about-us/future-state/quality-assurance/micro-credential-pilots.</w:t>
                        </w:r>
                      </w:hyperlink>
                      <w:r w:rsidR="00490F33">
                        <w:rPr>
                          <w:rFonts w:ascii="Tahoma" w:eastAsia="Tahoma" w:hAnsi="Tahoma"/>
                          <w:color w:val="000000"/>
                          <w:spacing w:val="6"/>
                          <w:sz w:val="13"/>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39296" behindDoc="1" locked="0" layoutInCell="1" allowOverlap="1" wp14:anchorId="1A5DEE0A" wp14:editId="2081BE04">
                <wp:simplePos x="0" y="0"/>
                <wp:positionH relativeFrom="page">
                  <wp:posOffset>908050</wp:posOffset>
                </wp:positionH>
                <wp:positionV relativeFrom="page">
                  <wp:posOffset>6807835</wp:posOffset>
                </wp:positionV>
                <wp:extent cx="5355590" cy="447675"/>
                <wp:effectExtent l="0" t="0" r="0" b="0"/>
                <wp:wrapSquare wrapText="bothSides"/>
                <wp:docPr id="49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90738" w14:textId="77777777" w:rsidR="00490F33" w:rsidRDefault="00490F33">
                            <w:pPr>
                              <w:numPr>
                                <w:ilvl w:val="0"/>
                                <w:numId w:val="25"/>
                              </w:numPr>
                              <w:spacing w:line="232" w:lineRule="exact"/>
                              <w:ind w:left="216" w:hanging="216"/>
                              <w:textAlignment w:val="baseline"/>
                              <w:rPr>
                                <w:rFonts w:ascii="Tahoma" w:eastAsia="Tahoma" w:hAnsi="Tahoma"/>
                                <w:color w:val="414042"/>
                                <w:sz w:val="18"/>
                              </w:rPr>
                            </w:pPr>
                            <w:r>
                              <w:rPr>
                                <w:rFonts w:ascii="Tahoma" w:eastAsia="Tahoma" w:hAnsi="Tahoma"/>
                                <w:color w:val="414042"/>
                                <w:sz w:val="18"/>
                              </w:rPr>
                              <w:t xml:space="preserve">NZ secondary students creating a product and service and bringing it to market under the Young </w:t>
                            </w:r>
                            <w:r>
                              <w:rPr>
                                <w:rFonts w:ascii="Verdana" w:eastAsia="Verdana" w:hAnsi="Verdana"/>
                                <w:color w:val="414042"/>
                                <w:sz w:val="17"/>
                              </w:rPr>
                              <w:t xml:space="preserve">Enterprise Scheme (YES), which contributes to credits against students’ National Certificate of </w:t>
                            </w:r>
                            <w:r>
                              <w:rPr>
                                <w:rFonts w:ascii="Tahoma" w:eastAsia="Tahoma" w:hAnsi="Tahoma"/>
                                <w:color w:val="414042"/>
                                <w:sz w:val="18"/>
                              </w:rPr>
                              <w:t>Educational Achievement (NCEA).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DEE0A" id="Text Box 220" o:spid="_x0000_s1309" type="#_x0000_t202" style="position:absolute;left:0;text-align:left;margin-left:71.5pt;margin-top:536.05pt;width:421.7pt;height:35.2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TU8wEAAMMDAAAOAAAAZHJzL2Uyb0RvYy54bWysU9tu2zAMfR+wfxD0vjhJk7Yx4hRdiw4D&#10;ugvQ7gMYWY6F2aJGKbGzrx8lx2m3vQ17EWiROjznkF7f9G0jDpq8QVvI2WQqhbYKS2N3hfz2/PDu&#10;WgofwJbQoNWFPGovbzZv36w7l+s51tiUmgSDWJ93rpB1CC7PMq9q3YKfoNOWkxVSC4E/aZeVBB2j&#10;t002n04vsw6pdIRKe8+390NSbhJ+VWkVvlSV10E0hWRuIZ2Uzm08s80a8h2Bq4060YB/YNGCsdz0&#10;DHUPAcSezF9QrVGEHqswUdhmWFVG6aSB1cymf6h5qsHppIXN8e5sk/9/sOrz4SsJUxZysVpJYaHl&#10;IT3rPoj32Iv5PDnUOZ9z4ZPj0tBzgied1Hr3iOq7FxbvarA7fUuEXa2hZIaz6G326mmcic99BNl2&#10;n7DkRrAPmID6itpoHxsiGJ0ndTxPJ5JRfLm8WC6XK04pzi0WV5dXy9QC8vG1Ix8+aGxFDApJPP2E&#10;DodHHyIbyMeS2Mzig2matAGN/e2CC+NNYh8JD9RDv+2TVfPri9g5ytlieWRBhMNm8Z/AQY30U4qO&#10;t6qQ/sceSEvRfLRsSlzBMaAx2I4BWMVPCxmkGMK7MKzq3pHZ1Yw82G7xlo2rTNL0wuJEmDclST1t&#10;dVzF19+p6uXf2/wCAAD//wMAUEsDBBQABgAIAAAAIQAi5ftY4QAAAA0BAAAPAAAAZHJzL2Rvd25y&#10;ZXYueG1sTI/BTsMwEETvSPyDtUjcqJ0QhTbEqSoEJyREGg4cndhNrMbrELtt+HuWE9x2dkezb8rt&#10;4kZ2NnOwHiUkKwHMYOe1xV7CR/NytwYWokKtRo9GwrcJsK2ur0pVaH/B2pz3sWcUgqFQEoYYp4Lz&#10;0A3GqbDyk0G6HfzsVCQ591zP6kLhbuSpEDl3yiJ9GNRkngbTHfcnJ2H3ifWz/Xpr3+tDbZtmI/A1&#10;P0p5e7PsHoFFs8Q/M/ziEzpUxNT6E+rARtLZPXWJNIiHNAFGls06z4C1tEqyNAdelfx/i+oHAAD/&#10;/wMAUEsBAi0AFAAGAAgAAAAhALaDOJL+AAAA4QEAABMAAAAAAAAAAAAAAAAAAAAAAFtDb250ZW50&#10;X1R5cGVzXS54bWxQSwECLQAUAAYACAAAACEAOP0h/9YAAACUAQAACwAAAAAAAAAAAAAAAAAvAQAA&#10;X3JlbHMvLnJlbHNQSwECLQAUAAYACAAAACEAZAIU1PMBAADDAwAADgAAAAAAAAAAAAAAAAAuAgAA&#10;ZHJzL2Uyb0RvYy54bWxQSwECLQAUAAYACAAAACEAIuX7WOEAAAANAQAADwAAAAAAAAAAAAAAAABN&#10;BAAAZHJzL2Rvd25yZXYueG1sUEsFBgAAAAAEAAQA8wAAAFsFAAAAAA==&#10;" filled="f" stroked="f">
                <v:textbox inset="0,0,0,0">
                  <w:txbxContent>
                    <w:p w14:paraId="1BA90738" w14:textId="77777777" w:rsidR="00490F33" w:rsidRDefault="00490F33">
                      <w:pPr>
                        <w:numPr>
                          <w:ilvl w:val="0"/>
                          <w:numId w:val="25"/>
                        </w:numPr>
                        <w:spacing w:line="232" w:lineRule="exact"/>
                        <w:ind w:left="216" w:hanging="216"/>
                        <w:textAlignment w:val="baseline"/>
                        <w:rPr>
                          <w:rFonts w:ascii="Tahoma" w:eastAsia="Tahoma" w:hAnsi="Tahoma"/>
                          <w:color w:val="414042"/>
                          <w:sz w:val="18"/>
                        </w:rPr>
                      </w:pPr>
                      <w:r>
                        <w:rPr>
                          <w:rFonts w:ascii="Tahoma" w:eastAsia="Tahoma" w:hAnsi="Tahoma"/>
                          <w:color w:val="414042"/>
                          <w:sz w:val="18"/>
                        </w:rPr>
                        <w:t xml:space="preserve">NZ secondary students creating a product and service and bringing it to market under the Young </w:t>
                      </w:r>
                      <w:r>
                        <w:rPr>
                          <w:rFonts w:ascii="Verdana" w:eastAsia="Verdana" w:hAnsi="Verdana"/>
                          <w:color w:val="414042"/>
                          <w:sz w:val="17"/>
                        </w:rPr>
                        <w:t xml:space="preserve">Enterprise Scheme (YES), which contributes to credits against students’ National Certificate of </w:t>
                      </w:r>
                      <w:r>
                        <w:rPr>
                          <w:rFonts w:ascii="Tahoma" w:eastAsia="Tahoma" w:hAnsi="Tahoma"/>
                          <w:color w:val="414042"/>
                          <w:sz w:val="18"/>
                        </w:rPr>
                        <w:t>Educational Achievement (NCEA).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0320" behindDoc="1" locked="0" layoutInCell="1" allowOverlap="1" wp14:anchorId="2C6364C3" wp14:editId="7C1D675A">
                <wp:simplePos x="0" y="0"/>
                <wp:positionH relativeFrom="page">
                  <wp:posOffset>908050</wp:posOffset>
                </wp:positionH>
                <wp:positionV relativeFrom="page">
                  <wp:posOffset>7374890</wp:posOffset>
                </wp:positionV>
                <wp:extent cx="5702935" cy="447675"/>
                <wp:effectExtent l="0" t="0" r="0" b="0"/>
                <wp:wrapSquare wrapText="bothSides"/>
                <wp:docPr id="498"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1588" w14:textId="77777777" w:rsidR="00490F33" w:rsidRDefault="00490F33">
                            <w:pPr>
                              <w:numPr>
                                <w:ilvl w:val="0"/>
                                <w:numId w:val="25"/>
                              </w:numPr>
                              <w:spacing w:line="232" w:lineRule="exact"/>
                              <w:ind w:left="216" w:hanging="216"/>
                              <w:jc w:val="both"/>
                              <w:textAlignment w:val="baseline"/>
                              <w:rPr>
                                <w:rFonts w:ascii="Tahoma" w:eastAsia="Tahoma" w:hAnsi="Tahoma"/>
                                <w:color w:val="414042"/>
                                <w:sz w:val="18"/>
                              </w:rPr>
                            </w:pPr>
                            <w:r>
                              <w:rPr>
                                <w:rFonts w:ascii="Tahoma" w:eastAsia="Tahoma" w:hAnsi="Tahoma"/>
                                <w:color w:val="414042"/>
                                <w:sz w:val="18"/>
                              </w:rPr>
                              <w:t>Edubits, a micro-credential service at Otago Polytechnic. More than 90 ‘Edubits’ have been tailor-made for local employers, including the Southern District Health Board, Department of Corrections, and New Zealand Defence Force.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64C3" id="Text Box 219" o:spid="_x0000_s1310" type="#_x0000_t202" style="position:absolute;left:0;text-align:left;margin-left:71.5pt;margin-top:580.7pt;width:449.05pt;height:35.2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A28wEAAMMDAAAOAAAAZHJzL2Uyb0RvYy54bWysU9tu2zAMfR+wfxD0vjjJkqYx4hRdiw4D&#10;ugvQ7gMYWY6F2aJGKbGzrx8lx1m3vQ17ESiSOjw8pDY3fduIoyZv0BZyNplKoa3C0th9Ib8+P7y5&#10;lsIHsCU0aHUhT9rLm+3rV5vO5XqONTalJsEg1uedK2QdgsuzzKtat+An6LTlYIXUQuAr7bOSoGP0&#10;tsnm0+lV1iGVjlBp79l7PwTlNuFXlVbhc1V5HURTSOYW0knp3MUz224g3xO42qgzDfgHFi0Yy0Uv&#10;UPcQQBzI/AXVGkXosQoThW2GVWWUTj1wN7PpH9081eB06oXF8e4ik/9/sOrT8QsJUxZyseZRWWh5&#10;SM+6D+Id9mI+W0eFOudzTnxynBp6DvCkU7fePaL65oXFuxrsXt8SYVdrKJnhLL7MXjwdcHwE2XUf&#10;seRCcAiYgPqK2igfCyIYnSd1ukwnklHsXK6m8/XbpRSKY4vF6mq1TCUgH1878uG9xlZEo5DE00/o&#10;cHz0IbKBfEyJxSw+mKZJG9DY3xycGD2JfSQ8UA/9rk9Sza8Xoyw7LE/cEOGwWfwT2KiRfkjR8VYV&#10;0n8/AGkpmg+WRYkrOBo0GrvRAKv4aSGDFIN5F4ZVPTgy+5qRB9kt3rJwlUk9RYUHFmfCvCmp1fNW&#10;x1V8eU9Zv/7e9icAAAD//wMAUEsDBBQABgAIAAAAIQA+U5Ot4QAAAA4BAAAPAAAAZHJzL2Rvd25y&#10;ZXYueG1sTI/BTsMwEETvSPyDtUjcqO02imiIU1UITkioaThwdGI3iRqvQ+y24e/ZnsptRjuafZNv&#10;Zjews51C71GBXAhgFhtvemwVfFXvT8/AQtRo9ODRKvi1ATbF/V2uM+MvWNrzPraMSjBkWkEX45hx&#10;HprOOh0WfrRIt4OfnI5kp5abSV+o3A18KUTKne6RPnR6tK+dbY77k1Ow/cbyrf/5rHfloeyrai3w&#10;Iz0q9fgwb1+ARTvHWxiu+IQOBTHV/oQmsIF8sqItkYRMZQLsGhGJlMBqUsuVXAMvcv5/RvEHAAD/&#10;/wMAUEsBAi0AFAAGAAgAAAAhALaDOJL+AAAA4QEAABMAAAAAAAAAAAAAAAAAAAAAAFtDb250ZW50&#10;X1R5cGVzXS54bWxQSwECLQAUAAYACAAAACEAOP0h/9YAAACUAQAACwAAAAAAAAAAAAAAAAAvAQAA&#10;X3JlbHMvLnJlbHNQSwECLQAUAAYACAAAACEAbKygNvMBAADDAwAADgAAAAAAAAAAAAAAAAAuAgAA&#10;ZHJzL2Uyb0RvYy54bWxQSwECLQAUAAYACAAAACEAPlOTreEAAAAOAQAADwAAAAAAAAAAAAAAAABN&#10;BAAAZHJzL2Rvd25yZXYueG1sUEsFBgAAAAAEAAQA8wAAAFsFAAAAAA==&#10;" filled="f" stroked="f">
                <v:textbox inset="0,0,0,0">
                  <w:txbxContent>
                    <w:p w14:paraId="52291588" w14:textId="77777777" w:rsidR="00490F33" w:rsidRDefault="00490F33">
                      <w:pPr>
                        <w:numPr>
                          <w:ilvl w:val="0"/>
                          <w:numId w:val="25"/>
                        </w:numPr>
                        <w:spacing w:line="232" w:lineRule="exact"/>
                        <w:ind w:left="216" w:hanging="216"/>
                        <w:jc w:val="both"/>
                        <w:textAlignment w:val="baseline"/>
                        <w:rPr>
                          <w:rFonts w:ascii="Tahoma" w:eastAsia="Tahoma" w:hAnsi="Tahoma"/>
                          <w:color w:val="414042"/>
                          <w:sz w:val="18"/>
                        </w:rPr>
                      </w:pPr>
                      <w:r>
                        <w:rPr>
                          <w:rFonts w:ascii="Tahoma" w:eastAsia="Tahoma" w:hAnsi="Tahoma"/>
                          <w:color w:val="414042"/>
                          <w:sz w:val="18"/>
                        </w:rPr>
                        <w:t>Edubits, a micro-credential service at Otago Polytechnic. More than 90 ‘Edubits’ have been tailor-made for local employers, including the Southern District Health Board, Department of Corrections, and New Zealand Defence Force.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1344" behindDoc="1" locked="0" layoutInCell="1" allowOverlap="1" wp14:anchorId="0F12D1B9" wp14:editId="60045A95">
                <wp:simplePos x="0" y="0"/>
                <wp:positionH relativeFrom="page">
                  <wp:posOffset>908050</wp:posOffset>
                </wp:positionH>
                <wp:positionV relativeFrom="page">
                  <wp:posOffset>7938770</wp:posOffset>
                </wp:positionV>
                <wp:extent cx="4471670" cy="449580"/>
                <wp:effectExtent l="0" t="0" r="0" b="0"/>
                <wp:wrapSquare wrapText="bothSides"/>
                <wp:docPr id="49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27E" w14:textId="77777777" w:rsidR="00490F33" w:rsidRDefault="00490F33">
                            <w:pPr>
                              <w:spacing w:line="234" w:lineRule="exact"/>
                              <w:textAlignment w:val="baseline"/>
                              <w:rPr>
                                <w:rFonts w:ascii="Tahoma" w:eastAsia="Tahoma" w:hAnsi="Tahoma"/>
                                <w:color w:val="414042"/>
                                <w:sz w:val="18"/>
                              </w:rPr>
                            </w:pPr>
                            <w:r>
                              <w:rPr>
                                <w:rFonts w:ascii="Tahoma" w:eastAsia="Tahoma" w:hAnsi="Tahoma"/>
                                <w:color w:val="414042"/>
                                <w:sz w:val="18"/>
                              </w:rPr>
                              <w:t>Since the conclusion of the pilots and a further round of consultations in mid-2018, NZQA has been developing a full micro-credential system, so that employers and learners can access the skills they need throughout their lifetime.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2D1B9" id="Text Box 218" o:spid="_x0000_s1311" type="#_x0000_t202" style="position:absolute;left:0;text-align:left;margin-left:71.5pt;margin-top:625.1pt;width:352.1pt;height:35.4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P3u8gEAAMMDAAAOAAAAZHJzL2Uyb0RvYy54bWysU9tu2zAMfR+wfxD0vjgJ0iY14hRdiw4D&#10;unVAuw9gZDkWZosapcTOvn6UHGfd9lb0RaB4OTo8pNbXfduIgyZv0BZyNplKoa3C0thdIb8/339Y&#10;SeED2BIatLqQR+3l9eb9u3Xncj3HGptSk2AQ6/POFbIOweVZ5lWtW/ATdNpysEJqIfCVdllJ0DF6&#10;22Tz6fQy65BKR6i09+y9G4Jyk/CrSqvwWFVeB9EUkrmFdFI6t/HMNmvIdwSuNupEA17BogVj+dEz&#10;1B0EEHsy/0G1RhF6rMJEYZthVRmlUw/czWz6TzdPNTidemFxvDvL5N8OVn09fCNhykIurpZSWGh5&#10;SM+6D+Ij9mI+W0WFOudzTnxynBp6DvCkU7fePaD64YXF2xrsTt8QYVdrKJnhLFZmL0oHHB9Btt0X&#10;LPkh2AdMQH1FbZSPBRGMzpM6nqcTySh2LhbL2eWSQ4pji8XVxSqNL4N8rHbkwyeNrYhGIYmnn9Dh&#10;8OBDZAP5mBIfs3hvmiZtQGP/cnBi9CT2kfBAPfTbPkk1X12MsmyxPHJDhMNm8U9go0b6JUXHW1VI&#10;/3MPpKVoPlsWJa7gaNBobEcDrOLSQgYpBvM2DKu6d2R2NSMPslu8YeEqk3qKCg8sToR5U1Krp62O&#10;q/jynrL+/L3NbwAAAP//AwBQSwMEFAAGAAgAAAAhALOuxPzgAAAADQEAAA8AAABkcnMvZG93bnJl&#10;di54bWxMT0FOwzAQvCPxB2uRuFG7aSklxKkqBCck1DQcODrxNokar0PstuH3LCe4zeyMZmeyzeR6&#10;ccYxdJ40zGcKBFLtbUeNho/y9W4NIkRD1vSeUMM3Btjk11eZSa2/UIHnfWwEh1BIjYY2xiGVMtQt&#10;OhNmfkBi7eBHZyLTsZF2NBcOd71MlFpJZzriD60Z8LnF+rg/OQ3bTypeuq/3alcciq4sHxW9rY5a&#10;395M2ycQEaf4Z4bf+lwdcu5U+RPZIHrmywVviQySe5WAYMt6+cCg4tMimSuQeSb/r8h/AAAA//8D&#10;AFBLAQItABQABgAIAAAAIQC2gziS/gAAAOEBAAATAAAAAAAAAAAAAAAAAAAAAABbQ29udGVudF9U&#10;eXBlc10ueG1sUEsBAi0AFAAGAAgAAAAhADj9If/WAAAAlAEAAAsAAAAAAAAAAAAAAAAALwEAAF9y&#10;ZWxzLy5yZWxzUEsBAi0AFAAGAAgAAAAhAM/s/e7yAQAAwwMAAA4AAAAAAAAAAAAAAAAALgIAAGRy&#10;cy9lMm9Eb2MueG1sUEsBAi0AFAAGAAgAAAAhALOuxPzgAAAADQEAAA8AAAAAAAAAAAAAAAAATAQA&#10;AGRycy9kb3ducmV2LnhtbFBLBQYAAAAABAAEAPMAAABZBQAAAAA=&#10;" filled="f" stroked="f">
                <v:textbox inset="0,0,0,0">
                  <w:txbxContent>
                    <w:p w14:paraId="691CF27E" w14:textId="77777777" w:rsidR="00490F33" w:rsidRDefault="00490F33">
                      <w:pPr>
                        <w:spacing w:line="234" w:lineRule="exact"/>
                        <w:textAlignment w:val="baseline"/>
                        <w:rPr>
                          <w:rFonts w:ascii="Tahoma" w:eastAsia="Tahoma" w:hAnsi="Tahoma"/>
                          <w:color w:val="414042"/>
                          <w:sz w:val="18"/>
                        </w:rPr>
                      </w:pPr>
                      <w:r>
                        <w:rPr>
                          <w:rFonts w:ascii="Tahoma" w:eastAsia="Tahoma" w:hAnsi="Tahoma"/>
                          <w:color w:val="414042"/>
                          <w:sz w:val="18"/>
                        </w:rPr>
                        <w:t>Since the conclusion of the pilots and a further round of consultations in mid-2018, NZQA has been developing a full micro-credential system, so that employers and learners can access the skills they need throughout their lifetime.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2368" behindDoc="1" locked="0" layoutInCell="1" allowOverlap="1" wp14:anchorId="2213DEB2" wp14:editId="6F5320F6">
                <wp:simplePos x="0" y="0"/>
                <wp:positionH relativeFrom="page">
                  <wp:posOffset>914400</wp:posOffset>
                </wp:positionH>
                <wp:positionV relativeFrom="page">
                  <wp:posOffset>6243955</wp:posOffset>
                </wp:positionV>
                <wp:extent cx="5440680" cy="449580"/>
                <wp:effectExtent l="0" t="0" r="0" b="0"/>
                <wp:wrapSquare wrapText="bothSides"/>
                <wp:docPr id="49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6BCD5" w14:textId="77777777" w:rsidR="00490F33" w:rsidRDefault="00490F33">
                            <w:pPr>
                              <w:spacing w:line="235" w:lineRule="exact"/>
                              <w:ind w:left="144" w:hanging="144"/>
                              <w:textAlignment w:val="baseline"/>
                              <w:rPr>
                                <w:rFonts w:ascii="Tahoma" w:eastAsia="Tahoma" w:hAnsi="Tahoma"/>
                                <w:color w:val="414042"/>
                                <w:spacing w:val="6"/>
                                <w:sz w:val="18"/>
                              </w:rPr>
                            </w:pPr>
                            <w:r>
                              <w:rPr>
                                <w:rFonts w:ascii="Tahoma" w:eastAsia="Tahoma" w:hAnsi="Tahoma"/>
                                <w:color w:val="414042"/>
                                <w:spacing w:val="6"/>
                                <w:sz w:val="18"/>
                              </w:rPr>
                              <w:t>1. A self-driving car engineering program by American online school Udacity, which covers deep learning, computer vision, sensor fusion and automotive hardware skills and takes nine months of part-time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3DEB2" id="Text Box 217" o:spid="_x0000_s1312" type="#_x0000_t202" style="position:absolute;left:0;text-align:left;margin-left:1in;margin-top:491.65pt;width:428.4pt;height:35.4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Hc8AEAAMMDAAAOAAAAZHJzL2Uyb0RvYy54bWysU9tu2zAMfR+wfxD0vjgJ0iw14hRdiw4D&#10;ugvQ7gNoWY6F2aJGKbGzrx8lx1m3vQ17ESiSOjw8pLY3Q9eKoyZv0BZyMZtLoa3Cyth9Ib8+P7zZ&#10;SOED2ApatLqQJ+3lze71q23vcr3EBttKk2AQ6/PeFbIJweVZ5lWjO/AzdNpysEbqIPCV9llF0DN6&#10;12bL+Xyd9UiVI1Tae/bej0G5S/h1rVX4XNdeB9EWkrmFdFI6y3hmuy3kewLXGHWmAf/AogNjuegF&#10;6h4CiAOZv6A6owg91mGmsMuwro3SqQfuZjH/o5unBpxOvbA43l1k8v8PVn06fiFhqkKurtdSWOh4&#10;SM96COIdDmK5eBsV6p3POfHJcWoYOMCTTt1694jqmxcW7xqwe31LhH2joWKGi/gye/F0xPERpOw/&#10;YsWF4BAwAQ01dVE+FkQwOk/qdJlOJKPYebVazdcbDimOrVbXV2zHEpBPrx358F5jJ6JRSOLpJ3Q4&#10;Pvowpk4psZjFB9O27Ie8tb85GDN6EvtIeKQehnJIUi0360mWEqsTN0Q4bhb/BDYapB9S9LxVhfTf&#10;D0BaivaDZVHiCk4GTUY5GWAVPy1kkGI078K4qgdHZt8w8ii7xVsWrjapp6jwyOJMmDclqXLe6riK&#10;L+8p69ff2/0EAAD//wMAUEsDBBQABgAIAAAAIQD1dHsg4QAAAA0BAAAPAAAAZHJzL2Rvd25yZXYu&#10;eG1sTI/BTsMwEETvSP0Haytxo3ZpqNoQp6oQnJAQaThwdGI3sRqvQ+y24e/ZnMptRzuamZftRtex&#10;ixmC9ShhuRDADNZeW2wkfJVvDxtgISrUqvNoJPyaALt8dpepVPsrFuZyiA2jEAypktDG2Kech7o1&#10;ToWF7w3S7+gHpyLJoeF6UFcKdx1/FGLNnbJIDa3qzUtr6tPh7CTsv7F4tT8f1WdxLGxZbgW+r09S&#10;3s/H/TOwaMZ4M8M0n6ZDTpsqf0YdWEc6SYglSthuVitgk0MIQTTVdD0lS+B5xv9T5H8AAAD//wMA&#10;UEsBAi0AFAAGAAgAAAAhALaDOJL+AAAA4QEAABMAAAAAAAAAAAAAAAAAAAAAAFtDb250ZW50X1R5&#10;cGVzXS54bWxQSwECLQAUAAYACAAAACEAOP0h/9YAAACUAQAACwAAAAAAAAAAAAAAAAAvAQAAX3Jl&#10;bHMvLnJlbHNQSwECLQAUAAYACAAAACEAGVXh3PABAADDAwAADgAAAAAAAAAAAAAAAAAuAgAAZHJz&#10;L2Uyb0RvYy54bWxQSwECLQAUAAYACAAAACEA9XR7IOEAAAANAQAADwAAAAAAAAAAAAAAAABKBAAA&#10;ZHJzL2Rvd25yZXYueG1sUEsFBgAAAAAEAAQA8wAAAFgFAAAAAA==&#10;" filled="f" stroked="f">
                <v:textbox inset="0,0,0,0">
                  <w:txbxContent>
                    <w:p w14:paraId="23B6BCD5" w14:textId="77777777" w:rsidR="00490F33" w:rsidRDefault="00490F33">
                      <w:pPr>
                        <w:spacing w:line="235" w:lineRule="exact"/>
                        <w:ind w:left="144" w:hanging="144"/>
                        <w:textAlignment w:val="baseline"/>
                        <w:rPr>
                          <w:rFonts w:ascii="Tahoma" w:eastAsia="Tahoma" w:hAnsi="Tahoma"/>
                          <w:color w:val="414042"/>
                          <w:spacing w:val="6"/>
                          <w:sz w:val="18"/>
                        </w:rPr>
                      </w:pPr>
                      <w:r>
                        <w:rPr>
                          <w:rFonts w:ascii="Tahoma" w:eastAsia="Tahoma" w:hAnsi="Tahoma"/>
                          <w:color w:val="414042"/>
                          <w:spacing w:val="6"/>
                          <w:sz w:val="18"/>
                        </w:rPr>
                        <w:t>1. A self-driving car engineering program by American online school Udacity, which covers deep learning, computer vision, sensor fusion and automotive hardware skills and takes nine months of part-time study.</w:t>
                      </w:r>
                    </w:p>
                  </w:txbxContent>
                </v:textbox>
                <w10:wrap type="square" anchorx="page" anchory="page"/>
              </v:shape>
            </w:pict>
          </mc:Fallback>
        </mc:AlternateContent>
      </w:r>
      <w:r w:rsidR="00083242">
        <w:rPr>
          <w:rFonts w:ascii="Verdana" w:eastAsia="Verdana" w:hAnsi="Verdana"/>
          <w:color w:val="414042"/>
          <w:spacing w:val="4"/>
          <w:sz w:val="13"/>
        </w:rPr>
        <w:t>Chapter 5: Building more flexible pathways from school</w:t>
      </w:r>
      <w:r w:rsidR="00083242">
        <w:rPr>
          <w:rFonts w:ascii="Arial" w:eastAsia="Arial" w:hAnsi="Arial"/>
          <w:b/>
          <w:color w:val="5556A1"/>
          <w:spacing w:val="4"/>
          <w:sz w:val="19"/>
        </w:rPr>
        <w:t xml:space="preserve"> 113</w:t>
      </w:r>
    </w:p>
    <w:p w14:paraId="0640E8A8" w14:textId="77777777" w:rsidR="009757A9" w:rsidRDefault="00083242">
      <w:pPr>
        <w:textAlignment w:val="baseline"/>
      </w:pPr>
      <w:r>
        <w:rPr>
          <w:noProof/>
          <w:lang w:val="en-AU" w:eastAsia="en-AU"/>
        </w:rPr>
        <w:drawing>
          <wp:inline distT="0" distB="0" distL="0" distR="0" wp14:anchorId="63247673" wp14:editId="08E10800">
            <wp:extent cx="7562215" cy="462915"/>
            <wp:effectExtent l="0" t="0" r="0" b="0"/>
            <wp:docPr id="188" name="Picture"/>
            <wp:cNvGraphicFramePr/>
            <a:graphic xmlns:a="http://schemas.openxmlformats.org/drawingml/2006/main">
              <a:graphicData uri="http://schemas.openxmlformats.org/drawingml/2006/picture">
                <pic:pic xmlns:pic="http://schemas.openxmlformats.org/drawingml/2006/picture">
                  <pic:nvPicPr>
                    <pic:cNvPr id="188"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032A19FA" w14:textId="77777777" w:rsidR="009757A9" w:rsidRDefault="009757A9">
      <w:pPr>
        <w:sectPr w:rsidR="009757A9">
          <w:pgSz w:w="11909" w:h="16838"/>
          <w:pgMar w:top="3605" w:right="0" w:bottom="0" w:left="0" w:header="720" w:footer="720" w:gutter="0"/>
          <w:cols w:space="720"/>
        </w:sectPr>
      </w:pPr>
    </w:p>
    <w:p w14:paraId="01332DFE" w14:textId="77777777" w:rsidR="009757A9" w:rsidRDefault="00083242">
      <w:pPr>
        <w:spacing w:before="5" w:line="281" w:lineRule="exact"/>
        <w:ind w:left="864"/>
        <w:textAlignment w:val="baseline"/>
        <w:rPr>
          <w:rFonts w:ascii="Arial" w:eastAsia="Arial" w:hAnsi="Arial"/>
          <w:b/>
          <w:color w:val="00708E"/>
          <w:spacing w:val="1"/>
          <w:sz w:val="24"/>
        </w:rPr>
      </w:pPr>
      <w:r>
        <w:rPr>
          <w:rFonts w:ascii="Arial" w:eastAsia="Arial" w:hAnsi="Arial"/>
          <w:b/>
          <w:color w:val="00708E"/>
          <w:spacing w:val="1"/>
          <w:sz w:val="24"/>
        </w:rPr>
        <w:lastRenderedPageBreak/>
        <w:t>Education Passport</w:t>
      </w:r>
    </w:p>
    <w:p w14:paraId="23781629" w14:textId="77777777" w:rsidR="009757A9" w:rsidRDefault="00083242">
      <w:pPr>
        <w:spacing w:before="145" w:line="240" w:lineRule="exact"/>
        <w:ind w:left="864" w:right="1224"/>
        <w:textAlignment w:val="baseline"/>
        <w:rPr>
          <w:rFonts w:ascii="Verdana" w:eastAsia="Verdana" w:hAnsi="Verdana"/>
          <w:color w:val="404042"/>
          <w:sz w:val="18"/>
        </w:rPr>
      </w:pPr>
      <w:r>
        <w:rPr>
          <w:rFonts w:ascii="Verdana" w:eastAsia="Verdana" w:hAnsi="Verdana"/>
          <w:color w:val="404042"/>
          <w:sz w:val="18"/>
        </w:rPr>
        <w:t xml:space="preserve">Given the growing need to adapt and upskill through a range of different careers and jobs, lifelong learning is more </w:t>
      </w:r>
      <w:r>
        <w:rPr>
          <w:rFonts w:ascii="Tahoma" w:eastAsia="Tahoma" w:hAnsi="Tahoma"/>
          <w:color w:val="404042"/>
          <w:sz w:val="18"/>
        </w:rPr>
        <w:t>important than ever.</w:t>
      </w:r>
    </w:p>
    <w:p w14:paraId="50F6E5CD" w14:textId="77777777" w:rsidR="009757A9" w:rsidRDefault="00083242">
      <w:pPr>
        <w:spacing w:before="168" w:after="605" w:line="240" w:lineRule="exact"/>
        <w:ind w:left="864" w:right="864"/>
        <w:textAlignment w:val="baseline"/>
        <w:rPr>
          <w:rFonts w:ascii="Verdana" w:eastAsia="Verdana" w:hAnsi="Verdana"/>
          <w:color w:val="404042"/>
          <w:sz w:val="18"/>
        </w:rPr>
      </w:pPr>
      <w:r>
        <w:rPr>
          <w:rFonts w:ascii="Verdana" w:eastAsia="Verdana" w:hAnsi="Verdana"/>
          <w:color w:val="404042"/>
          <w:sz w:val="18"/>
        </w:rPr>
        <w:t xml:space="preserve">With this goal in mind, students should be encouraged to build on the Learner Profile that they receive on completing </w:t>
      </w:r>
      <w:r>
        <w:rPr>
          <w:rFonts w:ascii="Tahoma" w:eastAsia="Tahoma" w:hAnsi="Tahoma"/>
          <w:color w:val="404042"/>
          <w:sz w:val="18"/>
        </w:rPr>
        <w:t>Year 12, to develop an Education Passport. The passport would progressively record both the formal and informal learning opportunities they engage with throughout their lives. Employers, equally, should be encouraged to access the passport when they are selecting applicants for positions.</w:t>
      </w:r>
    </w:p>
    <w:p w14:paraId="2ADAB809" w14:textId="77777777" w:rsidR="009757A9" w:rsidRDefault="000D2E34">
      <w:pPr>
        <w:spacing w:before="157" w:line="247" w:lineRule="exact"/>
        <w:ind w:left="1296"/>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54688" behindDoc="0" locked="0" layoutInCell="1" allowOverlap="1" wp14:anchorId="3BFCA2E5" wp14:editId="6601FC30">
                <wp:simplePos x="0" y="0"/>
                <wp:positionH relativeFrom="page">
                  <wp:posOffset>826135</wp:posOffset>
                </wp:positionH>
                <wp:positionV relativeFrom="page">
                  <wp:posOffset>2383790</wp:posOffset>
                </wp:positionV>
                <wp:extent cx="5907405" cy="0"/>
                <wp:effectExtent l="0" t="0" r="0" b="0"/>
                <wp:wrapNone/>
                <wp:docPr id="49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D04E3" id="Line 216" o:spid="_x0000_s1026" style="position:absolute;z-index:25195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87.7pt" to="530.2pt,1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Ju0QEAAIYDAAAOAAAAZHJzL2Uyb0RvYy54bWysU02PGjEMvVfqf4hyLzNQYMuIYQ/Q7YW2&#10;SLv9ASbJzETNxFESGPj3dcLHbttb1UvkxPbz87OzfDz1hh2VDxptzcejkjNlBUpt25r/eHn68Imz&#10;EMFKMGhVzc8q8MfV+3fLwVVqgh0aqTwjEBuqwdW8i9FVRRFEp3oII3TKkrNB30Okq28L6WEg9N4U&#10;k7KcFwN66TwKFQK9bi5Ovsr4TaNE/N40QUVmak7cYj59PvfpLFZLqFoPrtPiSgP+gUUP2lLRO9QG&#10;IrCD139B9Vp4DNjEkcC+wKbRQuUeqJtx+Uc3zx04lXshcYK7yxT+H6z4dtx5pmXNp4sZZxZ6GtJW&#10;W8Um43lSZ3ChoqC13fnUnzjZZ7dF8TMwi+sObKsyy5ezo8Rxyih+S0mX4KjGfviKkmLgEDFLdWp8&#10;nyBJBHbKEznfJ6JOkQl6nC3Kh2lJxMTNV0B1S3Q+xC8Ke5aMmhtinYHhuA0xEYHqFpLqWHzSxuSB&#10;G8uGms8/zsqcENBomZwpLPh2vzaeHSGtTPmwWExzV+R5G5aQNxC6S1x2XZbJ48HKXKVTID9f7Qja&#10;XGxiZexVpSTMReI9yvPO39SjYWf618VM2/T2nrNfv8/qFwAAAP//AwBQSwMEFAAGAAgAAAAhAINs&#10;WSvcAAAADAEAAA8AAABkcnMvZG93bnJldi54bWxMj0FPwzAMhe9I/IfISNxYMsYGKk0nNLTTLrAh&#10;cfUa0xYap2qyrvv3eBLSuPnZT8/fy5ejb9VAfWwCW5hODCjiMriGKwsfu/XdE6iYkB22gcnCiSIs&#10;i+urHDMXjvxOwzZVSkI4ZmihTqnLtI5lTR7jJHTEcvsKvccksq+06/Eo4b7V98YstMeG5UONHa1q&#10;Kn+2B29hjWb35jab8B0/56cVJu1eabD29mZ8eQaVaEwXM5zxBR0KYdqHA7uoWtEzMxWrhdnj/AHU&#10;2WEWRqb930oXuf5fovgFAAD//wMAUEsBAi0AFAAGAAgAAAAhALaDOJL+AAAA4QEAABMAAAAAAAAA&#10;AAAAAAAAAAAAAFtDb250ZW50X1R5cGVzXS54bWxQSwECLQAUAAYACAAAACEAOP0h/9YAAACUAQAA&#10;CwAAAAAAAAAAAAAAAAAvAQAAX3JlbHMvLnJlbHNQSwECLQAUAAYACAAAACEAlQ6ibtEBAACGAwAA&#10;DgAAAAAAAAAAAAAAAAAuAgAAZHJzL2Uyb0RvYy54bWxQSwECLQAUAAYACAAAACEAg2xZK9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“Today, more than 80 per cent of the time we spend in education and training occurs before</w:t>
      </w:r>
    </w:p>
    <w:p w14:paraId="23D3093D" w14:textId="77777777" w:rsidR="009757A9" w:rsidRDefault="00083242">
      <w:pPr>
        <w:spacing w:before="57" w:line="236" w:lineRule="exact"/>
        <w:ind w:left="1296"/>
        <w:textAlignment w:val="baseline"/>
        <w:rPr>
          <w:rFonts w:ascii="Verdana" w:eastAsia="Verdana" w:hAnsi="Verdana"/>
          <w:i/>
          <w:color w:val="007994"/>
          <w:spacing w:val="2"/>
          <w:sz w:val="18"/>
        </w:rPr>
      </w:pPr>
      <w:r>
        <w:rPr>
          <w:rFonts w:ascii="Verdana" w:eastAsia="Verdana" w:hAnsi="Verdana"/>
          <w:i/>
          <w:color w:val="007994"/>
          <w:spacing w:val="2"/>
          <w:sz w:val="18"/>
        </w:rPr>
        <w:t>the age of 21. But the idea that a post-secondary qualification will set us up for life is no longer</w:t>
      </w:r>
    </w:p>
    <w:p w14:paraId="72162613" w14:textId="77777777" w:rsidR="009757A9" w:rsidRDefault="00083242">
      <w:pPr>
        <w:spacing w:before="60" w:line="247" w:lineRule="exact"/>
        <w:ind w:left="1296"/>
        <w:textAlignment w:val="baseline"/>
        <w:rPr>
          <w:rFonts w:ascii="Tahoma" w:eastAsia="Tahoma" w:hAnsi="Tahoma"/>
          <w:i/>
          <w:color w:val="007994"/>
          <w:sz w:val="21"/>
        </w:rPr>
      </w:pPr>
      <w:r>
        <w:rPr>
          <w:rFonts w:ascii="Tahoma" w:eastAsia="Tahoma" w:hAnsi="Tahoma"/>
          <w:i/>
          <w:color w:val="007994"/>
          <w:sz w:val="21"/>
        </w:rPr>
        <w:t>a reality.”</w:t>
      </w:r>
    </w:p>
    <w:p w14:paraId="56BF9A97" w14:textId="77777777" w:rsidR="009757A9" w:rsidRDefault="00083242">
      <w:pPr>
        <w:spacing w:before="34" w:after="218" w:line="266" w:lineRule="exact"/>
        <w:ind w:left="9360"/>
        <w:textAlignment w:val="baseline"/>
        <w:rPr>
          <w:rFonts w:ascii="Tahoma" w:eastAsia="Tahoma" w:hAnsi="Tahoma"/>
          <w:i/>
          <w:color w:val="007994"/>
          <w:spacing w:val="-7"/>
          <w:sz w:val="21"/>
        </w:rPr>
      </w:pPr>
      <w:r>
        <w:rPr>
          <w:rFonts w:ascii="Tahoma" w:eastAsia="Tahoma" w:hAnsi="Tahoma"/>
          <w:i/>
          <w:color w:val="007994"/>
          <w:spacing w:val="-7"/>
          <w:sz w:val="21"/>
        </w:rPr>
        <w:t>AlphaBeta</w:t>
      </w:r>
      <w:r>
        <w:rPr>
          <w:rFonts w:ascii="Tahoma" w:eastAsia="Tahoma" w:hAnsi="Tahoma"/>
          <w:i/>
          <w:color w:val="007994"/>
          <w:spacing w:val="-7"/>
          <w:sz w:val="21"/>
          <w:vertAlign w:val="superscript"/>
        </w:rPr>
        <w:t>169</w:t>
      </w:r>
      <w:r>
        <w:rPr>
          <w:rFonts w:ascii="Tahoma" w:eastAsia="Tahoma" w:hAnsi="Tahoma"/>
          <w:i/>
          <w:color w:val="007994"/>
          <w:spacing w:val="-7"/>
          <w:sz w:val="12"/>
        </w:rPr>
        <w:t xml:space="preserve"> </w:t>
      </w:r>
    </w:p>
    <w:p w14:paraId="0F9A7E15" w14:textId="77777777" w:rsidR="009757A9" w:rsidRDefault="000D2E34">
      <w:pPr>
        <w:spacing w:before="342" w:line="240" w:lineRule="exact"/>
        <w:ind w:left="864" w:right="936"/>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955712" behindDoc="0" locked="0" layoutInCell="1" allowOverlap="1" wp14:anchorId="7534A4D6" wp14:editId="7FA4990E">
                <wp:simplePos x="0" y="0"/>
                <wp:positionH relativeFrom="page">
                  <wp:posOffset>826135</wp:posOffset>
                </wp:positionH>
                <wp:positionV relativeFrom="page">
                  <wp:posOffset>3355975</wp:posOffset>
                </wp:positionV>
                <wp:extent cx="5907405" cy="0"/>
                <wp:effectExtent l="0" t="0" r="0" b="0"/>
                <wp:wrapNone/>
                <wp:docPr id="49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E0CB6" id="Line 215" o:spid="_x0000_s1026" style="position:absolute;z-index:25195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64.25pt" to="530.2pt,2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m7R0QEAAIYDAAAOAAAAZHJzL2Uyb0RvYy54bWysU8GO2yAQvVfqPyDujZ002W2sOHtIur2k&#10;baTd/YAJYBsVGAQkdv6+gJNst72tekHgefPmzZvx6mHQipyE8xJNTaeTkhJhGHJp2pq+PD9++kKJ&#10;D2A4KDSipmfh6cP644dVbysxww4VF45EEuOr3ta0C8FWReFZJzT4CVphYrBBpyHEp2sL7qCP7FoV&#10;s7K8K3p03Dpkwvv4dTsG6TrzN41g4WfTeBGIqmnUFvLp8nlIZ7FeQdU6sJ1kFxnwDhUapIlFb1Rb&#10;CECOTv5DpSVz6LEJE4a6wKaRTOQeYjfT8q9unjqwIvcSzfH2ZpP/f7Tsx2nviOQ1nS/nlBjQcUg7&#10;aQSZTRfJnd76KoI2Zu9Sf2wwT3aH7JcnBjcdmFZklc9nGxOnKaN4k5Ie3sYah/478oiBY8Bs1dA4&#10;nSijCWTIEznfJiKGQFj8uFiW9/NyQQm7xgqoronW+fBNoCbpUlMVVWdiOO18SEKgukJSHYOPUqk8&#10;cGVIX9O7z4syJ3hUkqdggnnXHjbKkROklSnvl9GXkewNLDFvwXcjLofGZXJ4NDxX6QTwr5d7AKnG&#10;e1SlzMWlZMxo8QH5ee9SnWRYHHaWf1nMtE1/vjPq9fdZ/wYAAP//AwBQSwMEFAAGAAgAAAAhAGsG&#10;kOzcAAAADAEAAA8AAABkcnMvZG93bnJldi54bWxMj8FuwjAMhu+T9g6RJ+02EtiKUNcUIRAnLhsg&#10;cTWN1xYap2pCKW+/IE0ax9/+9PtzNh9sI3rqfO1Yw3ikQBAXztRcatjv1m8zED4gG2wck4YbeZjn&#10;z08ZpsZd+Zv6bShFLGGfooYqhDaV0hcVWfQj1xLH3Y/rLIYYu1KaDq+x3DZyotRUWqw5XqiwpWVF&#10;xXl7sRrWqHZfZrNxJ39IbksM0qyo1/r1ZVh8ggg0hH8Y7vpRHfLodHQXNl40Mb+rcUQ1JJNZAuJO&#10;qKn6AHH8G8k8k49P5L8AAAD//wMAUEsBAi0AFAAGAAgAAAAhALaDOJL+AAAA4QEAABMAAAAAAAAA&#10;AAAAAAAAAAAAAFtDb250ZW50X1R5cGVzXS54bWxQSwECLQAUAAYACAAAACEAOP0h/9YAAACUAQAA&#10;CwAAAAAAAAAAAAAAAAAvAQAAX3JlbHMvLnJlbHNQSwECLQAUAAYACAAAACEAVxJu0dEBAACGAwAA&#10;DgAAAAAAAAAAAAAAAAAuAgAAZHJzL2Uyb0RvYy54bWxQSwECLQAUAAYACAAAACEAawaQ7N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5"/>
          <w:sz w:val="18"/>
        </w:rPr>
        <w:t xml:space="preserve">An Education Passport can act as a valuable framework through which young people can continue to identify </w:t>
      </w:r>
      <w:r w:rsidR="00083242">
        <w:rPr>
          <w:rFonts w:ascii="Verdana" w:eastAsia="Verdana" w:hAnsi="Verdana"/>
          <w:color w:val="404042"/>
          <w:spacing w:val="5"/>
          <w:sz w:val="18"/>
        </w:rPr>
        <w:t xml:space="preserve">capabilities, and record the skills, certificated courses, professional development, workplace learning or </w:t>
      </w:r>
      <w:r w:rsidR="00083242">
        <w:rPr>
          <w:rFonts w:ascii="Tahoma" w:eastAsia="Tahoma" w:hAnsi="Tahoma"/>
          <w:color w:val="404042"/>
          <w:spacing w:val="5"/>
          <w:sz w:val="18"/>
        </w:rPr>
        <w:t>micro-credentials they accumulate across their lifelong learning journey. This would provide continuity from secondary schooling to post–compulsory education, training and employment. Some young people we spoke to at the Wagga Wagga youth forum commented that the Education Passport could be like a student ‘LinkedIn’.</w:t>
      </w:r>
    </w:p>
    <w:p w14:paraId="34E39C55" w14:textId="77777777" w:rsidR="009757A9" w:rsidRDefault="00083242">
      <w:pPr>
        <w:spacing w:before="186" w:after="586" w:line="240" w:lineRule="exact"/>
        <w:ind w:left="864" w:right="936"/>
        <w:textAlignment w:val="baseline"/>
        <w:rPr>
          <w:rFonts w:ascii="Tahoma" w:eastAsia="Tahoma" w:hAnsi="Tahoma"/>
          <w:color w:val="404042"/>
          <w:spacing w:val="2"/>
          <w:sz w:val="18"/>
        </w:rPr>
      </w:pPr>
      <w:r>
        <w:rPr>
          <w:rFonts w:ascii="Tahoma" w:eastAsia="Tahoma" w:hAnsi="Tahoma"/>
          <w:color w:val="404042"/>
          <w:spacing w:val="2"/>
          <w:sz w:val="18"/>
        </w:rPr>
        <w:t xml:space="preserve">A student’s Education Passport would provide them with experiences that can be used to build their resume and be drawn upon when discussing future work and study choices. It would help to frame the capabilities that they can evidence. It would demonstrate to employers and tertiary education institutions that they have real-world experiences that have shaped their personal and interpersonal development. A survey of employers undertaken on behalf of the </w:t>
      </w:r>
      <w:r>
        <w:rPr>
          <w:rFonts w:ascii="Verdana" w:eastAsia="Verdana" w:hAnsi="Verdana"/>
          <w:color w:val="404042"/>
          <w:spacing w:val="2"/>
          <w:sz w:val="18"/>
        </w:rPr>
        <w:t xml:space="preserve">Association of American Colleges and Universities found that more than four in five employers said an electronic </w:t>
      </w:r>
      <w:r>
        <w:rPr>
          <w:rFonts w:ascii="Tahoma" w:eastAsia="Tahoma" w:hAnsi="Tahoma"/>
          <w:color w:val="404042"/>
          <w:spacing w:val="2"/>
          <w:sz w:val="18"/>
        </w:rPr>
        <w:t>portfolio would be useful to them in ensuring that job applicants have the knowledge and skills they need to succeed in their company or organisation.</w:t>
      </w:r>
      <w:r>
        <w:rPr>
          <w:rFonts w:ascii="Tahoma" w:eastAsia="Tahoma" w:hAnsi="Tahoma"/>
          <w:color w:val="404042"/>
          <w:spacing w:val="2"/>
          <w:sz w:val="18"/>
          <w:vertAlign w:val="superscript"/>
        </w:rPr>
        <w:t>170</w:t>
      </w:r>
      <w:r>
        <w:rPr>
          <w:rFonts w:ascii="Tahoma" w:eastAsia="Tahoma" w:hAnsi="Tahoma"/>
          <w:color w:val="404042"/>
          <w:spacing w:val="2"/>
          <w:sz w:val="10"/>
        </w:rPr>
        <w:t xml:space="preserve"> </w:t>
      </w:r>
    </w:p>
    <w:p w14:paraId="1AF14545" w14:textId="77777777" w:rsidR="009757A9" w:rsidRDefault="000D2E34">
      <w:pPr>
        <w:spacing w:before="164" w:line="236" w:lineRule="exact"/>
        <w:ind w:left="1296"/>
        <w:textAlignment w:val="baseline"/>
        <w:rPr>
          <w:rFonts w:ascii="Verdana" w:eastAsia="Verdana" w:hAnsi="Verdana"/>
          <w:i/>
          <w:color w:val="007994"/>
          <w:spacing w:val="3"/>
          <w:sz w:val="18"/>
        </w:rPr>
      </w:pPr>
      <w:r>
        <w:rPr>
          <w:noProof/>
          <w:lang w:val="en-AU" w:eastAsia="en-AU"/>
        </w:rPr>
        <mc:AlternateContent>
          <mc:Choice Requires="wps">
            <w:drawing>
              <wp:anchor distT="0" distB="0" distL="114300" distR="114300" simplePos="0" relativeHeight="251956736" behindDoc="0" locked="0" layoutInCell="1" allowOverlap="1" wp14:anchorId="68909CE7" wp14:editId="0EE03CA3">
                <wp:simplePos x="0" y="0"/>
                <wp:positionH relativeFrom="page">
                  <wp:posOffset>826135</wp:posOffset>
                </wp:positionH>
                <wp:positionV relativeFrom="page">
                  <wp:posOffset>5894705</wp:posOffset>
                </wp:positionV>
                <wp:extent cx="5907405" cy="0"/>
                <wp:effectExtent l="0" t="0" r="0" b="0"/>
                <wp:wrapNone/>
                <wp:docPr id="493"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686F0" id="Line 214" o:spid="_x0000_s1026" style="position:absolute;z-index:25195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64.15pt" to="530.2pt,4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yMP0AEAAIYDAAAOAAAAZHJzL2Uyb0RvYy54bWysU8Fu2zAMvQ/YPwi6L3bSpF2MOD0k6y7Z&#10;FqDtBzCSbAuTREFSYufvJ8lJtq63YReBEsnHx0dq9ThoRU7CeYmmptNJSYkwDLk0bU1fX54+fabE&#10;BzAcFBpR07Pw9HH98cOqt5WYYYeKC0ciiPFVb2vahWCrovCsExr8BK0w0dmg0xDi1bUFd9BHdK2K&#10;WVneFz06bh0y4X183Y5Ous74TSNY+NE0XgSiahq5hXy6fB7SWaxXULUObCfZhQb8AwsN0sSiN6gt&#10;BCBHJ99BackcemzChKEusGkkE7mH2M20/Kub5w6syL1Ecby9yeT/Hyz7fto7InlN58s7SgzoOKSd&#10;NILMpvOkTm99FYM2Zu9Sf2wwz3aH7KcnBjcdmFZkli9nGxOnKaN4k5Iu3sYah/4b8hgDx4BZqqFx&#10;OkFGEciQJ3K+TUQMgbD4uFiWD/NyQQm7+gqoronW+fBVoCbJqKmKrDMwnHY+JCJQXUNSHYNPUqk8&#10;cGVIX9P7u0WZEzwqyZMzhXnXHjbKkROklSkflsusQwR7E5aQt+C7MS67xmVyeDQ8V+kE8C8XO4BU&#10;ox2BlLmolIQZJT4gP+/dVb047Ez/sphpm/685+zf32f9CwAA//8DAFBLAwQUAAYACAAAACEAvGq6&#10;NNwAAAAMAQAADwAAAGRycy9kb3ducmV2LnhtbEyPwU7DMAyG70i8Q2QkbizZBtMoTSc0tNMusCFx&#10;9RrTFhqnarKue3s8CQmOv/3p9+d8NfpWDdTHJrCF6cSAIi6Da7iy8L7f3C1BxYTssA1MFs4UYVVc&#10;X+WYuXDiNxp2qVJSwjFDC3VKXaZ1LGvyGCehI5bdZ+g9Jol9pV2PJyn3rZ4Zs9AeG5YLNXa0rqn8&#10;3h29hQ2a/avbbsNX/Hg4rzFp90KDtbc34/MTqERj+oPhoi/qUIjTIRzZRdVKnpupoBYeZ8s5qAth&#10;FuYe1OF3pItc/3+i+AEAAP//AwBQSwECLQAUAAYACAAAACEAtoM4kv4AAADhAQAAEwAAAAAAAAAA&#10;AAAAAAAAAAAAW0NvbnRlbnRfVHlwZXNdLnhtbFBLAQItABQABgAIAAAAIQA4/SH/1gAAAJQBAAAL&#10;AAAAAAAAAAAAAAAAAC8BAABfcmVscy8ucmVsc1BLAQItABQABgAIAAAAIQCY9yMP0AEAAIYDAAAO&#10;AAAAAAAAAAAAAAAAAC4CAABkcnMvZTJvRG9jLnhtbFBLAQItABQABgAIAAAAIQC8aro03AAAAAwB&#10;AAAPAAAAAAAAAAAAAAAAACoEAABkcnMvZG93bnJldi54bWxQSwUGAAAAAAQABADzAAAAMwUAAAAA&#10;" strokecolor="#007994" strokeweight=".5pt">
                <w10:wrap anchorx="page" anchory="page"/>
              </v:line>
            </w:pict>
          </mc:Fallback>
        </mc:AlternateContent>
      </w:r>
      <w:r w:rsidR="00083242">
        <w:rPr>
          <w:rFonts w:ascii="Verdana" w:eastAsia="Verdana" w:hAnsi="Verdana"/>
          <w:i/>
          <w:color w:val="007994"/>
          <w:spacing w:val="3"/>
          <w:sz w:val="18"/>
        </w:rPr>
        <w:t>“[It] would be particularly beneficial if the passport included broader societal and workplace</w:t>
      </w:r>
    </w:p>
    <w:p w14:paraId="34FB1A1F" w14:textId="77777777" w:rsidR="009757A9" w:rsidRDefault="00083242">
      <w:pPr>
        <w:spacing w:before="60" w:line="242"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learning, informal and further education, as it would reinforce learning as a lifelong and</w:t>
      </w:r>
    </w:p>
    <w:p w14:paraId="2025D7A1" w14:textId="77777777" w:rsidR="009757A9" w:rsidRDefault="00083242">
      <w:pPr>
        <w:spacing w:before="56" w:line="247"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‘life-wide’ process.”</w:t>
      </w:r>
    </w:p>
    <w:p w14:paraId="66CDF016" w14:textId="77777777" w:rsidR="009757A9" w:rsidRDefault="00083242">
      <w:pPr>
        <w:spacing w:before="55" w:after="221" w:line="242" w:lineRule="exact"/>
        <w:ind w:left="6912"/>
        <w:textAlignment w:val="baseline"/>
        <w:rPr>
          <w:rFonts w:ascii="Tahoma" w:eastAsia="Tahoma" w:hAnsi="Tahoma"/>
          <w:i/>
          <w:color w:val="007994"/>
          <w:spacing w:val="1"/>
          <w:sz w:val="21"/>
        </w:rPr>
      </w:pPr>
      <w:r>
        <w:rPr>
          <w:rFonts w:ascii="Tahoma" w:eastAsia="Tahoma" w:hAnsi="Tahoma"/>
          <w:i/>
          <w:color w:val="007994"/>
          <w:spacing w:val="1"/>
          <w:sz w:val="21"/>
        </w:rPr>
        <w:t>Western Sydney University submission</w:t>
      </w:r>
    </w:p>
    <w:p w14:paraId="05806977" w14:textId="77777777" w:rsidR="009757A9" w:rsidRDefault="000D2E34">
      <w:pPr>
        <w:spacing w:before="481" w:after="859" w:line="240" w:lineRule="exact"/>
        <w:ind w:left="864" w:right="1080"/>
        <w:textAlignment w:val="baseline"/>
        <w:rPr>
          <w:rFonts w:ascii="Tahoma" w:eastAsia="Tahoma" w:hAnsi="Tahoma"/>
          <w:color w:val="404042"/>
          <w:spacing w:val="-1"/>
          <w:sz w:val="18"/>
        </w:rPr>
      </w:pPr>
      <w:r>
        <w:rPr>
          <w:noProof/>
          <w:lang w:val="en-AU" w:eastAsia="en-AU"/>
        </w:rPr>
        <mc:AlternateContent>
          <mc:Choice Requires="wps">
            <w:drawing>
              <wp:anchor distT="0" distB="0" distL="114300" distR="114300" simplePos="0" relativeHeight="251957760" behindDoc="0" locked="0" layoutInCell="1" allowOverlap="1" wp14:anchorId="4B82F036" wp14:editId="79462DE4">
                <wp:simplePos x="0" y="0"/>
                <wp:positionH relativeFrom="page">
                  <wp:posOffset>826135</wp:posOffset>
                </wp:positionH>
                <wp:positionV relativeFrom="page">
                  <wp:posOffset>6866890</wp:posOffset>
                </wp:positionV>
                <wp:extent cx="5907405" cy="0"/>
                <wp:effectExtent l="0" t="0" r="0" b="0"/>
                <wp:wrapNone/>
                <wp:docPr id="492"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09BC3" id="Line 213" o:spid="_x0000_s1026" style="position:absolute;z-index:25195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40.7pt" to="530.2pt,5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7J20QEAAIYDAAAOAAAAZHJzL2Uyb0RvYy54bWysU8Fu2zAMvQ/YPwi6L3bSpF2MOD0k6y7Z&#10;FqDtBzCSbAuTREFSYufvJ8lJ1q23YReBEsnHx0dq9ThoRU7CeYmmptNJSYkwDLk0bU1fX54+fabE&#10;BzAcFBpR07Pw9HH98cOqt5WYYYeKC0ciiPFVb2vahWCrovCsExr8BK0w0dmg0xDi1bUFd9BHdK2K&#10;WVneFz06bh0y4X183Y5Ous74TSNY+NE0XgSiahq5hXy6fB7SWaxXULUObCfZhQb8AwsN0sSiN6gt&#10;BCBHJ99BackcemzChKEusGkkE7mH2M20/Kub5w6syL1Ecby9yeT/Hyz7fto7InlN58sZJQZ0HNJO&#10;GkFm07ukTm99FYM2Zu9Sf2wwz3aH7KcnBjcdmFZkli9nGxOnKaP4IyVdvI01Dv035DEGjgGzVEPj&#10;dIKMIpAhT+R8m4gYAmHxcbEsH+blghJ29RVQXROt8+GrQE2SUVMVWWdgOO18SESguoakOgafpFJ5&#10;4MqQvqb3d4syJ3hUkidnCvOuPWyUIydIK1M+LJfz3FX0vA1LyFvw3RiXXeMyOTwanqt0AviXix1A&#10;qtGOrJS5qJSEGSU+ID/v3VW9OOxM/7KYaZve3nP27++z/gUAAP//AwBQSwMEFAAGAAgAAAAhALuz&#10;mXDcAAAADgEAAA8AAABkcnMvZG93bnJldi54bWxMj09PwzAMxe9IfIfISNxYUv5MU2k6oaGddoEN&#10;iavXmLbQOFWTdd23xzsgdnvPfnr+uVhOvlMjDbENbCGbGVDEVXAt1xY+duu7BaiYkB12gcnCiSIs&#10;y+urAnMXjvxO4zbVSko45mihSanPtY5VQx7jLPTEsvsKg8ckdqi1G/Ao5b7T98bMtceW5UKDPa0a&#10;qn62B29hjWb35jab8B0/n04rTNq90mjt7c308gwq0ZT+w3DGF3QohWkfDuyi6sQ/mEyiIswiewR1&#10;jpi5EbX/m+my0JdvlL8AAAD//wMAUEsBAi0AFAAGAAgAAAAhALaDOJL+AAAA4QEAABMAAAAAAAAA&#10;AAAAAAAAAAAAAFtDb250ZW50X1R5cGVzXS54bWxQSwECLQAUAAYACAAAACEAOP0h/9YAAACUAQAA&#10;CwAAAAAAAAAAAAAAAAAvAQAAX3JlbHMvLnJlbHNQSwECLQAUAAYACAAAACEA+7eydtEBAACGAwAA&#10;DgAAAAAAAAAAAAAAAAAuAgAAZHJzL2Uyb0RvYy54bWxQSwECLQAUAAYACAAAACEAu7OZcNwAAAAO&#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1"/>
          <w:sz w:val="18"/>
        </w:rPr>
        <w:t xml:space="preserve">The concept of an Education Passport is starting to be discussed more broadly. A number of governments and </w:t>
      </w:r>
      <w:r w:rsidR="00083242">
        <w:rPr>
          <w:rFonts w:ascii="Verdana" w:eastAsia="Verdana" w:hAnsi="Verdana"/>
          <w:color w:val="404042"/>
          <w:spacing w:val="-1"/>
          <w:sz w:val="18"/>
        </w:rPr>
        <w:t xml:space="preserve">stakeholders have begun work to investigate how students can control and manage their qualifications as they </w:t>
      </w:r>
      <w:r w:rsidR="00083242">
        <w:rPr>
          <w:rFonts w:ascii="Tahoma" w:eastAsia="Tahoma" w:hAnsi="Tahoma"/>
          <w:color w:val="404042"/>
          <w:spacing w:val="-1"/>
          <w:sz w:val="18"/>
        </w:rPr>
        <w:t>progress throughout their lifelong learning journeys, starting in senior secondary school.</w:t>
      </w:r>
      <w:r w:rsidR="00083242">
        <w:rPr>
          <w:rFonts w:ascii="Tahoma" w:eastAsia="Tahoma" w:hAnsi="Tahoma"/>
          <w:color w:val="404042"/>
          <w:spacing w:val="-1"/>
          <w:sz w:val="18"/>
          <w:vertAlign w:val="superscript"/>
        </w:rPr>
        <w:t>171</w:t>
      </w:r>
      <w:r w:rsidR="00083242">
        <w:rPr>
          <w:rFonts w:ascii="Tahoma" w:eastAsia="Tahoma" w:hAnsi="Tahoma"/>
          <w:color w:val="404042"/>
          <w:spacing w:val="-1"/>
          <w:sz w:val="18"/>
        </w:rPr>
        <w:t xml:space="preserve"> A 2018 report released </w:t>
      </w:r>
      <w:r w:rsidR="00083242">
        <w:rPr>
          <w:rFonts w:ascii="Verdana" w:eastAsia="Verdana" w:hAnsi="Verdana"/>
          <w:color w:val="404042"/>
          <w:spacing w:val="-1"/>
          <w:sz w:val="18"/>
        </w:rPr>
        <w:t>by the Monash Commission recommended a lifetime learning account, linked to a Unique Student Identifier (USI) that covers education and training, acquired skills and qualifications, micro-credits and micro-credentials.</w:t>
      </w:r>
      <w:r w:rsidR="00083242">
        <w:rPr>
          <w:rFonts w:ascii="Tahoma" w:eastAsia="Tahoma" w:hAnsi="Tahoma"/>
          <w:color w:val="404042"/>
          <w:spacing w:val="-1"/>
          <w:sz w:val="18"/>
          <w:vertAlign w:val="superscript"/>
        </w:rPr>
        <w:t>172</w:t>
      </w:r>
      <w:r w:rsidR="00083242">
        <w:rPr>
          <w:rFonts w:ascii="Tahoma" w:eastAsia="Tahoma" w:hAnsi="Tahoma"/>
          <w:color w:val="404042"/>
          <w:spacing w:val="-1"/>
          <w:sz w:val="10"/>
        </w:rPr>
        <w:t xml:space="preserve"> </w:t>
      </w:r>
    </w:p>
    <w:p w14:paraId="2A5ABC2B" w14:textId="77777777" w:rsidR="009757A9" w:rsidRDefault="000D2E34">
      <w:pPr>
        <w:spacing w:before="74" w:line="167" w:lineRule="exact"/>
        <w:ind w:left="864"/>
        <w:textAlignment w:val="baseline"/>
        <w:rPr>
          <w:rFonts w:ascii="Verdana" w:eastAsia="Verdana" w:hAnsi="Verdana"/>
          <w:color w:val="404042"/>
          <w:spacing w:val="-7"/>
          <w:sz w:val="14"/>
        </w:rPr>
      </w:pPr>
      <w:r>
        <w:rPr>
          <w:noProof/>
          <w:lang w:val="en-AU" w:eastAsia="en-AU"/>
        </w:rPr>
        <mc:AlternateContent>
          <mc:Choice Requires="wps">
            <w:drawing>
              <wp:anchor distT="0" distB="0" distL="114300" distR="114300" simplePos="0" relativeHeight="251958784" behindDoc="0" locked="0" layoutInCell="1" allowOverlap="1" wp14:anchorId="145B81B6" wp14:editId="158BDC97">
                <wp:simplePos x="0" y="0"/>
                <wp:positionH relativeFrom="page">
                  <wp:posOffset>539750</wp:posOffset>
                </wp:positionH>
                <wp:positionV relativeFrom="page">
                  <wp:posOffset>8491855</wp:posOffset>
                </wp:positionV>
                <wp:extent cx="917575" cy="0"/>
                <wp:effectExtent l="0" t="0" r="0" b="0"/>
                <wp:wrapNone/>
                <wp:docPr id="491"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E7DB4" id="Line 212" o:spid="_x0000_s1026" style="position:absolute;z-index:25195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68.65pt" to="114.75pt,6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OHzgEAAIYDAAAOAAAAZHJzL2Uyb0RvYy54bWysU8Fu2zAMvQ/YPwi6L46NpV2NOD0k6y7Z&#10;FqDdBzCSHAuTRUFSYufvR8lJ2m23YT4Iokg+Pj7Sy8exN+ykfNBoG17O5pwpK1Bqe2j4j5enD584&#10;CxGsBINWNfysAn9cvX+3HFytKuzQSOUZgdhQD67hXYyuLoogOtVDmKFTlpwt+h4imf5QSA8Dofem&#10;qObzu2JAL51HoUKg183k5KuM37ZKxO9tG1RkpuHELebT53OfzmK1hPrgwXVaXGjAP7DoQVsqeoPa&#10;QAR29PovqF4LjwHbOBPYF9i2WqjcA3VTzv/o5rkDp3IvJE5wN5nC/4MV3047z7Rs+MeHkjMLPQ1p&#10;q61iVVkldQYXagpa251P/YnRPrstip+BWVx3YA8qs3w5O0osU0bxW0oygqMa++ErSoqBY8Qs1dj6&#10;PkGSCGzMEznfJqLGyAQ9PpT3i/sFZ+LqKqC+5jkf4heFPUuXhhsinXHhtA0x8YD6GpLKWHzSxuR5&#10;G8sGIlvN7xY5I6DRMnlTXPCH/dp4doK0MvnLXZHnbViC3kDoprjsmpbJ49HKXKZTID9f7hG0me5E&#10;y9iLSkmYSeI9yvPOX9WjYWf+l8VM2/TWztmvv8/qFwAAAP//AwBQSwMEFAAGAAgAAAAhAIYEk23g&#10;AAAADAEAAA8AAABkcnMvZG93bnJldi54bWxMj81OwzAQhO9IvIO1SFwQdUhaSEOcClWCG6h/qD26&#10;8ZJExOsodpvw9iwHBMedHc18ky9G24oz9r5xpOBuEoFAKp1pqFKw2z7fpiB80GR06wgVfKGHRXF5&#10;kevMuIHWeN6ESnAI+UwrqEPoMil9WaPVfuI6JP59uN7qwGdfSdPrgcNtK+MoupdWN8QNte5wWWP5&#10;uTlZBVJG6XR83w+v0xufNodldXh5Wyl1fTU+PYIIOIY/M/zgMzoUzHR0JzJetArSGU8JrCfJQwKC&#10;HXE8n4E4/kqyyOX/EcU3AAAA//8DAFBLAQItABQABgAIAAAAIQC2gziS/gAAAOEBAAATAAAAAAAA&#10;AAAAAAAAAAAAAABbQ29udGVudF9UeXBlc10ueG1sUEsBAi0AFAAGAAgAAAAhADj9If/WAAAAlAEA&#10;AAsAAAAAAAAAAAAAAAAALwEAAF9yZWxzLy5yZWxzUEsBAi0AFAAGAAgAAAAhAFToQ4fOAQAAhgMA&#10;AA4AAAAAAAAAAAAAAAAALgIAAGRycy9lMm9Eb2MueG1sUEsBAi0AFAAGAAgAAAAhAIYEk23gAAAA&#10;DAEAAA8AAAAAAAAAAAAAAAAAKAQAAGRycy9kb3ducmV2LnhtbFBLBQYAAAAABAAEAPMAAAA1BQAA&#10;AAA=&#10;" strokeweight=".95pt">
                <w10:wrap anchorx="page" anchory="page"/>
              </v:line>
            </w:pict>
          </mc:Fallback>
        </mc:AlternateContent>
      </w:r>
      <w:r w:rsidR="00083242">
        <w:rPr>
          <w:rFonts w:ascii="Verdana" w:eastAsia="Verdana" w:hAnsi="Verdana"/>
          <w:color w:val="404042"/>
          <w:spacing w:val="-7"/>
          <w:sz w:val="14"/>
        </w:rPr>
        <w:t>169 AlphaBeta (2018), p. 8.</w:t>
      </w:r>
    </w:p>
    <w:p w14:paraId="75F19176" w14:textId="77777777" w:rsidR="009757A9" w:rsidRDefault="00083242">
      <w:pPr>
        <w:spacing w:before="6" w:line="199" w:lineRule="exact"/>
        <w:ind w:left="1080" w:right="864" w:hanging="216"/>
        <w:jc w:val="both"/>
        <w:textAlignment w:val="baseline"/>
        <w:rPr>
          <w:rFonts w:ascii="Tahoma" w:eastAsia="Tahoma" w:hAnsi="Tahoma"/>
          <w:color w:val="404042"/>
          <w:sz w:val="14"/>
        </w:rPr>
      </w:pPr>
      <w:r>
        <w:rPr>
          <w:rFonts w:ascii="Tahoma" w:eastAsia="Tahoma" w:hAnsi="Tahoma"/>
          <w:color w:val="404042"/>
          <w:sz w:val="14"/>
        </w:rPr>
        <w:t xml:space="preserve">170 Hart Research Associates (2013), It Takes More Than a Major: Employer priorities for college learning and student success, Association of American </w:t>
      </w:r>
      <w:r>
        <w:rPr>
          <w:rFonts w:ascii="Verdana" w:eastAsia="Verdana" w:hAnsi="Verdana"/>
          <w:color w:val="404042"/>
          <w:sz w:val="14"/>
        </w:rPr>
        <w:t xml:space="preserve">Colleges and Universities, 10 April 2013, p. 3, </w:t>
      </w:r>
      <w:hyperlink r:id="rId250">
        <w:r>
          <w:rPr>
            <w:rFonts w:ascii="Verdana" w:eastAsia="Verdana" w:hAnsi="Verdana"/>
            <w:color w:val="0000FF"/>
            <w:sz w:val="14"/>
            <w:u w:val="single"/>
          </w:rPr>
          <w:t>https://www.aacu.org/sites/default/files/files/LEAP/2013_EmployerSurvey.pdf</w:t>
        </w:r>
      </w:hyperlink>
      <w:r>
        <w:rPr>
          <w:rFonts w:ascii="Tahoma" w:eastAsia="Tahoma" w:hAnsi="Tahoma"/>
          <w:color w:val="404042"/>
          <w:sz w:val="14"/>
        </w:rPr>
        <w:t>.</w:t>
      </w:r>
    </w:p>
    <w:p w14:paraId="4F6665E2" w14:textId="77777777" w:rsidR="009757A9" w:rsidRDefault="00083242">
      <w:pPr>
        <w:spacing w:before="30" w:line="167" w:lineRule="exact"/>
        <w:ind w:left="864"/>
        <w:textAlignment w:val="baseline"/>
        <w:rPr>
          <w:rFonts w:ascii="Tahoma" w:eastAsia="Tahoma" w:hAnsi="Tahoma"/>
          <w:color w:val="404042"/>
          <w:spacing w:val="6"/>
          <w:sz w:val="14"/>
        </w:rPr>
      </w:pPr>
      <w:r>
        <w:rPr>
          <w:rFonts w:ascii="Tahoma" w:eastAsia="Tahoma" w:hAnsi="Tahoma"/>
          <w:color w:val="404042"/>
          <w:spacing w:val="6"/>
          <w:sz w:val="14"/>
        </w:rPr>
        <w:t>171 Universities Admissions Centre submission.</w:t>
      </w:r>
    </w:p>
    <w:p w14:paraId="265F7F6C" w14:textId="77777777" w:rsidR="009757A9" w:rsidRDefault="00083242">
      <w:pPr>
        <w:spacing w:before="9" w:line="199" w:lineRule="exact"/>
        <w:ind w:left="1080" w:right="864" w:hanging="216"/>
        <w:jc w:val="both"/>
        <w:textAlignment w:val="baseline"/>
        <w:rPr>
          <w:rFonts w:ascii="Tahoma" w:eastAsia="Tahoma" w:hAnsi="Tahoma"/>
          <w:color w:val="404042"/>
          <w:sz w:val="14"/>
        </w:rPr>
      </w:pPr>
      <w:r>
        <w:rPr>
          <w:rFonts w:ascii="Tahoma" w:eastAsia="Tahoma" w:hAnsi="Tahoma"/>
          <w:color w:val="404042"/>
          <w:sz w:val="14"/>
        </w:rPr>
        <w:t xml:space="preserve">172 Monash Commission (2018), </w:t>
      </w:r>
      <w:r>
        <w:rPr>
          <w:rFonts w:ascii="Arial" w:eastAsia="Arial" w:hAnsi="Arial"/>
          <w:i/>
          <w:color w:val="404042"/>
          <w:sz w:val="14"/>
        </w:rPr>
        <w:t>Three Recommendations for Renewal of Post-Compulsory Education in Australia: The report of the 2018 Monash Commission</w:t>
      </w:r>
      <w:r>
        <w:rPr>
          <w:rFonts w:ascii="Tahoma" w:eastAsia="Tahoma" w:hAnsi="Tahoma"/>
          <w:color w:val="404042"/>
          <w:sz w:val="14"/>
        </w:rPr>
        <w:t xml:space="preserve">, </w:t>
      </w:r>
      <w:r>
        <w:rPr>
          <w:rFonts w:ascii="Verdana" w:eastAsia="Verdana" w:hAnsi="Verdana"/>
          <w:color w:val="404042"/>
          <w:sz w:val="14"/>
        </w:rPr>
        <w:t xml:space="preserve">Monash University, p. 16, </w:t>
      </w:r>
      <w:hyperlink r:id="rId251">
        <w:r>
          <w:rPr>
            <w:rFonts w:ascii="Verdana" w:eastAsia="Verdana" w:hAnsi="Verdana"/>
            <w:color w:val="0000FF"/>
            <w:sz w:val="14"/>
            <w:u w:val="single"/>
          </w:rPr>
          <w:t>https://www.monash.edu/__data/assets/pdf_file/0010/1762507/19P-0131-The</w:t>
        </w:r>
      </w:hyperlink>
      <w:r>
        <w:rPr>
          <w:rFonts w:ascii="Tahoma" w:eastAsia="Tahoma" w:hAnsi="Tahoma"/>
          <w:color w:val="0000FF"/>
          <w:sz w:val="14"/>
          <w:u w:val="single"/>
        </w:rPr>
        <w:t>-Monash-Commission-24p</w:t>
      </w:r>
      <w:r>
        <w:rPr>
          <w:rFonts w:ascii="Verdana" w:eastAsia="Verdana" w:hAnsi="Verdana"/>
          <w:color w:val="0000FF"/>
          <w:sz w:val="14"/>
          <w:u w:val="single"/>
        </w:rPr>
        <w:t>-fi</w:t>
      </w:r>
      <w:r>
        <w:rPr>
          <w:rFonts w:ascii="Tahoma" w:eastAsia="Tahoma" w:hAnsi="Tahoma"/>
          <w:color w:val="0000FF"/>
          <w:sz w:val="14"/>
          <w:u w:val="single"/>
        </w:rPr>
        <w:t>nal.pdf</w:t>
      </w:r>
      <w:r>
        <w:rPr>
          <w:rFonts w:ascii="Tahoma" w:eastAsia="Tahoma" w:hAnsi="Tahoma"/>
          <w:color w:val="404042"/>
          <w:sz w:val="14"/>
        </w:rPr>
        <w:t>.</w:t>
      </w:r>
    </w:p>
    <w:p w14:paraId="38A8106D" w14:textId="77777777" w:rsidR="009757A9" w:rsidRDefault="00083242">
      <w:pPr>
        <w:tabs>
          <w:tab w:val="left" w:pos="1368"/>
        </w:tabs>
        <w:spacing w:before="655" w:after="634" w:line="199" w:lineRule="exact"/>
        <w:ind w:left="864"/>
        <w:textAlignment w:val="baseline"/>
        <w:rPr>
          <w:rFonts w:ascii="Arial" w:eastAsia="Arial" w:hAnsi="Arial"/>
          <w:b/>
          <w:color w:val="5556A1"/>
          <w:spacing w:val="4"/>
          <w:sz w:val="19"/>
        </w:rPr>
      </w:pPr>
      <w:r>
        <w:rPr>
          <w:rFonts w:ascii="Arial" w:eastAsia="Arial" w:hAnsi="Arial"/>
          <w:b/>
          <w:color w:val="5556A1"/>
          <w:spacing w:val="4"/>
          <w:sz w:val="19"/>
        </w:rPr>
        <w:t>114</w:t>
      </w:r>
      <w:r>
        <w:rPr>
          <w:rFonts w:ascii="Tahoma" w:eastAsia="Tahoma" w:hAnsi="Tahoma"/>
          <w:color w:val="404042"/>
          <w:spacing w:val="4"/>
          <w:sz w:val="14"/>
        </w:rPr>
        <w:tab/>
        <w:t>Looking to the future</w:t>
      </w:r>
    </w:p>
    <w:p w14:paraId="228AF64C" w14:textId="77777777" w:rsidR="009757A9" w:rsidRDefault="00083242">
      <w:pPr>
        <w:textAlignment w:val="baseline"/>
      </w:pPr>
      <w:r>
        <w:rPr>
          <w:noProof/>
          <w:lang w:val="en-AU" w:eastAsia="en-AU"/>
        </w:rPr>
        <w:drawing>
          <wp:inline distT="0" distB="0" distL="0" distR="0" wp14:anchorId="319A4C8C" wp14:editId="07775979">
            <wp:extent cx="7562215" cy="462915"/>
            <wp:effectExtent l="0" t="0" r="0" b="0"/>
            <wp:docPr id="189" name="Picture"/>
            <wp:cNvGraphicFramePr/>
            <a:graphic xmlns:a="http://schemas.openxmlformats.org/drawingml/2006/main">
              <a:graphicData uri="http://schemas.openxmlformats.org/drawingml/2006/picture">
                <pic:pic xmlns:pic="http://schemas.openxmlformats.org/drawingml/2006/picture">
                  <pic:nvPicPr>
                    <pic:cNvPr id="189" name="Picture"/>
                    <pic:cNvPicPr preferRelativeResize="0"/>
                  </pic:nvPicPr>
                  <pic:blipFill>
                    <a:blip r:embed="rId168"/>
                    <a:stretch>
                      <a:fillRect/>
                    </a:stretch>
                  </pic:blipFill>
                  <pic:spPr>
                    <a:xfrm>
                      <a:off x="0" y="0"/>
                      <a:ext cx="7562215" cy="462915"/>
                    </a:xfrm>
                    <a:prstGeom prst="rect">
                      <a:avLst/>
                    </a:prstGeom>
                  </pic:spPr>
                </pic:pic>
              </a:graphicData>
            </a:graphic>
          </wp:inline>
        </w:drawing>
      </w:r>
    </w:p>
    <w:p w14:paraId="48178D23" w14:textId="77777777" w:rsidR="009757A9" w:rsidRDefault="009757A9">
      <w:pPr>
        <w:sectPr w:rsidR="009757A9">
          <w:pgSz w:w="11909" w:h="16838"/>
          <w:pgMar w:top="1100" w:right="0" w:bottom="0" w:left="0" w:header="720" w:footer="720" w:gutter="0"/>
          <w:cols w:space="720"/>
        </w:sectPr>
      </w:pPr>
    </w:p>
    <w:p w14:paraId="4A8E5526"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643392" behindDoc="1" locked="0" layoutInCell="1" allowOverlap="1" wp14:anchorId="08B03CCB" wp14:editId="6C18F64F">
                <wp:simplePos x="0" y="0"/>
                <wp:positionH relativeFrom="page">
                  <wp:posOffset>0</wp:posOffset>
                </wp:positionH>
                <wp:positionV relativeFrom="page">
                  <wp:posOffset>0</wp:posOffset>
                </wp:positionV>
                <wp:extent cx="7562215" cy="10692130"/>
                <wp:effectExtent l="0" t="0" r="0" b="0"/>
                <wp:wrapSquare wrapText="bothSides"/>
                <wp:docPr id="490"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5D607" w14:textId="77777777" w:rsidR="00490F33" w:rsidRDefault="00490F33">
                            <w:pPr>
                              <w:textAlignment w:val="baseline"/>
                            </w:pPr>
                            <w:r>
                              <w:rPr>
                                <w:noProof/>
                                <w:lang w:val="en-AU" w:eastAsia="en-AU"/>
                              </w:rPr>
                              <w:drawing>
                                <wp:inline distT="0" distB="0" distL="0" distR="0" wp14:anchorId="65109C43" wp14:editId="77163FB5">
                                  <wp:extent cx="7562215" cy="10692130"/>
                                  <wp:effectExtent l="0" t="0" r="0" b="0"/>
                                  <wp:docPr id="190" name="Picture" descr="Illustrates the tertiary learning repository triangle, showing that transcripts under the AQF are already in the market, however there are additional requirements that are non-AQF: micro-credentials, soft skills and industry training."/>
                                  <wp:cNvGraphicFramePr/>
                                  <a:graphic xmlns:a="http://schemas.openxmlformats.org/drawingml/2006/main">
                                    <a:graphicData uri="http://schemas.openxmlformats.org/drawingml/2006/picture">
                                      <pic:pic xmlns:pic="http://schemas.openxmlformats.org/drawingml/2006/picture">
                                        <pic:nvPicPr>
                                          <pic:cNvPr id="190" name="Picture" descr="Illustrates the tertiary learning repository triangle, showing that transcripts under the AQF are already in the market, however there are additional requirements that are non-AQF: micro-credentials, soft skills and industry training."/>
                                          <pic:cNvPicPr preferRelativeResize="0"/>
                                        </pic:nvPicPr>
                                        <pic:blipFill>
                                          <a:blip r:embed="rId252"/>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03CCB" id="Text Box 211" o:spid="_x0000_s1313" type="#_x0000_t202" style="position:absolute;margin-left:0;margin-top:0;width:595.45pt;height:841.9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b88gEAAMUDAAAOAAAAZHJzL2Uyb0RvYy54bWysU9tu1DAQfUfiHyy/s7lAt2202aq0KkIq&#10;BantBziOk1gkHjP2brJ8PWNnsxT6hnixxuPx8TlnxpuraejZXqHTYEqerVLOlJFQa9OW/Pnp7t0F&#10;Z84LU4sejCr5QTl+tX37ZjPaQuXQQV8rZARiXDHaknfe2yJJnOzUINwKrDJ02AAOwtMW26RGMRL6&#10;0Cd5mq6TEbC2CFI5R9nb+ZBvI37TKOm/No1TnvUlJ24+rhjXKqzJdiOKFoXttDzSEP/AYhDa0KMn&#10;qFvhBduhfgU1aIngoPErCUMCTaOlihpITZb+peaxE1ZFLWSOsyeb3P+DlQ/7b8h0XfIPl+SPEQM1&#10;6UlNnn2EieVZFhwarSuo8NFSqZ/ogDod1Tp7D/K7YwZuOmFadY0IY6dETQzjzeTF1RnHBZBq/AI1&#10;PSR2HiLQ1OAQ7CNDGKETk8OpO4GMpOT52TrPszPOJJ1l6foyz97HBiaiWO5bdP6TgoGFoORI/Y/4&#10;Yn/vPCmh0qUkPGfgTvd9nIHe/JGgwpCJ/APlmbyfqimalV+cL8ZUUB9IEsI8W/QXKOgAf3I20lyV&#10;3P3YCVSc9Z8N2RKGcAlwCaolEEbS1ZJ7zubwxs/DurOo246QZ+MNXJN1jY6agscziyNhmpUo9TjX&#10;YRhf7mPV79+3/QU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G4+ZvzyAQAAxQMAAA4AAAAAAAAAAAAAAAAALgIAAGRycy9l&#10;Mm9Eb2MueG1sUEsBAi0AFAAGAAgAAAAhAHsiySLdAAAABwEAAA8AAAAAAAAAAAAAAAAATAQAAGRy&#10;cy9kb3ducmV2LnhtbFBLBQYAAAAABAAEAPMAAABWBQAAAAA=&#10;" filled="f" stroked="f">
                <v:textbox inset="0,0,0,0">
                  <w:txbxContent>
                    <w:p w14:paraId="5535D607" w14:textId="77777777" w:rsidR="00490F33" w:rsidRDefault="00490F33">
                      <w:pPr>
                        <w:textAlignment w:val="baseline"/>
                      </w:pPr>
                      <w:r>
                        <w:rPr>
                          <w:noProof/>
                          <w:lang w:val="en-AU" w:eastAsia="en-AU"/>
                        </w:rPr>
                        <w:drawing>
                          <wp:inline distT="0" distB="0" distL="0" distR="0" wp14:anchorId="65109C43" wp14:editId="77163FB5">
                            <wp:extent cx="7562215" cy="10692130"/>
                            <wp:effectExtent l="0" t="0" r="0" b="0"/>
                            <wp:docPr id="190" name="Picture" descr="Illustrates the tertiary learning repository triangle, showing that transcripts under the AQF are already in the market, however there are additional requirements that are non-AQF: micro-credentials, soft skills and industry training."/>
                            <wp:cNvGraphicFramePr/>
                            <a:graphic xmlns:a="http://schemas.openxmlformats.org/drawingml/2006/main">
                              <a:graphicData uri="http://schemas.openxmlformats.org/drawingml/2006/picture">
                                <pic:pic xmlns:pic="http://schemas.openxmlformats.org/drawingml/2006/picture">
                                  <pic:nvPicPr>
                                    <pic:cNvPr id="190" name="Picture" descr="Illustrates the tertiary learning repository triangle, showing that transcripts under the AQF are already in the market, however there are additional requirements that are non-AQF: micro-credentials, soft skills and industry training."/>
                                    <pic:cNvPicPr preferRelativeResize="0"/>
                                  </pic:nvPicPr>
                                  <pic:blipFill>
                                    <a:blip r:embed="rId252"/>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4416" behindDoc="1" locked="0" layoutInCell="1" allowOverlap="1" wp14:anchorId="14AE283E" wp14:editId="784A8998">
                <wp:simplePos x="0" y="0"/>
                <wp:positionH relativeFrom="page">
                  <wp:posOffset>4163695</wp:posOffset>
                </wp:positionH>
                <wp:positionV relativeFrom="page">
                  <wp:posOffset>953770</wp:posOffset>
                </wp:positionV>
                <wp:extent cx="2380615" cy="1371600"/>
                <wp:effectExtent l="0" t="0" r="0" b="0"/>
                <wp:wrapSquare wrapText="bothSides"/>
                <wp:docPr id="48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61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A43E3"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As demand grows for micro-credential and soft skills study, there is a need to develop a system for reporting, compiling and sharing these credentials. As such, the TLR will aim to include non AQF credentials, such as soft skills and micro-credentials, to help demonstrate a student’s full learnings and capabilities gained throughout their entire tertiary education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E283E" id="Text Box 210" o:spid="_x0000_s1314" type="#_x0000_t202" style="position:absolute;margin-left:327.85pt;margin-top:75.1pt;width:187.45pt;height:108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9q9AEAAMQDAAAOAAAAZHJzL2Uyb0RvYy54bWysU9tu2zAMfR+wfxD0vthOtywz4hRdiw4D&#10;ugvQ7gMYWY6F2aJGKbGzrx8lJ2m7vg17ESiKOjrnkFpdjn0n9pq8QVvJYpZLoa3C2thtJX883L5Z&#10;SuED2Bo6tLqSB+3l5fr1q9XgSj3HFrtak2AQ68vBVbINwZVZ5lWre/AzdNryYYPUQ+AtbbOaYGD0&#10;vsvmeb7IBqTaESrtPWdvpkO5TvhNo1X41jReB9FVkrmFtFJaN3HN1isotwSuNepIA/6BRQ/G8qNn&#10;qBsIIHZkXkD1RhF6bMJMYZ9h0xilkwZWU+R/qblvwemkhc3x7myT/3+w6uv+OwlTV/Lt8oMUFnpu&#10;0oMeg/iIo5gXyaHB+ZIL7x2XhpEPuNNJrXd3qH56YfG6BbvVV0Q4tBpqZlhEb7MnV2NPfOkjyGb4&#10;gjU/BLuACWhsqI/2sSGC0blTh3N3IhnFyfnFMl8U76RQfFZcvC8WeWKXQXm67siHTxp7EYNKErc/&#10;wcP+zodIB8pTSXzN4q3pujQCnX2W4MKYSfQj44l7GDdj8mq+XEZ1Uc8G6wMrIpxGi78CBy3SbykG&#10;HqtK+l87IC1F99myK3EGTwGdgs0pAKv4aiWDFFN4HaZZ3Tky25aRJ98tXrFzjUmaHlkcCfOoJKnH&#10;sY6z+HSfqh4/3/oPAAAA//8DAFBLAwQUAAYACAAAACEA8NXjnuAAAAAMAQAADwAAAGRycy9kb3du&#10;cmV2LnhtbEyPwU7DMBBE70j8g7VI3KhNqhiaxqkqBCckRBoOHJ1km1iN1yF22/D3uCd6XM3TzNt8&#10;M9uBnXDyxpGCx4UAhtS41lCn4Kt6e3gG5oOmVg+OUMEvetgUtze5zlp3phJPu9CxWEI+0wr6EMaM&#10;c9/0aLVfuBEpZns3WR3iOXW8nfQ5ltuBJ0JIbrWhuNDrEV96bA67o1Ww/aby1fx81J/lvjRVtRL0&#10;Lg9K3d/N2zWwgHP4h+GiH9WhiE61O1Lr2aBApulTRGOQigTYhRBLIYHVCpZSJsCLnF8/UfwBAAD/&#10;/wMAUEsBAi0AFAAGAAgAAAAhALaDOJL+AAAA4QEAABMAAAAAAAAAAAAAAAAAAAAAAFtDb250ZW50&#10;X1R5cGVzXS54bWxQSwECLQAUAAYACAAAACEAOP0h/9YAAACUAQAACwAAAAAAAAAAAAAAAAAvAQAA&#10;X3JlbHMvLnJlbHNQSwECLQAUAAYACAAAACEAOINfavQBAADEAwAADgAAAAAAAAAAAAAAAAAuAgAA&#10;ZHJzL2Uyb0RvYy54bWxQSwECLQAUAAYACAAAACEA8NXjnuAAAAAMAQAADwAAAAAAAAAAAAAAAABO&#10;BAAAZHJzL2Rvd25yZXYueG1sUEsFBgAAAAAEAAQA8wAAAFsFAAAAAA==&#10;" filled="f" stroked="f">
                <v:textbox inset="0,0,0,0">
                  <w:txbxContent>
                    <w:p w14:paraId="4E4A43E3"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As demand grows for micro-credential and soft skills study, there is a need to develop a system for reporting, compiling and sharing these credentials. As such, the TLR will aim to include non AQF credentials, such as soft skills and micro-credentials, to help demonstrate a student’s full learnings and capabilities gained throughout their entire tertiary education experience.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5440" behindDoc="1" locked="0" layoutInCell="1" allowOverlap="1" wp14:anchorId="5E8D7976" wp14:editId="74799DC6">
                <wp:simplePos x="0" y="0"/>
                <wp:positionH relativeFrom="page">
                  <wp:posOffset>835025</wp:posOffset>
                </wp:positionH>
                <wp:positionV relativeFrom="page">
                  <wp:posOffset>982980</wp:posOffset>
                </wp:positionV>
                <wp:extent cx="2298065" cy="1443990"/>
                <wp:effectExtent l="0" t="0" r="0" b="0"/>
                <wp:wrapSquare wrapText="bothSides"/>
                <wp:docPr id="48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144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39A9A"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6E9EE002" w14:textId="77777777" w:rsidR="00490F33" w:rsidRDefault="00490F33">
                            <w:pPr>
                              <w:spacing w:line="450" w:lineRule="exact"/>
                              <w:textAlignment w:val="baseline"/>
                              <w:rPr>
                                <w:rFonts w:ascii="Tahoma" w:eastAsia="Tahoma" w:hAnsi="Tahoma"/>
                                <w:color w:val="BF5B1F"/>
                                <w:spacing w:val="25"/>
                                <w:w w:val="90"/>
                                <w:sz w:val="38"/>
                              </w:rPr>
                            </w:pPr>
                            <w:r>
                              <w:rPr>
                                <w:rFonts w:ascii="Tahoma" w:eastAsia="Tahoma" w:hAnsi="Tahoma"/>
                                <w:color w:val="BF5B1F"/>
                                <w:spacing w:val="25"/>
                                <w:w w:val="90"/>
                                <w:sz w:val="38"/>
                              </w:rPr>
                              <w:t>THE AUSTRALIAN</w:t>
                            </w:r>
                          </w:p>
                          <w:p w14:paraId="6004934D" w14:textId="77777777" w:rsidR="00490F33" w:rsidRDefault="00490F33">
                            <w:pPr>
                              <w:spacing w:line="460" w:lineRule="exact"/>
                              <w:textAlignment w:val="baseline"/>
                              <w:rPr>
                                <w:rFonts w:ascii="Tahoma" w:eastAsia="Tahoma" w:hAnsi="Tahoma"/>
                                <w:color w:val="BF5B1F"/>
                                <w:spacing w:val="31"/>
                                <w:w w:val="90"/>
                                <w:sz w:val="38"/>
                              </w:rPr>
                            </w:pPr>
                            <w:r>
                              <w:rPr>
                                <w:rFonts w:ascii="Tahoma" w:eastAsia="Tahoma" w:hAnsi="Tahoma"/>
                                <w:color w:val="BF5B1F"/>
                                <w:spacing w:val="31"/>
                                <w:w w:val="90"/>
                                <w:sz w:val="38"/>
                              </w:rPr>
                              <w:t>GOVERNMENT’S</w:t>
                            </w:r>
                          </w:p>
                          <w:p w14:paraId="2A93E470" w14:textId="77777777" w:rsidR="00490F33" w:rsidRDefault="00490F33">
                            <w:pPr>
                              <w:spacing w:before="1" w:line="460" w:lineRule="exact"/>
                              <w:textAlignment w:val="baseline"/>
                              <w:rPr>
                                <w:rFonts w:ascii="Tahoma" w:eastAsia="Tahoma" w:hAnsi="Tahoma"/>
                                <w:color w:val="BF5B1F"/>
                                <w:spacing w:val="14"/>
                                <w:w w:val="90"/>
                                <w:sz w:val="38"/>
                              </w:rPr>
                            </w:pPr>
                            <w:r>
                              <w:rPr>
                                <w:rFonts w:ascii="Tahoma" w:eastAsia="Tahoma" w:hAnsi="Tahoma"/>
                                <w:color w:val="BF5B1F"/>
                                <w:spacing w:val="14"/>
                                <w:w w:val="90"/>
                                <w:sz w:val="38"/>
                              </w:rPr>
                              <w:t>TERTIARY LEARNING</w:t>
                            </w:r>
                          </w:p>
                          <w:p w14:paraId="06AF7302" w14:textId="77777777" w:rsidR="00490F33" w:rsidRDefault="00490F33">
                            <w:pPr>
                              <w:spacing w:before="1" w:line="454" w:lineRule="exact"/>
                              <w:textAlignment w:val="baseline"/>
                              <w:rPr>
                                <w:rFonts w:ascii="Tahoma" w:eastAsia="Tahoma" w:hAnsi="Tahoma"/>
                                <w:color w:val="BF5B1F"/>
                                <w:spacing w:val="18"/>
                                <w:w w:val="90"/>
                                <w:sz w:val="38"/>
                              </w:rPr>
                            </w:pPr>
                            <w:r>
                              <w:rPr>
                                <w:rFonts w:ascii="Tahoma" w:eastAsia="Tahoma" w:hAnsi="Tahoma"/>
                                <w:color w:val="BF5B1F"/>
                                <w:spacing w:val="18"/>
                                <w:w w:val="90"/>
                                <w:sz w:val="38"/>
                              </w:rPr>
                              <w:t>REPOSITORY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7976" id="Text Box 209" o:spid="_x0000_s1315" type="#_x0000_t202" style="position:absolute;margin-left:65.75pt;margin-top:77.4pt;width:180.95pt;height:113.7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Ro8QEAAMQDAAAOAAAAZHJzL2Uyb0RvYy54bWysU9uO0zAQfUfiHyy/06ShrNqo6WrZ1SKk&#10;hUXa5QOmjtNYJB4zdpuUr2fstGWBN8SLNZ7L8Zkz4/X12HfioMkbtJWcz3IptFVYG7ur5Nfn+zdL&#10;KXwAW0OHVlfyqL283rx+tR5cqQtssas1CQaxvhxcJdsQXJllXrW6Bz9Dpy0HG6QeAl9pl9UEA6P3&#10;XVbk+VU2INWOUGnv2Xs3BeUm4TeNVuGxabwOoqskcwvppHRu45lt1lDuCFxr1IkG/AOLHozlRy9Q&#10;dxBA7Mn8BdUbReixCTOFfYZNY5ROPXA38/yPbp5acDr1wuJ4d5HJ/z9Y9fnwhYSpK7lY8qgs9Dyk&#10;Zz0G8R5HUeSrqNDgfMmJT45Tw8gBnnTq1rsHVN+8sHjbgt3pGyIcWg01M5zHyuxF6YTjI8h2+IQ1&#10;PwT7gAlobKiP8rEggtF5UsfLdCIZxc6iWC3zq3dSKI7NF4u3q1WaXwbludyRDx809iIalSQef4KH&#10;w4MPkQ6U55T4msV703VpBTr7m4MToyfRj4wn7mHcjkmrYnnRZYv1kTsinFaLvwIbLdIPKQZeq0r6&#10;73sgLUX30bIqcQfPBp2N7dkAq7i0kkGKybwN067uHZldy8iT7hZvWLnGpJ6ixBOLE2FeldTqaa3j&#10;Lr68p6xfn2/zEwAA//8DAFBLAwQUAAYACAAAACEAwOaFneAAAAALAQAADwAAAGRycy9kb3ducmV2&#10;LnhtbEyPTU+DQBCG7yb+h82YeLNLgTYtsjSN0ZOJkeLB48JOgZSdRXbb4r93POlt3syT9yPfzXYQ&#10;F5x870jBchGBQGqc6alV8FG9PGxA+KDJ6MERKvhGD7vi9ibXmXFXKvFyCK1gE/KZVtCFMGZS+qZD&#10;q/3CjUj8O7rJ6sByaqWZ9JXN7SDjKFpLq3vihE6P+NRhczqcrYL9J5XP/ddb/V4ey76qthG9rk9K&#10;3d/N+0cQAefwB8Nvfa4OBXeq3ZmMFwPrZLlilI9VyhuYSLdJCqJWkGziGGSRy/8bih8AAAD//wMA&#10;UEsBAi0AFAAGAAgAAAAhALaDOJL+AAAA4QEAABMAAAAAAAAAAAAAAAAAAAAAAFtDb250ZW50X1R5&#10;cGVzXS54bWxQSwECLQAUAAYACAAAACEAOP0h/9YAAACUAQAACwAAAAAAAAAAAAAAAAAvAQAAX3Jl&#10;bHMvLnJlbHNQSwECLQAUAAYACAAAACEAszSUaPEBAADEAwAADgAAAAAAAAAAAAAAAAAuAgAAZHJz&#10;L2Uyb0RvYy54bWxQSwECLQAUAAYACAAAACEAwOaFneAAAAALAQAADwAAAAAAAAAAAAAAAABLBAAA&#10;ZHJzL2Rvd25yZXYueG1sUEsFBgAAAAAEAAQA8wAAAFgFAAAAAA==&#10;" filled="f" stroked="f">
                <v:textbox inset="0,0,0,0">
                  <w:txbxContent>
                    <w:p w14:paraId="39939A9A"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6E9EE002" w14:textId="77777777" w:rsidR="00490F33" w:rsidRDefault="00490F33">
                      <w:pPr>
                        <w:spacing w:line="450" w:lineRule="exact"/>
                        <w:textAlignment w:val="baseline"/>
                        <w:rPr>
                          <w:rFonts w:ascii="Tahoma" w:eastAsia="Tahoma" w:hAnsi="Tahoma"/>
                          <w:color w:val="BF5B1F"/>
                          <w:spacing w:val="25"/>
                          <w:w w:val="90"/>
                          <w:sz w:val="38"/>
                        </w:rPr>
                      </w:pPr>
                      <w:r>
                        <w:rPr>
                          <w:rFonts w:ascii="Tahoma" w:eastAsia="Tahoma" w:hAnsi="Tahoma"/>
                          <w:color w:val="BF5B1F"/>
                          <w:spacing w:val="25"/>
                          <w:w w:val="90"/>
                          <w:sz w:val="38"/>
                        </w:rPr>
                        <w:t>THE AUSTRALIAN</w:t>
                      </w:r>
                    </w:p>
                    <w:p w14:paraId="6004934D" w14:textId="77777777" w:rsidR="00490F33" w:rsidRDefault="00490F33">
                      <w:pPr>
                        <w:spacing w:line="460" w:lineRule="exact"/>
                        <w:textAlignment w:val="baseline"/>
                        <w:rPr>
                          <w:rFonts w:ascii="Tahoma" w:eastAsia="Tahoma" w:hAnsi="Tahoma"/>
                          <w:color w:val="BF5B1F"/>
                          <w:spacing w:val="31"/>
                          <w:w w:val="90"/>
                          <w:sz w:val="38"/>
                        </w:rPr>
                      </w:pPr>
                      <w:r>
                        <w:rPr>
                          <w:rFonts w:ascii="Tahoma" w:eastAsia="Tahoma" w:hAnsi="Tahoma"/>
                          <w:color w:val="BF5B1F"/>
                          <w:spacing w:val="31"/>
                          <w:w w:val="90"/>
                          <w:sz w:val="38"/>
                        </w:rPr>
                        <w:t>GOVERNMENT’S</w:t>
                      </w:r>
                    </w:p>
                    <w:p w14:paraId="2A93E470" w14:textId="77777777" w:rsidR="00490F33" w:rsidRDefault="00490F33">
                      <w:pPr>
                        <w:spacing w:before="1" w:line="460" w:lineRule="exact"/>
                        <w:textAlignment w:val="baseline"/>
                        <w:rPr>
                          <w:rFonts w:ascii="Tahoma" w:eastAsia="Tahoma" w:hAnsi="Tahoma"/>
                          <w:color w:val="BF5B1F"/>
                          <w:spacing w:val="14"/>
                          <w:w w:val="90"/>
                          <w:sz w:val="38"/>
                        </w:rPr>
                      </w:pPr>
                      <w:r>
                        <w:rPr>
                          <w:rFonts w:ascii="Tahoma" w:eastAsia="Tahoma" w:hAnsi="Tahoma"/>
                          <w:color w:val="BF5B1F"/>
                          <w:spacing w:val="14"/>
                          <w:w w:val="90"/>
                          <w:sz w:val="38"/>
                        </w:rPr>
                        <w:t>TERTIARY LEARNING</w:t>
                      </w:r>
                    </w:p>
                    <w:p w14:paraId="06AF7302" w14:textId="77777777" w:rsidR="00490F33" w:rsidRDefault="00490F33">
                      <w:pPr>
                        <w:spacing w:before="1" w:line="454" w:lineRule="exact"/>
                        <w:textAlignment w:val="baseline"/>
                        <w:rPr>
                          <w:rFonts w:ascii="Tahoma" w:eastAsia="Tahoma" w:hAnsi="Tahoma"/>
                          <w:color w:val="BF5B1F"/>
                          <w:spacing w:val="18"/>
                          <w:w w:val="90"/>
                          <w:sz w:val="38"/>
                        </w:rPr>
                      </w:pPr>
                      <w:r>
                        <w:rPr>
                          <w:rFonts w:ascii="Tahoma" w:eastAsia="Tahoma" w:hAnsi="Tahoma"/>
                          <w:color w:val="BF5B1F"/>
                          <w:spacing w:val="18"/>
                          <w:w w:val="90"/>
                          <w:sz w:val="38"/>
                        </w:rPr>
                        <w:t>REPOSITORY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6464" behindDoc="1" locked="0" layoutInCell="1" allowOverlap="1" wp14:anchorId="78A6A312" wp14:editId="2BCAEA58">
                <wp:simplePos x="0" y="0"/>
                <wp:positionH relativeFrom="page">
                  <wp:posOffset>905510</wp:posOffset>
                </wp:positionH>
                <wp:positionV relativeFrom="page">
                  <wp:posOffset>2587625</wp:posOffset>
                </wp:positionV>
                <wp:extent cx="2493010" cy="2286000"/>
                <wp:effectExtent l="0" t="0" r="0" b="0"/>
                <wp:wrapSquare wrapText="bothSides"/>
                <wp:docPr id="48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5D702"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Recognised learning is relied upon for job growth, upskilling, reskilling and providing Australians with the ability to gain and maintain meaningful employment. As technology advances and digital innovations revolutionise everything from daily routine tasks to complex multinational business, workforce education expectations quickly evolve. Employees will need to engage in lifelong learning to earn the required skills to match the evolving workforce. The tertiary education system has a key role in enabling this lifelong learning journey and ensuring the workforce of the future continues to evolve with the dynamic shifts in the labour market.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6A312" id="Text Box 208" o:spid="_x0000_s1316" type="#_x0000_t202" style="position:absolute;margin-left:71.3pt;margin-top:203.75pt;width:196.3pt;height:180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e88QEAAMQDAAAOAAAAZHJzL2Uyb0RvYy54bWysU9tu2zAMfR+wfxD0vtjxii414hRdiw4D&#10;ugvQ7gMYWY6F2aJGKbGzrx8lx2m3vQ17ESiJOjznkFpfj30nDpq8QVvJ5SKXQluFtbG7Sn57un+z&#10;ksIHsDV0aHUlj9rL683rV+vBlbrAFrtak2AQ68vBVbINwZVZ5lWre/ALdNryZYPUQ+At7bKaYGD0&#10;vsuKPL/MBqTaESrtPZ/eTZdyk/CbRqvwpWm8DqKrJHMLaaW0buOabdZQ7ghca9SJBvwDix6M5aJn&#10;qDsIIPZk/oLqjSL02ISFwj7DpjFKJw2sZpn/oeaxBaeTFjbHu7NN/v/Bqs+HryRMXcmL1TspLPTc&#10;pCc9BvEeR1Hkq+jQ4HzJiY+OU8PIF9zppNa7B1TfvbB424Ld6RsiHFoNNTNcxpfZi6cTjo8g2+ET&#10;1lwI9gET0NhQH+1jQwSjc6eO5+5EMooPi4urt+yRFIrvimJ1meepfxmU83NHPnzQ2IsYVJK4/Qke&#10;Dg8+RDpQzimxmsV703VpBDr72wEnxpNEPzKeuIdxOyaviqtUOYrbYn1kRYTTaPFX4KBF+inFwGNV&#10;Sf9jD6Sl6D5adiXO4BzQHGznAKzip5UMUkzhbZhmde/I7FpGnny3eMPONSZpemZxIsyjkqSexjrO&#10;4st9ynr+fJtfAAAA//8DAFBLAwQUAAYACAAAACEAUOXijeAAAAALAQAADwAAAGRycy9kb3ducmV2&#10;LnhtbEyPwU7DMAyG70i8Q2QkbiyhrB2UptOE4IQ00ZUDx7TJ2miNU5psK28/c4Ljb3/6/blYz25g&#10;JzMF61HC/UIAM9h6bbGT8Fm/3T0CC1GhVoNHI+HHBFiX11eFyrU/Y2VOu9gxKsGQKwl9jGPOeWh7&#10;41RY+NEg7fZ+cipSnDquJ3WmcjfwRIiMO2WRLvRqNC+9aQ+7o5Ow+cLq1X5vm49qX9m6fhL4nh2k&#10;vL2ZN8/AopnjHwy/+qQOJTk1/og6sIHyMskIlbAUqxQYEelDmgBrJKwymvCy4P9/KC8AAAD//wMA&#10;UEsBAi0AFAAGAAgAAAAhALaDOJL+AAAA4QEAABMAAAAAAAAAAAAAAAAAAAAAAFtDb250ZW50X1R5&#10;cGVzXS54bWxQSwECLQAUAAYACAAAACEAOP0h/9YAAACUAQAACwAAAAAAAAAAAAAAAAAvAQAAX3Jl&#10;bHMvLnJlbHNQSwECLQAUAAYACAAAACEATPEnvPEBAADEAwAADgAAAAAAAAAAAAAAAAAuAgAAZHJz&#10;L2Uyb0RvYy54bWxQSwECLQAUAAYACAAAACEAUOXijeAAAAALAQAADwAAAAAAAAAAAAAAAABLBAAA&#10;ZHJzL2Rvd25yZXYueG1sUEsFBgAAAAAEAAQA8wAAAFgFAAAAAA==&#10;" filled="f" stroked="f">
                <v:textbox inset="0,0,0,0">
                  <w:txbxContent>
                    <w:p w14:paraId="72E5D702"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Recognised learning is relied upon for job growth, upskilling, reskilling and providing Australians with the ability to gain and maintain meaningful employment. As technology advances and digital innovations revolutionise everything from daily routine tasks to complex multinational business, workforce education expectations quickly evolve. Employees will need to engage in lifelong learning to earn the required skills to match the evolving workforce. The tertiary education system has a key role in enabling this lifelong learning journey and ensuring the workforce of the future continues to evolve with the dynamic shifts in the labour market.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7488" behindDoc="1" locked="0" layoutInCell="1" allowOverlap="1" wp14:anchorId="228CEEBD" wp14:editId="13AF880D">
                <wp:simplePos x="0" y="0"/>
                <wp:positionH relativeFrom="page">
                  <wp:posOffset>4163695</wp:posOffset>
                </wp:positionH>
                <wp:positionV relativeFrom="page">
                  <wp:posOffset>2432050</wp:posOffset>
                </wp:positionV>
                <wp:extent cx="2289175" cy="1066800"/>
                <wp:effectExtent l="0" t="0" r="0" b="0"/>
                <wp:wrapSquare wrapText="bothSides"/>
                <wp:docPr id="48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CD9A5" w14:textId="77777777" w:rsidR="00490F33" w:rsidRDefault="00490F33">
                            <w:pPr>
                              <w:spacing w:line="238" w:lineRule="exact"/>
                              <w:textAlignment w:val="baseline"/>
                              <w:rPr>
                                <w:rFonts w:ascii="Tahoma" w:eastAsia="Tahoma" w:hAnsi="Tahoma"/>
                                <w:color w:val="414042"/>
                                <w:sz w:val="18"/>
                              </w:rPr>
                            </w:pPr>
                            <w:r>
                              <w:rPr>
                                <w:rFonts w:ascii="Tahoma" w:eastAsia="Tahoma" w:hAnsi="Tahoma"/>
                                <w:color w:val="414042"/>
                                <w:sz w:val="18"/>
                              </w:rPr>
                              <w:t xml:space="preserve">The government is undertaking user research throughout 2020 to identify and understand user needs and expectations, </w:t>
                            </w:r>
                            <w:r>
                              <w:rPr>
                                <w:rFonts w:ascii="Verdana" w:eastAsia="Verdana" w:hAnsi="Verdana"/>
                                <w:color w:val="414042"/>
                                <w:sz w:val="17"/>
                              </w:rPr>
                              <w:t xml:space="preserve">and how the TLR can best provide verified online education qualifications to support </w:t>
                            </w:r>
                            <w:r>
                              <w:rPr>
                                <w:rFonts w:ascii="Tahoma" w:eastAsia="Tahoma" w:hAnsi="Tahoma"/>
                                <w:color w:val="414042"/>
                                <w:sz w:val="18"/>
                              </w:rPr>
                              <w:t>students and graduates gain and maintain meaningful 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CEEBD" id="Text Box 207" o:spid="_x0000_s1317" type="#_x0000_t202" style="position:absolute;margin-left:327.85pt;margin-top:191.5pt;width:180.25pt;height:84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4O8gEAAMQDAAAOAAAAZHJzL2Uyb0RvYy54bWysU9tu2zAMfR+wfxD0vtgxtjQ14hRdiw4D&#10;ugvQ7gMYWY6F2aJGKbGzrx8lJ2m3vRV9ESiKOjrnkFpdjX0n9pq8QVvJ+SyXQluFtbHbSv54vHu3&#10;lMIHsDV0aHUlD9rLq/XbN6vBlbrAFrtak2AQ68vBVbINwZVZ5lWre/AzdNryYYPUQ+AtbbOaYGD0&#10;vsuKPF9kA1LtCJX2nrO306FcJ/ym0Sp8axqvg+gqydxCWimtm7hm6xWUWwLXGnWkAS9g0YOx/OgZ&#10;6hYCiB2Z/6B6owg9NmGmsM+waYzSSQOrmef/qHlowemkhc3x7myTfz1Y9XX/nYSpK/l+uZDCQs9N&#10;etRjEB9xFEV+ER0anC+58MFxaRj5gDud1Hp3j+qnFxZvWrBbfU2EQ6uhZobzeDN7dnXC8RFkM3zB&#10;mh+CXcAENDbUR/vYEMHo3KnDuTuRjOJkUSwv5xcfpFB8Ns8Xi2We+pdBebruyIdPGnsRg0oStz/B&#10;w/7eh0gHylNJfM3inem6NAKd/SvBhTGT6EfGE/cwbsbkVXGZ1EVxG6wPrIhwGi3+Chy0SL+lGHis&#10;Kul/7YC0FN1ny67EGTwFdAo2pwCs4quVDFJM4U2YZnXnyGxbRp58t3jNzjUmaXpicSTMo5KkHsc6&#10;zuLzfap6+nzrPwAAAP//AwBQSwMEFAAGAAgAAAAhABbZmPDhAAAADAEAAA8AAABkcnMvZG93bnJl&#10;di54bWxMj8FOwzAQRO9I/IO1SNyonVYJJcSpKgQnJEQaDhydeJtYjdchdtvw97gnelzt08ybYjPb&#10;gZ1w8saRhGQhgCG1ThvqJHzVbw9rYD4o0mpwhBJ+0cOmvL0pVK7dmSo87ULHYgj5XEnoQxhzzn3b&#10;o1V+4Uak+Nu7yaoQz6njelLnGG4HvhQi41YZig29GvGlx/awO1oJ22+qXs3PR/NZ7StT10+C3rOD&#10;lPd38/YZWMA5/MNw0Y/qUEanxh1JezZIyNL0MaISVutVHHUhRJItgTUS0jQRwMuCX48o/wAAAP//&#10;AwBQSwECLQAUAAYACAAAACEAtoM4kv4AAADhAQAAEwAAAAAAAAAAAAAAAAAAAAAAW0NvbnRlbnRf&#10;VHlwZXNdLnhtbFBLAQItABQABgAIAAAAIQA4/SH/1gAAAJQBAAALAAAAAAAAAAAAAAAAAC8BAABf&#10;cmVscy8ucmVsc1BLAQItABQABgAIAAAAIQDRdT4O8gEAAMQDAAAOAAAAAAAAAAAAAAAAAC4CAABk&#10;cnMvZTJvRG9jLnhtbFBLAQItABQABgAIAAAAIQAW2Zjw4QAAAAwBAAAPAAAAAAAAAAAAAAAAAEwE&#10;AABkcnMvZG93bnJldi54bWxQSwUGAAAAAAQABADzAAAAWgUAAAAA&#10;" filled="f" stroked="f">
                <v:textbox inset="0,0,0,0">
                  <w:txbxContent>
                    <w:p w14:paraId="331CD9A5" w14:textId="77777777" w:rsidR="00490F33" w:rsidRDefault="00490F33">
                      <w:pPr>
                        <w:spacing w:line="238" w:lineRule="exact"/>
                        <w:textAlignment w:val="baseline"/>
                        <w:rPr>
                          <w:rFonts w:ascii="Tahoma" w:eastAsia="Tahoma" w:hAnsi="Tahoma"/>
                          <w:color w:val="414042"/>
                          <w:sz w:val="18"/>
                        </w:rPr>
                      </w:pPr>
                      <w:r>
                        <w:rPr>
                          <w:rFonts w:ascii="Tahoma" w:eastAsia="Tahoma" w:hAnsi="Tahoma"/>
                          <w:color w:val="414042"/>
                          <w:sz w:val="18"/>
                        </w:rPr>
                        <w:t xml:space="preserve">The government is undertaking user research throughout 2020 to identify and understand user needs and expectations, </w:t>
                      </w:r>
                      <w:r>
                        <w:rPr>
                          <w:rFonts w:ascii="Verdana" w:eastAsia="Verdana" w:hAnsi="Verdana"/>
                          <w:color w:val="414042"/>
                          <w:sz w:val="17"/>
                        </w:rPr>
                        <w:t xml:space="preserve">and how the TLR can best provide verified online education qualifications to support </w:t>
                      </w:r>
                      <w:r>
                        <w:rPr>
                          <w:rFonts w:ascii="Tahoma" w:eastAsia="Tahoma" w:hAnsi="Tahoma"/>
                          <w:color w:val="414042"/>
                          <w:sz w:val="18"/>
                        </w:rPr>
                        <w:t>students and graduates gain and maintain meaningful employment.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8512" behindDoc="1" locked="0" layoutInCell="1" allowOverlap="1" wp14:anchorId="500327D3" wp14:editId="241B9FF9">
                <wp:simplePos x="0" y="0"/>
                <wp:positionH relativeFrom="page">
                  <wp:posOffset>4163695</wp:posOffset>
                </wp:positionH>
                <wp:positionV relativeFrom="page">
                  <wp:posOffset>3605530</wp:posOffset>
                </wp:positionV>
                <wp:extent cx="2438400" cy="1371600"/>
                <wp:effectExtent l="0" t="0" r="0" b="0"/>
                <wp:wrapSquare wrapText="bothSides"/>
                <wp:docPr id="48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04DEE" w14:textId="77777777" w:rsidR="00490F33" w:rsidRDefault="00490F33">
                            <w:pPr>
                              <w:spacing w:line="239" w:lineRule="exact"/>
                              <w:textAlignment w:val="baseline"/>
                              <w:rPr>
                                <w:rFonts w:ascii="Tahoma" w:eastAsia="Tahoma" w:hAnsi="Tahoma"/>
                                <w:color w:val="414042"/>
                                <w:spacing w:val="5"/>
                                <w:sz w:val="18"/>
                              </w:rPr>
                            </w:pPr>
                            <w:r>
                              <w:rPr>
                                <w:rFonts w:ascii="Tahoma" w:eastAsia="Tahoma" w:hAnsi="Tahoma"/>
                                <w:color w:val="414042"/>
                                <w:spacing w:val="5"/>
                                <w:sz w:val="18"/>
                              </w:rPr>
                              <w:t>The TLR will be a dynamic online tool, providing individuals with a comprehensive, accredited and secure source to compile, display and share their learnings and achievements. This will support lifelong learning by encouraging students and graduates to regularly review and improve their skills to remain competitive in the job market and reach their personal career goals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327D3" id="Text Box 206" o:spid="_x0000_s1318" type="#_x0000_t202" style="position:absolute;margin-left:327.85pt;margin-top:283.9pt;width:192pt;height:108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25k8QEAAMQDAAAOAAAAZHJzL2Uyb0RvYy54bWysU9tu2zAMfR+wfxD0vvjSLMuMOEXXosOA&#10;7gK0+wBZlm1htqhRSuzs60fJcdZtb8NeBIqkDg8Pqd31NPTsqNBpMCXPVilnykiotWlL/vXp/tWW&#10;M+eFqUUPRpX8pBy/3r98sRttoXLooK8VMgIxrhhtyTvvbZEkTnZqEG4FVhkKNoCD8HTFNqlRjIQ+&#10;9EmepptkBKwtglTOkfduDvJ9xG8aJf3npnHKs77kxM3HE+NZhTPZ70TRorCdlmca4h9YDEIbKnqB&#10;uhNesAPqv6AGLREcNH4lYUigabRUsQfqJkv/6OaxE1bFXkgcZy8yuf8HKz8dvyDTdcnX29ecGTHQ&#10;kJ7U5Nk7mFieboJCo3UFJT5aSvUTBWjSsVtnH0B+c8zAbSdMq24QYeyUqIlhFl4mz57OOC6AVONH&#10;qKmQOHiIQFODQ5CPBGGETpM6XaYTyEhy5uur7TqlkKRYdvUm29Al1BDF8tyi8+8VDCwYJUcaf4QX&#10;xwfn59QlJVQzcK/7nvyi6M1vDsIMnkg/MJ65+6maolb523zRpYL6RB0hzKtFX4GMDvAHZyOtVcnd&#10;94NAxVn/wZAqYQcXAxejWgxhJD0tuedsNm/9vKsHi7rtCHnW3cANKdfo2FOQeGZxJkyrElU5r3XY&#10;xef3mPXr8+1/AgAA//8DAFBLAwQUAAYACAAAACEAM62z8uEAAAAMAQAADwAAAGRycy9kb3ducmV2&#10;LnhtbEyPy07DMBBF90j8gzWV2FGnVHk0xKkqBCskRBoWLJ3YTazG4xC7bfh7pquynJmjO+cW29kO&#10;7KwnbxwKWC0jYBpbpwx2Ar7qt8cMmA8SlRwcagG/2sO2vL8rZK7cBSt93oeOUQj6XAroQxhzzn3b&#10;ayv90o0a6XZwk5WBxqnjapIXCrcDf4qihFtpkD70ctQvvW6P+5MVsPvG6tX8fDSf1aEydb2J8D05&#10;CvGwmHfPwIKeww2Gqz6pQ0lOjTuh8mwQkMRxSqiAOEmpw5WI1htaNQLSbJ0BLwv+v0T5BwAA//8D&#10;AFBLAQItABQABgAIAAAAIQC2gziS/gAAAOEBAAATAAAAAAAAAAAAAAAAAAAAAABbQ29udGVudF9U&#10;eXBlc10ueG1sUEsBAi0AFAAGAAgAAAAhADj9If/WAAAAlAEAAAsAAAAAAAAAAAAAAAAALwEAAF9y&#10;ZWxzLy5yZWxzUEsBAi0AFAAGAAgAAAAhAF8fbmTxAQAAxAMAAA4AAAAAAAAAAAAAAAAALgIAAGRy&#10;cy9lMm9Eb2MueG1sUEsBAi0AFAAGAAgAAAAhADOts/LhAAAADAEAAA8AAAAAAAAAAAAAAAAASwQA&#10;AGRycy9kb3ducmV2LnhtbFBLBQYAAAAABAAEAPMAAABZBQAAAAA=&#10;" filled="f" stroked="f">
                <v:textbox inset="0,0,0,0">
                  <w:txbxContent>
                    <w:p w14:paraId="60E04DEE" w14:textId="77777777" w:rsidR="00490F33" w:rsidRDefault="00490F33">
                      <w:pPr>
                        <w:spacing w:line="239" w:lineRule="exact"/>
                        <w:textAlignment w:val="baseline"/>
                        <w:rPr>
                          <w:rFonts w:ascii="Tahoma" w:eastAsia="Tahoma" w:hAnsi="Tahoma"/>
                          <w:color w:val="414042"/>
                          <w:spacing w:val="5"/>
                          <w:sz w:val="18"/>
                        </w:rPr>
                      </w:pPr>
                      <w:r>
                        <w:rPr>
                          <w:rFonts w:ascii="Tahoma" w:eastAsia="Tahoma" w:hAnsi="Tahoma"/>
                          <w:color w:val="414042"/>
                          <w:spacing w:val="5"/>
                          <w:sz w:val="18"/>
                        </w:rPr>
                        <w:t>The TLR will be a dynamic online tool, providing individuals with a comprehensive, accredited and secure source to compile, display and share their learnings and achievements. This will support lifelong learning by encouraging students and graduates to regularly review and improve their skills to remain competitive in the job market and reach their personal career goals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49536" behindDoc="1" locked="0" layoutInCell="1" allowOverlap="1" wp14:anchorId="52D4D086" wp14:editId="49507FF1">
                <wp:simplePos x="0" y="0"/>
                <wp:positionH relativeFrom="page">
                  <wp:posOffset>905510</wp:posOffset>
                </wp:positionH>
                <wp:positionV relativeFrom="page">
                  <wp:posOffset>4980305</wp:posOffset>
                </wp:positionV>
                <wp:extent cx="2407920" cy="1066800"/>
                <wp:effectExtent l="0" t="0" r="0" b="0"/>
                <wp:wrapSquare wrapText="bothSides"/>
                <wp:docPr id="484"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42E66"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To help achieve this, the Australian Government, in consultation and collaboration with industry, is developing a Tertiary Learning Repository (TLR) that aims to compile a student’s complete tertiary learning journey and achievements in a secure and trustworthy online environment.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4D086" id="Text Box 205" o:spid="_x0000_s1319" type="#_x0000_t202" style="position:absolute;margin-left:71.3pt;margin-top:392.15pt;width:189.6pt;height:84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wR8gEAAMQDAAAOAAAAZHJzL2Uyb0RvYy54bWysU9uO0zAQfUfiHyy/06ShlG7UdLXsahHS&#10;cpF2+QDHsRuLxGPGbpPy9YydpizwhnixxnM5PnNmvL0e+44dFXoDtuLLRc6ZshIaY/cV//p0/2rD&#10;mQ/CNqIDqyp+Up5f716+2A6uVAW00DUKGYFYXw6u4m0IrswyL1vVC78ApywFNWAvAl1xnzUoBkLv&#10;u6zI83U2ADYOQSrvyXs3Bfku4WutZPistVeBdRUnbiGdmM46ntluK8o9CtcaeaYh/oFFL4ylRy9Q&#10;dyIIdkDzF1RvJIIHHRYS+gy0NlKlHqibZf5HN4+tcCr1QuJ4d5HJ/z9Y+en4BZlpKr7arDizoqch&#10;PakxsHcwsiJ/ExUanC8p8dFRahgpQJNO3Xr3APKbZxZuW2H36gYRhlaJhhguY2X2rHTC8RGkHj5C&#10;Qw+JQ4AENGrso3wkCCN0mtTpMp1IRpKzWOVvrwoKSYot8/V6k6f5ZaKcyx368F5Bz6JRcaTxJ3hx&#10;fPAh0hHlnBJfs3Bvui6tQGd/c1Bi9CT6kfHEPYz1mLQqrl7PutTQnKgjhGm16CuQ0QL+4Gygtaq4&#10;/34QqDjrPlhSJe7gbOBs1LMhrKTSigfOJvM2TLt6cGj2LSFPulu4IeW0ST1FiScWZ8K0KqnV81rH&#10;XXx+T1m/Pt/uJwAAAP//AwBQSwMEFAAGAAgAAAAhAJDKnyThAAAACwEAAA8AAABkcnMvZG93bnJl&#10;di54bWxMj0FPg0AQhe8m/ofNmHizS2mLLbI0jdGTiSnFg8cFprApO4vstsV/73jS48t8efO9bDvZ&#10;Xlxw9MaRgvksAoFUu8ZQq+CjfH1Yg/BBU6N7R6jgGz1s89ubTKeNu1KBl0NoBZeQT7WCLoQhldLX&#10;HVrtZ25A4tvRjVYHjmMrm1Ffudz2Mo6iRFptiD90esDnDuvT4WwV7D6peDFf79W+OBamLDcRvSUn&#10;pe7vpt0TiIBT+IPhV5/VIWenyp2p8aLnvIwTRhU8rpcLEEys4jmPqRRsVvECZJ7J/xvyHwAAAP//&#10;AwBQSwECLQAUAAYACAAAACEAtoM4kv4AAADhAQAAEwAAAAAAAAAAAAAAAAAAAAAAW0NvbnRlbnRf&#10;VHlwZXNdLnhtbFBLAQItABQABgAIAAAAIQA4/SH/1gAAAJQBAAALAAAAAAAAAAAAAAAAAC8BAABf&#10;cmVscy8ucmVsc1BLAQItABQABgAIAAAAIQDGs8wR8gEAAMQDAAAOAAAAAAAAAAAAAAAAAC4CAABk&#10;cnMvZTJvRG9jLnhtbFBLAQItABQABgAIAAAAIQCQyp8k4QAAAAsBAAAPAAAAAAAAAAAAAAAAAEwE&#10;AABkcnMvZG93bnJldi54bWxQSwUGAAAAAAQABADzAAAAWgUAAAAA&#10;" filled="f" stroked="f">
                <v:textbox inset="0,0,0,0">
                  <w:txbxContent>
                    <w:p w14:paraId="4D342E66"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To help achieve this, the Australian Government, in consultation and collaboration with industry, is developing a Tertiary Learning Repository (TLR) that aims to compile a student’s complete tertiary learning journey and achievements in a secure and trustworthy online environment.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50560" behindDoc="1" locked="0" layoutInCell="1" allowOverlap="1" wp14:anchorId="30492388" wp14:editId="00E4F03A">
                <wp:simplePos x="0" y="0"/>
                <wp:positionH relativeFrom="page">
                  <wp:posOffset>4163695</wp:posOffset>
                </wp:positionH>
                <wp:positionV relativeFrom="page">
                  <wp:posOffset>5193030</wp:posOffset>
                </wp:positionV>
                <wp:extent cx="2563495" cy="586105"/>
                <wp:effectExtent l="0" t="0" r="0" b="0"/>
                <wp:wrapSquare wrapText="bothSides"/>
                <wp:docPr id="48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2B8FC" w14:textId="77777777" w:rsidR="00490F33" w:rsidRDefault="00490F33">
                            <w:pPr>
                              <w:spacing w:line="184" w:lineRule="exact"/>
                              <w:textAlignment w:val="baseline"/>
                              <w:rPr>
                                <w:rFonts w:ascii="Tahoma" w:eastAsia="Tahoma" w:hAnsi="Tahoma"/>
                                <w:color w:val="000000"/>
                                <w:spacing w:val="3"/>
                                <w:sz w:val="14"/>
                              </w:rPr>
                            </w:pPr>
                            <w:r>
                              <w:rPr>
                                <w:rFonts w:ascii="Tahoma" w:eastAsia="Tahoma" w:hAnsi="Tahoma"/>
                                <w:color w:val="000000"/>
                                <w:spacing w:val="3"/>
                                <w:sz w:val="14"/>
                              </w:rPr>
                              <w:t>Source: Commonwealth Department of Education,</w:t>
                            </w:r>
                          </w:p>
                          <w:p w14:paraId="728F4907" w14:textId="77777777" w:rsidR="00490F33" w:rsidRDefault="00490F33">
                            <w:pPr>
                              <w:spacing w:line="177" w:lineRule="exact"/>
                              <w:textAlignment w:val="baseline"/>
                              <w:rPr>
                                <w:rFonts w:ascii="Tahoma" w:eastAsia="Tahoma" w:hAnsi="Tahoma"/>
                                <w:color w:val="000000"/>
                                <w:spacing w:val="3"/>
                                <w:sz w:val="14"/>
                              </w:rPr>
                            </w:pPr>
                            <w:r>
                              <w:rPr>
                                <w:rFonts w:ascii="Tahoma" w:eastAsia="Tahoma" w:hAnsi="Tahoma"/>
                                <w:color w:val="000000"/>
                                <w:spacing w:val="3"/>
                                <w:sz w:val="14"/>
                              </w:rPr>
                              <w:t>Skills and Employment, ‘Higher education, research</w:t>
                            </w:r>
                          </w:p>
                          <w:p w14:paraId="7DF17532" w14:textId="77777777" w:rsidR="00490F33" w:rsidRDefault="00490F33">
                            <w:pPr>
                              <w:spacing w:line="183" w:lineRule="exact"/>
                              <w:textAlignment w:val="baseline"/>
                              <w:rPr>
                                <w:rFonts w:ascii="Tahoma" w:eastAsia="Tahoma" w:hAnsi="Tahoma"/>
                                <w:color w:val="000000"/>
                                <w:spacing w:val="3"/>
                                <w:sz w:val="14"/>
                              </w:rPr>
                            </w:pPr>
                            <w:r>
                              <w:rPr>
                                <w:rFonts w:ascii="Tahoma" w:eastAsia="Tahoma" w:hAnsi="Tahoma"/>
                                <w:color w:val="000000"/>
                                <w:spacing w:val="3"/>
                                <w:sz w:val="14"/>
                              </w:rPr>
                              <w:t>and international education budget overview 2019–20’,</w:t>
                            </w:r>
                          </w:p>
                          <w:p w14:paraId="3329EF7C" w14:textId="77777777" w:rsidR="00490F33" w:rsidRDefault="00490F33">
                            <w:pPr>
                              <w:spacing w:line="177" w:lineRule="exact"/>
                              <w:textAlignment w:val="baseline"/>
                              <w:rPr>
                                <w:rFonts w:ascii="Tahoma" w:eastAsia="Tahoma" w:hAnsi="Tahoma"/>
                                <w:color w:val="000000"/>
                                <w:sz w:val="14"/>
                              </w:rPr>
                            </w:pPr>
                            <w:r>
                              <w:rPr>
                                <w:rFonts w:ascii="Tahoma" w:eastAsia="Tahoma" w:hAnsi="Tahoma"/>
                                <w:color w:val="000000"/>
                                <w:sz w:val="14"/>
                              </w:rPr>
                              <w:t xml:space="preserve">webpage (accessed 30 April 2020), </w:t>
                            </w:r>
                            <w:hyperlink r:id="rId253">
                              <w:r>
                                <w:rPr>
                                  <w:rFonts w:ascii="Tahoma" w:eastAsia="Tahoma" w:hAnsi="Tahoma"/>
                                  <w:color w:val="0000FF"/>
                                  <w:sz w:val="14"/>
                                  <w:u w:val="single"/>
                                </w:rPr>
                                <w:t>https://www.education.gov</w:t>
                              </w:r>
                            </w:hyperlink>
                            <w:r>
                              <w:rPr>
                                <w:rFonts w:ascii="Tahoma" w:eastAsia="Tahoma" w:hAnsi="Tahoma"/>
                                <w:color w:val="000000"/>
                                <w:sz w:val="14"/>
                              </w:rPr>
                              <w:t>.</w:t>
                            </w:r>
                          </w:p>
                          <w:p w14:paraId="6AD5264F" w14:textId="77777777" w:rsidR="00490F33" w:rsidRDefault="00490F33">
                            <w:pPr>
                              <w:spacing w:before="18" w:line="183" w:lineRule="exact"/>
                              <w:textAlignment w:val="baseline"/>
                              <w:rPr>
                                <w:rFonts w:ascii="Tahoma" w:eastAsia="Tahoma" w:hAnsi="Tahoma"/>
                                <w:color w:val="000000"/>
                                <w:spacing w:val="3"/>
                                <w:sz w:val="14"/>
                              </w:rPr>
                            </w:pPr>
                            <w:r>
                              <w:rPr>
                                <w:rFonts w:ascii="Tahoma" w:eastAsia="Tahoma" w:hAnsi="Tahoma"/>
                                <w:color w:val="000000"/>
                                <w:spacing w:val="3"/>
                                <w:sz w:val="14"/>
                              </w:rPr>
                              <w:t>au/heri-budget-overview-2019-20.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92388" id="Text Box 204" o:spid="_x0000_s1320" type="#_x0000_t202" style="position:absolute;margin-left:327.85pt;margin-top:408.9pt;width:201.85pt;height:46.1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2nq8QEAAMMDAAAOAAAAZHJzL2Uyb0RvYy54bWysU8Fu2zAMvQ/YPwi6L3bSJEiNOEXXosOA&#10;bh3Q7gMYWY6F2aJGKbGzrx8lJ1m33YZdBIqkHh8fqfXN0LXioMkbtKWcTnIptFVYGbsr5deXh3cr&#10;KXwAW0GLVpfyqL282bx9s+5doWfYYFtpEgxifdG7UjYhuCLLvGp0B36CTlsO1kgdBL7SLqsIekbv&#10;2myW58usR6ocodLes/d+DMpNwq9rrcJTXXsdRFtK5hbSSencxjPbrKHYEbjGqBMN+AcWHRjLRS9Q&#10;9xBA7Mn8BdUZReixDhOFXYZ1bZROPXA30/yPbp4bcDr1wuJ4d5HJ/z9Y9fnwhYSpSjlfXUlhoeMh&#10;veghiPc4iFk+jwr1zhec+Ow4NQwc4Emnbr17RPXNC4t3DdidviXCvtFQMcNpfJm9ejri+Aiy7T9h&#10;xYVgHzABDTV1UT4WRDA6T+p4mU4ko9g5Wyyv5tcLKRTHFqvlNF+kElCcXzvy4YPGTkSjlMTTT+hw&#10;ePQhsoHinBKLWXwwbZs2oLW/OTgxehL7SHikHobtkKSaXV9k2WJ15IYIx83in8BGg/RDip63qpT+&#10;+x5IS9F+tCxKXMGzQWdjezbAKn5ayiDFaN6FcVX3jsyuYeRRdou3LFxtUk9R4ZHFiTBvSmr1tNVx&#10;FV/fU9avv7f5CQAA//8DAFBLAwQUAAYACAAAACEAp3exUOEAAAAMAQAADwAAAGRycy9kb3ducmV2&#10;LnhtbEyPwU7DMBBE70j9B2srcaN2EEmbEKeqEJyQEGk4cHSSbWI1XofYbcPf457KcbVPM2/y7WwG&#10;dsbJaUsSopUAhtTYVlMn4at6e9gAc15RqwZLKOEXHWyLxV2ustZeqMTz3ncshJDLlITe+zHj3DU9&#10;GuVWdkQKv4OdjPLhnDreTuoSws3AH4VIuFGaQkOvRnzpsTnuT0bC7pvKV/3zUX+Wh1JXVSroPTlK&#10;eb+cd8/APM7+BsNVP6hDEZxqe6LWsUFCEsfrgErYROuw4UqIOH0CVktIIxEBL3L+f0TxBwAA//8D&#10;AFBLAQItABQABgAIAAAAIQC2gziS/gAAAOEBAAATAAAAAAAAAAAAAAAAAAAAAABbQ29udGVudF9U&#10;eXBlc10ueG1sUEsBAi0AFAAGAAgAAAAhADj9If/WAAAAlAEAAAsAAAAAAAAAAAAAAAAALwEAAF9y&#10;ZWxzLy5yZWxzUEsBAi0AFAAGAAgAAAAhAPKPaerxAQAAwwMAAA4AAAAAAAAAAAAAAAAALgIAAGRy&#10;cy9lMm9Eb2MueG1sUEsBAi0AFAAGAAgAAAAhAKd3sVDhAAAADAEAAA8AAAAAAAAAAAAAAAAASwQA&#10;AGRycy9kb3ducmV2LnhtbFBLBQYAAAAABAAEAPMAAABZBQAAAAA=&#10;" filled="f" stroked="f">
                <v:textbox inset="0,0,0,0">
                  <w:txbxContent>
                    <w:p w14:paraId="1A52B8FC" w14:textId="77777777" w:rsidR="00490F33" w:rsidRDefault="00490F33">
                      <w:pPr>
                        <w:spacing w:line="184" w:lineRule="exact"/>
                        <w:textAlignment w:val="baseline"/>
                        <w:rPr>
                          <w:rFonts w:ascii="Tahoma" w:eastAsia="Tahoma" w:hAnsi="Tahoma"/>
                          <w:color w:val="000000"/>
                          <w:spacing w:val="3"/>
                          <w:sz w:val="14"/>
                        </w:rPr>
                      </w:pPr>
                      <w:r>
                        <w:rPr>
                          <w:rFonts w:ascii="Tahoma" w:eastAsia="Tahoma" w:hAnsi="Tahoma"/>
                          <w:color w:val="000000"/>
                          <w:spacing w:val="3"/>
                          <w:sz w:val="14"/>
                        </w:rPr>
                        <w:t>Source: Commonwealth Department of Education,</w:t>
                      </w:r>
                    </w:p>
                    <w:p w14:paraId="728F4907" w14:textId="77777777" w:rsidR="00490F33" w:rsidRDefault="00490F33">
                      <w:pPr>
                        <w:spacing w:line="177" w:lineRule="exact"/>
                        <w:textAlignment w:val="baseline"/>
                        <w:rPr>
                          <w:rFonts w:ascii="Tahoma" w:eastAsia="Tahoma" w:hAnsi="Tahoma"/>
                          <w:color w:val="000000"/>
                          <w:spacing w:val="3"/>
                          <w:sz w:val="14"/>
                        </w:rPr>
                      </w:pPr>
                      <w:r>
                        <w:rPr>
                          <w:rFonts w:ascii="Tahoma" w:eastAsia="Tahoma" w:hAnsi="Tahoma"/>
                          <w:color w:val="000000"/>
                          <w:spacing w:val="3"/>
                          <w:sz w:val="14"/>
                        </w:rPr>
                        <w:t>Skills and Employment, ‘Higher education, research</w:t>
                      </w:r>
                    </w:p>
                    <w:p w14:paraId="7DF17532" w14:textId="77777777" w:rsidR="00490F33" w:rsidRDefault="00490F33">
                      <w:pPr>
                        <w:spacing w:line="183" w:lineRule="exact"/>
                        <w:textAlignment w:val="baseline"/>
                        <w:rPr>
                          <w:rFonts w:ascii="Tahoma" w:eastAsia="Tahoma" w:hAnsi="Tahoma"/>
                          <w:color w:val="000000"/>
                          <w:spacing w:val="3"/>
                          <w:sz w:val="14"/>
                        </w:rPr>
                      </w:pPr>
                      <w:r>
                        <w:rPr>
                          <w:rFonts w:ascii="Tahoma" w:eastAsia="Tahoma" w:hAnsi="Tahoma"/>
                          <w:color w:val="000000"/>
                          <w:spacing w:val="3"/>
                          <w:sz w:val="14"/>
                        </w:rPr>
                        <w:t>and international education budget overview 2019–20’,</w:t>
                      </w:r>
                    </w:p>
                    <w:p w14:paraId="3329EF7C" w14:textId="77777777" w:rsidR="00490F33" w:rsidRDefault="00490F33">
                      <w:pPr>
                        <w:spacing w:line="177" w:lineRule="exact"/>
                        <w:textAlignment w:val="baseline"/>
                        <w:rPr>
                          <w:rFonts w:ascii="Tahoma" w:eastAsia="Tahoma" w:hAnsi="Tahoma"/>
                          <w:color w:val="000000"/>
                          <w:sz w:val="14"/>
                        </w:rPr>
                      </w:pPr>
                      <w:r>
                        <w:rPr>
                          <w:rFonts w:ascii="Tahoma" w:eastAsia="Tahoma" w:hAnsi="Tahoma"/>
                          <w:color w:val="000000"/>
                          <w:sz w:val="14"/>
                        </w:rPr>
                        <w:t xml:space="preserve">webpage (accessed 30 April 2020), </w:t>
                      </w:r>
                      <w:hyperlink r:id="rId254">
                        <w:r>
                          <w:rPr>
                            <w:rFonts w:ascii="Tahoma" w:eastAsia="Tahoma" w:hAnsi="Tahoma"/>
                            <w:color w:val="0000FF"/>
                            <w:sz w:val="14"/>
                            <w:u w:val="single"/>
                          </w:rPr>
                          <w:t>https://www.education.gov</w:t>
                        </w:r>
                      </w:hyperlink>
                      <w:r>
                        <w:rPr>
                          <w:rFonts w:ascii="Tahoma" w:eastAsia="Tahoma" w:hAnsi="Tahoma"/>
                          <w:color w:val="000000"/>
                          <w:sz w:val="14"/>
                        </w:rPr>
                        <w:t>.</w:t>
                      </w:r>
                    </w:p>
                    <w:p w14:paraId="6AD5264F" w14:textId="77777777" w:rsidR="00490F33" w:rsidRDefault="00490F33">
                      <w:pPr>
                        <w:spacing w:before="18" w:line="183" w:lineRule="exact"/>
                        <w:textAlignment w:val="baseline"/>
                        <w:rPr>
                          <w:rFonts w:ascii="Tahoma" w:eastAsia="Tahoma" w:hAnsi="Tahoma"/>
                          <w:color w:val="000000"/>
                          <w:spacing w:val="3"/>
                          <w:sz w:val="14"/>
                        </w:rPr>
                      </w:pPr>
                      <w:r>
                        <w:rPr>
                          <w:rFonts w:ascii="Tahoma" w:eastAsia="Tahoma" w:hAnsi="Tahoma"/>
                          <w:color w:val="000000"/>
                          <w:spacing w:val="3"/>
                          <w:sz w:val="14"/>
                        </w:rPr>
                        <w:t>au/heri-budget-overview-2019-20.</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51584" behindDoc="1" locked="0" layoutInCell="1" allowOverlap="1" wp14:anchorId="69E0900C" wp14:editId="6703184A">
                <wp:simplePos x="0" y="0"/>
                <wp:positionH relativeFrom="page">
                  <wp:posOffset>905510</wp:posOffset>
                </wp:positionH>
                <wp:positionV relativeFrom="page">
                  <wp:posOffset>6161405</wp:posOffset>
                </wp:positionV>
                <wp:extent cx="2459355" cy="1667510"/>
                <wp:effectExtent l="0" t="0" r="0" b="0"/>
                <wp:wrapSquare wrapText="bothSides"/>
                <wp:docPr id="48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166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EA77E" w14:textId="77777777" w:rsidR="00490F33" w:rsidRDefault="00490F33">
                            <w:pPr>
                              <w:spacing w:line="238" w:lineRule="exact"/>
                              <w:textAlignment w:val="baseline"/>
                              <w:rPr>
                                <w:rFonts w:ascii="Tahoma" w:eastAsia="Tahoma" w:hAnsi="Tahoma"/>
                                <w:color w:val="414042"/>
                                <w:spacing w:val="3"/>
                                <w:sz w:val="18"/>
                              </w:rPr>
                            </w:pPr>
                            <w:r>
                              <w:rPr>
                                <w:rFonts w:ascii="Tahoma" w:eastAsia="Tahoma" w:hAnsi="Tahoma"/>
                                <w:color w:val="414042"/>
                                <w:spacing w:val="3"/>
                                <w:sz w:val="18"/>
                              </w:rPr>
                              <w:t xml:space="preserve">The TLR will be a digital repository for </w:t>
                            </w:r>
                            <w:r>
                              <w:rPr>
                                <w:rFonts w:ascii="Verdana" w:eastAsia="Verdana" w:hAnsi="Verdana"/>
                                <w:color w:val="414042"/>
                                <w:spacing w:val="3"/>
                                <w:sz w:val="17"/>
                              </w:rPr>
                              <w:t xml:space="preserve">Australian Qualifications Framework (AQF) </w:t>
                            </w:r>
                            <w:r>
                              <w:rPr>
                                <w:rFonts w:ascii="Tahoma" w:eastAsia="Tahoma" w:hAnsi="Tahoma"/>
                                <w:color w:val="414042"/>
                                <w:spacing w:val="3"/>
                                <w:sz w:val="18"/>
                              </w:rPr>
                              <w:t>and non AQF credentials. The online platform will provide students and graduates with access and details of their higher education learning outcomes, including transcripts, testamurs and additional academic documentation. Users will be able to compile and securely share their documents with selected third parties for a nominated period of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900C" id="Text Box 203" o:spid="_x0000_s1321" type="#_x0000_t202" style="position:absolute;margin-left:71.3pt;margin-top:485.15pt;width:193.65pt;height:131.3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r8wEAAMQDAAAOAAAAZHJzL2Uyb0RvYy54bWysU9tu2zAMfR+wfxD0vjhxm6w14hRdiw4D&#10;ugvQ7gMYWY6F2aJGKbGzrx8lx1m3vQ17EShejg4PqfXN0LXioMkbtKVczOZSaKuwMnZXyq/PD2+u&#10;pPABbAUtWl3Ko/byZvP61bp3hc6xwbbSJBjE+qJ3pWxCcEWWedXoDvwMnbYcrJE6CHylXVYR9Ize&#10;tVk+n6+yHqlyhEp7z977MSg3Cb+utQqf69rrINpSMreQTkrnNp7ZZg3FjsA1Rp1owD+w6MBYfvQM&#10;dQ8BxJ7MX1CdUYQe6zBT2GVY10bp1AN3s5j/0c1TA06nXlgc784y+f8Hqz4dvpAwVSkvr3IpLHQ8&#10;pGc9BPEOB5HPL6JCvfMFJz45Tg0DB3jSqVvvHlF988LiXQN2p2+JsG80VMxwESuzF6Ujjo8g2/4j&#10;VvwQ7AMmoKGmLsrHgghG50kdz9OJZBQ788vl9cVyKYXi2GK1ertcpPllUEzljnx4r7ET0Sgl8fgT&#10;PBwefYh0oJhS4msWH0zbphVo7W8OToyeRD8yHrmHYTskrfLr5aTLFqsjd0Q4rhZ/BTYapB9S9LxW&#10;pfTf90BaivaDZVXiDk4GTcZ2MsAqLi1lkGI078K4q3tHZtcw8qi7xVtWrjappyjxyOJEmFcltXpa&#10;67iLL+8p69fn2/wEAAD//wMAUEsDBBQABgAIAAAAIQAOzhqj4AAAAAwBAAAPAAAAZHJzL2Rvd25y&#10;ZXYueG1sTI/BTsMwEETvSPyDtUjcqIMLoU7jVBWCExJqGg4cncRNrMbrELtt+HuWExxH8zT7Nt/M&#10;bmBnMwXrUcH9IgFmsPGtxU7BR/V6twIWosZWDx6Ngm8TYFNcX+U6a/0FS3Pex47RCIZMK+hjHDPO&#10;Q9Mbp8PCjwapO/jJ6Uhx6ng76QuNu4GLJEm50xbpQq9H89yb5rg/OQXbTyxf7Nd7vSsPpa0qmeBb&#10;elTq9mberoFFM8c/GH71SR0Kcqr9CdvABsoPIiVUgXxKlsCIeBRSAqupEkshgRc5//9E8QMAAP//&#10;AwBQSwECLQAUAAYACAAAACEAtoM4kv4AAADhAQAAEwAAAAAAAAAAAAAAAAAAAAAAW0NvbnRlbnRf&#10;VHlwZXNdLnhtbFBLAQItABQABgAIAAAAIQA4/SH/1gAAAJQBAAALAAAAAAAAAAAAAAAAAC8BAABf&#10;cmVscy8ucmVsc1BLAQItABQABgAIAAAAIQAF+byr8wEAAMQDAAAOAAAAAAAAAAAAAAAAAC4CAABk&#10;cnMvZTJvRG9jLnhtbFBLAQItABQABgAIAAAAIQAOzhqj4AAAAAwBAAAPAAAAAAAAAAAAAAAAAE0E&#10;AABkcnMvZG93bnJldi54bWxQSwUGAAAAAAQABADzAAAAWgUAAAAA&#10;" filled="f" stroked="f">
                <v:textbox inset="0,0,0,0">
                  <w:txbxContent>
                    <w:p w14:paraId="3B0EA77E" w14:textId="77777777" w:rsidR="00490F33" w:rsidRDefault="00490F33">
                      <w:pPr>
                        <w:spacing w:line="238" w:lineRule="exact"/>
                        <w:textAlignment w:val="baseline"/>
                        <w:rPr>
                          <w:rFonts w:ascii="Tahoma" w:eastAsia="Tahoma" w:hAnsi="Tahoma"/>
                          <w:color w:val="414042"/>
                          <w:spacing w:val="3"/>
                          <w:sz w:val="18"/>
                        </w:rPr>
                      </w:pPr>
                      <w:r>
                        <w:rPr>
                          <w:rFonts w:ascii="Tahoma" w:eastAsia="Tahoma" w:hAnsi="Tahoma"/>
                          <w:color w:val="414042"/>
                          <w:spacing w:val="3"/>
                          <w:sz w:val="18"/>
                        </w:rPr>
                        <w:t xml:space="preserve">The TLR will be a digital repository for </w:t>
                      </w:r>
                      <w:r>
                        <w:rPr>
                          <w:rFonts w:ascii="Verdana" w:eastAsia="Verdana" w:hAnsi="Verdana"/>
                          <w:color w:val="414042"/>
                          <w:spacing w:val="3"/>
                          <w:sz w:val="17"/>
                        </w:rPr>
                        <w:t xml:space="preserve">Australian Qualifications Framework (AQF) </w:t>
                      </w:r>
                      <w:r>
                        <w:rPr>
                          <w:rFonts w:ascii="Tahoma" w:eastAsia="Tahoma" w:hAnsi="Tahoma"/>
                          <w:color w:val="414042"/>
                          <w:spacing w:val="3"/>
                          <w:sz w:val="18"/>
                        </w:rPr>
                        <w:t>and non AQF credentials. The online platform will provide students and graduates with access and details of their higher education learning outcomes, including transcripts, testamurs and additional academic documentation. Users will be able to compile and securely share their documents with selected third parties for a nominated period of time.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52608" behindDoc="1" locked="0" layoutInCell="1" allowOverlap="1" wp14:anchorId="7CC7C4D1" wp14:editId="16D68262">
                <wp:simplePos x="0" y="0"/>
                <wp:positionH relativeFrom="page">
                  <wp:posOffset>905510</wp:posOffset>
                </wp:positionH>
                <wp:positionV relativeFrom="page">
                  <wp:posOffset>7940040</wp:posOffset>
                </wp:positionV>
                <wp:extent cx="2456180" cy="609600"/>
                <wp:effectExtent l="0" t="0" r="0" b="0"/>
                <wp:wrapSquare wrapText="bothSides"/>
                <wp:docPr id="48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8AA03" w14:textId="77777777" w:rsidR="00490F33" w:rsidRDefault="00490F33">
                            <w:pPr>
                              <w:spacing w:line="240" w:lineRule="exact"/>
                              <w:textAlignment w:val="baseline"/>
                              <w:rPr>
                                <w:rFonts w:ascii="Tahoma" w:eastAsia="Tahoma" w:hAnsi="Tahoma"/>
                                <w:color w:val="414042"/>
                                <w:spacing w:val="5"/>
                                <w:sz w:val="18"/>
                              </w:rPr>
                            </w:pPr>
                            <w:r>
                              <w:rPr>
                                <w:rFonts w:ascii="Tahoma" w:eastAsia="Tahoma" w:hAnsi="Tahoma"/>
                                <w:color w:val="414042"/>
                                <w:spacing w:val="5"/>
                                <w:sz w:val="18"/>
                              </w:rPr>
                              <w:t>The target audience for this project is current senior secondary and tertiary students, recent tertiary graduates, tertiary education providers and employers.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7C4D1" id="Text Box 202" o:spid="_x0000_s1322" type="#_x0000_t202" style="position:absolute;margin-left:71.3pt;margin-top:625.2pt;width:193.4pt;height:48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MY8AEAAMMDAAAOAAAAZHJzL2Uyb0RvYy54bWysU9tu2zAMfR+wfxD0vtgxuiA14hRdiw4D&#10;ugvQ7gMYWY6F2aJGKbGzrx8lx1m3vQ17EShejg4Pqc3N2HfiqMkbtJVcLnIptFVYG7uv5Nfnhzdr&#10;KXwAW0OHVlfypL282b5+tRlcqQtssas1CQaxvhxcJdsQXJllXrW6B79Apy0HG6QeAl9pn9UEA6P3&#10;XVbk+SobkGpHqLT37L2fgnKb8JtGq/C5abwOoqskcwvppHTu4pltN1DuCVxr1JkG/AOLHozlRy9Q&#10;9xBAHMj8BdUbReixCQuFfYZNY5ROPXA3y/yPbp5acDr1wuJ4d5HJ/z9Y9en4hYSpK3m1Xkphoech&#10;PesxiHc4iiIvokKD8yUnPjlODSMHeNKpW+8eUX3zwuJdC3avb4lwaDXUzHAZK7MXpROOjyC74SPW&#10;/BAcAiagsaE+yseCCEbnSZ0u04lkFDuLq7er5ZpDimOr/HqVp/FlUM7Vjnx4r7EX0agk8fQTOhwf&#10;fYhsoJxT4mMWH0zXpQ3o7G8OToyexD4SnqiHcTcmqYrr1SzLDusTN0Q4bRb/BDZapB9SDLxVlfTf&#10;D0Baiu6DZVHiCs4GzcZuNsAqLq1kkGIy78K0qgdHZt8y8iS7xVsWrjGpp6jwxOJMmDcltXre6riK&#10;L+8p69ff2/4EAAD//wMAUEsDBBQABgAIAAAAIQCLmLj+4QAAAA0BAAAPAAAAZHJzL2Rvd25yZXYu&#10;eG1sTI/BTsMwEETvSPyDtUjcqN2QRjSNU1UITkiINBw4OrGbWI3XIXbb8Pcsp3Kb2R3Nvi22sxvY&#10;2UzBepSwXAhgBluvLXYSPuvXhydgISrUavBoJPyYANvy9qZQufYXrMx5HztGJRhyJaGPccw5D21v&#10;nAoLPxqk3cFPTkWyU8f1pC5U7gaeCJFxpyzShV6N5rk37XF/chJ2X1i92O/35qM6VLau1wLfsqOU&#10;93fzbgMsmjlew/CHT+hQElPjT6gDG8inSUZREslKpMAoskrWJBoaPaZZCrws+P8vyl8AAAD//wMA&#10;UEsBAi0AFAAGAAgAAAAhALaDOJL+AAAA4QEAABMAAAAAAAAAAAAAAAAAAAAAAFtDb250ZW50X1R5&#10;cGVzXS54bWxQSwECLQAUAAYACAAAACEAOP0h/9YAAACUAQAACwAAAAAAAAAAAAAAAAAvAQAAX3Jl&#10;bHMvLnJlbHNQSwECLQAUAAYACAAAACEA/chTGPABAADDAwAADgAAAAAAAAAAAAAAAAAuAgAAZHJz&#10;L2Uyb0RvYy54bWxQSwECLQAUAAYACAAAACEAi5i4/uEAAAANAQAADwAAAAAAAAAAAAAAAABKBAAA&#10;ZHJzL2Rvd25yZXYueG1sUEsFBgAAAAAEAAQA8wAAAFgFAAAAAA==&#10;" filled="f" stroked="f">
                <v:textbox inset="0,0,0,0">
                  <w:txbxContent>
                    <w:p w14:paraId="7128AA03" w14:textId="77777777" w:rsidR="00490F33" w:rsidRDefault="00490F33">
                      <w:pPr>
                        <w:spacing w:line="240" w:lineRule="exact"/>
                        <w:textAlignment w:val="baseline"/>
                        <w:rPr>
                          <w:rFonts w:ascii="Tahoma" w:eastAsia="Tahoma" w:hAnsi="Tahoma"/>
                          <w:color w:val="414042"/>
                          <w:spacing w:val="5"/>
                          <w:sz w:val="18"/>
                        </w:rPr>
                      </w:pPr>
                      <w:r>
                        <w:rPr>
                          <w:rFonts w:ascii="Tahoma" w:eastAsia="Tahoma" w:hAnsi="Tahoma"/>
                          <w:color w:val="414042"/>
                          <w:spacing w:val="5"/>
                          <w:sz w:val="18"/>
                        </w:rPr>
                        <w:t>The target audience for this project is current senior secondary and tertiary students, recent tertiary graduates, tertiary education providers and employers.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53632" behindDoc="1" locked="0" layoutInCell="1" allowOverlap="1" wp14:anchorId="3E54B834" wp14:editId="532B6B1F">
                <wp:simplePos x="0" y="0"/>
                <wp:positionH relativeFrom="page">
                  <wp:posOffset>905510</wp:posOffset>
                </wp:positionH>
                <wp:positionV relativeFrom="page">
                  <wp:posOffset>8656320</wp:posOffset>
                </wp:positionV>
                <wp:extent cx="2432050" cy="762000"/>
                <wp:effectExtent l="0" t="0" r="0" b="0"/>
                <wp:wrapSquare wrapText="bothSides"/>
                <wp:docPr id="480"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B5D50" w14:textId="77777777" w:rsidR="00490F33" w:rsidRDefault="00490F33">
                            <w:pPr>
                              <w:spacing w:line="240" w:lineRule="exact"/>
                              <w:textAlignment w:val="baseline"/>
                              <w:rPr>
                                <w:rFonts w:ascii="Tahoma" w:eastAsia="Tahoma" w:hAnsi="Tahoma"/>
                                <w:color w:val="414042"/>
                                <w:sz w:val="18"/>
                              </w:rPr>
                            </w:pPr>
                            <w:r>
                              <w:rPr>
                                <w:rFonts w:ascii="Tahoma" w:eastAsia="Tahoma" w:hAnsi="Tahoma"/>
                                <w:color w:val="414042"/>
                                <w:sz w:val="18"/>
                              </w:rPr>
                              <w:t>The government’s commitment is that by the end of 2020, graduating higher education students will have access to their digital transcript via the TLR, allowing students to share and prove their learning much easier.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4B834" id="Text Box 201" o:spid="_x0000_s1323" type="#_x0000_t202" style="position:absolute;margin-left:71.3pt;margin-top:681.6pt;width:191.5pt;height:60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9A7gEAAMMDAAAOAAAAZHJzL2Uyb0RvYy54bWysU9tu1DAQfUfiHyy/s0lDaUu02aq0KkIq&#10;F6nlAxzH3ljEHjP2brJ8PWNnsxR4Q7xYY8/4+Jwz4/X1ZAe2VxgMuIafrUrOlJPQGbdt+Nen+1dX&#10;nIUoXCcGcKrhBxX49ebli/Xoa1VBD0OnkBGIC/XoG97H6OuiCLJXVoQVeOUoqQGtiLTFbdGhGAnd&#10;DkVVlhfFCNh5BKlCoNO7Ock3GV9rJeNnrYOKbGg4cYt5xby2aS02a1FvUfjeyCMN8Q8srDCOHj1B&#10;3Yko2A7NX1DWSIQAOq4k2AK0NlJlDaTmrPxDzWMvvMpayJzgTzaF/wcrP+2/IDNdw8+vyB8nLDXp&#10;SU2RvYOJEafk0OhDTYWPnkrjRAnqdFYb/APIb4E5uO2F26obRBh7JTpimG8Wz67OOCGBtONH6Ogh&#10;sYuQgSaNNtlHhjBCJyaHU3cSGUmH1fnrqnxDKUm5ywvqfm5fIerltscQ3yuwLAUNR+p+Rhf7hxBJ&#10;B5UuJekxB/dmGPIEDO63AypMJ5l9IjxTj1M7Zauqt5eLLS10BxKEME8W/QQKesAfnI00VQ0P33cC&#10;FWfDB0empBFcAlyCdgmEk3S14ZGzObyN86juPJptT8iz7Q5uyDhtsqbk8MziSJgmJUs9TnUaxef7&#10;XPXr721+AgAA//8DAFBLAwQUAAYACAAAACEAf2wmn94AAAANAQAADwAAAGRycy9kb3ducmV2Lnht&#10;bExPy07DMBC8I/EP1iJxow4pjUqIU1UITkiINBw4OvE2sRqvQ+y24e/ZnuC289DsTLGZ3SBOOAXr&#10;ScH9IgGB1HpjqVPwWb/erUGEqMnowRMq+MEAm/L6qtC58Weq8LSLneAQCrlW0Mc45lKGtkenw8KP&#10;SKzt/eR0ZDh10kz6zOFukGmSZNJpS/yh1yM+99gedkenYPtF1Yv9fm8+qn1l6/oxobfsoNTtzbx9&#10;AhFxjn9muNTn6lByp8YfyQQxMH5IM7byscyWKQi2rNIVU81FWzMly0L+X1H+AgAA//8DAFBLAQIt&#10;ABQABgAIAAAAIQC2gziS/gAAAOEBAAATAAAAAAAAAAAAAAAAAAAAAABbQ29udGVudF9UeXBlc10u&#10;eG1sUEsBAi0AFAAGAAgAAAAhADj9If/WAAAAlAEAAAsAAAAAAAAAAAAAAAAALwEAAF9yZWxzLy5y&#10;ZWxzUEsBAi0AFAAGAAgAAAAhAM6gD0DuAQAAwwMAAA4AAAAAAAAAAAAAAAAALgIAAGRycy9lMm9E&#10;b2MueG1sUEsBAi0AFAAGAAgAAAAhAH9sJp/eAAAADQEAAA8AAAAAAAAAAAAAAAAASAQAAGRycy9k&#10;b3ducmV2LnhtbFBLBQYAAAAABAAEAPMAAABTBQAAAAA=&#10;" filled="f" stroked="f">
                <v:textbox inset="0,0,0,0">
                  <w:txbxContent>
                    <w:p w14:paraId="1E8B5D50" w14:textId="77777777" w:rsidR="00490F33" w:rsidRDefault="00490F33">
                      <w:pPr>
                        <w:spacing w:line="240" w:lineRule="exact"/>
                        <w:textAlignment w:val="baseline"/>
                        <w:rPr>
                          <w:rFonts w:ascii="Tahoma" w:eastAsia="Tahoma" w:hAnsi="Tahoma"/>
                          <w:color w:val="414042"/>
                          <w:sz w:val="18"/>
                        </w:rPr>
                      </w:pPr>
                      <w:r>
                        <w:rPr>
                          <w:rFonts w:ascii="Tahoma" w:eastAsia="Tahoma" w:hAnsi="Tahoma"/>
                          <w:color w:val="414042"/>
                          <w:sz w:val="18"/>
                        </w:rPr>
                        <w:t>The government’s commitment is that by the end of 2020, graduating higher education students will have access to their digital transcript via the TLR, allowing students to share and prove their learning much easier.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54656" behindDoc="1" locked="0" layoutInCell="1" allowOverlap="1" wp14:anchorId="43B961FF" wp14:editId="39F15665">
                <wp:simplePos x="0" y="0"/>
                <wp:positionH relativeFrom="page">
                  <wp:posOffset>4331335</wp:posOffset>
                </wp:positionH>
                <wp:positionV relativeFrom="page">
                  <wp:posOffset>9688195</wp:posOffset>
                </wp:positionV>
                <wp:extent cx="2687955" cy="144780"/>
                <wp:effectExtent l="0" t="0" r="0" b="0"/>
                <wp:wrapSquare wrapText="bothSides"/>
                <wp:docPr id="47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5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AE6E4" w14:textId="77777777" w:rsidR="00490F33" w:rsidRDefault="00490F33">
                            <w:pPr>
                              <w:spacing w:after="20" w:line="203" w:lineRule="exact"/>
                              <w:textAlignment w:val="baseline"/>
                              <w:rPr>
                                <w:rFonts w:ascii="Verdana" w:eastAsia="Verdana" w:hAnsi="Verdana"/>
                                <w:color w:val="414042"/>
                                <w:spacing w:val="-3"/>
                                <w:sz w:val="14"/>
                              </w:rPr>
                            </w:pPr>
                            <w:r>
                              <w:rPr>
                                <w:rFonts w:ascii="Verdana" w:eastAsia="Verdana" w:hAnsi="Verdana"/>
                                <w:color w:val="414042"/>
                                <w:spacing w:val="-3"/>
                                <w:sz w:val="14"/>
                              </w:rPr>
                              <w:t>Chapter 5: Building more flexible pathways from school</w:t>
                            </w:r>
                            <w:r>
                              <w:rPr>
                                <w:rFonts w:ascii="Arial" w:eastAsia="Arial" w:hAnsi="Arial"/>
                                <w:b/>
                                <w:color w:val="5556A1"/>
                                <w:spacing w:val="-3"/>
                                <w:sz w:val="19"/>
                              </w:rPr>
                              <w:t xml:space="preserve"> 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961FF" id="Text Box 200" o:spid="_x0000_s1324" type="#_x0000_t202" style="position:absolute;margin-left:341.05pt;margin-top:762.85pt;width:211.65pt;height:11.4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38QEAAMMDAAAOAAAAZHJzL2Uyb0RvYy54bWysU9tu2zAMfR+wfxD0vjgJ0iYx4hRdiw4D&#10;unVAuw9gZDkWZosapcTOvn6UHGfd9jbsRaB4OTo8pDY3fduIoyZv0BZyNplKoa3C0th9Ib++PLxb&#10;SeED2BIatLqQJ+3lzfbtm03ncj3HGptSk2AQ6/POFbIOweVZ5lWtW/ATdNpysEJqIfCV9llJ0DF6&#10;22Tz6fQ665BKR6i09+y9H4Jym/CrSqvwVFVeB9EUkrmFdFI6d/HMthvI9wSuNupMA/6BRQvG8qMX&#10;qHsIIA5k/oJqjSL0WIWJwjbDqjJKpx64m9n0j26ea3A69cLieHeRyf8/WPX5+IWEKQu5WK6lsNDy&#10;kF50H8R77AUrHBXqnM858dlxaug5wJNO3Xr3iOqbFxbvarB7fUuEXa2hZIazWJm9Kh1wfATZdZ+w&#10;5IfgEDAB9RW1UT4WRDA6T+p0mU4ko9g5v14t11dXUiiOzRaL5SqRyyAfqx358EFjK6JRSOLpJ3Q4&#10;PvoQ2UA+psTHLD6Ypkkb0NjfHJwYPYl9JDxQD/2uT1LN16tRlh2WJ26IcNgs/gls1Eg/pOh4qwrp&#10;vx+AtBTNR8uixBUcDRqN3WiAVVxayCDFYN6FYVUPjsy+ZuRBdou3LFxlUk9R4YHFmTBvSmr1vNVx&#10;FV/fU9avv7f9CQAA//8DAFBLAwQUAAYACAAAACEARAqB/uIAAAAOAQAADwAAAGRycy9kb3ducmV2&#10;LnhtbEyPsW6DMBCG90p9B+sidWtsUKCUYKKoaqdKVQkdOhrsgBV8pthJ6NvXTM1493/677tiN5uB&#10;XNTktEUO0ZoBUdhaqbHj8FW/PWZAnBcoxWBRcfhVDnbl/V0hcmmvWKnLwXcklKDLBYfe+zGn1LW9&#10;MsKt7agwZEc7GeHDOHVUTuIays1AY8ZSaoTGcKEXo3rpVXs6nA2H/TdWr/rno/msjpWu62eG7+mJ&#10;84fVvN8C8Wr2/zAs+kEdyuDU2DNKRwYOaRZHAQ1BEidPQBYkYskGSLPsNlkCtCzo7RvlHwAAAP//&#10;AwBQSwECLQAUAAYACAAAACEAtoM4kv4AAADhAQAAEwAAAAAAAAAAAAAAAAAAAAAAW0NvbnRlbnRf&#10;VHlwZXNdLnhtbFBLAQItABQABgAIAAAAIQA4/SH/1gAAAJQBAAALAAAAAAAAAAAAAAAAAC8BAABf&#10;cmVscy8ucmVsc1BLAQItABQABgAIAAAAIQDxl/T38QEAAMMDAAAOAAAAAAAAAAAAAAAAAC4CAABk&#10;cnMvZTJvRG9jLnhtbFBLAQItABQABgAIAAAAIQBECoH+4gAAAA4BAAAPAAAAAAAAAAAAAAAAAEsE&#10;AABkcnMvZG93bnJldi54bWxQSwUGAAAAAAQABADzAAAAWgUAAAAA&#10;" filled="f" stroked="f">
                <v:textbox inset="0,0,0,0">
                  <w:txbxContent>
                    <w:p w14:paraId="634AE6E4" w14:textId="77777777" w:rsidR="00490F33" w:rsidRDefault="00490F33">
                      <w:pPr>
                        <w:spacing w:after="20" w:line="203" w:lineRule="exact"/>
                        <w:textAlignment w:val="baseline"/>
                        <w:rPr>
                          <w:rFonts w:ascii="Verdana" w:eastAsia="Verdana" w:hAnsi="Verdana"/>
                          <w:color w:val="414042"/>
                          <w:spacing w:val="-3"/>
                          <w:sz w:val="14"/>
                        </w:rPr>
                      </w:pPr>
                      <w:r>
                        <w:rPr>
                          <w:rFonts w:ascii="Verdana" w:eastAsia="Verdana" w:hAnsi="Verdana"/>
                          <w:color w:val="414042"/>
                          <w:spacing w:val="-3"/>
                          <w:sz w:val="14"/>
                        </w:rPr>
                        <w:t>Chapter 5: Building more flexible pathways from school</w:t>
                      </w:r>
                      <w:r>
                        <w:rPr>
                          <w:rFonts w:ascii="Arial" w:eastAsia="Arial" w:hAnsi="Arial"/>
                          <w:b/>
                          <w:color w:val="5556A1"/>
                          <w:spacing w:val="-3"/>
                          <w:sz w:val="19"/>
                        </w:rPr>
                        <w:t xml:space="preserve"> 115</w:t>
                      </w:r>
                    </w:p>
                  </w:txbxContent>
                </v:textbox>
                <w10:wrap type="square" anchorx="page" anchory="page"/>
              </v:shape>
            </w:pict>
          </mc:Fallback>
        </mc:AlternateContent>
      </w:r>
    </w:p>
    <w:p w14:paraId="5165800D" w14:textId="77777777" w:rsidR="009757A9" w:rsidRDefault="009757A9">
      <w:pPr>
        <w:sectPr w:rsidR="009757A9">
          <w:pgSz w:w="11909" w:h="16838"/>
          <w:pgMar w:top="0" w:right="1440" w:bottom="0" w:left="1440" w:header="720" w:footer="720" w:gutter="0"/>
          <w:cols w:space="720"/>
        </w:sectPr>
      </w:pPr>
    </w:p>
    <w:p w14:paraId="3DEE461E" w14:textId="77777777" w:rsidR="009757A9" w:rsidRDefault="00083242">
      <w:pPr>
        <w:spacing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lastRenderedPageBreak/>
        <w:t>The introduction of an Education Passport would allow students to be in control of their own education records, demonstrate experience and prior learning, and engage with future education opportunities. It would reinforce learning as a continuing process. Linked to their Learner Profile, the passport would help students focus on their future lives, articulate the capabilities that they will need to demonstrate for success, and emphasise to them that secondary school is going to be just one step on the path to lifelong learning. An example of what an Education Passport could look like is demonstrated in Figure 10.</w:t>
      </w:r>
    </w:p>
    <w:p w14:paraId="7904CD1A" w14:textId="77777777" w:rsidR="009757A9" w:rsidRDefault="00083242">
      <w:pPr>
        <w:spacing w:before="414" w:after="555" w:line="240" w:lineRule="exact"/>
        <w:ind w:left="864"/>
        <w:textAlignment w:val="baseline"/>
        <w:rPr>
          <w:rFonts w:ascii="Arial" w:eastAsia="Arial" w:hAnsi="Arial"/>
          <w:b/>
          <w:color w:val="404042"/>
          <w:spacing w:val="4"/>
          <w:sz w:val="19"/>
        </w:rPr>
      </w:pPr>
      <w:r>
        <w:rPr>
          <w:rFonts w:ascii="Arial" w:eastAsia="Arial" w:hAnsi="Arial"/>
          <w:b/>
          <w:color w:val="404042"/>
          <w:spacing w:val="4"/>
          <w:sz w:val="19"/>
        </w:rPr>
        <w:t xml:space="preserve">Figure 10: </w:t>
      </w:r>
      <w:r>
        <w:rPr>
          <w:rFonts w:ascii="Tahoma" w:eastAsia="Tahoma" w:hAnsi="Tahoma"/>
          <w:color w:val="404042"/>
          <w:spacing w:val="4"/>
          <w:sz w:val="18"/>
        </w:rPr>
        <w:t>Example of an Education Passport</w:t>
      </w:r>
    </w:p>
    <w:p w14:paraId="483D6757" w14:textId="77777777" w:rsidR="009757A9" w:rsidRDefault="00083242">
      <w:pPr>
        <w:spacing w:after="3936"/>
        <w:ind w:left="1253" w:right="1368"/>
        <w:textAlignment w:val="baseline"/>
      </w:pPr>
      <w:r>
        <w:rPr>
          <w:noProof/>
          <w:lang w:val="en-AU" w:eastAsia="en-AU"/>
        </w:rPr>
        <w:drawing>
          <wp:inline distT="0" distB="0" distL="0" distR="0" wp14:anchorId="7A8C2399" wp14:editId="04CFF0E6">
            <wp:extent cx="5897880" cy="4819015"/>
            <wp:effectExtent l="0" t="0" r="0" b="0"/>
            <wp:docPr id="191" name="Picture" descr="Image depicting a computer screen with an example of what an Education Passport could look like. It includes two main sections: Personal details including a USI, formal qualifications and transcripts, demonstrated skills and attributes, micro-credentials, other credentials, professional development, workplace experience, and references; and the second section includes reflection and personal learning, verification network, testimonials and references, goals and skills development, workplace learning, voluntary and community service."/>
            <wp:cNvGraphicFramePr/>
            <a:graphic xmlns:a="http://schemas.openxmlformats.org/drawingml/2006/main">
              <a:graphicData uri="http://schemas.openxmlformats.org/drawingml/2006/picture">
                <pic:pic xmlns:pic="http://schemas.openxmlformats.org/drawingml/2006/picture">
                  <pic:nvPicPr>
                    <pic:cNvPr id="191" name="Picture" descr="Image depicting a computer screen with an example of what an Education Passport could look like. It includes two main sections: Personal details including a USI, formal qualifications and transcripts, demonstrated skills and attributes, micro-credentials, other credentials, professional development, workplace experience, and references; and the second section includes reflection and personal learning, verification network, testimonials and references, goals and skills development, workplace learning, voluntary and community service."/>
                    <pic:cNvPicPr preferRelativeResize="0"/>
                  </pic:nvPicPr>
                  <pic:blipFill>
                    <a:blip r:embed="rId255"/>
                    <a:stretch>
                      <a:fillRect/>
                    </a:stretch>
                  </pic:blipFill>
                  <pic:spPr>
                    <a:xfrm>
                      <a:off x="0" y="0"/>
                      <a:ext cx="5897880" cy="4819015"/>
                    </a:xfrm>
                    <a:prstGeom prst="rect">
                      <a:avLst/>
                    </a:prstGeom>
                  </pic:spPr>
                </pic:pic>
              </a:graphicData>
            </a:graphic>
          </wp:inline>
        </w:drawing>
      </w:r>
    </w:p>
    <w:p w14:paraId="76B2490C" w14:textId="77777777" w:rsidR="009757A9" w:rsidRDefault="009757A9">
      <w:pPr>
        <w:spacing w:after="3936"/>
        <w:sectPr w:rsidR="009757A9">
          <w:pgSz w:w="11909" w:h="16838"/>
          <w:pgMar w:top="1080" w:right="0" w:bottom="0" w:left="0" w:header="720" w:footer="720" w:gutter="0"/>
          <w:cols w:space="720"/>
        </w:sectPr>
      </w:pPr>
    </w:p>
    <w:p w14:paraId="30A94666" w14:textId="77777777" w:rsidR="009757A9" w:rsidRDefault="00083242">
      <w:pPr>
        <w:tabs>
          <w:tab w:val="left" w:pos="1368"/>
        </w:tabs>
        <w:spacing w:after="626"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116</w:t>
      </w:r>
      <w:r>
        <w:rPr>
          <w:rFonts w:ascii="Tahoma" w:eastAsia="Tahoma" w:hAnsi="Tahoma"/>
          <w:color w:val="404042"/>
          <w:spacing w:val="4"/>
          <w:sz w:val="14"/>
        </w:rPr>
        <w:tab/>
        <w:t>Looking to the future</w:t>
      </w:r>
    </w:p>
    <w:p w14:paraId="68FE8667" w14:textId="77777777" w:rsidR="009757A9" w:rsidRDefault="00083242">
      <w:pPr>
        <w:textAlignment w:val="baseline"/>
      </w:pPr>
      <w:r>
        <w:rPr>
          <w:noProof/>
          <w:lang w:val="en-AU" w:eastAsia="en-AU"/>
        </w:rPr>
        <w:drawing>
          <wp:inline distT="0" distB="0" distL="0" distR="0" wp14:anchorId="1872571D" wp14:editId="7584C248">
            <wp:extent cx="7562215" cy="462915"/>
            <wp:effectExtent l="0" t="0" r="0" b="0"/>
            <wp:docPr id="192" name="Picture"/>
            <wp:cNvGraphicFramePr/>
            <a:graphic xmlns:a="http://schemas.openxmlformats.org/drawingml/2006/main">
              <a:graphicData uri="http://schemas.openxmlformats.org/drawingml/2006/picture">
                <pic:pic xmlns:pic="http://schemas.openxmlformats.org/drawingml/2006/picture">
                  <pic:nvPicPr>
                    <pic:cNvPr id="192" name="Picture"/>
                    <pic:cNvPicPr preferRelativeResize="0"/>
                  </pic:nvPicPr>
                  <pic:blipFill>
                    <a:blip r:embed="rId256"/>
                    <a:stretch>
                      <a:fillRect/>
                    </a:stretch>
                  </pic:blipFill>
                  <pic:spPr>
                    <a:xfrm>
                      <a:off x="0" y="0"/>
                      <a:ext cx="7562215" cy="462915"/>
                    </a:xfrm>
                    <a:prstGeom prst="rect">
                      <a:avLst/>
                    </a:prstGeom>
                  </pic:spPr>
                </pic:pic>
              </a:graphicData>
            </a:graphic>
          </wp:inline>
        </w:drawing>
      </w:r>
    </w:p>
    <w:p w14:paraId="077704F9" w14:textId="77777777" w:rsidR="009757A9" w:rsidRDefault="009757A9">
      <w:pPr>
        <w:sectPr w:rsidR="009757A9">
          <w:type w:val="continuous"/>
          <w:pgSz w:w="11909" w:h="16838"/>
          <w:pgMar w:top="1080" w:right="0" w:bottom="0" w:left="0" w:header="720" w:footer="720" w:gutter="0"/>
          <w:cols w:space="720"/>
        </w:sectPr>
      </w:pPr>
    </w:p>
    <w:p w14:paraId="7C0678FA" w14:textId="2FB360F0"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w:lastRenderedPageBreak/>
        <mc:AlternateContent>
          <mc:Choice Requires="wps">
            <w:drawing>
              <wp:anchor distT="0" distB="314325" distL="545465" distR="536575" simplePos="0" relativeHeight="251655680" behindDoc="1" locked="0" layoutInCell="1" allowOverlap="1" wp14:anchorId="011E40B1" wp14:editId="37343C69">
                <wp:simplePos x="0" y="0"/>
                <wp:positionH relativeFrom="page">
                  <wp:posOffset>545465</wp:posOffset>
                </wp:positionH>
                <wp:positionV relativeFrom="page">
                  <wp:posOffset>723900</wp:posOffset>
                </wp:positionV>
                <wp:extent cx="6480175" cy="1262380"/>
                <wp:effectExtent l="0" t="0" r="15875" b="13970"/>
                <wp:wrapSquare wrapText="bothSides"/>
                <wp:docPr id="47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262380"/>
                        </a:xfrm>
                        <a:prstGeom prst="rect">
                          <a:avLst/>
                        </a:prstGeom>
                        <a:solidFill>
                          <a:srgbClr val="DFE6EB"/>
                        </a:solidFill>
                        <a:ln w="9525">
                          <a:solidFill>
                            <a:schemeClr val="tx1"/>
                          </a:solidFill>
                          <a:miter lim="800000"/>
                          <a:headEnd/>
                          <a:tailEnd/>
                        </a:ln>
                      </wps:spPr>
                      <wps:txbx>
                        <w:txbxContent>
                          <w:p w14:paraId="5657A347"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40B1" id="Text Box 199" o:spid="_x0000_s1325" type="#_x0000_t202" style="position:absolute;left:0;text-align:left;margin-left:42.95pt;margin-top:57pt;width:510.25pt;height:99.4pt;z-index:-251660800;visibility:visible;mso-wrap-style:square;mso-width-percent:0;mso-height-percent:0;mso-wrap-distance-left:42.95pt;mso-wrap-distance-top:0;mso-wrap-distance-right:42.25pt;mso-wrap-distance-bottom:24.7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MgIAAE0EAAAOAAAAZHJzL2Uyb0RvYy54bWysVMtu2zAQvBfoPxC817LV2LEFy0HiR1Eg&#10;fQBJP4CiKIkoxWVJ2pL79VlStpO6t6I+EEtxOdydmfXyrm8VOQjrJOicTkZjSoTmUEpd5/TH8+7D&#10;nBLnmS6ZAi1yehSO3q3ev1t2JhMpNKBKYQmCaJd1JqeN9yZLEscb0TI3AiM0HlZgW+Zxa+uktKxD&#10;9FYl6Xg8SzqwpbHAhXP4dTMc0lXEryrB/beqcsITlVOszcfVxrUIa7Jasqy2zDSSn8pg/1BFy6TG&#10;Ry9QG+YZ2Vv5F1QruQUHlR9xaBOoKslF7AG7mYyvunlqmBGxFyTHmQtN7v/B8q+H75bIMqc3tyiV&#10;Zi2K9Cx6Tx6gJ5PFIjDUGZdh4pPBVN/jASodu3XmEfhPRzSsG6ZrcW8tdI1gJVY4CTeTN1cHHBdA&#10;iu4LlPgQ23uIQH1l20AfEkIQHZU6XtQJxXD8OLuZjye3U0o4nk3SWfpxHvVLWHa+bqzznwS0JAQ5&#10;tSh/hGeHR+dDOSw7p4TXHChZ7qRScWPrYq0sOTC0yma3nW0fYgdXaUqTLqeLaTodGPgDIrhWXEB8&#10;P3BwhdBKj5ZXss3pfBx+gwkDbVtdRkN6JtUQY8VKn3gM1A0k+r7oo2jpq0AFlEek1sLgcZxJDBqw&#10;vynp0N85db/2zApK1GeN8oRhOAf2HBTngGmOV3PqKRnCtR+GZm+srBtEHgyg4R4lrGQkN2g9VHEq&#10;GD0bOT/NVxiKt/uY9fovsHoBAAD//wMAUEsDBBQABgAIAAAAIQAOWIdx3gAAAAsBAAAPAAAAZHJz&#10;L2Rvd25yZXYueG1sTI/LboMwEEX3lfoP1lTqrjHOA1GCiaJKWXSD1DQf4OAJoOAxwiahf9/Jql3O&#10;zNGdc4vd7HpxwzF0njSoRQICqfa2o0bD6fvwloEI0ZA1vSfU8IMBduXzU2Fy6+/0hbdjbASHUMiN&#10;hjbGIZcy1C06ExZ+QOLbxY/ORB7HRtrR3Dnc9XKZJKl0piP+0JoBP1qsr8fJaahOLspDuo+qqT6r&#10;SV7Uym2U1q8v834LIuIc/2B46LM6lOx09hPZIHoN2eadSd6rNXd6ACpJ1yDOGlZqmYEsC/m/Q/kL&#10;AAD//wMAUEsBAi0AFAAGAAgAAAAhALaDOJL+AAAA4QEAABMAAAAAAAAAAAAAAAAAAAAAAFtDb250&#10;ZW50X1R5cGVzXS54bWxQSwECLQAUAAYACAAAACEAOP0h/9YAAACUAQAACwAAAAAAAAAAAAAAAAAv&#10;AQAAX3JlbHMvLnJlbHNQSwECLQAUAAYACAAAACEAq/0v9zICAABNBAAADgAAAAAAAAAAAAAAAAAu&#10;AgAAZHJzL2Uyb0RvYy54bWxQSwECLQAUAAYACAAAACEADliHcd4AAAALAQAADwAAAAAAAAAAAAAA&#10;AACMBAAAZHJzL2Rvd25yZXYueG1sUEsFBgAAAAAEAAQA8wAAAJcFAAAAAA==&#10;" fillcolor="#dfe6eb" strokecolor="black [3213]">
                <v:textbox inset="0,0,0,0">
                  <w:txbxContent>
                    <w:p w14:paraId="5657A347"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657728" behindDoc="1" locked="0" layoutInCell="1" allowOverlap="1" wp14:anchorId="5493AE50" wp14:editId="31C7DE49">
                <wp:simplePos x="0" y="0"/>
                <wp:positionH relativeFrom="page">
                  <wp:posOffset>597535</wp:posOffset>
                </wp:positionH>
                <wp:positionV relativeFrom="page">
                  <wp:posOffset>965835</wp:posOffset>
                </wp:positionV>
                <wp:extent cx="6428105" cy="862965"/>
                <wp:effectExtent l="0" t="0" r="0" b="0"/>
                <wp:wrapSquare wrapText="bothSides"/>
                <wp:docPr id="47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674C"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15</w:t>
                            </w:r>
                          </w:p>
                          <w:p w14:paraId="02DDB856" w14:textId="77777777" w:rsidR="00490F33" w:rsidRDefault="00490F33">
                            <w:pPr>
                              <w:spacing w:before="160" w:after="192" w:line="240" w:lineRule="exact"/>
                              <w:ind w:left="504" w:right="792"/>
                              <w:textAlignment w:val="baseline"/>
                              <w:rPr>
                                <w:rFonts w:ascii="Tahoma" w:eastAsia="Tahoma" w:hAnsi="Tahoma"/>
                                <w:color w:val="404042"/>
                                <w:sz w:val="18"/>
                              </w:rPr>
                            </w:pPr>
                            <w:r>
                              <w:rPr>
                                <w:rFonts w:ascii="Tahoma" w:eastAsia="Tahoma" w:hAnsi="Tahoma"/>
                                <w:color w:val="404042"/>
                                <w:sz w:val="18"/>
                              </w:rPr>
                              <w:t>In collaboration with industry, and VET and higher education providers, Education Council should co design a digital Education Passport for lifelong learning – a living document that allows young people to capture progressively their education and training qualifications and workplace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3AE50" id="Text Box 197" o:spid="_x0000_s1326" type="#_x0000_t202" style="position:absolute;left:0;text-align:left;margin-left:47.05pt;margin-top:76.05pt;width:506.15pt;height:67.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tU8gEAAMMDAAAOAAAAZHJzL2Uyb0RvYy54bWysU0Fu2zAQvBfoHwjea8lu4jiC5SBNkKJA&#10;mhZI8oA1RVlEJS67pC25r++Ssp20vQW9ECtyOZyZHS2vhq4VO03eoC3ldJJLoa3CythNKZ+f7j4s&#10;pPABbAUtWl3KvfbyavX+3bJ3hZ5hg22lSTCI9UXvStmE4Ios86rRHfgJOm35sEbqIPAnbbKKoGf0&#10;rs1meT7PeqTKESrtPe/ejodylfDrWqvwra69DqItJXMLaaW0ruOarZZQbAhcY9SBBryBRQfG8qMn&#10;qFsIILZk/oHqjCL0WIeJwi7DujZKJw2sZpr/peaxAaeTFjbHu5NN/v/BqofddxKmKuXZxVwKCx0P&#10;6UkPQXzCQUwvL6JDvfMFNz46bg0DH/Ckk1rv7lH98MLiTQN2o6+JsG80VMxwGm9mr66OOD6CrPuv&#10;WPFDsA2YgIaaumgfGyIYnSe1P00nklG8OT+bLab5uRSKzxbz2eX8PD0BxfG2Ix8+a+xELEpJPP2E&#10;Drt7HyIbKI4t8TGLd6ZtUwJa+8cGN8adxD4SHqmHYT0kqz7mKThR2xqrPQsiHJPFfwIXDdIvKXpO&#10;VSn9zy2QlqL9YtmUGMFjQcdifSzAKr5ayiDFWN6EMapbR2bTMPJou8VrNq42SdMLiwNhTkqSekh1&#10;jOLr79T18u+tfgMAAP//AwBQSwMEFAAGAAgAAAAhAF94FGXfAAAACwEAAA8AAABkcnMvZG93bnJl&#10;di54bWxMjz1PwzAQhnck/oN1SGzUTlSiNMSpKgQTEiINA6MTu4nV+Bxitw3/nusE2308eu+5cru4&#10;kZ3NHKxHCclKADPYeW2xl/DZvD7kwEJUqNXo0Uj4MQG21e1NqQrtL1ib8z72jEIwFErCEONUcB66&#10;wTgVVn4ySLuDn52K1M4917O6ULgbeSpExp2ySBcGNZnnwXTH/clJ2H1h/WK/39uP+lDbptkIfMuO&#10;Ut7fLbsnYNEs8Q+Gqz6pQ0VOrT+hDmyUsFknRNL8MaXiCiQiWwNrJaR5LoBXJf//Q/ULAAD//wMA&#10;UEsBAi0AFAAGAAgAAAAhALaDOJL+AAAA4QEAABMAAAAAAAAAAAAAAAAAAAAAAFtDb250ZW50X1R5&#10;cGVzXS54bWxQSwECLQAUAAYACAAAACEAOP0h/9YAAACUAQAACwAAAAAAAAAAAAAAAAAvAQAAX3Jl&#10;bHMvLnJlbHNQSwECLQAUAAYACAAAACEAE5r7VPIBAADDAwAADgAAAAAAAAAAAAAAAAAuAgAAZHJz&#10;L2Uyb0RvYy54bWxQSwECLQAUAAYACAAAACEAX3gUZd8AAAALAQAADwAAAAAAAAAAAAAAAABMBAAA&#10;ZHJzL2Rvd25yZXYueG1sUEsFBgAAAAAEAAQA8wAAAFgFAAAAAA==&#10;" filled="f" stroked="f">
                <v:textbox inset="0,0,0,0">
                  <w:txbxContent>
                    <w:p w14:paraId="484E674C"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15</w:t>
                      </w:r>
                    </w:p>
                    <w:p w14:paraId="02DDB856" w14:textId="77777777" w:rsidR="00490F33" w:rsidRDefault="00490F33">
                      <w:pPr>
                        <w:spacing w:before="160" w:after="192" w:line="240" w:lineRule="exact"/>
                        <w:ind w:left="504" w:right="792"/>
                        <w:textAlignment w:val="baseline"/>
                        <w:rPr>
                          <w:rFonts w:ascii="Tahoma" w:eastAsia="Tahoma" w:hAnsi="Tahoma"/>
                          <w:color w:val="404042"/>
                          <w:sz w:val="18"/>
                        </w:rPr>
                      </w:pPr>
                      <w:r>
                        <w:rPr>
                          <w:rFonts w:ascii="Tahoma" w:eastAsia="Tahoma" w:hAnsi="Tahoma"/>
                          <w:color w:val="404042"/>
                          <w:sz w:val="18"/>
                        </w:rPr>
                        <w:t>In collaboration with industry, and VET and higher education providers, Education Council should co design a digital Education Passport for lifelong learning – a living document that allows young people to capture progressively their education and training qualifications and workplace experience.</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959808" behindDoc="0" locked="0" layoutInCell="1" allowOverlap="1" wp14:anchorId="79D40393" wp14:editId="41FE660D">
                <wp:simplePos x="0" y="0"/>
                <wp:positionH relativeFrom="page">
                  <wp:posOffset>545465</wp:posOffset>
                </wp:positionH>
                <wp:positionV relativeFrom="page">
                  <wp:posOffset>723900</wp:posOffset>
                </wp:positionV>
                <wp:extent cx="6480175" cy="0"/>
                <wp:effectExtent l="0" t="0" r="0" b="0"/>
                <wp:wrapNone/>
                <wp:docPr id="474"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52654" id="Line 195" o:spid="_x0000_s1026" style="position:absolute;z-index:25195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553.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zLN0QEAAIYDAAAOAAAAZHJzL2Uyb0RvYy54bWysU01v2zAMvQ/YfxB0X2x3SZMacXpI2l2y&#10;LUC7H8BIcixMFgVJiZN/P0r5WLfdil0ESiQfHx+p+eOxN+ygfNBoG16NSs6UFSi13TX8x+vzpxln&#10;IYKVYNCqhp9U4I+Ljx/mg6vVHXZopPKMQGyoB9fwLkZXF0UQneohjNApS84WfQ+Rrn5XSA8Dofem&#10;uCvL+2JAL51HoUKg19XZyRcZv22ViN/bNqjITMOJW8ynz+c2ncViDvXOg+u0uNCAd7DoQVsqeoNa&#10;QQS29/ofqF4LjwHbOBLYF9i2WqjcA3VTlX9189KBU7kXEie4m0zh/8GKb4eNZ1o2fDwdc2ahpyGt&#10;tVWsepgkdQYXagpa2o1P/YmjfXFrFD8Ds7jswO5UZvl6cpRYpYzij5R0CY5qbIevKCkG9hGzVMfW&#10;9wmSRGDHPJHTbSLqGJmgx/vxrKymE87E1VdAfU10PsQvCnuWjIYbYp2B4bAOMRGB+hqS6lh81sbk&#10;gRvLBgL/PClzQkCjZXKmsOB326Xx7ABpZcppOXvKXZHnbVhCXkHoznHZdV4mj3src5VOgXy62BG0&#10;OdvEytiLSkmYs8RblKeNv6pHw870L4uZtuntPWf//j6LXwAAAP//AwBQSwMEFAAGAAgAAAAhAITk&#10;J9jeAAAACwEAAA8AAABkcnMvZG93bnJldi54bWxMj11LwzAUhu8F/0M4gncu7Zhj1qZDCupQBm4q&#10;eJk1x6aYnJQm2+q/9wwEvTzveXg/yuXonTjgELtACvJJBgKpCaajVsHb6/3VAkRMmox2gVDBN0ZY&#10;VudnpS5MONIGD9vUCjahWGgFNqW+kDI2Fr2Ok9Aj8e8zDF4nPodWmkEf2dw7Oc2yufS6I06wusfa&#10;YvO13XsFpl6tntZ1erSjexjeX56n8mPjlbq8GO9uQSQc0x8Mp/pcHSrutAt7MlE4BYvrGyZZz2e8&#10;6QTk2XwGYvcryaqU/zdUPwAAAP//AwBQSwECLQAUAAYACAAAACEAtoM4kv4AAADhAQAAEwAAAAAA&#10;AAAAAAAAAAAAAAAAW0NvbnRlbnRfVHlwZXNdLnhtbFBLAQItABQABgAIAAAAIQA4/SH/1gAAAJQB&#10;AAALAAAAAAAAAAAAAAAAAC8BAABfcmVscy8ucmVsc1BLAQItABQABgAIAAAAIQD5UzLN0QEAAIYD&#10;AAAOAAAAAAAAAAAAAAAAAC4CAABkcnMvZTJvRG9jLnhtbFBLAQItABQABgAIAAAAIQCE5CfY3gAA&#10;AAsBAAAPAAAAAAAAAAAAAAAAACsEAABkcnMvZG93bnJldi54bWxQSwUGAAAAAAQABADzAAAANgUA&#10;A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1960832" behindDoc="0" locked="0" layoutInCell="1" allowOverlap="1" wp14:anchorId="14025894" wp14:editId="390CEB26">
                <wp:simplePos x="0" y="0"/>
                <wp:positionH relativeFrom="page">
                  <wp:posOffset>545465</wp:posOffset>
                </wp:positionH>
                <wp:positionV relativeFrom="page">
                  <wp:posOffset>1986280</wp:posOffset>
                </wp:positionV>
                <wp:extent cx="6480175" cy="0"/>
                <wp:effectExtent l="0" t="0" r="0" b="0"/>
                <wp:wrapNone/>
                <wp:docPr id="473"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F4587" id="Line 194" o:spid="_x0000_s1026" style="position:absolute;z-index:2519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156.4pt" to="553.2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8T0QEAAIYDAAAOAAAAZHJzL2Uyb0RvYy54bWysU01v2zAMvQ/YfxB0X2y3aZMZcXpI2l2y&#10;LUC7H8BIcixMFgVJiZN/P0r5aLfdil4ESiQfHx+p2cOhN2yvfNBoG16NSs6UFSi13Tb818vTlyln&#10;IYKVYNCqhh9V4A/zz59mg6vVDXZopPKMQGyoB9fwLkZXF0UQneohjNApS84WfQ+Rrn5bSA8Dofem&#10;uCnL+2JAL51HoUKg1+XJyecZv22ViD/bNqjITMOJW8ynz+cmncV8BvXWg+u0ONOAd7DoQVsqeoVa&#10;QgS28/o/qF4LjwHbOBLYF9i2WqjcA3VTlf9089yBU7kXEie4q0zh42DFj/3aMy0bPp7ccmahpyGt&#10;tFWs+jpO6gwu1BS0sGuf+hMH++xWKH4HZnHRgd2qzPLl6CixShnFXynpEhzV2AzfUVIM7CJmqQ6t&#10;7xMkicAOeSLH60TUITJBj/fjaVlN7jgTF18B9SXR+RC/KexZMhpuiHUGhv0qxEQE6ktIqmPxSRuT&#10;B24sGwj89q7MCQGNlsmZwoLfbhbGsz2klSkn5fQxd0Wet2EJeQmhO8Vl12mZPO6szFU6BfLxbEfQ&#10;5mQTK2PPKiVhThJvUB7X/qIeDTvTPy9m2qa395z9+n3mfwAAAP//AwBQSwMEFAAGAAgAAAAhAHZP&#10;jbvfAAAACwEAAA8AAABkcnMvZG93bnJldi54bWxMj11LwzAUhu8F/0M4gncubdUxa9MhBXU4hH0o&#10;eJk1x6aYnJQk2+q/NwNBL885D+953mo+WsMO6EPvSEA+yYAhtU711Al42z5ezYCFKElJ4wgFfGOA&#10;eX1+VslSuSOt8bCJHUshFEopQMc4lJyHVqOVYeIGpHT7dN7KmEbfceXlMYVbw4ssm3Ire0oftByw&#10;0dh+bfZWgGoWi5fXJj7r0Tz599Wy4B9rK8TlxfhwDyziGP9gOOkndaiT087tSQVmBMxu7xIp4Dov&#10;UoUTkGfTG2C73xWvK/6/Q/0DAAD//wMAUEsBAi0AFAAGAAgAAAAhALaDOJL+AAAA4QEAABMAAAAA&#10;AAAAAAAAAAAAAAAAAFtDb250ZW50X1R5cGVzXS54bWxQSwECLQAUAAYACAAAACEAOP0h/9YAAACU&#10;AQAACwAAAAAAAAAAAAAAAAAvAQAAX3JlbHMvLnJlbHNQSwECLQAUAAYACAAAACEANrZ/E9EBAACG&#10;AwAADgAAAAAAAAAAAAAAAAAuAgAAZHJzL2Uyb0RvYy54bWxQSwECLQAUAAYACAAAACEAdk+Nu98A&#10;AAALAQAADwAAAAAAAAAAAAAAAAArBAAAZHJzL2Rvd25yZXYueG1sUEsFBgAAAAAEAAQA8wAAADcF&#10;AAA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1961856" behindDoc="0" locked="0" layoutInCell="1" allowOverlap="1" wp14:anchorId="3FA5F249" wp14:editId="5C4CC06C">
                <wp:simplePos x="0" y="0"/>
                <wp:positionH relativeFrom="page">
                  <wp:posOffset>545465</wp:posOffset>
                </wp:positionH>
                <wp:positionV relativeFrom="page">
                  <wp:posOffset>723900</wp:posOffset>
                </wp:positionV>
                <wp:extent cx="0" cy="1262380"/>
                <wp:effectExtent l="0" t="0" r="0" b="0"/>
                <wp:wrapNone/>
                <wp:docPr id="472"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238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9F929" id="Line 193" o:spid="_x0000_s1026" style="position:absolute;z-index:25196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42.95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uA0QEAAIYDAAAOAAAAZHJzL2Uyb0RvYy54bWysU02P2yAQvVfqf0DcG3+kzWatOHtIdntJ&#10;20i7+wMmgG1UzCAgsfPvCzjJbttb1QuC+Xjz5s2wehh7RU7COom6psUsp0RohlzqtqavL0+flpQ4&#10;D5qDQi1qehaOPqw/flgNphIldqi4sCSAaFcNpqad96bKMsc60YOboRE6OBu0PfjwtG3GLQwBvVdZ&#10;meeLbEDLjUUmnAvW7eSk64TfNIL5H03jhCeqpoGbT6dN5yGe2XoFVWvBdJJdaMA/sOhB6lD0BrUF&#10;D+Ro5V9QvWQWHTZ+xrDPsGkkE6mH0E2R/9HNcwdGpF6COM7cZHL/D5Z9P+0tkbymn+9KSjT0YUg7&#10;qQUp7udRncG4KgRt9N7G/tion80O2U9HNG460K1ILF/OJiQWMSP7LSU+nAk1DsM35CEGjh6TVGNj&#10;+wgZRCBjmsj5NhExesImIwvWolyU82WaVgbVNdFY578K7Em81FQF1gkYTjvnIxGoriGxjsYnqVQa&#10;uNJkqOli/iVPCQ6V5NEZw5xtDxtlyQniyuR3+fIxdRU878Mi8hZcN8Ul17RMFo+apyqdAP54uXuQ&#10;aroHVkpfVIrCTBIfkJ/39qpeGHaif1nMuE3v3yn77fusfwEAAP//AwBQSwMEFAAGAAgAAAAhAFx7&#10;2N/eAAAACQEAAA8AAABkcnMvZG93bnJldi54bWxMj9tKxDAQhu8F3yGM4J2bth6otekiBXVxEfag&#10;4GW2GZtiDiXJ7ta3d/RGL+efj/9Qzydr2AFDHLwTkM8yYOg6rwbXC3jdPlyUwGKSTknjHQr4wgjz&#10;5vSklpXyR7fGwyb1jExcrKQAndJYcR47jVbGmR/R0e/DBysTnaHnKsgjmVvDiyy74VYOjhK0HLHV&#10;2H1u9laAaheL55c2PenJPIa31bLg72srxPnZdH8HLOGU/mD4qU/VoaFOO793KjIjoLy+JZL0/Io2&#10;EfAr7ARc5kUJvKn5/wXNNwAAAP//AwBQSwECLQAUAAYACAAAACEAtoM4kv4AAADhAQAAEwAAAAAA&#10;AAAAAAAAAAAAAAAAW0NvbnRlbnRfVHlwZXNdLnhtbFBLAQItABQABgAIAAAAIQA4/SH/1gAAAJQB&#10;AAALAAAAAAAAAAAAAAAAAC8BAABfcmVscy8ucmVsc1BLAQItABQABgAIAAAAIQD21/uA0QEAAIYD&#10;AAAOAAAAAAAAAAAAAAAAAC4CAABkcnMvZTJvRG9jLnhtbFBLAQItABQABgAIAAAAIQBce9jf3gAA&#10;AAkBAAAPAAAAAAAAAAAAAAAAACsEAABkcnMvZG93bnJldi54bWxQSwUGAAAAAAQABADzAAAANgUA&#10;AAAA&#10;" strokecolor="#00708e" strokeweight=".5pt">
                <w10:wrap anchorx="page" anchory="page"/>
              </v:line>
            </w:pict>
          </mc:Fallback>
        </mc:AlternateContent>
      </w:r>
      <w:r w:rsidR="00083242">
        <w:rPr>
          <w:rFonts w:ascii="Arial" w:eastAsia="Arial" w:hAnsi="Arial"/>
          <w:i/>
          <w:color w:val="007896"/>
          <w:spacing w:val="1"/>
          <w:sz w:val="18"/>
        </w:rPr>
        <w:t>Implementation guidance</w:t>
      </w:r>
    </w:p>
    <w:p w14:paraId="1F5C1BB0" w14:textId="0ADE23DE" w:rsidR="009757A9" w:rsidRDefault="00083242">
      <w:pPr>
        <w:spacing w:before="167" w:line="240" w:lineRule="exact"/>
        <w:ind w:left="864" w:right="1512"/>
        <w:jc w:val="both"/>
        <w:textAlignment w:val="baseline"/>
        <w:rPr>
          <w:rFonts w:ascii="Tahoma" w:eastAsia="Tahoma" w:hAnsi="Tahoma"/>
          <w:color w:val="404042"/>
          <w:sz w:val="18"/>
        </w:rPr>
      </w:pPr>
      <w:r>
        <w:rPr>
          <w:rFonts w:ascii="Tahoma" w:eastAsia="Tahoma" w:hAnsi="Tahoma"/>
          <w:color w:val="404042"/>
          <w:sz w:val="18"/>
        </w:rPr>
        <w:t>The Panel found that stakeholders are generally supportive of the idea of an Education Passport, although they identified a number of significant issues that will need to be considered during implementation.</w:t>
      </w:r>
    </w:p>
    <w:p w14:paraId="2B9EF4FF" w14:textId="51F79525" w:rsidR="009757A9" w:rsidRDefault="00083242">
      <w:pPr>
        <w:spacing w:before="168" w:line="240" w:lineRule="exact"/>
        <w:ind w:left="864" w:right="864"/>
        <w:jc w:val="both"/>
        <w:textAlignment w:val="baseline"/>
        <w:rPr>
          <w:rFonts w:ascii="Tahoma" w:eastAsia="Tahoma" w:hAnsi="Tahoma"/>
          <w:color w:val="404042"/>
          <w:spacing w:val="6"/>
          <w:sz w:val="18"/>
        </w:rPr>
      </w:pPr>
      <w:r>
        <w:rPr>
          <w:rFonts w:ascii="Tahoma" w:eastAsia="Tahoma" w:hAnsi="Tahoma"/>
          <w:color w:val="404042"/>
          <w:spacing w:val="6"/>
          <w:sz w:val="18"/>
        </w:rPr>
        <w:t>Ensuring the Education Passport has support and buy-in from all parts of the education sector will be essential for its ultimate success. Industry associations and employer groups need to embrace the concept and recommend that their members include the passport as part of their selection processes. Employers will need to routinely seek an applicant’s Education Passport as the preferred form of resume. Students will need to be convinced that their information will be held securely and the privacy risks relating to their information have been effectively managed. It will need to become accepted nationally.</w:t>
      </w:r>
    </w:p>
    <w:p w14:paraId="0C29AE1C" w14:textId="3B059137" w:rsidR="009757A9" w:rsidRDefault="00083242">
      <w:pPr>
        <w:spacing w:before="168" w:line="240" w:lineRule="exact"/>
        <w:ind w:left="864" w:right="1224"/>
        <w:textAlignment w:val="baseline"/>
        <w:rPr>
          <w:rFonts w:ascii="Tahoma" w:eastAsia="Tahoma" w:hAnsi="Tahoma"/>
          <w:color w:val="404042"/>
          <w:sz w:val="18"/>
        </w:rPr>
      </w:pPr>
      <w:r>
        <w:rPr>
          <w:rFonts w:ascii="Tahoma" w:eastAsia="Tahoma" w:hAnsi="Tahoma"/>
          <w:color w:val="404042"/>
          <w:sz w:val="18"/>
        </w:rPr>
        <w:t>An Education Passport should not stand alone. Rather, it should be incorporated within the documentation of lifelong learning. Ideally, any Education Passport that is implemented would connect to, and build on, the Learner Profile. Linkage to a student’s Unique Student Identifier would also be preferable in order to facilitate the electronic transmission of transcripts and credentials across sectors and states and territories.</w:t>
      </w:r>
    </w:p>
    <w:p w14:paraId="360928FC" w14:textId="606ADCFC" w:rsidR="009757A9" w:rsidRDefault="00083242">
      <w:pPr>
        <w:spacing w:before="173" w:after="7151" w:line="240" w:lineRule="exact"/>
        <w:ind w:left="864" w:right="1152"/>
        <w:textAlignment w:val="baseline"/>
        <w:rPr>
          <w:rFonts w:ascii="Tahoma" w:eastAsia="Tahoma" w:hAnsi="Tahoma"/>
          <w:color w:val="404042"/>
          <w:sz w:val="18"/>
        </w:rPr>
      </w:pPr>
      <w:r>
        <w:rPr>
          <w:rFonts w:ascii="Tahoma" w:eastAsia="Tahoma" w:hAnsi="Tahoma"/>
          <w:color w:val="404042"/>
          <w:sz w:val="18"/>
        </w:rPr>
        <w:t>The Education Passport should come to be regarded by its holders as a valuable document. Progressively expanded, it would allow individuals to share the detailed record of their education, training and working lives with others. Passports, properly maintained, will open doors to new opportunities for their holders.</w:t>
      </w:r>
    </w:p>
    <w:p w14:paraId="187629F6" w14:textId="77777777" w:rsidR="009757A9" w:rsidRDefault="009757A9">
      <w:pPr>
        <w:spacing w:before="173" w:after="7151" w:line="240" w:lineRule="exact"/>
        <w:sectPr w:rsidR="009757A9">
          <w:pgSz w:w="11909" w:h="16838"/>
          <w:pgMar w:top="3605" w:right="0" w:bottom="0" w:left="0" w:header="720" w:footer="720" w:gutter="0"/>
          <w:cols w:space="720"/>
        </w:sectPr>
      </w:pPr>
    </w:p>
    <w:p w14:paraId="083470C0" w14:textId="7EACA94D" w:rsidR="009757A9" w:rsidRDefault="0007276F">
      <w:pPr>
        <w:spacing w:after="639" w:line="203" w:lineRule="exact"/>
        <w:ind w:left="6768"/>
        <w:textAlignment w:val="baseline"/>
        <w:rPr>
          <w:rFonts w:ascii="Tahoma" w:eastAsia="Tahoma" w:hAnsi="Tahoma"/>
          <w:color w:val="404042"/>
          <w:spacing w:val="7"/>
          <w:sz w:val="14"/>
        </w:rPr>
      </w:pPr>
      <w:r>
        <w:rPr>
          <w:noProof/>
          <w:lang w:val="en-AU" w:eastAsia="en-AU"/>
        </w:rPr>
        <w:drawing>
          <wp:anchor distT="0" distB="0" distL="114300" distR="114300" simplePos="0" relativeHeight="252093952" behindDoc="1" locked="0" layoutInCell="1" allowOverlap="1" wp14:anchorId="077ECA47" wp14:editId="40E7F58B">
            <wp:simplePos x="0" y="0"/>
            <wp:positionH relativeFrom="page">
              <wp:align>right</wp:align>
            </wp:positionH>
            <wp:positionV relativeFrom="paragraph">
              <wp:posOffset>502285</wp:posOffset>
            </wp:positionV>
            <wp:extent cx="7562215" cy="462915"/>
            <wp:effectExtent l="0" t="0" r="635" b="0"/>
            <wp:wrapNone/>
            <wp:docPr id="195" name="Picture"/>
            <wp:cNvGraphicFramePr/>
            <a:graphic xmlns:a="http://schemas.openxmlformats.org/drawingml/2006/main">
              <a:graphicData uri="http://schemas.openxmlformats.org/drawingml/2006/picture">
                <pic:pic xmlns:pic="http://schemas.openxmlformats.org/drawingml/2006/picture">
                  <pic:nvPicPr>
                    <pic:cNvPr id="195" name="Picture"/>
                    <pic:cNvPicPr preferRelativeResize="0"/>
                  </pic:nvPicPr>
                  <pic:blipFill>
                    <a:blip r:embed="rId25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7"/>
          <w:sz w:val="14"/>
        </w:rPr>
        <w:t>Chapter 5: Building more flexible pathways from school</w:t>
      </w:r>
      <w:r w:rsidR="00083242">
        <w:rPr>
          <w:rFonts w:ascii="Arial" w:eastAsia="Arial" w:hAnsi="Arial"/>
          <w:b/>
          <w:color w:val="5556A1"/>
          <w:spacing w:val="7"/>
          <w:sz w:val="19"/>
        </w:rPr>
        <w:t xml:space="preserve"> 117</w:t>
      </w:r>
    </w:p>
    <w:p w14:paraId="5ED639EF" w14:textId="24D4BA99" w:rsidR="009757A9" w:rsidRDefault="009757A9">
      <w:pPr>
        <w:textAlignment w:val="baseline"/>
      </w:pPr>
    </w:p>
    <w:p w14:paraId="5B796AE7" w14:textId="77777777" w:rsidR="009757A9" w:rsidRDefault="009757A9">
      <w:pPr>
        <w:sectPr w:rsidR="009757A9">
          <w:type w:val="continuous"/>
          <w:pgSz w:w="11909" w:h="16838"/>
          <w:pgMar w:top="3605" w:right="0" w:bottom="0" w:left="0" w:header="720" w:footer="720" w:gutter="0"/>
          <w:cols w:space="720"/>
        </w:sectPr>
      </w:pPr>
    </w:p>
    <w:p w14:paraId="5C06FB08"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659776" behindDoc="1" locked="0" layoutInCell="1" allowOverlap="1" wp14:anchorId="1B67120C" wp14:editId="5C2C0437">
                <wp:simplePos x="0" y="0"/>
                <wp:positionH relativeFrom="page">
                  <wp:posOffset>0</wp:posOffset>
                </wp:positionH>
                <wp:positionV relativeFrom="page">
                  <wp:posOffset>0</wp:posOffset>
                </wp:positionV>
                <wp:extent cx="7562215" cy="10692130"/>
                <wp:effectExtent l="0" t="0" r="0" b="0"/>
                <wp:wrapSquare wrapText="bothSides"/>
                <wp:docPr id="47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5EC2F" w14:textId="77777777" w:rsidR="00490F33" w:rsidRDefault="00490F33">
                            <w:pPr>
                              <w:textAlignment w:val="baseline"/>
                            </w:pPr>
                            <w:r>
                              <w:rPr>
                                <w:noProof/>
                                <w:lang w:val="en-AU" w:eastAsia="en-AU"/>
                              </w:rPr>
                              <w:drawing>
                                <wp:inline distT="0" distB="0" distL="0" distR="0" wp14:anchorId="14772B80" wp14:editId="3ACC974E">
                                  <wp:extent cx="7562215" cy="10692130"/>
                                  <wp:effectExtent l="0" t="0" r="0" b="0"/>
                                  <wp:docPr id="196" name="Picture"/>
                                  <wp:cNvGraphicFramePr/>
                                  <a:graphic xmlns:a="http://schemas.openxmlformats.org/drawingml/2006/main">
                                    <a:graphicData uri="http://schemas.openxmlformats.org/drawingml/2006/picture">
                                      <pic:pic xmlns:pic="http://schemas.openxmlformats.org/drawingml/2006/picture">
                                        <pic:nvPicPr>
                                          <pic:cNvPr id="196" name="Picture"/>
                                          <pic:cNvPicPr preferRelativeResize="0"/>
                                        </pic:nvPicPr>
                                        <pic:blipFill>
                                          <a:blip r:embed="rId258"/>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7120C" id="Text Box 192" o:spid="_x0000_s1327" type="#_x0000_t202" style="position:absolute;margin-left:0;margin-top:0;width:595.45pt;height:841.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KI8wEAAMUDAAAOAAAAZHJzL2Uyb0RvYy54bWysU9tu2zAMfR+wfxD0vvjSNV2NOEXXosOA&#10;7gK0+wBGlmNhtqhRSuzu60fJSdptb8NeBIqijs45pFZX09CLvSZv0NayWORSaKuwMXZby2+Pd2/e&#10;SeED2AZ6tLqWT9rLq/XrV6vRVbrEDvtGk2AQ66vR1bILwVVZ5lWnB/ALdNryYYs0QOAtbbOGYGT0&#10;oc/KPF9mI1LjCJX2nrO386FcJ/y21Sp8aVuvg+hrydxCWimtm7hm6xVUWwLXGXWgAf/AYgBj+dET&#10;1C0EEDsyf0ENRhF6bMNC4ZBh2xqlkwZWU+R/qHnowOmkhc3x7mST/3+w6vP+KwnT1PLtRSGFhYGb&#10;9KinIN7jJIrLMjo0Ol9x4YPj0jDxAXc6qfXuHtV3LyzedGC3+poIx05DwwyLeDN7cXXG8RFkM37C&#10;hh+CXcAENLU0RPvYEMHo3KmnU3ciGcXJi/NlWRbnUig+K/LlZVmcpQZmUB3vO/Lhg8ZBxKCWxP1P&#10;+LC/9yHygepYEp+zeGf6Ps1Ab39LcGHMJP6R8kw+TJspmXWWJ3lR3QabJ5ZEOM8W/wUOOqSfUow8&#10;V7X0P3ZAWor+o2Vb4hAeAzoGm2MAVvHVWgYp5vAmzMO6c2S2HSPPxlu8ZutakzQ9szgQ5llJUg9z&#10;HYfx5T5VPf++9S8AAAD//wMAUEsDBBQABgAIAAAAIQB7Iski3QAAAAcBAAAPAAAAZHJzL2Rvd25y&#10;ZXYueG1sTI/BTsMwEETvSPyDtUjcqF2QoiTEqaqKnioh0nDg6MTbxGq8TmO3DX+PywUuq1nNauZt&#10;sZrtwC44eeNIwnIhgCG1ThvqJHzW26cUmA+KtBocoYRv9LAq7+8KlWt3pQov+9CxGEI+VxL6EMac&#10;c9/2aJVfuBEpegc3WRXiOnVcT+oaw+3An4VIuFWGYkOvRtz02B73Zyth/UXVmzm9Nx/VoTJ1nQna&#10;JUcpHx/m9SuwgHP4O4YbfkSHMjI17kzas0FCfCT8zpu3zEQGrIkqSV9S4GXB//OXPwAAAP//AwBQ&#10;SwECLQAUAAYACAAAACEAtoM4kv4AAADhAQAAEwAAAAAAAAAAAAAAAAAAAAAAW0NvbnRlbnRfVHlw&#10;ZXNdLnhtbFBLAQItABQABgAIAAAAIQA4/SH/1gAAAJQBAAALAAAAAAAAAAAAAAAAAC8BAABfcmVs&#10;cy8ucmVsc1BLAQItABQABgAIAAAAIQAWyLKI8wEAAMUDAAAOAAAAAAAAAAAAAAAAAC4CAABkcnMv&#10;ZTJvRG9jLnhtbFBLAQItABQABgAIAAAAIQB7Iski3QAAAAcBAAAPAAAAAAAAAAAAAAAAAE0EAABk&#10;cnMvZG93bnJldi54bWxQSwUGAAAAAAQABADzAAAAVwUAAAAA&#10;" filled="f" stroked="f">
                <v:textbox inset="0,0,0,0">
                  <w:txbxContent>
                    <w:p w14:paraId="3695EC2F" w14:textId="77777777" w:rsidR="00490F33" w:rsidRDefault="00490F33">
                      <w:pPr>
                        <w:textAlignment w:val="baseline"/>
                      </w:pPr>
                      <w:r>
                        <w:rPr>
                          <w:noProof/>
                          <w:lang w:val="en-AU" w:eastAsia="en-AU"/>
                        </w:rPr>
                        <w:drawing>
                          <wp:inline distT="0" distB="0" distL="0" distR="0" wp14:anchorId="14772B80" wp14:editId="3ACC974E">
                            <wp:extent cx="7562215" cy="10692130"/>
                            <wp:effectExtent l="0" t="0" r="0" b="0"/>
                            <wp:docPr id="196" name="Picture"/>
                            <wp:cNvGraphicFramePr/>
                            <a:graphic xmlns:a="http://schemas.openxmlformats.org/drawingml/2006/main">
                              <a:graphicData uri="http://schemas.openxmlformats.org/drawingml/2006/picture">
                                <pic:pic xmlns:pic="http://schemas.openxmlformats.org/drawingml/2006/picture">
                                  <pic:nvPicPr>
                                    <pic:cNvPr id="196" name="Picture"/>
                                    <pic:cNvPicPr preferRelativeResize="0"/>
                                  </pic:nvPicPr>
                                  <pic:blipFill>
                                    <a:blip r:embed="rId258"/>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60800" behindDoc="1" locked="0" layoutInCell="1" allowOverlap="1" wp14:anchorId="1FAA921E" wp14:editId="6DB43E18">
                <wp:simplePos x="0" y="0"/>
                <wp:positionH relativeFrom="page">
                  <wp:posOffset>545465</wp:posOffset>
                </wp:positionH>
                <wp:positionV relativeFrom="page">
                  <wp:posOffset>9692640</wp:posOffset>
                </wp:positionV>
                <wp:extent cx="1219200" cy="144780"/>
                <wp:effectExtent l="0" t="0" r="0" b="0"/>
                <wp:wrapSquare wrapText="bothSides"/>
                <wp:docPr id="47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EA45D"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118</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A921E" id="Text Box 191" o:spid="_x0000_s1328" type="#_x0000_t202" style="position:absolute;margin-left:42.95pt;margin-top:763.2pt;width:96pt;height:11.4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gfs7wEAAMMDAAAOAAAAZHJzL2Uyb0RvYy54bWysU8Fu1DAQvSPxD5bvbJJlRdtos1VpVYRU&#10;KFLLBziOnVgkHjP2brJ8PWNnsxS4IS7W2B6/ee/NeHs9DT07KPQGbMWLVc6ZshIaY9uKf32+f3PJ&#10;mQ/CNqIHqyp+VJ5f716/2o6uVGvooG8UMgKxvhxdxbsQXJllXnZqEH4FTlm61ICDCLTFNmtQjIQ+&#10;9Nk6z99lI2DjEKTynk7v5ku+S/haKxketfYqsL7ixC2kFdNaxzXbbUXZonCdkSca4h9YDMJYKnqG&#10;uhNBsD2av6AGIxE86LCSMGSgtZEqaSA1Rf6HmqdOOJW0kDnenW3y/w9Wfj58QWaaim8uyB8rBmrS&#10;s5oCew8TK66K6NDofEmJT45Sw0QX1Omk1rsHkN88s3DbCduqG0QYOyUaYpheZi+ezjg+gtTjJ2io&#10;kNgHSECTxiHaR4YwQicmx3N3IhkZS66LK2o5Z5Luis3m4jK1LxPl8tqhDx8UDCwGFUfqfkIXhwcf&#10;SAelLimxmIV70/dpAnr72wElxpPEPhKeqYepnpJVb/P1YksNzZEEIcyTRT+Bgg7wB2cjTVXF/fe9&#10;QMVZ/9GSKXEElwCXoF4CYSU9rXjgbA5vwzyqe4em7Qh5tt3CDRmnTdIUHZ5ZnAjTpCSpp6mOo/hy&#10;n7J+/b3dTwAAAP//AwBQSwMEFAAGAAgAAAAhAJ0SMcngAAAADAEAAA8AAABkcnMvZG93bnJldi54&#10;bWxMj8FOg0AQhu8mvsNmTLzZRdLSgixNY/RkYqR48LiwUyBlZ5Hdtvj2Tk96nG/+/PNNvp3tIM44&#10;+d6RgsdFBAKpcaanVsFn9fqwAeGDJqMHR6jgBz1si9ubXGfGXajE8z60gkvIZ1pBF8KYSembDq32&#10;Czci8e7gJqsDj1MrzaQvXG4HGUdRIq3uiS90esTnDpvj/mQV7L6ofOm/3+uP8lD2VZVG9JYclbq/&#10;m3dPIALO4S8MV31Wh4Kdanci48WgYLNKOcl8FSdLEJyI12tG9RUt0xhkkcv/TxS/AAAA//8DAFBL&#10;AQItABQABgAIAAAAIQC2gziS/gAAAOEBAAATAAAAAAAAAAAAAAAAAAAAAABbQ29udGVudF9UeXBl&#10;c10ueG1sUEsBAi0AFAAGAAgAAAAhADj9If/WAAAAlAEAAAsAAAAAAAAAAAAAAAAALwEAAF9yZWxz&#10;Ly5yZWxzUEsBAi0AFAAGAAgAAAAhANfSB+zvAQAAwwMAAA4AAAAAAAAAAAAAAAAALgIAAGRycy9l&#10;Mm9Eb2MueG1sUEsBAi0AFAAGAAgAAAAhAJ0SMcngAAAADAEAAA8AAAAAAAAAAAAAAAAASQQAAGRy&#10;cy9kb3ducmV2LnhtbFBLBQYAAAAABAAEAPMAAABWBQAAAAA=&#10;" filled="f" stroked="f">
                <v:textbox inset="0,0,0,0">
                  <w:txbxContent>
                    <w:p w14:paraId="040EA45D"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118</w:t>
                      </w:r>
                      <w:r>
                        <w:rPr>
                          <w:rFonts w:ascii="Tahoma" w:eastAsia="Tahoma" w:hAnsi="Tahoma"/>
                          <w:color w:val="404042"/>
                          <w:sz w:val="14"/>
                        </w:rPr>
                        <w:tab/>
                        <w:t>Looking to the future</w:t>
                      </w:r>
                    </w:p>
                  </w:txbxContent>
                </v:textbox>
                <w10:wrap type="square" anchorx="page" anchory="page"/>
              </v:shape>
            </w:pict>
          </mc:Fallback>
        </mc:AlternateContent>
      </w:r>
    </w:p>
    <w:p w14:paraId="12D936F4" w14:textId="77777777" w:rsidR="009757A9" w:rsidRDefault="009757A9">
      <w:pPr>
        <w:sectPr w:rsidR="009757A9">
          <w:pgSz w:w="11909" w:h="16838"/>
          <w:pgMar w:top="0" w:right="1440" w:bottom="0" w:left="1440" w:header="720" w:footer="720" w:gutter="0"/>
          <w:cols w:space="720"/>
        </w:sectPr>
      </w:pPr>
    </w:p>
    <w:p w14:paraId="321DE856" w14:textId="77777777" w:rsidR="009757A9" w:rsidRDefault="000D2E34">
      <w:pPr>
        <w:spacing w:before="2" w:line="474" w:lineRule="exact"/>
        <w:textAlignment w:val="baseline"/>
        <w:rPr>
          <w:rFonts w:ascii="Arial" w:eastAsia="Arial" w:hAnsi="Arial"/>
          <w:color w:val="00708C"/>
          <w:spacing w:val="11"/>
          <w:w w:val="95"/>
          <w:sz w:val="39"/>
        </w:rPr>
      </w:pPr>
      <w:r w:rsidRPr="009179CC">
        <w:rPr>
          <w:b/>
          <w:bCs/>
          <w:noProof/>
          <w:lang w:val="en-AU" w:eastAsia="en-AU"/>
        </w:rPr>
        <w:lastRenderedPageBreak/>
        <mc:AlternateContent>
          <mc:Choice Requires="wps">
            <w:drawing>
              <wp:anchor distT="0" distB="0" distL="0" distR="0" simplePos="0" relativeHeight="251661824" behindDoc="1" locked="0" layoutInCell="1" allowOverlap="1" wp14:anchorId="36BF1D93" wp14:editId="5CDE57CF">
                <wp:simplePos x="0" y="0"/>
                <wp:positionH relativeFrom="page">
                  <wp:posOffset>804545</wp:posOffset>
                </wp:positionH>
                <wp:positionV relativeFrom="page">
                  <wp:posOffset>0</wp:posOffset>
                </wp:positionV>
                <wp:extent cx="6757670" cy="6696075"/>
                <wp:effectExtent l="0" t="0" r="0" b="0"/>
                <wp:wrapSquare wrapText="bothSides"/>
                <wp:docPr id="46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9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F1D89" w14:textId="77777777" w:rsidR="00490F33" w:rsidRDefault="00490F33">
                            <w:pPr>
                              <w:spacing w:after="1833"/>
                              <w:textAlignment w:val="baseline"/>
                            </w:pPr>
                            <w:r>
                              <w:rPr>
                                <w:noProof/>
                                <w:lang w:val="en-AU" w:eastAsia="en-AU"/>
                              </w:rPr>
                              <w:drawing>
                                <wp:inline distT="0" distB="0" distL="0" distR="0" wp14:anchorId="55D561F4" wp14:editId="761BA694">
                                  <wp:extent cx="6757670" cy="5532120"/>
                                  <wp:effectExtent l="0" t="0" r="0" b="0"/>
                                  <wp:docPr id="197" name="Picture"/>
                                  <wp:cNvGraphicFramePr/>
                                  <a:graphic xmlns:a="http://schemas.openxmlformats.org/drawingml/2006/main">
                                    <a:graphicData uri="http://schemas.openxmlformats.org/drawingml/2006/picture">
                                      <pic:pic xmlns:pic="http://schemas.openxmlformats.org/drawingml/2006/picture">
                                        <pic:nvPicPr>
                                          <pic:cNvPr id="197" name="Picture"/>
                                          <pic:cNvPicPr preferRelativeResize="0"/>
                                        </pic:nvPicPr>
                                        <pic:blipFill>
                                          <a:blip r:embed="rId259"/>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F1D93" id="Text Box 190" o:spid="_x0000_s1329" type="#_x0000_t202" style="position:absolute;margin-left:63.35pt;margin-top:0;width:532.1pt;height:527.2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yj8wEAAMQDAAAOAAAAZHJzL2Uyb0RvYy54bWysU9tu2zAMfR+wfxD0vthpV2cx4hRdiw4D&#10;ugvQ7gMYWY6F2aJGKbGzrx8lJ2m3vQ17EWiROjznkF5dj30n9pq8QVvJ+SyXQluFtbHbSn57un/z&#10;TgofwNbQodWVPGgvr9evX60GV+oLbLGrNQkGsb4cXCXbEFyZZV61ugc/Q6ctJxukHgJ/0jarCQZG&#10;77vsIs+LbECqHaHS3vPt3ZSU64TfNFqFL03jdRBdJZlbSCelcxPPbL2CckvgWqOONOAfWPRgLDc9&#10;Q91BALEj8xdUbxShxybMFPYZNo1ROmlgNfP8DzWPLTidtLA53p1t8v8PVn3efyVh6kq+LZZSWOh5&#10;SE96DOI9jmK+TA4Nzpdc+Oi4NIyc4Ekntd49oPruhcXbFuxW3xDh0GqomeE8epu9eBpn4ksfQTbD&#10;J6y5EewCJqCxoT7ax4YIRudJHc7TiWQUXxaLq0Wx4JTiXFEsi3xxlXpAeXruyIcPGnsRg0oSjz/B&#10;w/7Bh0gHylNJ7Gbx3nRdWoHO/nbBhfEm0Y+MJ+5h3IzJq8v8MnaOejZYH1gR4bRa/Ctw0CL9lGLg&#10;taqk/7ED0lJ0Hy27EnfwFNAp2JwCsIqfVjJIMYW3YdrVnSOzbRl58t3iDTvXmKTpmcWRMK9Kknpc&#10;67iLL79T1fPPt/4FAAD//wMAUEsDBBQABgAIAAAAIQCO+NkR3gAAAAoBAAAPAAAAZHJzL2Rvd25y&#10;ZXYueG1sTI/BTsMwEETvSPyDtUjcqN2KBhLiVBWCExIiDQeOTrxNosbrELtt+Hu2J7jtaEazb/LN&#10;7AZxwin0njQsFwoEUuNtT62Gz+r17hFEiIasGTyhhh8MsCmur3KTWX+mEk+72AouoZAZDV2MYyZl&#10;aDp0Jiz8iMTe3k/ORJZTK+1kzlzuBrlSKpHO9MQfOjPic4fNYXd0GrZfVL703+/1R7kv+6pKFb0l&#10;B61vb+btE4iIc/wLwwWf0aFgptofyQYxsF4lDxzVwIsu9jJVKYiaL7W+X4Mscvl/QvELAAD//wMA&#10;UEsBAi0AFAAGAAgAAAAhALaDOJL+AAAA4QEAABMAAAAAAAAAAAAAAAAAAAAAAFtDb250ZW50X1R5&#10;cGVzXS54bWxQSwECLQAUAAYACAAAACEAOP0h/9YAAACUAQAACwAAAAAAAAAAAAAAAAAvAQAAX3Jl&#10;bHMvLnJlbHNQSwECLQAUAAYACAAAACEAKzico/MBAADEAwAADgAAAAAAAAAAAAAAAAAuAgAAZHJz&#10;L2Uyb0RvYy54bWxQSwECLQAUAAYACAAAACEAjvjZEd4AAAAKAQAADwAAAAAAAAAAAAAAAABNBAAA&#10;ZHJzL2Rvd25yZXYueG1sUEsFBgAAAAAEAAQA8wAAAFgFAAAAAA==&#10;" filled="f" stroked="f">
                <v:textbox inset="0,0,0,0">
                  <w:txbxContent>
                    <w:p w14:paraId="44BF1D89" w14:textId="77777777" w:rsidR="00490F33" w:rsidRDefault="00490F33">
                      <w:pPr>
                        <w:spacing w:after="1833"/>
                        <w:textAlignment w:val="baseline"/>
                      </w:pPr>
                      <w:r>
                        <w:rPr>
                          <w:noProof/>
                          <w:lang w:val="en-AU" w:eastAsia="en-AU"/>
                        </w:rPr>
                        <w:drawing>
                          <wp:inline distT="0" distB="0" distL="0" distR="0" wp14:anchorId="55D561F4" wp14:editId="761BA694">
                            <wp:extent cx="6757670" cy="5532120"/>
                            <wp:effectExtent l="0" t="0" r="0" b="0"/>
                            <wp:docPr id="197" name="Picture"/>
                            <wp:cNvGraphicFramePr/>
                            <a:graphic xmlns:a="http://schemas.openxmlformats.org/drawingml/2006/main">
                              <a:graphicData uri="http://schemas.openxmlformats.org/drawingml/2006/picture">
                                <pic:pic xmlns:pic="http://schemas.openxmlformats.org/drawingml/2006/picture">
                                  <pic:nvPicPr>
                                    <pic:cNvPr id="197" name="Picture"/>
                                    <pic:cNvPicPr preferRelativeResize="0"/>
                                  </pic:nvPicPr>
                                  <pic:blipFill>
                                    <a:blip r:embed="rId259"/>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sidRPr="009179CC">
        <w:rPr>
          <w:rFonts w:ascii="Arial" w:eastAsia="Arial" w:hAnsi="Arial"/>
          <w:b/>
          <w:bCs/>
          <w:color w:val="00708C"/>
          <w:spacing w:val="11"/>
          <w:w w:val="95"/>
          <w:sz w:val="39"/>
        </w:rPr>
        <w:t>CHAPTER 6:</w:t>
      </w:r>
      <w:r w:rsidR="00083242">
        <w:rPr>
          <w:rFonts w:ascii="Arial" w:eastAsia="Arial" w:hAnsi="Arial"/>
          <w:color w:val="00708C"/>
          <w:spacing w:val="11"/>
          <w:w w:val="95"/>
          <w:sz w:val="39"/>
        </w:rPr>
        <w:t xml:space="preserve"> </w:t>
      </w:r>
      <w:r w:rsidR="00083242">
        <w:rPr>
          <w:rFonts w:ascii="Tahoma" w:eastAsia="Tahoma" w:hAnsi="Tahoma"/>
          <w:color w:val="00708C"/>
          <w:spacing w:val="11"/>
          <w:w w:val="95"/>
          <w:sz w:val="38"/>
        </w:rPr>
        <w:t>ENSURING ALL STUDENTS HAVE AN</w:t>
      </w:r>
    </w:p>
    <w:p w14:paraId="4066FFD6" w14:textId="77777777" w:rsidR="009757A9" w:rsidRDefault="00083242">
      <w:pPr>
        <w:spacing w:before="6" w:after="3787" w:line="450" w:lineRule="exact"/>
        <w:jc w:val="center"/>
        <w:textAlignment w:val="baseline"/>
        <w:rPr>
          <w:rFonts w:ascii="Tahoma" w:eastAsia="Tahoma" w:hAnsi="Tahoma"/>
          <w:color w:val="00708C"/>
          <w:spacing w:val="20"/>
          <w:w w:val="95"/>
          <w:sz w:val="38"/>
        </w:rPr>
      </w:pPr>
      <w:r>
        <w:rPr>
          <w:rFonts w:ascii="Tahoma" w:eastAsia="Tahoma" w:hAnsi="Tahoma"/>
          <w:color w:val="00708C"/>
          <w:spacing w:val="20"/>
          <w:w w:val="95"/>
          <w:sz w:val="38"/>
        </w:rPr>
        <w:t>EQUAL CHANCE OF SUCCESS</w:t>
      </w:r>
    </w:p>
    <w:p w14:paraId="4A71915A" w14:textId="77777777" w:rsidR="009757A9" w:rsidRDefault="009757A9">
      <w:pPr>
        <w:spacing w:before="6" w:after="3787" w:line="450" w:lineRule="exact"/>
        <w:sectPr w:rsidR="009757A9">
          <w:pgSz w:w="11909" w:h="16838"/>
          <w:pgMar w:top="0" w:right="2300" w:bottom="0" w:left="869" w:header="720" w:footer="720" w:gutter="0"/>
          <w:cols w:space="720"/>
        </w:sectPr>
      </w:pPr>
    </w:p>
    <w:p w14:paraId="01E21705" w14:textId="77777777" w:rsidR="009757A9" w:rsidRDefault="00083242">
      <w:pPr>
        <w:spacing w:before="16" w:after="604" w:line="214" w:lineRule="exact"/>
        <w:ind w:left="10656"/>
        <w:textAlignment w:val="baseline"/>
        <w:rPr>
          <w:rFonts w:ascii="Arial" w:eastAsia="Arial" w:hAnsi="Arial"/>
          <w:color w:val="5556A1"/>
          <w:spacing w:val="22"/>
          <w:sz w:val="20"/>
        </w:rPr>
      </w:pPr>
      <w:r>
        <w:rPr>
          <w:rFonts w:ascii="Arial" w:eastAsia="Arial" w:hAnsi="Arial"/>
          <w:color w:val="5556A1"/>
          <w:spacing w:val="22"/>
          <w:sz w:val="20"/>
        </w:rPr>
        <w:t>119</w:t>
      </w:r>
    </w:p>
    <w:p w14:paraId="5999CED1" w14:textId="77777777" w:rsidR="009757A9" w:rsidRDefault="00083242">
      <w:pPr>
        <w:textAlignment w:val="baseline"/>
      </w:pPr>
      <w:r>
        <w:rPr>
          <w:noProof/>
          <w:lang w:val="en-AU" w:eastAsia="en-AU"/>
        </w:rPr>
        <w:drawing>
          <wp:inline distT="0" distB="0" distL="0" distR="0" wp14:anchorId="58DB7E02" wp14:editId="777DFC73">
            <wp:extent cx="7562215" cy="462915"/>
            <wp:effectExtent l="0" t="0" r="0" b="0"/>
            <wp:docPr id="198" name="Picture"/>
            <wp:cNvGraphicFramePr/>
            <a:graphic xmlns:a="http://schemas.openxmlformats.org/drawingml/2006/main">
              <a:graphicData uri="http://schemas.openxmlformats.org/drawingml/2006/picture">
                <pic:pic xmlns:pic="http://schemas.openxmlformats.org/drawingml/2006/picture">
                  <pic:nvPicPr>
                    <pic:cNvPr id="198"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7CA00403" w14:textId="77777777" w:rsidR="009757A9" w:rsidRDefault="009757A9">
      <w:pPr>
        <w:sectPr w:rsidR="009757A9">
          <w:type w:val="continuous"/>
          <w:pgSz w:w="11909" w:h="16838"/>
          <w:pgMar w:top="0" w:right="0" w:bottom="0" w:left="0" w:header="720" w:footer="720" w:gutter="0"/>
          <w:cols w:space="720"/>
        </w:sectPr>
      </w:pPr>
    </w:p>
    <w:p w14:paraId="21C6E100" w14:textId="6506CA26" w:rsidR="009757A9" w:rsidRDefault="000D2E34">
      <w:pPr>
        <w:spacing w:line="237" w:lineRule="exact"/>
        <w:ind w:left="864" w:right="1368"/>
        <w:textAlignment w:val="baseline"/>
        <w:rPr>
          <w:rFonts w:ascii="Tahoma" w:eastAsia="Tahoma" w:hAnsi="Tahoma"/>
          <w:color w:val="404042"/>
          <w:spacing w:val="5"/>
          <w:sz w:val="18"/>
        </w:rPr>
      </w:pPr>
      <w:r>
        <w:rPr>
          <w:noProof/>
          <w:lang w:val="en-AU" w:eastAsia="en-AU"/>
        </w:rPr>
        <w:lastRenderedPageBreak/>
        <mc:AlternateContent>
          <mc:Choice Requires="wps">
            <w:drawing>
              <wp:anchor distT="0" distB="303530" distL="545465" distR="536575" simplePos="0" relativeHeight="251662848" behindDoc="1" locked="0" layoutInCell="1" allowOverlap="1" wp14:anchorId="374AACEE" wp14:editId="72B5685D">
                <wp:simplePos x="0" y="0"/>
                <wp:positionH relativeFrom="page">
                  <wp:posOffset>545465</wp:posOffset>
                </wp:positionH>
                <wp:positionV relativeFrom="page">
                  <wp:posOffset>723900</wp:posOffset>
                </wp:positionV>
                <wp:extent cx="6480175" cy="2396490"/>
                <wp:effectExtent l="0" t="0" r="15875" b="22860"/>
                <wp:wrapSquare wrapText="bothSides"/>
                <wp:docPr id="46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396490"/>
                        </a:xfrm>
                        <a:prstGeom prst="rect">
                          <a:avLst/>
                        </a:prstGeom>
                        <a:solidFill>
                          <a:srgbClr val="DFE6EB"/>
                        </a:solidFill>
                        <a:ln w="9525">
                          <a:solidFill>
                            <a:schemeClr val="tx1"/>
                          </a:solidFill>
                          <a:miter lim="800000"/>
                          <a:headEnd/>
                          <a:tailEnd/>
                        </a:ln>
                      </wps:spPr>
                      <wps:txbx>
                        <w:txbxContent>
                          <w:p w14:paraId="1F215FDB"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AACEE" id="Text Box 189" o:spid="_x0000_s1330" type="#_x0000_t202" style="position:absolute;left:0;text-align:left;margin-left:42.95pt;margin-top:57pt;width:510.25pt;height:188.7pt;z-index:-251653632;visibility:visible;mso-wrap-style:square;mso-width-percent:0;mso-height-percent:0;mso-wrap-distance-left:42.95pt;mso-wrap-distance-top:0;mso-wrap-distance-right:42.25pt;mso-wrap-distance-bottom:23.9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lKMwIAAE0EAAAOAAAAZHJzL2Uyb0RvYy54bWysVNuO2jAQfa/Uf7D8XhJYoBARVrtcqkrb&#10;i7TbD3Ach1h1PK5tSOjXd+wQuqVvVXmwxvH4eOacM6zuu0aRk7BOgs7peJRSIjSHUupDTr+97N8t&#10;KHGe6ZIp0CKnZ+Ho/frtm1VrMjGBGlQpLEEQ7bLW5LT23mRJ4ngtGuZGYITGwwpswzxu7SEpLWsR&#10;vVHJJE3nSQu2NBa4cA6/bvtDuo74VSW4/1JVTniicoq1+bjauBZhTdYrlh0sM7XklzLYP1TRMKnx&#10;0SvUlnlGjlb+BdVIbsFB5UccmgSqSnIRe8BuxulNN881MyL2guQ4c6XJ/T9Y/vn01RJZ5nQ6R6k0&#10;a1CkF9F58ggdGS+WgaHWuAwTnw2m+g4PUOnYrTNPwL87omFTM30QD9ZCWwtWYoXjcDN5dbXHcQGk&#10;aD9BiQ+xo4cI1FW2CfQhIQTRUanzVZ1QDMeP8+kiHb+fUcLxbHK3nE+XUb+EZcN1Y53/IKAhIcip&#10;RfkjPDs9OR/KYdmQEl5zoGS5l0rFjT0UG2XJiaFVtvvdfPcYO7hJU5q0OV3OJrOegT8ggmvFFcR3&#10;PQc3CI30aHklm5wu0vDrTRho2+kyGtIzqfoYK1b6wmOgrifRd0UXRbtLp4NABZRnpNZC73GcSQxq&#10;sD8padHfOXU/jswKStRHjfKEYRgCOwTFEDDN8WpOPSV9uPH90ByNlYcakXsDaHhACSsZyQ1a91Vc&#10;CkbPRs4v8xWG4vU+Zv3+F1j/AgAA//8DAFBLAwQUAAYACAAAACEAlTLMft4AAAALAQAADwAAAGRy&#10;cy9kb3ducmV2LnhtbEyPwW7CMAyG75P2DpEn7TbSbKWCrilCkzjsUmnAA4TGtNUap2pSKG+POW1H&#10;259+f3+xmV0vLjiGzpMGtUhAINXedtRoOB52bysQIRqypveEGm4YYFM+PxUmt/5KP3jZx0ZwCIXc&#10;aGhjHHIpQ92iM2HhByS+nf3oTORxbKQdzZXDXS/fkySTznTEH1oz4FeL9e9+chqqo4tyl22jaqrv&#10;apJn9eGWSuvXl3n7CSLiHP9geOizOpTsdPIT2SB6Davlmkneq5Q7PQCVZCmIk4Z0rVKQZSH/dyjv&#10;AAAA//8DAFBLAQItABQABgAIAAAAIQC2gziS/gAAAOEBAAATAAAAAAAAAAAAAAAAAAAAAABbQ29u&#10;dGVudF9UeXBlc10ueG1sUEsBAi0AFAAGAAgAAAAhADj9If/WAAAAlAEAAAsAAAAAAAAAAAAAAAAA&#10;LwEAAF9yZWxzLy5yZWxzUEsBAi0AFAAGAAgAAAAhABV3GUozAgAATQQAAA4AAAAAAAAAAAAAAAAA&#10;LgIAAGRycy9lMm9Eb2MueG1sUEsBAi0AFAAGAAgAAAAhAJUyzH7eAAAACwEAAA8AAAAAAAAAAAAA&#10;AAAAjQQAAGRycy9kb3ducmV2LnhtbFBLBQYAAAAABAAEAPMAAACYBQAAAAA=&#10;" fillcolor="#dfe6eb" strokecolor="black [3213]">
                <v:textbox inset="0,0,0,0">
                  <w:txbxContent>
                    <w:p w14:paraId="1F215FDB"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664896" behindDoc="1" locked="0" layoutInCell="1" allowOverlap="1" wp14:anchorId="0D807BD1" wp14:editId="420B1B6B">
                <wp:simplePos x="0" y="0"/>
                <wp:positionH relativeFrom="page">
                  <wp:posOffset>597535</wp:posOffset>
                </wp:positionH>
                <wp:positionV relativeFrom="page">
                  <wp:posOffset>964565</wp:posOffset>
                </wp:positionV>
                <wp:extent cx="6428105" cy="285115"/>
                <wp:effectExtent l="0" t="0" r="0" b="0"/>
                <wp:wrapSquare wrapText="bothSides"/>
                <wp:docPr id="46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2C4F4" w14:textId="77777777" w:rsidR="00490F33" w:rsidRDefault="00490F33">
                            <w:pPr>
                              <w:spacing w:line="439" w:lineRule="exact"/>
                              <w:ind w:left="504"/>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07BD1" id="Text Box 187" o:spid="_x0000_s1331" type="#_x0000_t202" style="position:absolute;left:0;text-align:left;margin-left:47.05pt;margin-top:75.95pt;width:506.15pt;height:22.4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L68QEAAMMDAAAOAAAAZHJzL2Uyb0RvYy54bWysU1GP0zAMfkfiP0R5Z13HbUzVutNxp0NI&#10;B4d0xw/w0nSNaOPgZGvHr8dJ13HAG+Ilcmzn8+fPzuZ66Fpx1OQN2lLms7kU2iqsjN2X8uvz/Zu1&#10;FD6AraBFq0t50l5eb1+/2vSu0AtssK00CQaxvuhdKZsQXJFlXjW6Az9Dpy0Ha6QOAl9pn1UEPaN3&#10;bbaYz1dZj1Q5QqW9Z+/dGJTbhF/XWoXHuvY6iLaUzC2kk9K5i2e23UCxJ3CNUWca8A8sOjCWi16g&#10;7iCAOJD5C6ozitBjHWYKuwzr2iideuBu8vkf3Tw14HTqhcXx7iKT/3+w6vPxCwlTlfJqtZLCQsdD&#10;etZDEO9xEPn6XVSod77gxCfHqWHgAE86devdA6pvXli8bcDu9Q0R9o2Gihnm8WX24umI4yPIrv+E&#10;FReCQ8AENNTURflYEMHoPKnTZTqRjGLn6mqxzudLKRTHFutlni9TCSim1458+KCxE9EoJfH0Ezoc&#10;H3yIbKCYUmIxi/embdMGtPY3BydGT2IfCY/Uw7AbklRvmcVZlh1WJ26IcNws/glsNEg/pOh5q0rp&#10;vx+AtBTtR8uixBWcDJqM3WSAVfy0lEGK0bwN46oeHJl9w8ij7BZvWLjapJ6iwiOLM2HelNTqeavj&#10;Kr68p6xff2/7EwAA//8DAFBLAwQUAAYACAAAACEADuYVt+AAAAALAQAADwAAAGRycy9kb3ducmV2&#10;LnhtbEyPPU/DMBCGdyT+g3VIbNQOaqMmxKkqBBMSIg0DoxNfE6vxOcRuG/593Ylu9/HoveeKzWwH&#10;dsLJG0cSkoUAhtQ6baiT8F2/P62B+aBIq8ERSvhDD5vy/q5QuXZnqvC0Cx2LIeRzJaEPYcw5922P&#10;VvmFG5Hibu8mq0Jsp47rSZ1juB34sxApt8pQvNCrEV97bA+7o5Ww/aHqzfx+Nl/VvjJ1nQn6SA9S&#10;Pj7M2xdgAefwD8NVP6pDGZ0adyTt2SAhWyaRjPNVkgG7AolIl8CaWGXpGnhZ8NsfygsAAAD//wMA&#10;UEsBAi0AFAAGAAgAAAAhALaDOJL+AAAA4QEAABMAAAAAAAAAAAAAAAAAAAAAAFtDb250ZW50X1R5&#10;cGVzXS54bWxQSwECLQAUAAYACAAAACEAOP0h/9YAAACUAQAACwAAAAAAAAAAAAAAAAAvAQAAX3Jl&#10;bHMvLnJlbHNQSwECLQAUAAYACAAAACEAR5uy+vEBAADDAwAADgAAAAAAAAAAAAAAAAAuAgAAZHJz&#10;L2Uyb0RvYy54bWxQSwECLQAUAAYACAAAACEADuYVt+AAAAALAQAADwAAAAAAAAAAAAAAAABLBAAA&#10;ZHJzL2Rvd25yZXYueG1sUEsFBgAAAAAEAAQA8wAAAFgFAAAAAA==&#10;" filled="f" stroked="f">
                <v:textbox inset="0,0,0,0">
                  <w:txbxContent>
                    <w:p w14:paraId="59F2C4F4" w14:textId="77777777" w:rsidR="00490F33" w:rsidRDefault="00490F33">
                      <w:pPr>
                        <w:spacing w:line="439" w:lineRule="exact"/>
                        <w:ind w:left="504"/>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65920" behindDoc="1" locked="0" layoutInCell="1" allowOverlap="1" wp14:anchorId="3E8D0DD0" wp14:editId="4457B110">
                <wp:simplePos x="0" y="0"/>
                <wp:positionH relativeFrom="page">
                  <wp:posOffset>597535</wp:posOffset>
                </wp:positionH>
                <wp:positionV relativeFrom="page">
                  <wp:posOffset>1249680</wp:posOffset>
                </wp:positionV>
                <wp:extent cx="6428105" cy="1725295"/>
                <wp:effectExtent l="0" t="0" r="0" b="0"/>
                <wp:wrapSquare wrapText="bothSides"/>
                <wp:docPr id="46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172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8B4F3" w14:textId="77777777" w:rsidR="00490F33" w:rsidRDefault="00490F33">
                            <w:pPr>
                              <w:spacing w:before="235" w:line="240" w:lineRule="exact"/>
                              <w:ind w:left="504" w:right="576" w:hanging="360"/>
                              <w:textAlignment w:val="baseline"/>
                              <w:rPr>
                                <w:rFonts w:ascii="Tahoma" w:eastAsia="Tahoma" w:hAnsi="Tahoma"/>
                                <w:color w:val="404042"/>
                                <w:sz w:val="18"/>
                              </w:rPr>
                            </w:pPr>
                            <w:r>
                              <w:rPr>
                                <w:rFonts w:ascii="Tahoma" w:eastAsia="Tahoma" w:hAnsi="Tahoma"/>
                                <w:color w:val="404042"/>
                                <w:sz w:val="18"/>
                              </w:rPr>
                              <w:t>6.1 Education is a key to offering economic opportunity and social mobility to all young Australians, no matter what their background or circumstances. Students should have equitable access to high-quality schooling that offers them the best prospect for leading successful lives. Education should be acknowledged as the stepping stone to a fair society.</w:t>
                            </w:r>
                          </w:p>
                          <w:p w14:paraId="07F2CCAF" w14:textId="77777777" w:rsidR="00490F33" w:rsidRDefault="00490F33">
                            <w:pPr>
                              <w:spacing w:before="168" w:after="389" w:line="240" w:lineRule="exact"/>
                              <w:ind w:left="504" w:right="576" w:hanging="360"/>
                              <w:textAlignment w:val="baseline"/>
                              <w:rPr>
                                <w:rFonts w:ascii="Tahoma" w:eastAsia="Tahoma" w:hAnsi="Tahoma"/>
                                <w:color w:val="404042"/>
                                <w:spacing w:val="5"/>
                                <w:sz w:val="18"/>
                              </w:rPr>
                            </w:pPr>
                            <w:r>
                              <w:rPr>
                                <w:rFonts w:ascii="Tahoma" w:eastAsia="Tahoma" w:hAnsi="Tahoma"/>
                                <w:color w:val="404042"/>
                                <w:spacing w:val="5"/>
                                <w:sz w:val="18"/>
                              </w:rPr>
                              <w:t>6.2 Students who do not transition to further education, training or employment cannot be left to flounder. They need increased support and guidance in the year after finishing senior secondary school. Supporting the rates of youth senior secondary achievement or equivalent, both within and outside of traditional schooling models, will have positive benefits for individuals and society.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D0DD0" id="Text Box 186" o:spid="_x0000_s1332" type="#_x0000_t202" style="position:absolute;left:0;text-align:left;margin-left:47.05pt;margin-top:98.4pt;width:506.15pt;height:135.8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3pC8gEAAMQDAAAOAAAAZHJzL2Uyb0RvYy54bWysU9tu2zAMfR+wfxD0vtjOmiwz4hRdiw4D&#10;ugvQ7gMYWY6F2aJGKbGzrx8lJ1m3vQ17ESiSOjw8pNbXY9+JgyZv0FaymOVSaKuwNnZXya9P969W&#10;UvgAtoYOra7kUXt5vXn5Yj24Us+xxa7WJBjE+nJwlWxDcGWWedXqHvwMnbYcbJB6CHylXVYTDIze&#10;d9k8z5fZgFQ7QqW9Z+/dFJSbhN80WoXPTeN1EF0lmVtIJ6VzG89ss4ZyR+Bao0404B9Y9GAsF71A&#10;3UEAsSfzF1RvFKHHJswU9hk2jVE69cDdFPkf3Ty24HTqhcXx7iKT/3+w6tPhCwlTV/JquZDCQs9D&#10;etJjEO9wFMVqGRUanC858dFxahg5wJNO3Xr3gOqbFxZvW7A7fUOEQ6uhZoZFfJk9ezrh+AiyHT5i&#10;zYVgHzABjQ31UT4WRDA6T+p4mU4ko9i5vJqvipxJKo4Vb+aL+dtFqgHl+bkjH95r7EU0Kkk8/gQP&#10;hwcfIh0ozymxmsV703VpBTr7m4MToyfRj4wn7mHcjkmr1/lFly3WR+6IcFot/gpstEg/pBh4rSrp&#10;v++BtBTdB8uqxB08G3Q2tmcDrOKnlQxSTOZtmHZ178jsWkaedLd4w8o1JvUUJZ5YnAjzqqRWT2sd&#10;d/H5PWX9+nybnwAAAP//AwBQSwMEFAAGAAgAAAAhAGRO7ovgAAAACwEAAA8AAABkcnMvZG93bnJl&#10;di54bWxMj8FOwzAMhu9IvENkJG4sKSrRWppOE4ITEqIrB45p47XVGqc02VbenuzEjrY//f7+YrPY&#10;kZ1w9oMjBclKAENqnRmoU/BVvz2sgfmgyejRESr4RQ+b8vam0LlxZ6rwtAsdiyHkc62gD2HKOfdt&#10;j1b7lZuQ4m3vZqtDHOeOm1mfY7gd+aMQkls9UPzQ6wlfemwPu6NVsP2m6nX4+Wg+q3011HUm6F0e&#10;lLq/W7bPwAIu4R+Gi35UhzI6Ne5IxrNRQZYmkYz7TMYKFyARMgXWKEjl+gl4WfDrDuUfAAAA//8D&#10;AFBLAQItABQABgAIAAAAIQC2gziS/gAAAOEBAAATAAAAAAAAAAAAAAAAAAAAAABbQ29udGVudF9U&#10;eXBlc10ueG1sUEsBAi0AFAAGAAgAAAAhADj9If/WAAAAlAEAAAsAAAAAAAAAAAAAAAAALwEAAF9y&#10;ZWxzLy5yZWxzUEsBAi0AFAAGAAgAAAAhAFunekLyAQAAxAMAAA4AAAAAAAAAAAAAAAAALgIAAGRy&#10;cy9lMm9Eb2MueG1sUEsBAi0AFAAGAAgAAAAhAGRO7ovgAAAACwEAAA8AAAAAAAAAAAAAAAAATAQA&#10;AGRycy9kb3ducmV2LnhtbFBLBQYAAAAABAAEAPMAAABZBQAAAAA=&#10;" filled="f" stroked="f">
                <v:textbox inset="0,0,0,0">
                  <w:txbxContent>
                    <w:p w14:paraId="6C68B4F3" w14:textId="77777777" w:rsidR="00490F33" w:rsidRDefault="00490F33">
                      <w:pPr>
                        <w:spacing w:before="235" w:line="240" w:lineRule="exact"/>
                        <w:ind w:left="504" w:right="576" w:hanging="360"/>
                        <w:textAlignment w:val="baseline"/>
                        <w:rPr>
                          <w:rFonts w:ascii="Tahoma" w:eastAsia="Tahoma" w:hAnsi="Tahoma"/>
                          <w:color w:val="404042"/>
                          <w:sz w:val="18"/>
                        </w:rPr>
                      </w:pPr>
                      <w:r>
                        <w:rPr>
                          <w:rFonts w:ascii="Tahoma" w:eastAsia="Tahoma" w:hAnsi="Tahoma"/>
                          <w:color w:val="404042"/>
                          <w:sz w:val="18"/>
                        </w:rPr>
                        <w:t>6.1 Education is a key to offering economic opportunity and social mobility to all young Australians, no matter what their background or circumstances. Students should have equitable access to high-quality schooling that offers them the best prospect for leading successful lives. Education should be acknowledged as the stepping stone to a fair society.</w:t>
                      </w:r>
                    </w:p>
                    <w:p w14:paraId="07F2CCAF" w14:textId="77777777" w:rsidR="00490F33" w:rsidRDefault="00490F33">
                      <w:pPr>
                        <w:spacing w:before="168" w:after="389" w:line="240" w:lineRule="exact"/>
                        <w:ind w:left="504" w:right="576" w:hanging="360"/>
                        <w:textAlignment w:val="baseline"/>
                        <w:rPr>
                          <w:rFonts w:ascii="Tahoma" w:eastAsia="Tahoma" w:hAnsi="Tahoma"/>
                          <w:color w:val="404042"/>
                          <w:spacing w:val="5"/>
                          <w:sz w:val="18"/>
                        </w:rPr>
                      </w:pPr>
                      <w:r>
                        <w:rPr>
                          <w:rFonts w:ascii="Tahoma" w:eastAsia="Tahoma" w:hAnsi="Tahoma"/>
                          <w:color w:val="404042"/>
                          <w:spacing w:val="5"/>
                          <w:sz w:val="18"/>
                        </w:rPr>
                        <w:t>6.2 Students who do not transition to further education, training or employment cannot be left to flounder. They need increased support and guidance in the year after finishing senior secondary school. Supporting the rates of youth senior secondary achievement or equivalent, both within and outside of traditional schooling models, will have positive benefits for individuals and society.</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962880" behindDoc="0" locked="0" layoutInCell="1" allowOverlap="1" wp14:anchorId="3079A798" wp14:editId="7AA85E96">
                <wp:simplePos x="0" y="0"/>
                <wp:positionH relativeFrom="page">
                  <wp:posOffset>545465</wp:posOffset>
                </wp:positionH>
                <wp:positionV relativeFrom="page">
                  <wp:posOffset>723900</wp:posOffset>
                </wp:positionV>
                <wp:extent cx="6480175" cy="0"/>
                <wp:effectExtent l="0" t="0" r="0" b="0"/>
                <wp:wrapNone/>
                <wp:docPr id="463"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F64C0" id="Line 184" o:spid="_x0000_s1026" style="position:absolute;z-index:25196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553.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E20AEAAIYDAAAOAAAAZHJzL2Uyb0RvYy54bWysU8Fu2zAMvQ/YPwi6L3baNA2MOD0k7S7Z&#10;FqDdBzCSHAuTRUFSYufvR8lJ1m23YReBEsnHx0dq+TR0hp2UDxptzaeTkjNlBUptDzX//vbyacFZ&#10;iGAlGLSq5mcV+NPq44dl7yp1hy0aqTwjEBuq3tW8jdFVRRFEqzoIE3TKkrNB30Gkqz8U0kNP6J0p&#10;7spyXvTopfMoVAj0uhmdfJXxm0aJ+K1pgorM1Jy4xXz6fO7TWayWUB08uFaLCw34BxYdaEtFb1Ab&#10;iMCOXv8F1WnhMWATJwK7AptGC5V7oG6m5R/dvLbgVO6FxAnuJlP4f7Di62nnmZY1n83vObPQ0ZC2&#10;2io2XcySOr0LFQWt7c6n/sRgX90WxY/ALK5bsAeVWb6dHSVOU0bxW0q6BEc19v0XlBQDx4hZqqHx&#10;XYIkEdiQJ3K+TUQNkQl6nM8W5fTxgTNx9RVQXROdD/Gzwo4lo+aGWGdgOG1DTESguoakOhZftDF5&#10;4MaynsDvH8qcENBomZwpLPjDfm08O0FamfKxXDznrsjzPiwhbyC0Y1x2jcvk8WhlrtIqkM8XO4I2&#10;o02sjL2olIQZJd6jPO/8VT0adqZ/Wcy0Te/vOfvX91n9BAAA//8DAFBLAwQUAAYACAAAACEAhOQn&#10;2N4AAAALAQAADwAAAGRycy9kb3ducmV2LnhtbEyPXUvDMBSG7wX/QziCdy7tmGPWpkMK6lAGbip4&#10;mTXHppiclCbb6r/3DAS9PO95eD/K5eidOOAQu0AK8kkGAqkJpqNWwdvr/dUCREyajHaBUME3RlhW&#10;52elLkw40gYP29QKNqFYaAU2pb6QMjYWvY6T0CPx7zMMXic+h1aaQR/Z3Ds5zbK59LojTrC6x9pi&#10;87XdewWmXq2e1nV6tKN7GN5fnqfyY+OVurwY725BJBzTHwyn+lwdKu60C3syUTgFi+sbJlnPZ7zp&#10;BOTZfAZi9yvJqpT/N1Q/AAAA//8DAFBLAQItABQABgAIAAAAIQC2gziS/gAAAOEBAAATAAAAAAAA&#10;AAAAAAAAAAAAAABbQ29udGVudF9UeXBlc10ueG1sUEsBAi0AFAAGAAgAAAAhADj9If/WAAAAlAEA&#10;AAsAAAAAAAAAAAAAAAAALwEAAF9yZWxzLy5yZWxzUEsBAi0AFAAGAAgAAAAhAKc+ITbQAQAAhgMA&#10;AA4AAAAAAAAAAAAAAAAALgIAAGRycy9lMm9Eb2MueG1sUEsBAi0AFAAGAAgAAAAhAITkJ9jeAAAA&#10;CwEAAA8AAAAAAAAAAAAAAAAAKgQAAGRycy9kb3ducmV2LnhtbFBLBQYAAAAABAAEAPMAAAA1BQAA&#10;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1963904" behindDoc="0" locked="0" layoutInCell="1" allowOverlap="1" wp14:anchorId="3A98C2E8" wp14:editId="117A0504">
                <wp:simplePos x="0" y="0"/>
                <wp:positionH relativeFrom="page">
                  <wp:posOffset>545465</wp:posOffset>
                </wp:positionH>
                <wp:positionV relativeFrom="page">
                  <wp:posOffset>3120390</wp:posOffset>
                </wp:positionV>
                <wp:extent cx="6480175" cy="0"/>
                <wp:effectExtent l="0" t="0" r="0" b="0"/>
                <wp:wrapNone/>
                <wp:docPr id="462"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1FB94" id="Line 183" o:spid="_x0000_s1026" style="position:absolute;z-index:2519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245.7pt" to="553.2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BP0AEAAIYDAAAOAAAAZHJzL2Uyb0RvYy54bWysU8Fu2zAMvQ/YPwi6L3bSNg2MOD0k7S7Z&#10;FqDdBzCSHAuTRUFSYufvR8lJ1m23YReBEsnHx0dq+TR0hp2UDxptzaeTkjNlBUptDzX//vbyacFZ&#10;iGAlGLSq5mcV+NPq44dl7yo1wxaNVJ4RiA1V72rexuiqogiiVR2ECTplydmg7yDS1R8K6aEn9M4U&#10;s7KcFz166TwKFQK9bkYnX2X8plEifmuaoCIzNSduMZ8+n/t0FqslVAcPrtXiQgP+gUUH2lLRG9QG&#10;IrCj139BdVp4DNjEicCuwKbRQuUeqJtp+Uc3ry04lXshcYK7yRT+H6z4etp5pmXN7+czzix0NKSt&#10;topNF3dJnd6FioLWdudTf2Kwr26L4kdgFtct2IPKLN/OjhKnKaP4LSVdgqMa+/4LSoqBY8Qs1dD4&#10;LkGSCGzIEznfJqKGyAQ9zu8X5fTxgTNx9RVQXROdD/Gzwo4lo+aGWGdgOG1DTESguoakOhZftDF5&#10;4MaynsDvHsqcENBomZwpLPjDfm08O0FamfKxXDznrsjzPiwhbyC0Y1x2jcvk8WhlrtIqkM8XO4I2&#10;o02sjL2olIQZJd6jPO/8VT0adqZ/Wcy0Te/vOfvX91n9BAAA//8DAFBLAwQUAAYACAAAACEAkEYK&#10;BN8AAAALAQAADwAAAGRycy9kb3ducmV2LnhtbEyPXUvDMBSG74X9h3AG3rm0Y46tazqkoA5FcFPB&#10;y6w5a4rJSUmyrf57MxD07nw8vOc55Xqwhp3Qh86RgHySAUNqnOqoFfD+dn+zABaiJCWNIxTwjQHW&#10;1eiqlIVyZ9riaRdblkIoFFKAjrEvOA+NRivDxPVIaXdw3sqYWt9y5eU5hVvDp1k251Z2lC5o2WOt&#10;sfnaHa0AVW82Ty91fNSDefAfr89T/rm1QlyPh7sVsIhD/IPhop/UoUpOe3ckFZgRsLhdJlLAbJnP&#10;gF2APJunav874lXJ//9Q/QAAAP//AwBQSwECLQAUAAYACAAAACEAtoM4kv4AAADhAQAAEwAAAAAA&#10;AAAAAAAAAAAAAAAAW0NvbnRlbnRfVHlwZXNdLnhtbFBLAQItABQABgAIAAAAIQA4/SH/1gAAAJQB&#10;AAALAAAAAAAAAAAAAAAAAC8BAABfcmVscy8ucmVsc1BLAQItABQABgAIAAAAIQDEfrBP0AEAAIYD&#10;AAAOAAAAAAAAAAAAAAAAAC4CAABkcnMvZTJvRG9jLnhtbFBLAQItABQABgAIAAAAIQCQRgoE3wAA&#10;AAsBAAAPAAAAAAAAAAAAAAAAACoEAABkcnMvZG93bnJldi54bWxQSwUGAAAAAAQABADzAAAANgUA&#10;A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1964928" behindDoc="0" locked="0" layoutInCell="1" allowOverlap="1" wp14:anchorId="111F2FEA" wp14:editId="747DE617">
                <wp:simplePos x="0" y="0"/>
                <wp:positionH relativeFrom="page">
                  <wp:posOffset>545465</wp:posOffset>
                </wp:positionH>
                <wp:positionV relativeFrom="page">
                  <wp:posOffset>723900</wp:posOffset>
                </wp:positionV>
                <wp:extent cx="0" cy="2396490"/>
                <wp:effectExtent l="0" t="0" r="0" b="0"/>
                <wp:wrapNone/>
                <wp:docPr id="461"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649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13763" id="Line 182" o:spid="_x0000_s1026" style="position:absolute;z-index:25196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42.95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Rr0QEAAIYDAAAOAAAAZHJzL2Uyb0RvYy54bWysU02P2yAQvVfqf0DcG9vZbZq14uwh2e0l&#10;bSPt9gdMANuowCAgsfPvCzhJt+2t6gXBfLx582ZYPY5akZNwXqJpaDUrKRGGIZema+j31+cPS0p8&#10;AMNBoRENPQtPH9fv360GW4s59qi4cCSCGF8PtqF9CLYuCs96ocHP0AoTnS06DSE+XVdwB0NE16qY&#10;l+WiGNBx65AJ76N1OznpOuO3rWDhW9t6EYhqaOQW8unyeUhnsV5B3TmwvWQXGvAPLDRIE4veoLYQ&#10;gByd/AtKS+bQYxtmDHWBbSuZyD3Ebqryj25eerAi9xLF8fYmk/9/sOzrae+I5A29X1SUGNBxSDtp&#10;BKmW86TOYH0dgzZm71J/bDQvdofshycGNz2YTmSWr2cbE6uUUfyWkh7exhqH4QvyGAPHgFmqsXU6&#10;QUYRyJgncr5NRIyBsMnIonV+97C4f8jTKqC+Jlrnw2eBmqRLQ1VknYHhtPMhEYH6GpLqGHyWSuWB&#10;K0OGhi7uPpY5waOSPDlTmHfdYaMcOUFamfJTuXzKXUXP27CEvAXfT3HZNS2Tw6PhuUovgD9d7gGk&#10;mu6RlTIXlZIwk8QH5Oe9u6oXh53pXxYzbdPbd87+9X3WPwEAAP//AwBQSwMEFAAGAAgAAAAhAMcR&#10;k9DeAAAACQEAAA8AAABkcnMvZG93bnJldi54bWxMj01Lw0AQhu+C/2EZwZvdpERpYzZFAmpRBFsV&#10;PG6zYxLcnQ272zb+e0cvepx3Ht6PajU5Kw4Y4uBJQT7LQCC13gzUKXh9ub1YgIhJk9HWEyr4wgir&#10;+vSk0qXxR9rgYZs6wSYUS62gT2kspYxtj07HmR+R+Pfhg9OJz9BJE/SRzZ2V8yy7kk4PxAm9HrHp&#10;sf3c7p0C06zXD09Nuu8nexfenh/n8n3jlDo/m26uQSSc0h8MP/W5OtTcaef3ZKKwChaXSyZZzwve&#10;xMCvsFNQLPMCZF3J/wvqbwAAAP//AwBQSwECLQAUAAYACAAAACEAtoM4kv4AAADhAQAAEwAAAAAA&#10;AAAAAAAAAAAAAAAAW0NvbnRlbnRfVHlwZXNdLnhtbFBLAQItABQABgAIAAAAIQA4/SH/1gAAAJQB&#10;AAALAAAAAAAAAAAAAAAAAC8BAABfcmVscy8ucmVsc1BLAQItABQABgAIAAAAIQB1lyRr0QEAAIYD&#10;AAAOAAAAAAAAAAAAAAAAAC4CAABkcnMvZTJvRG9jLnhtbFBLAQItABQABgAIAAAAIQDHEZPQ3gAA&#10;AAkBAAAPAAAAAAAAAAAAAAAAACsEAABkcnMvZG93bnJldi54bWxQSwUGAAAAAAQABADzAAAANgUA&#10;AAAA&#10;" strokecolor="#00708e" strokeweight=".5pt">
                <w10:wrap anchorx="page" anchory="page"/>
              </v:line>
            </w:pict>
          </mc:Fallback>
        </mc:AlternateContent>
      </w:r>
      <w:r w:rsidR="00083242">
        <w:rPr>
          <w:rFonts w:ascii="Tahoma" w:eastAsia="Tahoma" w:hAnsi="Tahoma"/>
          <w:color w:val="404042"/>
          <w:spacing w:val="5"/>
          <w:sz w:val="18"/>
        </w:rPr>
        <w:t>Education and training remains the key to unlocking social mobility and economic opportunity for individuals. It is the cornerstone of a fair, equitable and civil society. It is essential that senior secondary schooling ensures the full participation of all students, with a particular emphasis on supporting students who may experience additional barriers and challenges.</w:t>
      </w:r>
    </w:p>
    <w:p w14:paraId="65B284DB" w14:textId="011E4A95" w:rsidR="009757A9" w:rsidRDefault="00083242">
      <w:pPr>
        <w:spacing w:before="172"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We know that not all students are able to engage successfully with traditional schooling. In spite of recent improvements, there is still a significant gap to close to bring the education and employment outcomes of Aboriginal and Torres Strait Islander people up to the level of other Australians. Living in regional and remote areas often reduces opportunities for young people. Migrant and refugee children have to overcome barriers of language and prejudice. Children brought up in families that face social and economic disadvantage often find their parents are able to offer less support.</w:t>
      </w:r>
    </w:p>
    <w:p w14:paraId="0C9FA6D2" w14:textId="6139BD5E" w:rsidR="009757A9" w:rsidRDefault="00083242">
      <w:pPr>
        <w:spacing w:before="167"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While there are a wide range of initiatives in place to support such students, the challenge is to scale these up. As a nation, we need to ensure that all senior secondary students are sufficiently prepared by their education that they are able to access a full suite of post-school options. The move to remote learning as a response to the infectiousness of COVID-19 has reminded us that it is a challenge to ensure that all students have equal access to the liberating force of education.</w:t>
      </w:r>
    </w:p>
    <w:p w14:paraId="63CF70EC" w14:textId="6540CAB0" w:rsidR="009757A9" w:rsidRDefault="00083242">
      <w:pPr>
        <w:spacing w:before="173"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More generally, while some level of worry and stress is important in preparing students for the realities of life and requiring them to develop resilience and fortitude, the design of the school system should not place unnecessary pressure on young people. It is good that the level of pastoral care at schools is much improved; however, it is essential that we design senior secondary education to address the pressure and anxieties that contribute to the need for that care.</w:t>
      </w:r>
    </w:p>
    <w:p w14:paraId="282BF523" w14:textId="7E54B8B6" w:rsidR="009757A9" w:rsidRDefault="00083242">
      <w:pPr>
        <w:spacing w:before="189"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The package of recommendations throughout this report is designed to reduce such stress through:</w:t>
      </w:r>
    </w:p>
    <w:p w14:paraId="39680CAB" w14:textId="23788697"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reducing the focus on the ATAR at the expense of broader capabilities and skills</w:t>
      </w:r>
    </w:p>
    <w:p w14:paraId="67BAC480" w14:textId="2D8CF106" w:rsidR="009757A9" w:rsidRDefault="00083242">
      <w:pPr>
        <w:numPr>
          <w:ilvl w:val="0"/>
          <w:numId w:val="6"/>
        </w:numPr>
        <w:tabs>
          <w:tab w:val="clear" w:pos="216"/>
          <w:tab w:val="left" w:pos="1080"/>
        </w:tabs>
        <w:spacing w:before="81" w:line="240" w:lineRule="exact"/>
        <w:ind w:left="1080" w:right="936" w:hanging="216"/>
        <w:textAlignment w:val="baseline"/>
        <w:rPr>
          <w:rFonts w:ascii="Tahoma" w:eastAsia="Tahoma" w:hAnsi="Tahoma"/>
          <w:color w:val="404042"/>
          <w:sz w:val="18"/>
        </w:rPr>
      </w:pPr>
      <w:r>
        <w:rPr>
          <w:rFonts w:ascii="Tahoma" w:eastAsia="Tahoma" w:hAnsi="Tahoma"/>
          <w:color w:val="404042"/>
          <w:sz w:val="18"/>
        </w:rPr>
        <w:t>encouraging students to follow their interests and passions rather than select subjects and pathways based on what they see as the ‘default’ option</w:t>
      </w:r>
    </w:p>
    <w:p w14:paraId="03114E2D" w14:textId="6D706B35"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ensuring greater flexibility is built into the system to cater for those who do not thrive in traditional settings</w:t>
      </w:r>
    </w:p>
    <w:p w14:paraId="49F0C87F" w14:textId="22C608FF"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identifying measures to help disadvantaged students overcome the barriers that they face.</w:t>
      </w:r>
    </w:p>
    <w:p w14:paraId="35489A2A" w14:textId="0CCDCC30" w:rsidR="009757A9" w:rsidRDefault="000A086E">
      <w:pPr>
        <w:tabs>
          <w:tab w:val="left" w:pos="1368"/>
        </w:tabs>
        <w:spacing w:before="2632" w:after="634" w:line="209"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094976" behindDoc="1" locked="0" layoutInCell="1" allowOverlap="1" wp14:anchorId="1CF10881" wp14:editId="21A98098">
            <wp:simplePos x="0" y="0"/>
            <wp:positionH relativeFrom="margin">
              <wp:align>right</wp:align>
            </wp:positionH>
            <wp:positionV relativeFrom="paragraph">
              <wp:posOffset>2160270</wp:posOffset>
            </wp:positionV>
            <wp:extent cx="7562215" cy="462915"/>
            <wp:effectExtent l="0" t="0" r="635" b="0"/>
            <wp:wrapNone/>
            <wp:docPr id="201" name="Picture"/>
            <wp:cNvGraphicFramePr/>
            <a:graphic xmlns:a="http://schemas.openxmlformats.org/drawingml/2006/main">
              <a:graphicData uri="http://schemas.openxmlformats.org/drawingml/2006/picture">
                <pic:pic xmlns:pic="http://schemas.openxmlformats.org/drawingml/2006/picture">
                  <pic:nvPicPr>
                    <pic:cNvPr id="201" name="Picture"/>
                    <pic:cNvPicPr preferRelativeResize="0"/>
                  </pic:nvPicPr>
                  <pic:blipFill>
                    <a:blip r:embed="rId26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120</w:t>
      </w:r>
      <w:r w:rsidR="00083242">
        <w:rPr>
          <w:rFonts w:ascii="Tahoma" w:eastAsia="Tahoma" w:hAnsi="Tahoma"/>
          <w:color w:val="404042"/>
          <w:spacing w:val="4"/>
          <w:sz w:val="14"/>
        </w:rPr>
        <w:tab/>
        <w:t>Looking to the future</w:t>
      </w:r>
    </w:p>
    <w:p w14:paraId="3D4F0890" w14:textId="1318F040" w:rsidR="009757A9" w:rsidRDefault="009757A9">
      <w:pPr>
        <w:textAlignment w:val="baseline"/>
      </w:pPr>
    </w:p>
    <w:p w14:paraId="1C0844D8" w14:textId="77777777" w:rsidR="009757A9" w:rsidRDefault="009757A9">
      <w:pPr>
        <w:sectPr w:rsidR="009757A9">
          <w:pgSz w:w="11909" w:h="16838"/>
          <w:pgMar w:top="5374" w:right="0" w:bottom="0" w:left="0" w:header="720" w:footer="720" w:gutter="0"/>
          <w:cols w:space="720"/>
        </w:sectPr>
      </w:pPr>
    </w:p>
    <w:p w14:paraId="0445E5B8" w14:textId="77777777" w:rsidR="009757A9" w:rsidRDefault="00083242">
      <w:pPr>
        <w:spacing w:before="24" w:line="286" w:lineRule="exact"/>
        <w:ind w:left="864"/>
        <w:textAlignment w:val="baseline"/>
        <w:rPr>
          <w:rFonts w:ascii="Arial" w:eastAsia="Arial" w:hAnsi="Arial"/>
          <w:b/>
          <w:color w:val="00708E"/>
          <w:spacing w:val="-1"/>
          <w:sz w:val="25"/>
        </w:rPr>
      </w:pPr>
      <w:r>
        <w:rPr>
          <w:rFonts w:ascii="Arial" w:eastAsia="Arial" w:hAnsi="Arial"/>
          <w:b/>
          <w:color w:val="00708E"/>
          <w:spacing w:val="-1"/>
          <w:sz w:val="25"/>
        </w:rPr>
        <w:lastRenderedPageBreak/>
        <w:t>Engagement and wellbeing</w:t>
      </w:r>
    </w:p>
    <w:p w14:paraId="088A6FC1" w14:textId="77777777" w:rsidR="009757A9" w:rsidRDefault="00083242">
      <w:pPr>
        <w:spacing w:before="146" w:line="240" w:lineRule="exact"/>
        <w:ind w:left="864" w:right="864"/>
        <w:textAlignment w:val="baseline"/>
        <w:rPr>
          <w:rFonts w:ascii="Verdana" w:eastAsia="Verdana" w:hAnsi="Verdana"/>
          <w:color w:val="404042"/>
          <w:sz w:val="17"/>
        </w:rPr>
      </w:pPr>
      <w:r>
        <w:rPr>
          <w:rFonts w:ascii="Verdana" w:eastAsia="Verdana" w:hAnsi="Verdana"/>
          <w:color w:val="404042"/>
          <w:sz w:val="17"/>
        </w:rPr>
        <w:t xml:space="preserve">Mission Australia’s 2019 Youth Survey of over 25,000 young people found that a significant proportion of respondents identified problems with school as an issue of concern. The survey identified the top three issues for young people as </w:t>
      </w:r>
      <w:r>
        <w:rPr>
          <w:rFonts w:ascii="Tahoma" w:eastAsia="Tahoma" w:hAnsi="Tahoma"/>
          <w:color w:val="404042"/>
          <w:sz w:val="18"/>
        </w:rPr>
        <w:t>coping with stress, school or study problems, and mental health. Around a third of respondents were extremely or very concerned about school or study problems.</w:t>
      </w:r>
      <w:r>
        <w:rPr>
          <w:rFonts w:ascii="Tahoma" w:eastAsia="Tahoma" w:hAnsi="Tahoma"/>
          <w:color w:val="404042"/>
          <w:sz w:val="18"/>
          <w:vertAlign w:val="superscript"/>
        </w:rPr>
        <w:t>173</w:t>
      </w:r>
      <w:r>
        <w:rPr>
          <w:rFonts w:ascii="Tahoma" w:eastAsia="Tahoma" w:hAnsi="Tahoma"/>
          <w:color w:val="404042"/>
          <w:sz w:val="10"/>
        </w:rPr>
        <w:t xml:space="preserve"> </w:t>
      </w:r>
    </w:p>
    <w:p w14:paraId="41EE0386" w14:textId="77777777" w:rsidR="009757A9" w:rsidRDefault="00083242">
      <w:pPr>
        <w:spacing w:before="168" w:line="240" w:lineRule="exact"/>
        <w:ind w:left="864" w:right="1440"/>
        <w:textAlignment w:val="baseline"/>
        <w:rPr>
          <w:rFonts w:ascii="Tahoma" w:eastAsia="Tahoma" w:hAnsi="Tahoma"/>
          <w:color w:val="404042"/>
          <w:sz w:val="18"/>
        </w:rPr>
      </w:pPr>
      <w:r>
        <w:rPr>
          <w:rFonts w:ascii="Tahoma" w:eastAsia="Tahoma" w:hAnsi="Tahoma"/>
          <w:color w:val="404042"/>
          <w:sz w:val="18"/>
        </w:rPr>
        <w:t>The importance of student engagement and wellbeing are well recognised given the impact they have on student learning – within school and potentially throughout life.</w:t>
      </w:r>
      <w:r>
        <w:rPr>
          <w:rFonts w:ascii="Arial" w:eastAsia="Arial" w:hAnsi="Arial"/>
          <w:color w:val="404042"/>
          <w:sz w:val="18"/>
          <w:vertAlign w:val="superscript"/>
        </w:rPr>
        <w:t>174</w:t>
      </w:r>
      <w:r>
        <w:rPr>
          <w:rFonts w:ascii="Verdana" w:eastAsia="Verdana" w:hAnsi="Verdana"/>
          <w:color w:val="404042"/>
          <w:sz w:val="17"/>
        </w:rPr>
        <w:t xml:space="preserve"> Despite this, one in five Australian school students are </w:t>
      </w:r>
      <w:r>
        <w:rPr>
          <w:rFonts w:ascii="Tahoma" w:eastAsia="Tahoma" w:hAnsi="Tahoma"/>
          <w:color w:val="404042"/>
          <w:sz w:val="18"/>
        </w:rPr>
        <w:t>categorised as inactive class participants. They have disengaged.</w:t>
      </w:r>
      <w:r>
        <w:rPr>
          <w:rFonts w:ascii="Tahoma" w:eastAsia="Tahoma" w:hAnsi="Tahoma"/>
          <w:color w:val="404042"/>
          <w:sz w:val="18"/>
          <w:vertAlign w:val="superscript"/>
        </w:rPr>
        <w:t>175</w:t>
      </w:r>
      <w:r>
        <w:rPr>
          <w:rFonts w:ascii="Tahoma" w:eastAsia="Tahoma" w:hAnsi="Tahoma"/>
          <w:color w:val="404042"/>
          <w:sz w:val="10"/>
        </w:rPr>
        <w:t xml:space="preserve"> </w:t>
      </w:r>
    </w:p>
    <w:p w14:paraId="6309FF4C" w14:textId="77777777" w:rsidR="009757A9" w:rsidRDefault="00083242">
      <w:pPr>
        <w:spacing w:before="173" w:line="240" w:lineRule="exact"/>
        <w:ind w:left="864" w:right="1152"/>
        <w:textAlignment w:val="baseline"/>
        <w:rPr>
          <w:rFonts w:ascii="Tahoma" w:eastAsia="Tahoma" w:hAnsi="Tahoma"/>
          <w:color w:val="404042"/>
          <w:spacing w:val="4"/>
          <w:sz w:val="18"/>
        </w:rPr>
      </w:pPr>
      <w:r>
        <w:rPr>
          <w:rFonts w:ascii="Tahoma" w:eastAsia="Tahoma" w:hAnsi="Tahoma"/>
          <w:color w:val="404042"/>
          <w:spacing w:val="4"/>
          <w:sz w:val="18"/>
        </w:rPr>
        <w:t>The prevalence of psychological distress appears to have increased among young people over recent years. Close to a quarter (24 per cent) of young people aged 15 to 19 years are reported to be experiencing psychological distress.</w:t>
      </w:r>
      <w:r>
        <w:rPr>
          <w:rFonts w:ascii="Tahoma" w:eastAsia="Tahoma" w:hAnsi="Tahoma"/>
          <w:color w:val="404042"/>
          <w:spacing w:val="4"/>
          <w:sz w:val="18"/>
          <w:vertAlign w:val="superscript"/>
        </w:rPr>
        <w:t>176</w:t>
      </w:r>
      <w:r>
        <w:rPr>
          <w:rFonts w:ascii="Tahoma" w:eastAsia="Tahoma" w:hAnsi="Tahoma"/>
          <w:color w:val="404042"/>
          <w:spacing w:val="4"/>
          <w:sz w:val="10"/>
        </w:rPr>
        <w:t xml:space="preserve"> </w:t>
      </w:r>
      <w:r>
        <w:rPr>
          <w:rFonts w:ascii="Tahoma" w:eastAsia="Tahoma" w:hAnsi="Tahoma"/>
          <w:color w:val="404042"/>
          <w:spacing w:val="4"/>
          <w:sz w:val="18"/>
        </w:rPr>
        <w:t>The rate among Aboriginal and Torres Strait Islander young people is around 9 per cent higher compared to their non-Indigenous peers.</w:t>
      </w:r>
      <w:r>
        <w:rPr>
          <w:rFonts w:ascii="Tahoma" w:eastAsia="Tahoma" w:hAnsi="Tahoma"/>
          <w:color w:val="404042"/>
          <w:spacing w:val="4"/>
          <w:sz w:val="18"/>
          <w:vertAlign w:val="superscript"/>
        </w:rPr>
        <w:t>177</w:t>
      </w:r>
      <w:r>
        <w:rPr>
          <w:rFonts w:ascii="Tahoma" w:eastAsia="Tahoma" w:hAnsi="Tahoma"/>
          <w:color w:val="404042"/>
          <w:spacing w:val="4"/>
          <w:sz w:val="10"/>
        </w:rPr>
        <w:t xml:space="preserve"> </w:t>
      </w:r>
    </w:p>
    <w:p w14:paraId="1193FBBA" w14:textId="77777777" w:rsidR="009757A9" w:rsidRDefault="00083242">
      <w:pPr>
        <w:spacing w:before="167" w:line="240" w:lineRule="exact"/>
        <w:ind w:left="864" w:right="1152"/>
        <w:textAlignment w:val="baseline"/>
        <w:rPr>
          <w:rFonts w:ascii="Tahoma" w:eastAsia="Tahoma" w:hAnsi="Tahoma"/>
          <w:color w:val="404042"/>
          <w:spacing w:val="3"/>
          <w:sz w:val="18"/>
        </w:rPr>
      </w:pPr>
      <w:r>
        <w:rPr>
          <w:rFonts w:ascii="Tahoma" w:eastAsia="Tahoma" w:hAnsi="Tahoma"/>
          <w:color w:val="404042"/>
          <w:spacing w:val="3"/>
          <w:sz w:val="18"/>
        </w:rPr>
        <w:t>The Australian Student Wellbeing Framework was launched in 2018 to help provide the information and resources needed to build and sustain the wellbeing of the whole school community.</w:t>
      </w:r>
      <w:r>
        <w:rPr>
          <w:rFonts w:ascii="Tahoma" w:eastAsia="Tahoma" w:hAnsi="Tahoma"/>
          <w:color w:val="404042"/>
          <w:spacing w:val="3"/>
          <w:sz w:val="18"/>
          <w:vertAlign w:val="superscript"/>
        </w:rPr>
        <w:t>178</w:t>
      </w:r>
      <w:r>
        <w:rPr>
          <w:rFonts w:ascii="Tahoma" w:eastAsia="Tahoma" w:hAnsi="Tahoma"/>
          <w:color w:val="404042"/>
          <w:spacing w:val="3"/>
          <w:sz w:val="18"/>
        </w:rPr>
        <w:t xml:space="preserve"> Each state and territory has also developed a range of strategies to address student engagement and wellbeing, through support services, additional school resources and pastoral care. In fact, throughout the Panel’s consultations, it was indicated that many schools </w:t>
      </w:r>
      <w:r>
        <w:rPr>
          <w:rFonts w:ascii="Verdana" w:eastAsia="Verdana" w:hAnsi="Verdana"/>
          <w:color w:val="404042"/>
          <w:spacing w:val="3"/>
          <w:sz w:val="17"/>
        </w:rPr>
        <w:t xml:space="preserve">had replaced dedicated careers advisers with a professional offering pastoral care due to the increase in demand for </w:t>
      </w:r>
      <w:r>
        <w:rPr>
          <w:rFonts w:ascii="Tahoma" w:eastAsia="Tahoma" w:hAnsi="Tahoma"/>
          <w:color w:val="404042"/>
          <w:spacing w:val="3"/>
          <w:sz w:val="18"/>
        </w:rPr>
        <w:t>these services.</w:t>
      </w:r>
    </w:p>
    <w:p w14:paraId="752CBE5F" w14:textId="77777777" w:rsidR="009757A9" w:rsidRDefault="00083242">
      <w:pPr>
        <w:spacing w:before="194" w:line="235" w:lineRule="exact"/>
        <w:ind w:left="864" w:right="1080"/>
        <w:jc w:val="both"/>
        <w:textAlignment w:val="baseline"/>
        <w:rPr>
          <w:rFonts w:ascii="Tahoma" w:eastAsia="Tahoma" w:hAnsi="Tahoma"/>
          <w:color w:val="404042"/>
          <w:spacing w:val="3"/>
          <w:sz w:val="18"/>
        </w:rPr>
      </w:pPr>
      <w:r>
        <w:rPr>
          <w:rFonts w:ascii="Tahoma" w:eastAsia="Tahoma" w:hAnsi="Tahoma"/>
          <w:color w:val="404042"/>
          <w:spacing w:val="3"/>
          <w:sz w:val="18"/>
        </w:rPr>
        <w:t>Schools play a vital role in promoting and encouraging good mental health. Teachers are able to identify children and young people at risk of illness, and intervene early to prevent them becoming more unwell. Early intervention can not only prevent or reduce the progress of mental illness, but can also help improve a person’s health and wellbeing over the long term.</w:t>
      </w:r>
      <w:r>
        <w:rPr>
          <w:rFonts w:ascii="Tahoma" w:eastAsia="Tahoma" w:hAnsi="Tahoma"/>
          <w:color w:val="404042"/>
          <w:spacing w:val="3"/>
          <w:sz w:val="18"/>
          <w:vertAlign w:val="superscript"/>
        </w:rPr>
        <w:t>179</w:t>
      </w:r>
      <w:r>
        <w:rPr>
          <w:rFonts w:ascii="Tahoma" w:eastAsia="Tahoma" w:hAnsi="Tahoma"/>
          <w:color w:val="404042"/>
          <w:spacing w:val="3"/>
          <w:sz w:val="10"/>
        </w:rPr>
        <w:t xml:space="preserve"> </w:t>
      </w:r>
    </w:p>
    <w:p w14:paraId="50903E5E" w14:textId="77777777" w:rsidR="009757A9" w:rsidRDefault="00083242">
      <w:pPr>
        <w:spacing w:before="384" w:line="286" w:lineRule="exact"/>
        <w:ind w:left="864"/>
        <w:textAlignment w:val="baseline"/>
        <w:rPr>
          <w:rFonts w:ascii="Arial" w:eastAsia="Arial" w:hAnsi="Arial"/>
          <w:b/>
          <w:color w:val="00708E"/>
          <w:spacing w:val="-1"/>
          <w:sz w:val="25"/>
        </w:rPr>
      </w:pPr>
      <w:r>
        <w:rPr>
          <w:rFonts w:ascii="Arial" w:eastAsia="Arial" w:hAnsi="Arial"/>
          <w:b/>
          <w:color w:val="00708E"/>
          <w:spacing w:val="-1"/>
          <w:sz w:val="25"/>
        </w:rPr>
        <w:t>Flexible learning approaches</w:t>
      </w:r>
    </w:p>
    <w:p w14:paraId="48B57FBA" w14:textId="77777777" w:rsidR="009757A9" w:rsidRDefault="00083242">
      <w:pPr>
        <w:spacing w:before="146" w:line="240" w:lineRule="exact"/>
        <w:ind w:left="864" w:right="1224"/>
        <w:textAlignment w:val="baseline"/>
        <w:rPr>
          <w:rFonts w:ascii="Tahoma" w:eastAsia="Tahoma" w:hAnsi="Tahoma"/>
          <w:color w:val="404042"/>
          <w:sz w:val="18"/>
        </w:rPr>
      </w:pPr>
      <w:r>
        <w:rPr>
          <w:rFonts w:ascii="Tahoma" w:eastAsia="Tahoma" w:hAnsi="Tahoma"/>
          <w:color w:val="404042"/>
          <w:sz w:val="18"/>
        </w:rPr>
        <w:t>Connectedness to school can help senior secondary students meet the challenges of adolescence.</w:t>
      </w:r>
      <w:r>
        <w:rPr>
          <w:rFonts w:ascii="Tahoma" w:eastAsia="Tahoma" w:hAnsi="Tahoma"/>
          <w:color w:val="404042"/>
          <w:sz w:val="18"/>
          <w:vertAlign w:val="superscript"/>
        </w:rPr>
        <w:t>180</w:t>
      </w:r>
      <w:r>
        <w:rPr>
          <w:rFonts w:ascii="Verdana" w:eastAsia="Verdana" w:hAnsi="Verdana"/>
          <w:color w:val="404042"/>
          <w:sz w:val="17"/>
        </w:rPr>
        <w:t xml:space="preserve"> These benefits </w:t>
      </w:r>
      <w:r>
        <w:rPr>
          <w:rFonts w:ascii="Tahoma" w:eastAsia="Tahoma" w:hAnsi="Tahoma"/>
          <w:color w:val="404042"/>
          <w:sz w:val="18"/>
        </w:rPr>
        <w:t>are likely to be undermined if students are not engaged with the schooling environment.</w:t>
      </w:r>
    </w:p>
    <w:p w14:paraId="75F1EBC4" w14:textId="77777777" w:rsidR="009757A9" w:rsidRDefault="00083242">
      <w:pPr>
        <w:spacing w:before="170" w:after="1672" w:line="240" w:lineRule="exact"/>
        <w:ind w:left="864" w:right="1152"/>
        <w:textAlignment w:val="baseline"/>
        <w:rPr>
          <w:rFonts w:ascii="Tahoma" w:eastAsia="Tahoma" w:hAnsi="Tahoma"/>
          <w:color w:val="404042"/>
          <w:sz w:val="18"/>
        </w:rPr>
      </w:pPr>
      <w:r>
        <w:rPr>
          <w:rFonts w:ascii="Tahoma" w:eastAsia="Tahoma" w:hAnsi="Tahoma"/>
          <w:color w:val="404042"/>
          <w:sz w:val="18"/>
        </w:rPr>
        <w:t>The NSW Secondary Students’ Post-School Destinations and Expectations survey of 4,470 early school leavers found that 38 per cent of students surveyed left because they were disillusioned with school. This has increased by 1.2 percentage points since 2014. It is now the leading cause for students leaving school early in NSW.</w:t>
      </w:r>
      <w:r>
        <w:rPr>
          <w:rFonts w:ascii="Arial" w:eastAsia="Arial" w:hAnsi="Arial"/>
          <w:color w:val="404042"/>
          <w:sz w:val="18"/>
          <w:vertAlign w:val="superscript"/>
        </w:rPr>
        <w:t>181</w:t>
      </w:r>
      <w:r>
        <w:rPr>
          <w:rFonts w:ascii="Arial" w:eastAsia="Arial" w:hAnsi="Arial"/>
          <w:color w:val="404042"/>
          <w:sz w:val="10"/>
        </w:rPr>
        <w:t xml:space="preserve"> </w:t>
      </w:r>
    </w:p>
    <w:p w14:paraId="5CEEBF4E" w14:textId="77777777" w:rsidR="009757A9" w:rsidRDefault="000D2E34">
      <w:pPr>
        <w:spacing w:before="51" w:line="201" w:lineRule="exact"/>
        <w:ind w:left="1080" w:right="1080" w:hanging="288"/>
        <w:textAlignment w:val="baseline"/>
        <w:rPr>
          <w:rFonts w:ascii="Tahoma" w:eastAsia="Tahoma" w:hAnsi="Tahoma"/>
          <w:color w:val="404042"/>
          <w:spacing w:val="5"/>
          <w:sz w:val="14"/>
        </w:rPr>
      </w:pPr>
      <w:r>
        <w:rPr>
          <w:noProof/>
          <w:lang w:val="en-AU" w:eastAsia="en-AU"/>
        </w:rPr>
        <mc:AlternateContent>
          <mc:Choice Requires="wps">
            <w:drawing>
              <wp:anchor distT="0" distB="0" distL="114300" distR="114300" simplePos="0" relativeHeight="251965952" behindDoc="0" locked="0" layoutInCell="1" allowOverlap="1" wp14:anchorId="5B53486E" wp14:editId="250E95C7">
                <wp:simplePos x="0" y="0"/>
                <wp:positionH relativeFrom="page">
                  <wp:posOffset>539750</wp:posOffset>
                </wp:positionH>
                <wp:positionV relativeFrom="page">
                  <wp:posOffset>7068185</wp:posOffset>
                </wp:positionV>
                <wp:extent cx="917575" cy="0"/>
                <wp:effectExtent l="0" t="0" r="0" b="0"/>
                <wp:wrapNone/>
                <wp:docPr id="460"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F301" id="Line 181" o:spid="_x0000_s1026" style="position:absolute;z-index:2519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56.55pt" to="114.75pt,5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dwzQEAAIYDAAAOAAAAZHJzL2Uyb0RvYy54bWysU8Fu2zAMvQ/YPwi6L3aCJe2MOD0k6y7Z&#10;FqDdBzCSbAuTRUFS4uTvR8lJ2m63oT4Iovj4SD7Sy4dTb9hR+aDR1nw6KTlTVqDUtq35r+fHT/ec&#10;hQhWgkGran5WgT+sPn5YDq5SM+zQSOUZkdhQDa7mXYyuKoogOtVDmKBTlpwN+h4imb4tpIeB2HtT&#10;zMpyUQzopfMoVAj0uhmdfJX5m0aJ+LNpgorM1Jxqi/n0+dyns1gtoWo9uE6LSxnwH1X0oC0lvVFt&#10;IAI7eP0PVa+Fx4BNnAjsC2waLVTugbqZln9189SBU7kXEie4m0zh/WjFj+POMy1r/nlB+ljoaUhb&#10;bRWb3k+TOoMLFYHWdudTf+Jkn9wWxe/ALK47sK3KVT6fHQXmiOJNSDKCoxz74TtKwsAhYpbq1Pg+&#10;UZII7JQncr5NRJ0iE/T4ZXo3v5tzJq6uAqprnPMhflPYs3SpuaGiMy8ctyFS5QS9QlIai4/amDxv&#10;Y9lAxc7KxTxHBDRaJm/CBd/u18azI6SVyV/SgdjewBL1BkI34rJrXCaPBytzmk6B/Hq5R9BmvBOR&#10;scR3FWaUeI/yvPMpT3qnYeeMl8VM2/TazqiX32f1BwAA//8DAFBLAwQUAAYACAAAACEAf/HNMuAA&#10;AAAMAQAADwAAAGRycy9kb3ducmV2LnhtbEyPzU7DMBCE70i8g7VIXFDrJLRVCHEqVAluoNIf0aMb&#10;L0lEvI5itwlvz3JA9Lizo5lv8uVoW3HG3jeOFMTTCARS6UxDlYLd9nmSgvBBk9GtI1TwjR6WxfVV&#10;rjPjBnrH8yZUgkPIZ1pBHUKXSenLGq32U9ch8e/T9VYHPvtKml4PHG5bmUTRQlrdEDfUusNVjeXX&#10;5mQVSBmls3H/MbzO7nzaHFbV4eVtrdTtzfj0CCLgGP7N8IvP6FAw09GdyHjRKkjnPCWwHsf3MQh2&#10;JMnDHMTxT5JFLi9HFD8AAAD//wMAUEsBAi0AFAAGAAgAAAAhALaDOJL+AAAA4QEAABMAAAAAAAAA&#10;AAAAAAAAAAAAAFtDb250ZW50X1R5cGVzXS54bWxQSwECLQAUAAYACAAAACEAOP0h/9YAAACUAQAA&#10;CwAAAAAAAAAAAAAAAAAvAQAAX3JlbHMvLnJlbHNQSwECLQAUAAYACAAAACEAJFkncM0BAACGAwAA&#10;DgAAAAAAAAAAAAAAAAAuAgAAZHJzL2Uyb0RvYy54bWxQSwECLQAUAAYACAAAACEAf/HNMuAAAAAM&#10;AQAADwAAAAAAAAAAAAAAAAAnBAAAZHJzL2Rvd25yZXYueG1sUEsFBgAAAAAEAAQA8wAAADQFAAAA&#10;AA==&#10;" strokeweight=".95pt">
                <w10:wrap anchorx="page" anchory="page"/>
              </v:line>
            </w:pict>
          </mc:Fallback>
        </mc:AlternateContent>
      </w:r>
      <w:r w:rsidR="00083242">
        <w:rPr>
          <w:rFonts w:ascii="Tahoma" w:eastAsia="Tahoma" w:hAnsi="Tahoma"/>
          <w:color w:val="404042"/>
          <w:spacing w:val="5"/>
          <w:sz w:val="14"/>
        </w:rPr>
        <w:t xml:space="preserve">173 Mission Australia (2019b), </w:t>
      </w:r>
      <w:r w:rsidR="00083242">
        <w:rPr>
          <w:rFonts w:ascii="Arial" w:eastAsia="Arial" w:hAnsi="Arial"/>
          <w:i/>
          <w:color w:val="404042"/>
          <w:spacing w:val="5"/>
          <w:sz w:val="14"/>
        </w:rPr>
        <w:t>Youth Survey Report 2019</w:t>
      </w:r>
      <w:r w:rsidR="00083242">
        <w:rPr>
          <w:rFonts w:ascii="Verdana" w:eastAsia="Verdana" w:hAnsi="Verdana"/>
          <w:color w:val="404042"/>
          <w:spacing w:val="5"/>
          <w:sz w:val="13"/>
        </w:rPr>
        <w:t xml:space="preserve">, p. 25, </w:t>
      </w:r>
      <w:hyperlink r:id="rId261">
        <w:r w:rsidR="00083242">
          <w:rPr>
            <w:rFonts w:ascii="Tahoma" w:eastAsia="Tahoma" w:hAnsi="Tahoma"/>
            <w:color w:val="0000FF"/>
            <w:spacing w:val="5"/>
            <w:sz w:val="14"/>
            <w:u w:val="single"/>
          </w:rPr>
          <w:t>https://www.missionaustralia.com.au/what-we-do/research-impact-policy-advocacy/ youth-survey</w:t>
        </w:r>
      </w:hyperlink>
      <w:r w:rsidR="00083242">
        <w:rPr>
          <w:rFonts w:ascii="Tahoma" w:eastAsia="Tahoma" w:hAnsi="Tahoma"/>
          <w:color w:val="404042"/>
          <w:spacing w:val="5"/>
          <w:sz w:val="14"/>
        </w:rPr>
        <w:t>.</w:t>
      </w:r>
    </w:p>
    <w:p w14:paraId="4E2DEBFA" w14:textId="77777777" w:rsidR="009757A9" w:rsidRDefault="00083242">
      <w:pPr>
        <w:spacing w:line="199" w:lineRule="exact"/>
        <w:ind w:left="1080" w:right="1152" w:hanging="288"/>
        <w:jc w:val="both"/>
        <w:textAlignment w:val="baseline"/>
        <w:rPr>
          <w:rFonts w:ascii="Tahoma" w:eastAsia="Tahoma" w:hAnsi="Tahoma"/>
          <w:color w:val="404042"/>
          <w:sz w:val="14"/>
        </w:rPr>
      </w:pPr>
      <w:r>
        <w:rPr>
          <w:rFonts w:ascii="Tahoma" w:eastAsia="Tahoma" w:hAnsi="Tahoma"/>
          <w:color w:val="404042"/>
          <w:sz w:val="14"/>
        </w:rPr>
        <w:t>174 Deloitte Access Economics (2016), T</w:t>
      </w:r>
      <w:r>
        <w:rPr>
          <w:rFonts w:ascii="Arial" w:eastAsia="Arial" w:hAnsi="Arial"/>
          <w:i/>
          <w:color w:val="404042"/>
          <w:sz w:val="14"/>
        </w:rPr>
        <w:t>he Economic Impact of Improving School Quality</w:t>
      </w:r>
      <w:r>
        <w:rPr>
          <w:rFonts w:ascii="Tahoma" w:eastAsia="Tahoma" w:hAnsi="Tahoma"/>
          <w:color w:val="404042"/>
          <w:sz w:val="14"/>
        </w:rPr>
        <w:t xml:space="preserve">, report for the Commonwealth Department of Education and </w:t>
      </w:r>
      <w:r>
        <w:rPr>
          <w:rFonts w:ascii="Verdana" w:eastAsia="Verdana" w:hAnsi="Verdana"/>
          <w:color w:val="404042"/>
          <w:sz w:val="13"/>
        </w:rPr>
        <w:t xml:space="preserve">Training, November 2016, p. 8, </w:t>
      </w:r>
      <w:hyperlink r:id="rId262">
        <w:r>
          <w:rPr>
            <w:rFonts w:ascii="Verdana" w:eastAsia="Verdana" w:hAnsi="Verdana"/>
            <w:color w:val="0000FF"/>
            <w:sz w:val="13"/>
            <w:u w:val="single"/>
          </w:rPr>
          <w:t>https://docs.education.gov.au/system/files/doc/other/ecoimpactschoolquality.pdf</w:t>
        </w:r>
      </w:hyperlink>
      <w:r>
        <w:rPr>
          <w:rFonts w:ascii="Tahoma" w:eastAsia="Tahoma" w:hAnsi="Tahoma"/>
          <w:color w:val="404042"/>
          <w:sz w:val="14"/>
        </w:rPr>
        <w:t>.</w:t>
      </w:r>
    </w:p>
    <w:p w14:paraId="52C2AB16" w14:textId="77777777" w:rsidR="009757A9" w:rsidRDefault="00083242">
      <w:pPr>
        <w:spacing w:before="30" w:line="172" w:lineRule="exact"/>
        <w:ind w:left="792"/>
        <w:textAlignment w:val="baseline"/>
        <w:rPr>
          <w:rFonts w:ascii="Tahoma" w:eastAsia="Tahoma" w:hAnsi="Tahoma"/>
          <w:color w:val="404042"/>
          <w:spacing w:val="3"/>
          <w:sz w:val="14"/>
        </w:rPr>
      </w:pPr>
      <w:r>
        <w:rPr>
          <w:rFonts w:ascii="Tahoma" w:eastAsia="Tahoma" w:hAnsi="Tahoma"/>
          <w:color w:val="404042"/>
          <w:spacing w:val="3"/>
          <w:sz w:val="14"/>
        </w:rPr>
        <w:t>175 Bisson and Stubley (2017), p. 12.</w:t>
      </w:r>
    </w:p>
    <w:p w14:paraId="112A5FF5" w14:textId="77777777" w:rsidR="009757A9" w:rsidRDefault="00083242">
      <w:pPr>
        <w:spacing w:line="200" w:lineRule="exact"/>
        <w:ind w:left="1080" w:right="1512" w:hanging="288"/>
        <w:textAlignment w:val="baseline"/>
        <w:rPr>
          <w:rFonts w:ascii="Tahoma" w:eastAsia="Tahoma" w:hAnsi="Tahoma"/>
          <w:color w:val="404042"/>
          <w:sz w:val="14"/>
        </w:rPr>
      </w:pPr>
      <w:r>
        <w:rPr>
          <w:rFonts w:ascii="Tahoma" w:eastAsia="Tahoma" w:hAnsi="Tahoma"/>
          <w:color w:val="404042"/>
          <w:sz w:val="14"/>
        </w:rPr>
        <w:t xml:space="preserve">176 Mission Australia (2019a), </w:t>
      </w:r>
      <w:r>
        <w:rPr>
          <w:rFonts w:ascii="Arial" w:eastAsia="Arial" w:hAnsi="Arial"/>
          <w:i/>
          <w:color w:val="404042"/>
          <w:sz w:val="14"/>
        </w:rPr>
        <w:t>Can We Talk? Seven year youth mental health report: 2012–2018</w:t>
      </w:r>
      <w:r>
        <w:rPr>
          <w:rFonts w:ascii="Tahoma" w:eastAsia="Tahoma" w:hAnsi="Tahoma"/>
          <w:color w:val="404042"/>
          <w:sz w:val="14"/>
        </w:rPr>
        <w:t xml:space="preserve">, </w:t>
      </w:r>
      <w:hyperlink r:id="rId263">
        <w:r>
          <w:rPr>
            <w:rFonts w:ascii="Tahoma" w:eastAsia="Tahoma" w:hAnsi="Tahoma"/>
            <w:color w:val="0000FF"/>
            <w:sz w:val="14"/>
            <w:u w:val="single"/>
          </w:rPr>
          <w:t>https://www.missionaustralia.com.au/ publications/youth-survey</w:t>
        </w:r>
      </w:hyperlink>
      <w:r>
        <w:rPr>
          <w:rFonts w:ascii="Tahoma" w:eastAsia="Tahoma" w:hAnsi="Tahoma"/>
          <w:color w:val="404042"/>
          <w:sz w:val="14"/>
        </w:rPr>
        <w:t xml:space="preserve">; and Mission Australia (2018), </w:t>
      </w:r>
      <w:r>
        <w:rPr>
          <w:rFonts w:ascii="Arial" w:eastAsia="Arial" w:hAnsi="Arial"/>
          <w:i/>
          <w:color w:val="404042"/>
          <w:sz w:val="14"/>
        </w:rPr>
        <w:t>Youth Survey Report 2018</w:t>
      </w:r>
      <w:r>
        <w:rPr>
          <w:rFonts w:ascii="Verdana" w:eastAsia="Verdana" w:hAnsi="Verdana"/>
          <w:color w:val="404042"/>
          <w:sz w:val="13"/>
        </w:rPr>
        <w:t xml:space="preserve">, p. 7, </w:t>
      </w:r>
      <w:hyperlink r:id="rId264">
        <w:r>
          <w:rPr>
            <w:rFonts w:ascii="Tahoma" w:eastAsia="Tahoma" w:hAnsi="Tahoma"/>
            <w:color w:val="0000FF"/>
            <w:sz w:val="14"/>
            <w:u w:val="single"/>
          </w:rPr>
          <w:t>https://www.missionaustralia.com.au/what-we-do/ research-impact-policy-advocacy/youth-survey</w:t>
        </w:r>
      </w:hyperlink>
      <w:r>
        <w:rPr>
          <w:rFonts w:ascii="Tahoma" w:eastAsia="Tahoma" w:hAnsi="Tahoma"/>
          <w:color w:val="404042"/>
          <w:sz w:val="14"/>
        </w:rPr>
        <w:t>.</w:t>
      </w:r>
    </w:p>
    <w:p w14:paraId="21B0023D" w14:textId="77777777" w:rsidR="009757A9" w:rsidRDefault="00083242">
      <w:pPr>
        <w:spacing w:before="26" w:line="171" w:lineRule="exact"/>
        <w:ind w:left="792"/>
        <w:textAlignment w:val="baseline"/>
        <w:rPr>
          <w:rFonts w:ascii="Verdana" w:eastAsia="Verdana" w:hAnsi="Verdana"/>
          <w:color w:val="404042"/>
          <w:sz w:val="13"/>
        </w:rPr>
      </w:pPr>
      <w:r>
        <w:rPr>
          <w:rFonts w:ascii="Verdana" w:eastAsia="Verdana" w:hAnsi="Verdana"/>
          <w:color w:val="404042"/>
          <w:sz w:val="13"/>
        </w:rPr>
        <w:t>177 Mission Australia (2019a), p. 7.</w:t>
      </w:r>
    </w:p>
    <w:p w14:paraId="78529587" w14:textId="77777777" w:rsidR="009757A9" w:rsidRDefault="00083242">
      <w:pPr>
        <w:spacing w:before="1" w:line="201" w:lineRule="exact"/>
        <w:ind w:left="1080" w:right="1368" w:hanging="288"/>
        <w:textAlignment w:val="baseline"/>
        <w:rPr>
          <w:rFonts w:ascii="Tahoma" w:eastAsia="Tahoma" w:hAnsi="Tahoma"/>
          <w:color w:val="404042"/>
          <w:sz w:val="14"/>
        </w:rPr>
      </w:pPr>
      <w:r>
        <w:rPr>
          <w:rFonts w:ascii="Tahoma" w:eastAsia="Tahoma" w:hAnsi="Tahoma"/>
          <w:color w:val="404042"/>
          <w:sz w:val="14"/>
        </w:rPr>
        <w:t xml:space="preserve">178 Council of Australian Governments Education Council (2018a), </w:t>
      </w:r>
      <w:r>
        <w:rPr>
          <w:rFonts w:ascii="Arial" w:eastAsia="Arial" w:hAnsi="Arial"/>
          <w:i/>
          <w:color w:val="404042"/>
          <w:sz w:val="14"/>
        </w:rPr>
        <w:t>Australian Student Wellbeing Framework</w:t>
      </w:r>
      <w:r>
        <w:rPr>
          <w:rFonts w:ascii="Tahoma" w:eastAsia="Tahoma" w:hAnsi="Tahoma"/>
          <w:color w:val="404042"/>
          <w:sz w:val="14"/>
        </w:rPr>
        <w:t xml:space="preserve">, </w:t>
      </w:r>
      <w:hyperlink r:id="rId265">
        <w:r>
          <w:rPr>
            <w:rFonts w:ascii="Tahoma" w:eastAsia="Tahoma" w:hAnsi="Tahoma"/>
            <w:color w:val="0000FF"/>
            <w:sz w:val="14"/>
            <w:u w:val="single"/>
          </w:rPr>
          <w:t>https://studentwellbeinghub.edu.au/ media/9310/aswf_booklet.pdf</w:t>
        </w:r>
      </w:hyperlink>
      <w:r>
        <w:rPr>
          <w:rFonts w:ascii="Tahoma" w:eastAsia="Tahoma" w:hAnsi="Tahoma"/>
          <w:color w:val="404042"/>
          <w:sz w:val="14"/>
        </w:rPr>
        <w:t>.</w:t>
      </w:r>
    </w:p>
    <w:p w14:paraId="133F652A" w14:textId="77777777" w:rsidR="009757A9" w:rsidRDefault="00083242">
      <w:pPr>
        <w:spacing w:line="199" w:lineRule="exact"/>
        <w:ind w:left="1080" w:right="1080" w:hanging="288"/>
        <w:textAlignment w:val="baseline"/>
        <w:rPr>
          <w:rFonts w:ascii="Verdana" w:eastAsia="Verdana" w:hAnsi="Verdana"/>
          <w:color w:val="404042"/>
          <w:sz w:val="13"/>
        </w:rPr>
      </w:pPr>
      <w:r>
        <w:rPr>
          <w:rFonts w:ascii="Verdana" w:eastAsia="Verdana" w:hAnsi="Verdana"/>
          <w:color w:val="404042"/>
          <w:sz w:val="13"/>
        </w:rPr>
        <w:t xml:space="preserve">179 Victorian Department of Health and Human Services, ‘Early intervention in mental illness’, webpage (accessed 3 December 2019), </w:t>
      </w:r>
      <w:hyperlink r:id="rId266">
        <w:r>
          <w:rPr>
            <w:rFonts w:ascii="Tahoma" w:eastAsia="Tahoma" w:hAnsi="Tahoma"/>
            <w:color w:val="0000FF"/>
            <w:sz w:val="14"/>
            <w:u w:val="single"/>
          </w:rPr>
          <w:t>https://www2. health.vic.gov.au/mental-health/prevention-and-promotion/early-intervention-in-mental-health</w:t>
        </w:r>
      </w:hyperlink>
      <w:r>
        <w:rPr>
          <w:rFonts w:ascii="Tahoma" w:eastAsia="Tahoma" w:hAnsi="Tahoma"/>
          <w:color w:val="404042"/>
          <w:sz w:val="14"/>
        </w:rPr>
        <w:t>.</w:t>
      </w:r>
    </w:p>
    <w:p w14:paraId="0218BF53" w14:textId="77777777" w:rsidR="009757A9" w:rsidRDefault="00083242">
      <w:pPr>
        <w:spacing w:line="201" w:lineRule="exact"/>
        <w:ind w:left="1080" w:right="864" w:hanging="288"/>
        <w:jc w:val="both"/>
        <w:textAlignment w:val="baseline"/>
        <w:rPr>
          <w:rFonts w:ascii="Tahoma" w:eastAsia="Tahoma" w:hAnsi="Tahoma"/>
          <w:color w:val="404042"/>
          <w:sz w:val="14"/>
        </w:rPr>
      </w:pPr>
      <w:r>
        <w:rPr>
          <w:rFonts w:ascii="Tahoma" w:eastAsia="Tahoma" w:hAnsi="Tahoma"/>
          <w:color w:val="404042"/>
          <w:sz w:val="14"/>
        </w:rPr>
        <w:t xml:space="preserve">180 Waters, S., Cross, D. and Runions, K. (2009), ‘Social and ecological structures supporting adolescent connectedness to school: A theoretical model’, </w:t>
      </w:r>
      <w:r>
        <w:rPr>
          <w:rFonts w:ascii="Arial" w:eastAsia="Arial" w:hAnsi="Arial"/>
          <w:i/>
          <w:color w:val="404042"/>
          <w:sz w:val="14"/>
        </w:rPr>
        <w:t>Journal of School Health</w:t>
      </w:r>
      <w:r>
        <w:rPr>
          <w:rFonts w:ascii="Verdana" w:eastAsia="Verdana" w:hAnsi="Verdana"/>
          <w:color w:val="404042"/>
          <w:sz w:val="13"/>
        </w:rPr>
        <w:t xml:space="preserve">, vol. 79, no. 11, </w:t>
      </w:r>
      <w:hyperlink r:id="rId267">
        <w:r>
          <w:rPr>
            <w:rFonts w:ascii="Tahoma" w:eastAsia="Tahoma" w:hAnsi="Tahoma"/>
            <w:color w:val="0000FF"/>
            <w:sz w:val="14"/>
            <w:u w:val="single"/>
          </w:rPr>
          <w:t>https://onlinelibrary.wiley.com/doi/abs/10.1111/j.1746-1561.2009.00443.x</w:t>
        </w:r>
      </w:hyperlink>
      <w:r>
        <w:rPr>
          <w:rFonts w:ascii="Tahoma" w:eastAsia="Tahoma" w:hAnsi="Tahoma"/>
          <w:color w:val="404042"/>
          <w:sz w:val="14"/>
        </w:rPr>
        <w:t>.</w:t>
      </w:r>
    </w:p>
    <w:p w14:paraId="0A707613" w14:textId="77777777" w:rsidR="009757A9" w:rsidRDefault="00083242">
      <w:pPr>
        <w:spacing w:line="200" w:lineRule="exact"/>
        <w:ind w:left="1080" w:right="1296" w:hanging="288"/>
        <w:textAlignment w:val="baseline"/>
        <w:rPr>
          <w:rFonts w:ascii="Verdana" w:eastAsia="Verdana" w:hAnsi="Verdana"/>
          <w:color w:val="404042"/>
          <w:sz w:val="13"/>
        </w:rPr>
      </w:pPr>
      <w:r>
        <w:rPr>
          <w:rFonts w:ascii="Verdana" w:eastAsia="Verdana" w:hAnsi="Verdana"/>
          <w:color w:val="404042"/>
          <w:sz w:val="13"/>
        </w:rPr>
        <w:t xml:space="preserve">181 NSW Department of Education (2019), ‘NSW Secondary Students’ Post-School Destinations and Expectations: 2018 early school leavers’, p. 2, </w:t>
      </w:r>
      <w:hyperlink r:id="rId268">
        <w:r>
          <w:rPr>
            <w:rFonts w:ascii="Tahoma" w:eastAsia="Tahoma" w:hAnsi="Tahoma"/>
            <w:color w:val="0000FF"/>
            <w:sz w:val="14"/>
            <w:u w:val="single"/>
          </w:rPr>
          <w:t>https://www.cese.nsw.gov.au/images/stories/PDF/Post-school-destinations-2018-early-school-leavers.pdf</w:t>
        </w:r>
      </w:hyperlink>
      <w:r>
        <w:rPr>
          <w:rFonts w:ascii="Tahoma" w:eastAsia="Tahoma" w:hAnsi="Tahoma"/>
          <w:color w:val="404042"/>
          <w:sz w:val="14"/>
        </w:rPr>
        <w:t>.</w:t>
      </w:r>
    </w:p>
    <w:p w14:paraId="176E5CBF" w14:textId="77777777" w:rsidR="009757A9" w:rsidRDefault="00083242">
      <w:pPr>
        <w:spacing w:before="686" w:after="639" w:line="201"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9"/>
        </w:rPr>
        <w:t xml:space="preserve"> 121</w:t>
      </w:r>
    </w:p>
    <w:p w14:paraId="7FE8CB70" w14:textId="77777777" w:rsidR="009757A9" w:rsidRDefault="00083242">
      <w:pPr>
        <w:textAlignment w:val="baseline"/>
      </w:pPr>
      <w:r>
        <w:rPr>
          <w:noProof/>
          <w:lang w:val="en-AU" w:eastAsia="en-AU"/>
        </w:rPr>
        <w:drawing>
          <wp:inline distT="0" distB="0" distL="0" distR="0" wp14:anchorId="3B94C9C3" wp14:editId="560D08D8">
            <wp:extent cx="7562215" cy="462915"/>
            <wp:effectExtent l="0" t="0" r="0" b="0"/>
            <wp:docPr id="202" name="Picture"/>
            <wp:cNvGraphicFramePr/>
            <a:graphic xmlns:a="http://schemas.openxmlformats.org/drawingml/2006/main">
              <a:graphicData uri="http://schemas.openxmlformats.org/drawingml/2006/picture">
                <pic:pic xmlns:pic="http://schemas.openxmlformats.org/drawingml/2006/picture">
                  <pic:nvPicPr>
                    <pic:cNvPr id="202" name="Picture"/>
                    <pic:cNvPicPr preferRelativeResize="0"/>
                  </pic:nvPicPr>
                  <pic:blipFill>
                    <a:blip r:embed="rId37"/>
                    <a:stretch>
                      <a:fillRect/>
                    </a:stretch>
                  </pic:blipFill>
                  <pic:spPr>
                    <a:xfrm>
                      <a:off x="0" y="0"/>
                      <a:ext cx="7562215" cy="462915"/>
                    </a:xfrm>
                    <a:prstGeom prst="rect">
                      <a:avLst/>
                    </a:prstGeom>
                  </pic:spPr>
                </pic:pic>
              </a:graphicData>
            </a:graphic>
          </wp:inline>
        </w:drawing>
      </w:r>
    </w:p>
    <w:p w14:paraId="20D18442" w14:textId="77777777" w:rsidR="009757A9" w:rsidRDefault="009757A9">
      <w:pPr>
        <w:sectPr w:rsidR="009757A9">
          <w:pgSz w:w="11909" w:h="16838"/>
          <w:pgMar w:top="1080" w:right="0" w:bottom="0" w:left="0" w:header="720" w:footer="720" w:gutter="0"/>
          <w:cols w:space="720"/>
        </w:sectPr>
      </w:pPr>
    </w:p>
    <w:p w14:paraId="20CB9DE3" w14:textId="77777777" w:rsidR="009757A9" w:rsidRDefault="000D2E34">
      <w:pPr>
        <w:spacing w:before="121" w:line="298" w:lineRule="exact"/>
        <w:ind w:left="1296" w:right="1296"/>
        <w:textAlignment w:val="baseline"/>
        <w:rPr>
          <w:rFonts w:ascii="Tahoma" w:eastAsia="Tahoma" w:hAnsi="Tahoma"/>
          <w:i/>
          <w:color w:val="007994"/>
          <w:sz w:val="21"/>
        </w:rPr>
      </w:pPr>
      <w:r>
        <w:rPr>
          <w:noProof/>
          <w:lang w:val="en-AU" w:eastAsia="en-AU"/>
        </w:rPr>
        <w:lastRenderedPageBreak/>
        <mc:AlternateContent>
          <mc:Choice Requires="wps">
            <w:drawing>
              <wp:anchor distT="0" distB="0" distL="114300" distR="114300" simplePos="0" relativeHeight="251966976" behindDoc="0" locked="0" layoutInCell="1" allowOverlap="1" wp14:anchorId="4D19197D" wp14:editId="56F3B423">
                <wp:simplePos x="0" y="0"/>
                <wp:positionH relativeFrom="page">
                  <wp:posOffset>826135</wp:posOffset>
                </wp:positionH>
                <wp:positionV relativeFrom="page">
                  <wp:posOffset>887095</wp:posOffset>
                </wp:positionV>
                <wp:extent cx="5907405" cy="0"/>
                <wp:effectExtent l="0" t="0" r="0" b="0"/>
                <wp:wrapNone/>
                <wp:docPr id="459"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24344" id="Line 180" o:spid="_x0000_s1026" style="position:absolute;z-index:2519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69.85pt" to="530.2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qR0gEAAIYDAAAOAAAAZHJzL2Uyb0RvYy54bWysU01v2zAMvQ/YfxB0X+x0SdsYcXpI1l2y&#10;LUC7H8BIsi1MFgVRiZ1/P0n5WLfdhl0ESiQfHx+p5dPYG3ZUnjTamk8nJWfKCpTatjX//vr84ZEz&#10;CmAlGLSq5idF/Gn1/t1ycJW6ww6NVJ5FEEvV4GreheCqoiDRqR5ogk7Z6GzQ9xDi1beF9DBE9N4U&#10;d2V5XwzopfMoFFF83ZydfJXxm0aJ8K1pSAVmah65hXz6fO7TWayWULUeXKfFhQb8A4setI1Fb1Ab&#10;CMAOXv8F1WvhkbAJE4F9gU2jhco9xG6m5R/dvHTgVO4likPuJhP9P1jx9bjzTMuaz+YLziz0cUhb&#10;bRWbPmZ1BkdVDFrbnU/9idG+uC2KH8QsrjuwrcosX08uJk6TnsVvKelCLtbYD19Qxhg4BMxSjY3v&#10;E2QUgY15IqfbRNQYmIiP80X5MCvnnImrr4Dqmug8hc8Ke5aMmpvIOgPDcUshEYHqGpLqWHzWxuSB&#10;G8uGmt9/nJc5gdBomZwpjHy7XxvPjpBWpnxYLGa5q+h5G5aQN0DdOS67zsvk8WBlrtIpkJ8udgBt&#10;znZkZexFpSRMWlWq9ihPO39VLw47078sZtqmt/ec/ev7rH4CAAD//wMAUEsDBBQABgAIAAAAIQAv&#10;ASkJ3AAAAAwBAAAPAAAAZHJzL2Rvd25yZXYueG1sTI9PT8MwDMXvSHyHyEjcWDL+DChNJzS00y6w&#10;IXH1GtMWGqdqsq779rgSEtz87Kfn38uXo2/VQH1sAluYzwwo4jK4hisL77v11QOomJAdtoHJwoki&#10;LIvzsxwzF478RsM2VUpCOGZooU6py7SOZU0e4yx0xHL7DL3HJLKvtOvxKOG+1dfGLLTHhuVDjR2t&#10;aiq/twdvYY1m9+o2m/AVP+5OK0zavdBg7eXF+PwEKtGY/sww4Qs6FMK0Dwd2UbWib8xcrNPweA9q&#10;cpiFuQW1/13pItf/SxQ/AAAA//8DAFBLAQItABQABgAIAAAAIQC2gziS/gAAAOEBAAATAAAAAAAA&#10;AAAAAAAAAAAAAABbQ29udGVudF9UeXBlc10ueG1sUEsBAi0AFAAGAAgAAAAhADj9If/WAAAAlAEA&#10;AAsAAAAAAAAAAAAAAAAALwEAAF9yZWxzLy5yZWxzUEsBAi0AFAAGAAgAAAAhAEdyCpHSAQAAhgMA&#10;AA4AAAAAAAAAAAAAAAAALgIAAGRycy9lMm9Eb2MueG1sUEsBAi0AFAAGAAgAAAAhAC8BKQncAAAA&#10;DAEAAA8AAAAAAAAAAAAAAAAALAQAAGRycy9kb3ducmV2LnhtbFBLBQYAAAAABAAEAPMAAAA1BQAA&#10;AAA=&#10;" strokecolor="#007994" strokeweight=".5pt">
                <w10:wrap anchorx="page" anchory="page"/>
              </v:line>
            </w:pict>
          </mc:Fallback>
        </mc:AlternateContent>
      </w:r>
      <w:r w:rsidR="00083242">
        <w:rPr>
          <w:rFonts w:ascii="Tahoma" w:eastAsia="Tahoma" w:hAnsi="Tahoma"/>
          <w:i/>
          <w:color w:val="007994"/>
          <w:sz w:val="21"/>
        </w:rPr>
        <w:t>“We have a serious problem with young people detaching from schools in Australia... Conservative estimates are that at least 50 000 children and young people of school age have detached from any educational program or institution, across the country at any given time.”</w:t>
      </w:r>
    </w:p>
    <w:p w14:paraId="3E74D300" w14:textId="77777777" w:rsidR="009757A9" w:rsidRDefault="00083242">
      <w:pPr>
        <w:spacing w:before="45" w:after="221" w:line="247" w:lineRule="exact"/>
        <w:ind w:left="6480"/>
        <w:textAlignment w:val="baseline"/>
        <w:rPr>
          <w:rFonts w:ascii="Tahoma" w:eastAsia="Tahoma" w:hAnsi="Tahoma"/>
          <w:i/>
          <w:color w:val="007994"/>
          <w:spacing w:val="-1"/>
          <w:sz w:val="21"/>
        </w:rPr>
      </w:pPr>
      <w:r>
        <w:rPr>
          <w:rFonts w:ascii="Tahoma" w:eastAsia="Tahoma" w:hAnsi="Tahoma"/>
          <w:i/>
          <w:color w:val="007994"/>
          <w:spacing w:val="-1"/>
          <w:sz w:val="21"/>
        </w:rPr>
        <w:t>Melbourne Graduate School of Education</w:t>
      </w:r>
      <w:r>
        <w:rPr>
          <w:rFonts w:ascii="Tahoma" w:eastAsia="Tahoma" w:hAnsi="Tahoma"/>
          <w:i/>
          <w:color w:val="007994"/>
          <w:spacing w:val="-1"/>
          <w:sz w:val="21"/>
          <w:vertAlign w:val="superscript"/>
        </w:rPr>
        <w:t>182</w:t>
      </w:r>
      <w:r>
        <w:rPr>
          <w:rFonts w:ascii="Tahoma" w:eastAsia="Tahoma" w:hAnsi="Tahoma"/>
          <w:i/>
          <w:color w:val="007994"/>
          <w:spacing w:val="-1"/>
          <w:sz w:val="12"/>
        </w:rPr>
        <w:t xml:space="preserve"> </w:t>
      </w:r>
    </w:p>
    <w:p w14:paraId="22CF700F" w14:textId="77777777" w:rsidR="009757A9" w:rsidRDefault="000D2E34">
      <w:pPr>
        <w:spacing w:before="419" w:after="537" w:line="240" w:lineRule="exact"/>
        <w:ind w:left="792" w:right="1080"/>
        <w:textAlignment w:val="baseline"/>
        <w:rPr>
          <w:rFonts w:ascii="Tahoma" w:eastAsia="Tahoma" w:hAnsi="Tahoma"/>
          <w:color w:val="404042"/>
          <w:spacing w:val="4"/>
          <w:sz w:val="18"/>
        </w:rPr>
      </w:pPr>
      <w:r>
        <w:rPr>
          <w:noProof/>
          <w:lang w:val="en-AU" w:eastAsia="en-AU"/>
        </w:rPr>
        <mc:AlternateContent>
          <mc:Choice Requires="wps">
            <w:drawing>
              <wp:anchor distT="0" distB="0" distL="114300" distR="114300" simplePos="0" relativeHeight="251968000" behindDoc="0" locked="0" layoutInCell="1" allowOverlap="1" wp14:anchorId="5E5299D9" wp14:editId="21E512B2">
                <wp:simplePos x="0" y="0"/>
                <wp:positionH relativeFrom="page">
                  <wp:posOffset>826135</wp:posOffset>
                </wp:positionH>
                <wp:positionV relativeFrom="page">
                  <wp:posOffset>1859280</wp:posOffset>
                </wp:positionV>
                <wp:extent cx="5907405" cy="0"/>
                <wp:effectExtent l="0" t="0" r="0" b="0"/>
                <wp:wrapNone/>
                <wp:docPr id="458"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C6CD0" id="Line 179" o:spid="_x0000_s1026" style="position:absolute;z-index:25196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46.4pt" to="530.2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6Ra0QEAAIYDAAAOAAAAZHJzL2Uyb0RvYy54bWysU01v2zAMvQ/YfxB0X+x0SbMYcXpI1l2y&#10;LUDbH8BIcixMFgVJiZ1/P0r5aLfdil0ESiQfHx+pxcPQGXZUPmi0NR+PSs6UFSi13df85fnx0xfO&#10;QgQrwaBVNT+pwB+WHz8selepO2zRSOUZgdhQ9a7mbYyuKoogWtVBGKFTlpwN+g4iXf2+kB56Qu9M&#10;cVeW90WPXjqPQoVAr+uzky8zftMoEX82TVCRmZoTt5hPn89dOovlAqq9B9dqcaEB72DRgbZU9Aa1&#10;hgjs4PU/UJ0WHgM2cSSwK7BptFC5B+pmXP7VzVMLTuVeSJzgbjKF/wcrfhy3nmlZ88mURmWhoyFt&#10;tFVsPJsndXoXKgpa2a1P/YnBPrkNil+BWVy1YPcqs3w+OUocp4zij5R0CY5q7PrvKCkGDhGzVEPj&#10;uwRJIrAhT+R0m4gaIhP0OJ2Xs0k55UxcfQVU10TnQ/ymsGPJqLkh1hkYjpsQExGoriGpjsVHbUwe&#10;uLGsr/n952mZEwIaLZMzhQW/362MZ0dIK1PO5vNJ7oo8b8MS8hpCe47LrvMyeTxYmau0CuTXix1B&#10;m7NNrIy9qJSEOUu8Q3na+qt6NOxM/7KYaZve3nP26/dZ/gYAAP//AwBQSwMEFAAGAAgAAAAhAIrx&#10;MffcAAAADAEAAA8AAABkcnMvZG93bnJldi54bWxMj8FOwzAQRO9I/IO1SNyo3QAVhDgVKuqpF2iR&#10;uG7jJQnE6yh20/Tv2UpIcJzZp9mZYjn5To00xDawhfnMgCKugmu5tvC+W988gIoJ2WEXmCycKMKy&#10;vLwoMHfhyG80blOtJIRjjhaalPpc61g15DHOQk8st88weEwih1q7AY8S7judGbPQHluWDw32tGqo&#10;+t4evIU1mt2r22zCV/y4P60wafdCo7XXV9PzE6hEU/qD4VxfqkMpnfbhwC6qTvStmQtqIXvMZMOZ&#10;MAtzB2r/a+my0P9HlD8AAAD//wMAUEsBAi0AFAAGAAgAAAAhALaDOJL+AAAA4QEAABMAAAAAAAAA&#10;AAAAAAAAAAAAAFtDb250ZW50X1R5cGVzXS54bWxQSwECLQAUAAYACAAAACEAOP0h/9YAAACUAQAA&#10;CwAAAAAAAAAAAAAAAAAvAQAAX3JlbHMvLnJlbHNQSwECLQAUAAYACAAAACEAaD+kWtEBAACGAwAA&#10;DgAAAAAAAAAAAAAAAAAuAgAAZHJzL2Uyb0RvYy54bWxQSwECLQAUAAYACAAAACEAivEx99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4"/>
          <w:sz w:val="18"/>
        </w:rPr>
        <w:t xml:space="preserve">Flexible learning approaches and provision of education in settings outside of a traditional school can increase continued student engagement with education. The Panel’s consultation with both experts and young people </w:t>
      </w:r>
      <w:r w:rsidR="00083242">
        <w:rPr>
          <w:rFonts w:ascii="Verdana" w:eastAsia="Verdana" w:hAnsi="Verdana"/>
          <w:color w:val="404042"/>
          <w:spacing w:val="4"/>
          <w:sz w:val="18"/>
        </w:rPr>
        <w:t xml:space="preserve">revealed widespread support for flexible delivery, particularly for students who appeared to be at risk of disengaging </w:t>
      </w:r>
      <w:r w:rsidR="00083242">
        <w:rPr>
          <w:rFonts w:ascii="Tahoma" w:eastAsia="Tahoma" w:hAnsi="Tahoma"/>
          <w:color w:val="404042"/>
          <w:spacing w:val="4"/>
          <w:sz w:val="18"/>
        </w:rPr>
        <w:t>from school.</w:t>
      </w:r>
    </w:p>
    <w:p w14:paraId="0B0AA6C0" w14:textId="77777777" w:rsidR="009757A9" w:rsidRDefault="000D2E34">
      <w:pPr>
        <w:spacing w:before="106" w:line="298" w:lineRule="exact"/>
        <w:ind w:left="1296" w:right="1368"/>
        <w:jc w:val="both"/>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69024" behindDoc="0" locked="0" layoutInCell="1" allowOverlap="1" wp14:anchorId="6C0AE99D" wp14:editId="79B119A7">
                <wp:simplePos x="0" y="0"/>
                <wp:positionH relativeFrom="page">
                  <wp:posOffset>826135</wp:posOffset>
                </wp:positionH>
                <wp:positionV relativeFrom="page">
                  <wp:posOffset>3084830</wp:posOffset>
                </wp:positionV>
                <wp:extent cx="5907405" cy="0"/>
                <wp:effectExtent l="0" t="0" r="0" b="0"/>
                <wp:wrapNone/>
                <wp:docPr id="457"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2EEEB" id="Line 178" o:spid="_x0000_s1026" style="position:absolute;z-index:2519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42.9pt" to="530.2pt,2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oKC0QEAAIYDAAAOAAAAZHJzL2Uyb0RvYy54bWysU8Fu2zAMvQ/YPwi6L3a6pGmMOD0k6y7Z&#10;FqDtBzCSbAuTREFSYufvJ8lJ1m23YheBEsnHx0dq9ThoRU7CeYmmptNJSYkwDLk0bU1fX54+PVDi&#10;AxgOCo2o6Vl4+rj++GHV20rcYYeKC0ciiPFVb2vahWCrovCsExr8BK0w0dmg0xDi1bUFd9BHdK2K&#10;u7K8L3p03Dpkwvv4uh2ddJ3xm0aw8KNpvAhE1TRyC/l0+Tyks1ivoGod2E6yCw14BwsN0sSiN6gt&#10;BCBHJ/+B0pI59NiECUNdYNNIJnIPsZtp+Vc3zx1YkXuJ4nh7k8n/P1j2/bR3RPKazuYLSgzoOKSd&#10;NIJMFw9Jnd76KgZtzN6l/thgnu0O2U9PDG46MK3ILF/ONiZOU0bxR0q6eBtrHPpvyGMMHANmqYbG&#10;6QQZRSBDnsj5NhExBMLi43xZLmblnBJ29RVQXROt8+GrQE2SUVMVWWdgOO18SESguoakOgafpFJ5&#10;4MqQvqb3n+dlTvCoJE/OFOZde9goR06QVqZcLJez3FX0vA1LyFvw3RiXXeMyOTwanqt0AviXix1A&#10;qtGOrJS5qJSEGSU+ID/v3VW9OOxM/7KYaZve3nP27++z/gUAAP//AwBQSwMEFAAGAAgAAAAhAFtB&#10;NnvcAAAADAEAAA8AAABkcnMvZG93bnJldi54bWxMj0FLw0AQhe+C/2EZwZvdrbalxGyKVHrqRVvB&#10;6zQ7JtHsbMhu0/TfOwXBHt+bjzfv5avRt2qgPjaBLUwnBhRxGVzDlYWP/eZhCSomZIdtYLJwpgir&#10;4vYmx8yFE7/TsEuVkhCOGVqoU+oyrWNZk8c4CR2x3L5C7zGJ7CvtejxJuG/1ozEL7bFh+VBjR+ua&#10;yp/d0VvYoNm/ue02fMfP+XmNSbtXGqy9vxtfnkElGtM/DJf6Uh0K6XQIR3ZRtaKfzFRQC7PlXDZc&#10;CLMwM1CHP0sXub4eUfwCAAD//wMAUEsBAi0AFAAGAAgAAAAhALaDOJL+AAAA4QEAABMAAAAAAAAA&#10;AAAAAAAAAAAAAFtDb250ZW50X1R5cGVzXS54bWxQSwECLQAUAAYACAAAACEAOP0h/9YAAACUAQAA&#10;CwAAAAAAAAAAAAAAAAAvAQAAX3JlbHMvLnJlbHNQSwECLQAUAAYACAAAACEAde6CgtEBAACGAwAA&#10;DgAAAAAAAAAAAAAAAAAuAgAAZHJzL2Uyb0RvYy54bWxQSwECLQAUAAYACAAAACEAW0E2e9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“The way in which schooling systems operate for those who are the most disadvantaged needs to change to ensure these young people have support throughout their educational journey.</w:t>
      </w:r>
    </w:p>
    <w:p w14:paraId="32ABC92D" w14:textId="77777777" w:rsidR="009757A9" w:rsidRDefault="00083242">
      <w:pPr>
        <w:spacing w:before="61" w:line="241" w:lineRule="exact"/>
        <w:ind w:left="1296"/>
        <w:textAlignment w:val="baseline"/>
        <w:rPr>
          <w:rFonts w:ascii="Verdana" w:eastAsia="Verdana" w:hAnsi="Verdana"/>
          <w:i/>
          <w:color w:val="007994"/>
          <w:spacing w:val="3"/>
          <w:sz w:val="18"/>
        </w:rPr>
      </w:pPr>
      <w:r>
        <w:rPr>
          <w:rFonts w:ascii="Verdana" w:eastAsia="Verdana" w:hAnsi="Verdana"/>
          <w:i/>
          <w:color w:val="007994"/>
          <w:spacing w:val="3"/>
          <w:sz w:val="18"/>
        </w:rPr>
        <w:t>This means starting earlier, with more support, and greater flexibility for students who need it.”</w:t>
      </w:r>
    </w:p>
    <w:p w14:paraId="03518A62" w14:textId="77777777" w:rsidR="009757A9" w:rsidRDefault="00083242">
      <w:pPr>
        <w:spacing w:before="51" w:after="225" w:line="247" w:lineRule="exact"/>
        <w:ind w:left="6192"/>
        <w:textAlignment w:val="baseline"/>
        <w:rPr>
          <w:rFonts w:ascii="Tahoma" w:eastAsia="Tahoma" w:hAnsi="Tahoma"/>
          <w:i/>
          <w:color w:val="007994"/>
          <w:spacing w:val="1"/>
          <w:sz w:val="21"/>
        </w:rPr>
      </w:pPr>
      <w:r>
        <w:rPr>
          <w:rFonts w:ascii="Tahoma" w:eastAsia="Tahoma" w:hAnsi="Tahoma"/>
          <w:i/>
          <w:color w:val="007994"/>
          <w:spacing w:val="1"/>
          <w:sz w:val="21"/>
        </w:rPr>
        <w:t>Victorian Council of Social Service submission</w:t>
      </w:r>
    </w:p>
    <w:p w14:paraId="6A368C91" w14:textId="77777777" w:rsidR="009757A9" w:rsidRDefault="000D2E34">
      <w:pPr>
        <w:spacing w:before="467" w:line="240" w:lineRule="exact"/>
        <w:ind w:left="792" w:right="1008"/>
        <w:textAlignment w:val="baseline"/>
        <w:rPr>
          <w:rFonts w:ascii="Verdana" w:eastAsia="Verdana" w:hAnsi="Verdana"/>
          <w:color w:val="404042"/>
          <w:sz w:val="18"/>
        </w:rPr>
      </w:pPr>
      <w:r>
        <w:rPr>
          <w:noProof/>
          <w:lang w:val="en-AU" w:eastAsia="en-AU"/>
        </w:rPr>
        <mc:AlternateContent>
          <mc:Choice Requires="wps">
            <w:drawing>
              <wp:anchor distT="0" distB="0" distL="114300" distR="114300" simplePos="0" relativeHeight="251970048" behindDoc="0" locked="0" layoutInCell="1" allowOverlap="1" wp14:anchorId="1A3211FB" wp14:editId="0DE89CD5">
                <wp:simplePos x="0" y="0"/>
                <wp:positionH relativeFrom="page">
                  <wp:posOffset>826135</wp:posOffset>
                </wp:positionH>
                <wp:positionV relativeFrom="page">
                  <wp:posOffset>4057015</wp:posOffset>
                </wp:positionV>
                <wp:extent cx="5907405" cy="0"/>
                <wp:effectExtent l="0" t="0" r="0" b="0"/>
                <wp:wrapNone/>
                <wp:docPr id="45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1E6C5" id="Line 177" o:spid="_x0000_s1026" style="position:absolute;z-index:2519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19.45pt" to="530.2pt,3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is0QEAAIYDAAAOAAAAZHJzL2Uyb0RvYy54bWysU02P2yAQvVfqf0DcGzvbfDRWnD0k3V7S&#10;NtJuf8AEsI0KDAISO/++gJPstr1VvaCBmXnz5s2wfhy0ImfhvERT0+mkpEQYhlyatqY/Xp4+fKLE&#10;BzAcFBpR04vw9HHz/t26t5V4wA4VF45EEOOr3ta0C8FWReFZJzT4CVphorNBpyHEq2sL7qCP6FoV&#10;D2W5KHp03Dpkwvv4uhuddJPxm0aw8L1pvAhE1TRyC/l0+Tyms9isoWod2E6yKw34BxYapIlF71A7&#10;CEBOTv4FpSVz6LEJE4a6wKaRTOQeYjfT8o9unjuwIvcSxfH2LpP/f7Ds2/ngiOQ1nc0XlBjQcUh7&#10;aQSZLpdJnd76KgZtzcGl/thgnu0e2U9PDG47MK3ILF8uNiZOU0bxW0q6eBtrHPuvyGMMnAJmqYbG&#10;6QQZRSBDnsjlPhExBMLi43xVLmflnBJ28xVQ3RKt8+GLQE2SUVMVWWdgOO99SESguoWkOgafpFJ5&#10;4MqQvqaLj/MyJ3hUkidnCvOuPW6VI2dIK1MuV6tZ7ip63oYl5B34bozLrnGZHJ4Mz1U6Afzz1Q4g&#10;1WhHVspcVUrCjBIfkV8O7qZeHHamf13MtE1v7zn79ftsfgEAAP//AwBQSwMEFAAGAAgAAAAhAOoa&#10;JwrcAAAADAEAAA8AAABkcnMvZG93bnJldi54bWxMj8FuwjAMhu+TeIfISLuNBNgqVpoixMSJywaT&#10;djWNabs1TtWEUt5+QZrEjr/96ffnbDXYRvTU+dqxhulEgSAunKm51PB52D4tQPiAbLBxTBqu5GGV&#10;jx4yTI278Af1+1CKWMI+RQ1VCG0qpS8qsugnriWOu5PrLIYYu1KaDi+x3DZyplQiLdYcL1TY0qai&#10;4md/thq2qA7vZrdz3/7r5brBIM0b9Vo/jof1EkSgIdxhuOlHdcij09Gd2XjRxDxX04hqSOaLVxA3&#10;QiXqGcTxbyTzTP5/Iv8FAAD//wMAUEsBAi0AFAAGAAgAAAAhALaDOJL+AAAA4QEAABMAAAAAAAAA&#10;AAAAAAAAAAAAAFtDb250ZW50X1R5cGVzXS54bWxQSwECLQAUAAYACAAAACEAOP0h/9YAAACUAQAA&#10;CwAAAAAAAAAAAAAAAAAvAQAAX3JlbHMvLnJlbHNQSwECLQAUAAYACAAAACEAFRHYrNEBAACGAwAA&#10;DgAAAAAAAAAAAAAAAAAuAgAAZHJzL2Uyb0RvYy54bWxQSwECLQAUAAYACAAAACEA6honCtwAAAAM&#10;AQAADwAAAAAAAAAAAAAAAAArBAAAZHJzL2Rvd25yZXYueG1sUEsFBgAAAAAEAAQA8wAAADQFAAAA&#10;AA==&#10;" strokecolor="#007994" strokeweight=".5pt">
                <w10:wrap anchorx="page" anchory="page"/>
              </v:line>
            </w:pict>
          </mc:Fallback>
        </mc:AlternateContent>
      </w:r>
      <w:r w:rsidR="00083242">
        <w:rPr>
          <w:rFonts w:ascii="Verdana" w:eastAsia="Verdana" w:hAnsi="Verdana"/>
          <w:color w:val="404042"/>
          <w:sz w:val="18"/>
        </w:rPr>
        <w:t xml:space="preserve">The majority of youth workers participating in the Australian Youth Affairs Coalition indicated that the ‘mainstream </w:t>
      </w:r>
      <w:r w:rsidR="00083242">
        <w:rPr>
          <w:rFonts w:ascii="Tahoma" w:eastAsia="Tahoma" w:hAnsi="Tahoma"/>
          <w:color w:val="404042"/>
          <w:sz w:val="18"/>
        </w:rPr>
        <w:t>education system’ was one of the biggest issues facing discouraged young people. They highlighted the inability of the current conventional school system to reconnect with disengaged or disadvantaged young people. This was largely due to the inability of schools and teachers to meet the individualised needs of young people who have become disillusioned for multiple reasons.</w:t>
      </w:r>
      <w:r w:rsidR="00083242">
        <w:rPr>
          <w:rFonts w:ascii="Tahoma" w:eastAsia="Tahoma" w:hAnsi="Tahoma"/>
          <w:color w:val="404042"/>
          <w:sz w:val="18"/>
          <w:vertAlign w:val="superscript"/>
        </w:rPr>
        <w:t>183</w:t>
      </w:r>
      <w:r w:rsidR="00083242">
        <w:rPr>
          <w:rFonts w:ascii="Tahoma" w:eastAsia="Tahoma" w:hAnsi="Tahoma"/>
          <w:color w:val="404042"/>
          <w:sz w:val="10"/>
        </w:rPr>
        <w:t xml:space="preserve"> </w:t>
      </w:r>
    </w:p>
    <w:p w14:paraId="49BB9502" w14:textId="77777777" w:rsidR="009757A9" w:rsidRDefault="00083242">
      <w:pPr>
        <w:spacing w:before="166" w:after="601" w:line="240" w:lineRule="exact"/>
        <w:ind w:left="792" w:right="1512"/>
        <w:textAlignment w:val="baseline"/>
        <w:rPr>
          <w:rFonts w:ascii="Verdana" w:eastAsia="Verdana" w:hAnsi="Verdana"/>
          <w:color w:val="404042"/>
          <w:sz w:val="18"/>
        </w:rPr>
      </w:pPr>
      <w:r>
        <w:rPr>
          <w:rFonts w:ascii="Verdana" w:eastAsia="Verdana" w:hAnsi="Verdana"/>
          <w:color w:val="404042"/>
          <w:sz w:val="18"/>
        </w:rPr>
        <w:t xml:space="preserve">Young people interviewed by the Australian Youth Affairs Coalition indicated that they enjoyed the flexibility of </w:t>
      </w:r>
      <w:r>
        <w:rPr>
          <w:rFonts w:ascii="Tahoma" w:eastAsia="Tahoma" w:hAnsi="Tahoma"/>
          <w:color w:val="404042"/>
          <w:sz w:val="18"/>
        </w:rPr>
        <w:t>alternative learning programs that catered for young people who fall outside conventional education. The key to success was to regard young people as resourceful individuals with a lot of untapped potential, rather than as troublemakers or underachievers.</w:t>
      </w:r>
      <w:r>
        <w:rPr>
          <w:rFonts w:ascii="Tahoma" w:eastAsia="Tahoma" w:hAnsi="Tahoma"/>
          <w:color w:val="404042"/>
          <w:sz w:val="18"/>
          <w:vertAlign w:val="superscript"/>
        </w:rPr>
        <w:t>184</w:t>
      </w:r>
      <w:r>
        <w:rPr>
          <w:rFonts w:ascii="Tahoma" w:eastAsia="Tahoma" w:hAnsi="Tahoma"/>
          <w:color w:val="404042"/>
          <w:sz w:val="10"/>
        </w:rPr>
        <w:t xml:space="preserve"> </w:t>
      </w:r>
    </w:p>
    <w:p w14:paraId="3C5041A6" w14:textId="77777777" w:rsidR="009757A9" w:rsidRDefault="000D2E34">
      <w:pPr>
        <w:spacing w:before="164" w:line="241" w:lineRule="exact"/>
        <w:ind w:left="1296"/>
        <w:textAlignment w:val="baseline"/>
        <w:rPr>
          <w:rFonts w:ascii="Verdana" w:eastAsia="Verdana" w:hAnsi="Verdana"/>
          <w:i/>
          <w:color w:val="007994"/>
          <w:spacing w:val="2"/>
          <w:sz w:val="18"/>
        </w:rPr>
      </w:pPr>
      <w:r>
        <w:rPr>
          <w:noProof/>
          <w:lang w:val="en-AU" w:eastAsia="en-AU"/>
        </w:rPr>
        <mc:AlternateContent>
          <mc:Choice Requires="wps">
            <w:drawing>
              <wp:anchor distT="0" distB="0" distL="114300" distR="114300" simplePos="0" relativeHeight="251971072" behindDoc="0" locked="0" layoutInCell="1" allowOverlap="1" wp14:anchorId="2FD55845" wp14:editId="26A80E15">
                <wp:simplePos x="0" y="0"/>
                <wp:positionH relativeFrom="page">
                  <wp:posOffset>826135</wp:posOffset>
                </wp:positionH>
                <wp:positionV relativeFrom="page">
                  <wp:posOffset>6214745</wp:posOffset>
                </wp:positionV>
                <wp:extent cx="5907405" cy="0"/>
                <wp:effectExtent l="0" t="0" r="0" b="0"/>
                <wp:wrapNone/>
                <wp:docPr id="455"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4C21E" id="Line 176" o:spid="_x0000_s1026" style="position:absolute;z-index:2519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89.35pt" to="530.2pt,4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Bx0QEAAIYDAAAOAAAAZHJzL2Uyb0RvYy54bWysU02PEzEMvSPxH6Lc6UyXftBRp3toWS4F&#10;Ku3yA9wkMxORiaMk7bT/Hif92AVuiEvkxPbz87OzfDz1hh2VDxptzcejkjNlBUpt25r/eHn68Imz&#10;EMFKMGhVzc8q8MfV+3fLwVXqATs0UnlGIDZUg6t5F6OriiKITvUQRuiUJWeDvodIV98W0sNA6L0p&#10;HspyVgzopfMoVAj0urk4+SrjN40S8XvTBBWZqTlxi/n0+dyns1gtoWo9uE6LKw34BxY9aEtF71Ab&#10;iMAOXv8F1WvhMWATRwL7AptGC5V7oG7G5R/dPHfgVO6FxAnuLlP4f7Di23HnmZY1n0ynnFnoaUhb&#10;bRUbz2dJncGFioLWdudTf+Jkn90Wxc/ALK47sK3KLF/OjhLHKaP4LSVdgqMa++ErSoqBQ8Qs1anx&#10;fYIkEdgpT+R8n4g6RSbocboo55OSiImbr4Dqluh8iF8U9iwZNTfEOgPDcRtiIgLVLSTVsfikjckD&#10;N5YNNZ99nJY5IaDRMjlTWPDtfm08O0JamXK+WExyV+R5G5aQNxC6S1x2XZbJ48HKXKVTID9f7Qja&#10;XGxiZexVpSTMReI9yvPO39SjYWf618VM2/T2nrNfv8/qFwAAAP//AwBQSwMEFAAGAAgAAAAhAKjM&#10;hHTdAAAADAEAAA8AAABkcnMvZG93bnJldi54bWxMj01PwzAMhu9I/IfISNxYMj62UZpOaGinXWBD&#10;4uo1pi00TtVkXffv8SQkOL72o9eP8+XoWzVQH5vAFqYTA4q4DK7hysL7bn2zABUTssM2MFk4UYRl&#10;cXmRY+bCkd9o2KZKSQnHDC3UKXWZ1rGsyWOchI5Ydp+h95gk9pV2PR6l3Lf61piZ9tiwXKixo1VN&#10;5ff24C2s0exe3WYTvuLHw2mFSbsXGqy9vhqfn0AlGtMfDGd9UYdCnPbhwC6qVvKdmQpq4XG+mIM6&#10;E2Zm7kHtf0e6yPX/J4ofAAAA//8DAFBLAQItABQABgAIAAAAIQC2gziS/gAAAOEBAAATAAAAAAAA&#10;AAAAAAAAAAAAAABbQ29udGVudF9UeXBlc10ueG1sUEsBAi0AFAAGAAgAAAAhADj9If/WAAAAlAEA&#10;AAsAAAAAAAAAAAAAAAAALwEAAF9yZWxzLy5yZWxzUEsBAi0AFAAGAAgAAAAhALNuoHHRAQAAhgMA&#10;AA4AAAAAAAAAAAAAAAAALgIAAGRycy9lMm9Eb2MueG1sUEsBAi0AFAAGAAgAAAAhAKjMhHTdAAAA&#10;DAEAAA8AAAAAAAAAAAAAAAAAKwQAAGRycy9kb3ducmV2LnhtbFBLBQYAAAAABAAEAPMAAAA1BQAA&#10;AAA=&#10;" strokecolor="#007994" strokeweight=".5pt">
                <w10:wrap anchorx="page" anchory="page"/>
              </v:line>
            </w:pict>
          </mc:Fallback>
        </mc:AlternateContent>
      </w:r>
      <w:r w:rsidR="00083242">
        <w:rPr>
          <w:rFonts w:ascii="Verdana" w:eastAsia="Verdana" w:hAnsi="Verdana"/>
          <w:i/>
          <w:color w:val="007994"/>
          <w:spacing w:val="2"/>
          <w:sz w:val="18"/>
        </w:rPr>
        <w:t>“A student’s ability to survive the senior school system is not a fair reflection of intellectual ability,</w:t>
      </w:r>
    </w:p>
    <w:p w14:paraId="6DF34190" w14:textId="77777777" w:rsidR="009757A9" w:rsidRDefault="00083242">
      <w:pPr>
        <w:spacing w:before="55" w:line="247" w:lineRule="exact"/>
        <w:ind w:left="1296"/>
        <w:textAlignment w:val="baseline"/>
        <w:rPr>
          <w:rFonts w:ascii="Tahoma" w:eastAsia="Tahoma" w:hAnsi="Tahoma"/>
          <w:i/>
          <w:color w:val="007994"/>
          <w:spacing w:val="1"/>
          <w:sz w:val="21"/>
        </w:rPr>
      </w:pPr>
      <w:r>
        <w:rPr>
          <w:rFonts w:ascii="Tahoma" w:eastAsia="Tahoma" w:hAnsi="Tahoma"/>
          <w:i/>
          <w:color w:val="007994"/>
          <w:spacing w:val="1"/>
          <w:sz w:val="21"/>
        </w:rPr>
        <w:t>nor should it be a determining factor in their future prospects.” Professor Steve Larkin</w:t>
      </w:r>
    </w:p>
    <w:p w14:paraId="28271D5C" w14:textId="77777777" w:rsidR="009757A9" w:rsidRDefault="00083242">
      <w:pPr>
        <w:spacing w:before="51" w:after="215" w:line="247" w:lineRule="exact"/>
        <w:ind w:left="4464"/>
        <w:textAlignment w:val="baseline"/>
        <w:rPr>
          <w:rFonts w:ascii="Tahoma" w:eastAsia="Tahoma" w:hAnsi="Tahoma"/>
          <w:i/>
          <w:color w:val="007994"/>
          <w:spacing w:val="1"/>
          <w:sz w:val="21"/>
        </w:rPr>
      </w:pPr>
      <w:r>
        <w:rPr>
          <w:rFonts w:ascii="Tahoma" w:eastAsia="Tahoma" w:hAnsi="Tahoma"/>
          <w:i/>
          <w:color w:val="007994"/>
          <w:spacing w:val="1"/>
          <w:sz w:val="21"/>
        </w:rPr>
        <w:t>Batchelor Institute of Indigenous Tertiary Education submission</w:t>
      </w:r>
    </w:p>
    <w:p w14:paraId="7F9E298F" w14:textId="7192A697" w:rsidR="009757A9" w:rsidRDefault="000D2E34">
      <w:pPr>
        <w:spacing w:before="414" w:after="1401" w:line="240" w:lineRule="exact"/>
        <w:ind w:left="792" w:right="1008"/>
        <w:textAlignment w:val="baseline"/>
        <w:rPr>
          <w:rFonts w:ascii="Verdana" w:eastAsia="Verdana" w:hAnsi="Verdana"/>
          <w:color w:val="404042"/>
          <w:spacing w:val="-6"/>
          <w:sz w:val="18"/>
        </w:rPr>
      </w:pPr>
      <w:r>
        <w:rPr>
          <w:noProof/>
          <w:lang w:val="en-AU" w:eastAsia="en-AU"/>
        </w:rPr>
        <mc:AlternateContent>
          <mc:Choice Requires="wps">
            <w:drawing>
              <wp:anchor distT="0" distB="0" distL="114300" distR="114300" simplePos="0" relativeHeight="251972096" behindDoc="0" locked="0" layoutInCell="1" allowOverlap="1" wp14:anchorId="18310C41" wp14:editId="0B59A70B">
                <wp:simplePos x="0" y="0"/>
                <wp:positionH relativeFrom="page">
                  <wp:posOffset>826135</wp:posOffset>
                </wp:positionH>
                <wp:positionV relativeFrom="page">
                  <wp:posOffset>6998335</wp:posOffset>
                </wp:positionV>
                <wp:extent cx="5907405" cy="0"/>
                <wp:effectExtent l="0" t="0" r="0" b="0"/>
                <wp:wrapNone/>
                <wp:docPr id="454"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1C391" id="Line 175" o:spid="_x0000_s1026" style="position:absolute;z-index:2519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51.05pt" to="530.2pt,5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zO0QEAAIYDAAAOAAAAZHJzL2Uyb0RvYy54bWysU01v2zAMvQ/YfxB0X+x0cbMYcXpI1l2y&#10;LUDbH8BIsi1MEgVJiZ1/P0n5aLfdil0ESiQfHx+p5cOoFTkK5yWahk4nJSXCMOTSdA19eX789IUS&#10;H8BwUGhEQ0/C04fVxw/LwdbiDntUXDgSQYyvB9vQPgRbF4VnvdDgJ2iFic4WnYYQr64ruIMhomtV&#10;3JXlfTGg49YhE97H183ZSVcZv20FCz/b1otAVEMjt5BPl899OovVEurOge0lu9CAd7DQIE0seoPa&#10;QABycPIfKC2ZQ49tmDDUBbatZCL3ELuZln9189SDFbmXKI63N5n8/4NlP447RyRv6KyaUWJAxyFt&#10;pRFkOq+SOoP1dQxam51L/bHRPNktsl+eGFz3YDqRWT6fbEycpozij5R08TbW2A/fkccYOATMUo2t&#10;0wkyikDGPJHTbSJiDITFx2pRzmdlRQm7+gqor4nW+fBNoCbJaKiKrDMwHLc+JCJQX0NSHYOPUqk8&#10;cGXI0ND7z1WZEzwqyZMzhXnX7dfKkSOklSnni8UsdxU9b8MS8gZ8f47LrvMyOTwYnqv0AvjXix1A&#10;qrMdWSlzUSkJc5Z4j/y0c1f14rAz/ctipm16e8/Zr99n9RsAAP//AwBQSwMEFAAGAAgAAAAhAFuV&#10;QdrbAAAADgEAAA8AAABkcnMvZG93bnJldi54bWxMj0FPwzAMhe9I/IfISNxY0gETKk0nNLTTLrAh&#10;cfUa0xYap2qyrvv3eAfEbu/ZT8+fi+XkOzXSENvAFrKZAUVcBddybeFjt757AhUTssMuMFk4UYRl&#10;eX1VYO7Ckd9p3KZaSQnHHC00KfW51rFqyGOchZ5Ydl9h8JjEDrV2Ax6l3Hd6bsxCe2xZLjTY06qh&#10;6md78BbWaHZvbrMJ3/Hz8bTCpN0rjdbe3kwvz6ASTek/DGd8QYdSmPbhwC6qTvy9ySQqIjNzUeeI&#10;WZgHUPu/mS4LfflG+QsAAP//AwBQSwECLQAUAAYACAAAACEAtoM4kv4AAADhAQAAEwAAAAAAAAAA&#10;AAAAAAAAAAAAW0NvbnRlbnRfVHlwZXNdLnhtbFBLAQItABQABgAIAAAAIQA4/SH/1gAAAJQBAAAL&#10;AAAAAAAAAAAAAAAAAC8BAABfcmVscy8ucmVsc1BLAQItABQABgAIAAAAIQBxcmzO0QEAAIYDAAAO&#10;AAAAAAAAAAAAAAAAAC4CAABkcnMvZTJvRG9jLnhtbFBLAQItABQABgAIAAAAIQBblUHa2wAAAA4B&#10;AAAPAAAAAAAAAAAAAAAAACsEAABkcnMvZG93bnJldi54bWxQSwUGAAAAAAQABADzAAAAMwUAAAAA&#10;" strokecolor="#007994" strokeweight=".5pt">
                <w10:wrap anchorx="page" anchory="page"/>
              </v:line>
            </w:pict>
          </mc:Fallback>
        </mc:AlternateContent>
      </w:r>
      <w:r w:rsidR="00083242">
        <w:rPr>
          <w:rFonts w:ascii="Verdana" w:eastAsia="Verdana" w:hAnsi="Verdana"/>
          <w:color w:val="404042"/>
          <w:spacing w:val="-6"/>
          <w:sz w:val="18"/>
        </w:rPr>
        <w:t>All states and territories already offer various programs with flexible delivery options to improve student engagement and transition arrangements. These range from vocationally intense programs, to programs specifically aimed at inspiring disadvantaged communities. Many make a positive difference.</w:t>
      </w:r>
    </w:p>
    <w:p w14:paraId="71AD5CAA" w14:textId="220DED69" w:rsidR="009757A9" w:rsidRDefault="00BA3618" w:rsidP="00BA3618">
      <w:pPr>
        <w:spacing w:before="50" w:line="201" w:lineRule="exact"/>
        <w:ind w:left="851"/>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73120" behindDoc="0" locked="0" layoutInCell="1" allowOverlap="1" wp14:anchorId="71EB1F8A" wp14:editId="4FF7F49A">
                <wp:simplePos x="0" y="0"/>
                <wp:positionH relativeFrom="page">
                  <wp:posOffset>539750</wp:posOffset>
                </wp:positionH>
                <wp:positionV relativeFrom="page">
                  <wp:posOffset>8597900</wp:posOffset>
                </wp:positionV>
                <wp:extent cx="917575" cy="0"/>
                <wp:effectExtent l="0" t="0" r="0" b="0"/>
                <wp:wrapNone/>
                <wp:docPr id="453"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FCC96" id="Line 174" o:spid="_x0000_s1026" style="position:absolute;z-index:2519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77pt" to="114.7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g8zgEAAIYDAAAOAAAAZHJzL2Uyb0RvYy54bWysU8Fu2zAMvQ/YPwi6L3ayplmNOD0k6y7Z&#10;FqDtBzCSHAuTRUFSYufvR8lJ1m23YT4Iokg+Pj7Sy8ehM+ykfNBoaz6dlJwpK1Bqe6j568vTh0+c&#10;hQhWgkGran5WgT+u3r9b9q5SM2zRSOUZgdhQ9a7mbYyuKoogWtVBmKBTlpwN+g4imf5QSA89oXem&#10;mJXlfdGjl86jUCHQ62Z08lXGbxol4vemCSoyU3PiFvPp87lPZ7FaQnXw4FotLjTgH1h0oC0VvUFt&#10;IAI7ev0XVKeFx4BNnAjsCmwaLVTugbqZln9089yCU7kXEie4m0zh/8GKb6edZ1rW/G7+kTMLHQ1p&#10;q61i08VdUqd3oaKgtd351J8Y7LPbovgRmMV1C/agMsuXs6PEacoofktJRnBUY99/RUkxcIyYpRoa&#10;3yVIEoENeSLn20TUEJmgx4fpYr6YcyaurgKqa57zIX5R2LF0qbkh0hkXTtsQEw+oriGpjMUnbUye&#10;t7GsJ7Kz8n6eMwIaLZM3xQV/2K+NZydIK5O/3BV53oYl6A2EdozLrnGZPB6tzGVaBfLz5R5Bm/FO&#10;tIy9qJSEGSXeozzv/FU9Gnbmf1nMtE1v7Zz96/dZ/QQAAP//AwBQSwMEFAAGAAgAAAAhAK+3W1zf&#10;AAAADAEAAA8AAABkcnMvZG93bnJldi54bWxMj0FPwzAMhe9I/IfISFzQllJa1HVNJzQJbkwwhtgx&#10;a0xb0ThVk63l388cENzs56fn7xWryXbihINvHSm4nUcgkCpnWqoV7N4eZxkIHzQZ3TlCBd/oYVVe&#10;XhQ6N26kVzxtQy04hHyuFTQh9LmUvmrQaj93PRLfPt1gdeB1qKUZ9MjhtpNxFN1Lq1viD43ucd1g&#10;9bU9WgVSRlkyvX+Mz8mNz9r9ut4/bV6Uur6aHpYgAk7hzww/+IwOJTMd3JGMF52CLOUqgfW7NOGJ&#10;HXG8SEEcfiVZFvJ/ifIMAAD//wMAUEsBAi0AFAAGAAgAAAAhALaDOJL+AAAA4QEAABMAAAAAAAAA&#10;AAAAAAAAAAAAAFtDb250ZW50X1R5cGVzXS54bWxQSwECLQAUAAYACAAAACEAOP0h/9YAAACUAQAA&#10;CwAAAAAAAAAAAAAAAAAvAQAAX3JlbHMvLnJlbHNQSwECLQAUAAYACAAAACEAt7eoPM4BAACGAwAA&#10;DgAAAAAAAAAAAAAAAAAuAgAAZHJzL2Uyb0RvYy54bWxQSwECLQAUAAYACAAAACEAr7dbXN8AAAAM&#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182 Watterston, J. and O’Connell, M. (2019), T</w:t>
      </w:r>
      <w:r w:rsidR="00083242">
        <w:rPr>
          <w:rFonts w:ascii="Arial" w:eastAsia="Arial" w:hAnsi="Arial"/>
          <w:i/>
          <w:color w:val="404042"/>
          <w:sz w:val="14"/>
        </w:rPr>
        <w:t>hose Who Disappear: The Australian education problem nobody wants to talk about</w:t>
      </w:r>
      <w:r w:rsidR="00083242">
        <w:rPr>
          <w:rFonts w:ascii="Tahoma" w:eastAsia="Tahoma" w:hAnsi="Tahoma"/>
          <w:color w:val="404042"/>
          <w:sz w:val="14"/>
        </w:rPr>
        <w:t xml:space="preserve">, Melbourne Graduate </w:t>
      </w:r>
      <w:r w:rsidR="00083242">
        <w:rPr>
          <w:rFonts w:ascii="Tahoma" w:eastAsia="Tahoma" w:hAnsi="Tahoma"/>
          <w:color w:val="404042"/>
          <w:sz w:val="14"/>
        </w:rPr>
        <w:br/>
      </w:r>
      <w:r w:rsidR="00083242">
        <w:rPr>
          <w:rFonts w:ascii="Verdana" w:eastAsia="Verdana" w:hAnsi="Verdana"/>
          <w:color w:val="404042"/>
          <w:sz w:val="13"/>
        </w:rPr>
        <w:t xml:space="preserve">School of Education: University of Melbourne, p. 5, </w:t>
      </w:r>
      <w:hyperlink r:id="rId269">
        <w:r w:rsidR="00083242">
          <w:rPr>
            <w:rFonts w:ascii="Tahoma" w:eastAsia="Tahoma" w:hAnsi="Tahoma"/>
            <w:color w:val="0000FF"/>
            <w:sz w:val="14"/>
            <w:u w:val="single"/>
          </w:rPr>
          <w:t>https://education.unimelb.edu.au/mgse-industry-reports/report-1-those-who-disappear</w:t>
        </w:r>
      </w:hyperlink>
      <w:r w:rsidR="00083242">
        <w:rPr>
          <w:rFonts w:ascii="Tahoma" w:eastAsia="Tahoma" w:hAnsi="Tahoma"/>
          <w:color w:val="404042"/>
          <w:sz w:val="14"/>
        </w:rPr>
        <w:t>.</w:t>
      </w:r>
    </w:p>
    <w:p w14:paraId="22C8E091" w14:textId="0929FAAD" w:rsidR="009757A9" w:rsidRDefault="00BA3618">
      <w:pPr>
        <w:spacing w:line="199" w:lineRule="exact"/>
        <w:ind w:left="1080" w:right="1368" w:hanging="288"/>
        <w:jc w:val="both"/>
        <w:textAlignment w:val="baseline"/>
        <w:rPr>
          <w:rFonts w:ascii="Verdana" w:eastAsia="Verdana" w:hAnsi="Verdana"/>
          <w:color w:val="404042"/>
          <w:sz w:val="13"/>
        </w:rPr>
      </w:pPr>
      <w:r>
        <w:rPr>
          <w:rFonts w:ascii="Verdana" w:eastAsia="Verdana" w:hAnsi="Verdana"/>
          <w:color w:val="404042"/>
          <w:sz w:val="13"/>
        </w:rPr>
        <w:t xml:space="preserve"> </w:t>
      </w:r>
      <w:r w:rsidR="00083242">
        <w:rPr>
          <w:rFonts w:ascii="Verdana" w:eastAsia="Verdana" w:hAnsi="Verdana"/>
          <w:color w:val="404042"/>
          <w:sz w:val="13"/>
        </w:rPr>
        <w:t xml:space="preserve">183 Australian Youth Affairs Coalition (2012), </w:t>
      </w:r>
      <w:r w:rsidR="00083242">
        <w:rPr>
          <w:rFonts w:ascii="Arial" w:eastAsia="Arial" w:hAnsi="Arial"/>
          <w:i/>
          <w:color w:val="404042"/>
          <w:sz w:val="14"/>
        </w:rPr>
        <w:t>Beyond Earn or Learn</w:t>
      </w:r>
      <w:r w:rsidR="00083242">
        <w:rPr>
          <w:rFonts w:ascii="Verdana" w:eastAsia="Verdana" w:hAnsi="Verdana"/>
          <w:color w:val="404042"/>
          <w:sz w:val="13"/>
        </w:rPr>
        <w:t xml:space="preserve">, November 2012, p. 17, </w:t>
      </w:r>
      <w:hyperlink r:id="rId270">
        <w:r w:rsidR="00083242">
          <w:rPr>
            <w:rFonts w:ascii="Tahoma" w:eastAsia="Tahoma" w:hAnsi="Tahoma"/>
            <w:color w:val="0000FF"/>
            <w:sz w:val="14"/>
            <w:u w:val="single"/>
          </w:rPr>
          <w:t>http://www.ayac.org.au/uploads/AYAC%20Beyond%20 Learn%20or%20Earn%205.7MB.pdf</w:t>
        </w:r>
      </w:hyperlink>
      <w:r w:rsidR="00083242">
        <w:rPr>
          <w:rFonts w:ascii="Tahoma" w:eastAsia="Tahoma" w:hAnsi="Tahoma"/>
          <w:color w:val="404042"/>
          <w:sz w:val="14"/>
        </w:rPr>
        <w:t>.</w:t>
      </w:r>
    </w:p>
    <w:p w14:paraId="0F5BE96E" w14:textId="2A828548" w:rsidR="009757A9" w:rsidRDefault="00BA3618">
      <w:pPr>
        <w:spacing w:before="30" w:line="171" w:lineRule="exact"/>
        <w:ind w:left="792"/>
        <w:textAlignment w:val="baseline"/>
        <w:rPr>
          <w:rFonts w:ascii="Tahoma" w:eastAsia="Tahoma" w:hAnsi="Tahoma"/>
          <w:color w:val="404042"/>
          <w:spacing w:val="4"/>
          <w:sz w:val="14"/>
        </w:rPr>
      </w:pPr>
      <w:r>
        <w:rPr>
          <w:rFonts w:ascii="Tahoma" w:eastAsia="Tahoma" w:hAnsi="Tahoma"/>
          <w:color w:val="404042"/>
          <w:spacing w:val="4"/>
          <w:sz w:val="14"/>
        </w:rPr>
        <w:t xml:space="preserve"> </w:t>
      </w:r>
      <w:r w:rsidR="00083242">
        <w:rPr>
          <w:rFonts w:ascii="Tahoma" w:eastAsia="Tahoma" w:hAnsi="Tahoma"/>
          <w:color w:val="404042"/>
          <w:spacing w:val="4"/>
          <w:sz w:val="14"/>
        </w:rPr>
        <w:t>184 Ibid.</w:t>
      </w:r>
    </w:p>
    <w:p w14:paraId="5416D0C4" w14:textId="77777777" w:rsidR="009757A9" w:rsidRDefault="00083242">
      <w:pPr>
        <w:tabs>
          <w:tab w:val="left" w:pos="1368"/>
        </w:tabs>
        <w:spacing w:before="653" w:after="634" w:line="201" w:lineRule="exact"/>
        <w:ind w:left="792"/>
        <w:textAlignment w:val="baseline"/>
        <w:rPr>
          <w:rFonts w:ascii="Arial" w:eastAsia="Arial" w:hAnsi="Arial"/>
          <w:b/>
          <w:color w:val="5556A1"/>
          <w:spacing w:val="1"/>
          <w:sz w:val="19"/>
        </w:rPr>
      </w:pPr>
      <w:r>
        <w:rPr>
          <w:rFonts w:ascii="Arial" w:eastAsia="Arial" w:hAnsi="Arial"/>
          <w:b/>
          <w:color w:val="5556A1"/>
          <w:spacing w:val="1"/>
          <w:sz w:val="19"/>
        </w:rPr>
        <w:t>122</w:t>
      </w:r>
      <w:r>
        <w:rPr>
          <w:rFonts w:ascii="Tahoma" w:eastAsia="Tahoma" w:hAnsi="Tahoma"/>
          <w:color w:val="404042"/>
          <w:spacing w:val="1"/>
          <w:sz w:val="14"/>
        </w:rPr>
        <w:tab/>
        <w:t>Looking to the future</w:t>
      </w:r>
    </w:p>
    <w:p w14:paraId="0A53C4B3" w14:textId="77777777" w:rsidR="009757A9" w:rsidRDefault="00083242">
      <w:pPr>
        <w:textAlignment w:val="baseline"/>
      </w:pPr>
      <w:r>
        <w:rPr>
          <w:noProof/>
          <w:lang w:val="en-AU" w:eastAsia="en-AU"/>
        </w:rPr>
        <w:drawing>
          <wp:anchor distT="0" distB="0" distL="114300" distR="114300" simplePos="0" relativeHeight="252131840" behindDoc="1" locked="0" layoutInCell="1" allowOverlap="1" wp14:anchorId="1BC2A35C" wp14:editId="62DEE587">
            <wp:simplePos x="0" y="0"/>
            <wp:positionH relativeFrom="margin">
              <wp:align>right</wp:align>
            </wp:positionH>
            <wp:positionV relativeFrom="paragraph">
              <wp:posOffset>6985</wp:posOffset>
            </wp:positionV>
            <wp:extent cx="7562215" cy="462915"/>
            <wp:effectExtent l="0" t="0" r="635" b="0"/>
            <wp:wrapNone/>
            <wp:docPr id="203" name="Picture"/>
            <wp:cNvGraphicFramePr/>
            <a:graphic xmlns:a="http://schemas.openxmlformats.org/drawingml/2006/main">
              <a:graphicData uri="http://schemas.openxmlformats.org/drawingml/2006/picture">
                <pic:pic xmlns:pic="http://schemas.openxmlformats.org/drawingml/2006/picture">
                  <pic:nvPicPr>
                    <pic:cNvPr id="203" name="Picture"/>
                    <pic:cNvPicPr preferRelativeResize="0"/>
                  </pic:nvPicPr>
                  <pic:blipFill>
                    <a:blip r:embed="rId72">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4AADC42B" w14:textId="77777777" w:rsidR="009757A9" w:rsidRDefault="009757A9">
      <w:pPr>
        <w:sectPr w:rsidR="009757A9">
          <w:pgSz w:w="11909" w:h="16838"/>
          <w:pgMar w:top="1380" w:right="0" w:bottom="0" w:left="0" w:header="720" w:footer="720" w:gutter="0"/>
          <w:cols w:space="720"/>
        </w:sectPr>
      </w:pPr>
    </w:p>
    <w:p w14:paraId="074B87DB" w14:textId="77777777" w:rsidR="009757A9" w:rsidRDefault="00083242">
      <w:pPr>
        <w:spacing w:line="240" w:lineRule="exact"/>
        <w:ind w:left="864" w:right="1440"/>
        <w:textAlignment w:val="baseline"/>
        <w:rPr>
          <w:rFonts w:ascii="Verdana" w:eastAsia="Verdana" w:hAnsi="Verdana"/>
          <w:color w:val="404042"/>
          <w:sz w:val="18"/>
        </w:rPr>
      </w:pPr>
      <w:r>
        <w:rPr>
          <w:rFonts w:ascii="Verdana" w:eastAsia="Verdana" w:hAnsi="Verdana"/>
          <w:color w:val="404042"/>
          <w:sz w:val="18"/>
        </w:rPr>
        <w:lastRenderedPageBreak/>
        <w:t xml:space="preserve">There is no single intervention that is effective in addressing disengagement among young people in all contexts. </w:t>
      </w:r>
      <w:r>
        <w:rPr>
          <w:rFonts w:ascii="Tahoma" w:eastAsia="Tahoma" w:hAnsi="Tahoma"/>
          <w:color w:val="404042"/>
          <w:sz w:val="18"/>
        </w:rPr>
        <w:t>There are, however, a range of common factors associated with successful approaches:</w:t>
      </w:r>
    </w:p>
    <w:p w14:paraId="77A7950D"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7"/>
          <w:sz w:val="18"/>
        </w:rPr>
      </w:pPr>
      <w:r>
        <w:rPr>
          <w:rFonts w:ascii="Tahoma" w:eastAsia="Tahoma" w:hAnsi="Tahoma"/>
          <w:color w:val="404042"/>
          <w:spacing w:val="7"/>
          <w:sz w:val="18"/>
        </w:rPr>
        <w:t>creating personalised support</w:t>
      </w:r>
    </w:p>
    <w:p w14:paraId="730E1246" w14:textId="77777777" w:rsidR="009757A9" w:rsidRDefault="00083242">
      <w:pPr>
        <w:numPr>
          <w:ilvl w:val="0"/>
          <w:numId w:val="6"/>
        </w:numPr>
        <w:tabs>
          <w:tab w:val="clear" w:pos="216"/>
          <w:tab w:val="left" w:pos="1080"/>
        </w:tabs>
        <w:spacing w:before="101" w:line="221" w:lineRule="exact"/>
        <w:ind w:left="864"/>
        <w:textAlignment w:val="baseline"/>
        <w:rPr>
          <w:rFonts w:ascii="Tahoma" w:eastAsia="Tahoma" w:hAnsi="Tahoma"/>
          <w:color w:val="404042"/>
          <w:spacing w:val="6"/>
          <w:sz w:val="18"/>
        </w:rPr>
      </w:pPr>
      <w:r>
        <w:rPr>
          <w:rFonts w:ascii="Tahoma" w:eastAsia="Tahoma" w:hAnsi="Tahoma"/>
          <w:color w:val="404042"/>
          <w:spacing w:val="6"/>
          <w:sz w:val="18"/>
        </w:rPr>
        <w:t>addressing student wellbeing</w:t>
      </w:r>
    </w:p>
    <w:p w14:paraId="7DDFFFB0"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6"/>
          <w:sz w:val="18"/>
        </w:rPr>
      </w:pPr>
      <w:r>
        <w:rPr>
          <w:rFonts w:ascii="Tahoma" w:eastAsia="Tahoma" w:hAnsi="Tahoma"/>
          <w:color w:val="404042"/>
          <w:spacing w:val="6"/>
          <w:sz w:val="18"/>
        </w:rPr>
        <w:t>creating relevant and meaningful pathways</w:t>
      </w:r>
    </w:p>
    <w:p w14:paraId="1560F14F" w14:textId="77777777" w:rsidR="009757A9" w:rsidRDefault="00083242">
      <w:pPr>
        <w:numPr>
          <w:ilvl w:val="0"/>
          <w:numId w:val="6"/>
        </w:numPr>
        <w:tabs>
          <w:tab w:val="clear" w:pos="216"/>
          <w:tab w:val="left" w:pos="1080"/>
        </w:tabs>
        <w:spacing w:before="106" w:line="221" w:lineRule="exact"/>
        <w:ind w:left="864"/>
        <w:textAlignment w:val="baseline"/>
        <w:rPr>
          <w:rFonts w:ascii="Tahoma" w:eastAsia="Tahoma" w:hAnsi="Tahoma"/>
          <w:color w:val="404042"/>
          <w:spacing w:val="7"/>
          <w:sz w:val="18"/>
        </w:rPr>
      </w:pPr>
      <w:r>
        <w:rPr>
          <w:rFonts w:ascii="Tahoma" w:eastAsia="Tahoma" w:hAnsi="Tahoma"/>
          <w:color w:val="404042"/>
          <w:spacing w:val="7"/>
          <w:sz w:val="18"/>
        </w:rPr>
        <w:t>fostering family and community involvement</w:t>
      </w:r>
    </w:p>
    <w:p w14:paraId="43162C9B" w14:textId="77777777"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6"/>
          <w:sz w:val="18"/>
        </w:rPr>
      </w:pPr>
      <w:r>
        <w:rPr>
          <w:rFonts w:ascii="Tahoma" w:eastAsia="Tahoma" w:hAnsi="Tahoma"/>
          <w:color w:val="404042"/>
          <w:spacing w:val="6"/>
          <w:sz w:val="18"/>
        </w:rPr>
        <w:t>creating strong and trusting relationships</w:t>
      </w:r>
    </w:p>
    <w:p w14:paraId="44BA0608" w14:textId="77777777" w:rsidR="009757A9" w:rsidRDefault="00083242">
      <w:pPr>
        <w:numPr>
          <w:ilvl w:val="0"/>
          <w:numId w:val="6"/>
        </w:numPr>
        <w:tabs>
          <w:tab w:val="clear" w:pos="216"/>
          <w:tab w:val="left" w:pos="1080"/>
        </w:tabs>
        <w:spacing w:before="101" w:line="221" w:lineRule="exact"/>
        <w:ind w:left="864"/>
        <w:textAlignment w:val="baseline"/>
        <w:rPr>
          <w:rFonts w:ascii="Tahoma" w:eastAsia="Tahoma" w:hAnsi="Tahoma"/>
          <w:color w:val="404042"/>
          <w:spacing w:val="6"/>
          <w:sz w:val="18"/>
        </w:rPr>
      </w:pPr>
      <w:r>
        <w:rPr>
          <w:rFonts w:ascii="Tahoma" w:eastAsia="Tahoma" w:hAnsi="Tahoma"/>
          <w:color w:val="404042"/>
          <w:spacing w:val="6"/>
          <w:sz w:val="18"/>
        </w:rPr>
        <w:t>providing a safe and comfortable setting</w:t>
      </w:r>
    </w:p>
    <w:p w14:paraId="2F8644F0" w14:textId="77777777" w:rsidR="009757A9" w:rsidRDefault="00083242">
      <w:pPr>
        <w:numPr>
          <w:ilvl w:val="0"/>
          <w:numId w:val="6"/>
        </w:numPr>
        <w:tabs>
          <w:tab w:val="clear" w:pos="216"/>
          <w:tab w:val="left" w:pos="1080"/>
        </w:tabs>
        <w:spacing w:before="102" w:line="224" w:lineRule="exact"/>
        <w:ind w:left="864"/>
        <w:textAlignment w:val="baseline"/>
        <w:rPr>
          <w:rFonts w:ascii="Tahoma" w:eastAsia="Tahoma" w:hAnsi="Tahoma"/>
          <w:color w:val="404042"/>
          <w:spacing w:val="4"/>
          <w:sz w:val="18"/>
        </w:rPr>
      </w:pPr>
      <w:r>
        <w:rPr>
          <w:rFonts w:ascii="Tahoma" w:eastAsia="Tahoma" w:hAnsi="Tahoma"/>
          <w:color w:val="404042"/>
          <w:spacing w:val="4"/>
          <w:sz w:val="18"/>
        </w:rPr>
        <w:t>curriculum and pedagogy that include applied or vocational learning.</w:t>
      </w:r>
      <w:r>
        <w:rPr>
          <w:rFonts w:ascii="Tahoma" w:eastAsia="Tahoma" w:hAnsi="Tahoma"/>
          <w:color w:val="404042"/>
          <w:spacing w:val="4"/>
          <w:sz w:val="18"/>
          <w:vertAlign w:val="superscript"/>
        </w:rPr>
        <w:t>185</w:t>
      </w:r>
      <w:r>
        <w:rPr>
          <w:rFonts w:ascii="Tahoma" w:eastAsia="Tahoma" w:hAnsi="Tahoma"/>
          <w:color w:val="404042"/>
          <w:spacing w:val="4"/>
          <w:sz w:val="10"/>
        </w:rPr>
        <w:t xml:space="preserve"> </w:t>
      </w:r>
    </w:p>
    <w:p w14:paraId="4D0F7178" w14:textId="77777777" w:rsidR="009757A9" w:rsidRDefault="00083242">
      <w:pPr>
        <w:spacing w:before="18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Not all alternative programs will be successful in all contexts. Some initiatives designed to help turn out to be largely</w:t>
      </w:r>
    </w:p>
    <w:p w14:paraId="6480F0F8" w14:textId="77777777" w:rsidR="009757A9" w:rsidRDefault="000D2E34">
      <w:pPr>
        <w:spacing w:after="1109" w:line="240" w:lineRule="exact"/>
        <w:ind w:left="864" w:right="864"/>
        <w:textAlignment w:val="baseline"/>
        <w:rPr>
          <w:rFonts w:ascii="Verdana" w:eastAsia="Verdana" w:hAnsi="Verdana"/>
          <w:color w:val="404042"/>
          <w:sz w:val="18"/>
        </w:rPr>
      </w:pPr>
      <w:r>
        <w:rPr>
          <w:noProof/>
          <w:lang w:val="en-AU" w:eastAsia="en-AU"/>
        </w:rPr>
        <mc:AlternateContent>
          <mc:Choice Requires="wps">
            <w:drawing>
              <wp:anchor distT="0" distB="0" distL="114300" distR="114300" simplePos="0" relativeHeight="251974144" behindDoc="0" locked="0" layoutInCell="1" allowOverlap="1" wp14:anchorId="7CB5B7DA" wp14:editId="625B32E9">
                <wp:simplePos x="0" y="0"/>
                <wp:positionH relativeFrom="page">
                  <wp:posOffset>1944370</wp:posOffset>
                </wp:positionH>
                <wp:positionV relativeFrom="page">
                  <wp:posOffset>3703320</wp:posOffset>
                </wp:positionV>
                <wp:extent cx="1591945" cy="0"/>
                <wp:effectExtent l="0" t="0" r="0" b="0"/>
                <wp:wrapNone/>
                <wp:docPr id="45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945" cy="0"/>
                        </a:xfrm>
                        <a:prstGeom prst="line">
                          <a:avLst/>
                        </a:prstGeom>
                        <a:noFill/>
                        <a:ln w="8890">
                          <a:solidFill>
                            <a:srgbClr val="5C718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DCD33" id="Line 173" o:spid="_x0000_s1026" style="position:absolute;z-index:2519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3.1pt,291.6pt" to="278.45pt,2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9yp0gEAAIYDAAAOAAAAZHJzL2Uyb0RvYy54bWysU01v2zAMvQ/YfxB0XxxnzZoYcXpI1l2y&#10;LUDbH8BIsi1MFgVJiZN/P0r5aLfehl0ESiQfHx+pxcOxN+ygfNBoa16OxpwpK1Bq29b85fnx04yz&#10;EMFKMGhVzU8q8Iflxw+LwVVqgh0aqTwjEBuqwdW8i9FVRRFEp3oII3TKkrNB30Okq28L6WEg9N4U&#10;k/H4SzGgl86jUCHQ6/rs5MuM3zRKxJ9NE1RkpubELebT53OXzmK5gKr14DotLjTgH1j0oC0VvUGt&#10;IQLbe/0OqtfCY8AmjgT2BTaNFir3QN2U47+6eerAqdwLiRPcTabw/2DFj8PWMy1rfjedcGahpyFt&#10;tFWsvP+c1BlcqChoZbc+9SeO9sltUPwKzOKqA9uqzPL55CixTBnFHynpEhzV2A3fUVIM7CNmqY6N&#10;7xMkicCOeSKn20TUMTJBj+V0Xs7vppyJq6+A6profIjfFPYsGTU3xDoDw2ETYiIC1TUk1bH4qI3J&#10;AzeWDTWfzebjnBDQaJmcKSz4drcynh2AVma6ui9nk9wVed6GJeQ1hO4cl13nZfK4tzJX6RTIrxc7&#10;gjZnm1gZe1EpCXOWeIfytPVX9WjYmf5lMdM2vb3n7Nfvs/wNAAD//wMAUEsDBBQABgAIAAAAIQBV&#10;rFQ63wAAAAsBAAAPAAAAZHJzL2Rvd25yZXYueG1sTI9dS8MwFIbvBf9DOIJ3LnUjtatNxxDEi8Fw&#10;m8Ius+bYFpOTmmRb/fdGGOjd+Xh4z3OqxWgNO6EPvSMJ95MMGFLjdE+thLfd810BLERFWhlHKOEb&#10;Ayzq66tKldqdaYOnbWxZCqFQKgldjEPJeWg6tCpM3ICUdh/OWxVT61uuvTqncGv4NMtyblVP6UKn&#10;BnzqsPncHq2EB+HFbvP+8rp3hlbr1VIVuP6S8vZmXD4CizjGPxh+9ZM61Mnp4I6kAzMSZlk+TagE&#10;UcxSkQgh8jmww2XC64r//6H+AQAA//8DAFBLAQItABQABgAIAAAAIQC2gziS/gAAAOEBAAATAAAA&#10;AAAAAAAAAAAAAAAAAABbQ29udGVudF9UeXBlc10ueG1sUEsBAi0AFAAGAAgAAAAhADj9If/WAAAA&#10;lAEAAAsAAAAAAAAAAAAAAAAALwEAAF9yZWxzLy5yZWxzUEsBAi0AFAAGAAgAAAAhAHnD3KnSAQAA&#10;hgMAAA4AAAAAAAAAAAAAAAAALgIAAGRycy9lMm9Eb2MueG1sUEsBAi0AFAAGAAgAAAAhAFWsVDrf&#10;AAAACwEAAA8AAAAAAAAAAAAAAAAALAQAAGRycy9kb3ducmV2LnhtbFBLBQYAAAAABAAEAPMAAAA4&#10;BQAAAAA=&#10;" strokecolor="#5c7182" strokeweight=".7pt">
                <w10:wrap anchorx="page" anchory="page"/>
              </v:line>
            </w:pict>
          </mc:Fallback>
        </mc:AlternateContent>
      </w:r>
      <w:r w:rsidR="00083242">
        <w:rPr>
          <w:rFonts w:ascii="Verdana" w:eastAsia="Verdana" w:hAnsi="Verdana"/>
          <w:color w:val="404042"/>
          <w:sz w:val="18"/>
        </w:rPr>
        <w:t xml:space="preserve">ineffective. It is essential to evaluate programs in order to identify opportunities for improving them, or if outcomes are </w:t>
      </w:r>
      <w:r w:rsidR="00083242">
        <w:rPr>
          <w:rFonts w:ascii="Tahoma" w:eastAsia="Tahoma" w:hAnsi="Tahoma"/>
          <w:color w:val="404042"/>
          <w:sz w:val="18"/>
        </w:rPr>
        <w:t>positive, scaling them up.</w:t>
      </w:r>
    </w:p>
    <w:p w14:paraId="41A934E8" w14:textId="77777777" w:rsidR="009757A9" w:rsidRDefault="009757A9">
      <w:pPr>
        <w:spacing w:after="1109" w:line="240" w:lineRule="exact"/>
        <w:sectPr w:rsidR="009757A9">
          <w:pgSz w:w="11909" w:h="16838"/>
          <w:pgMar w:top="1080" w:right="0" w:bottom="0" w:left="0" w:header="720" w:footer="720" w:gutter="0"/>
          <w:cols w:space="720"/>
        </w:sectPr>
      </w:pPr>
    </w:p>
    <w:p w14:paraId="135F87D1" w14:textId="77777777" w:rsidR="009757A9" w:rsidRDefault="00083242">
      <w:pPr>
        <w:spacing w:after="1732"/>
        <w:textAlignment w:val="baseline"/>
      </w:pPr>
      <w:r>
        <w:rPr>
          <w:noProof/>
          <w:lang w:val="en-AU" w:eastAsia="en-AU"/>
        </w:rPr>
        <w:drawing>
          <wp:inline distT="0" distB="0" distL="0" distR="0" wp14:anchorId="5FBCF347" wp14:editId="6ECDD470">
            <wp:extent cx="6373495" cy="4053840"/>
            <wp:effectExtent l="0" t="0" r="0" b="0"/>
            <wp:docPr id="204" name="Picture"/>
            <wp:cNvGraphicFramePr/>
            <a:graphic xmlns:a="http://schemas.openxmlformats.org/drawingml/2006/main">
              <a:graphicData uri="http://schemas.openxmlformats.org/drawingml/2006/picture">
                <pic:pic xmlns:pic="http://schemas.openxmlformats.org/drawingml/2006/picture">
                  <pic:nvPicPr>
                    <pic:cNvPr id="204" name="Picture"/>
                    <pic:cNvPicPr preferRelativeResize="0"/>
                  </pic:nvPicPr>
                  <pic:blipFill>
                    <a:blip r:embed="rId271"/>
                    <a:stretch>
                      <a:fillRect/>
                    </a:stretch>
                  </pic:blipFill>
                  <pic:spPr>
                    <a:xfrm>
                      <a:off x="0" y="0"/>
                      <a:ext cx="6373495" cy="4053840"/>
                    </a:xfrm>
                    <a:prstGeom prst="rect">
                      <a:avLst/>
                    </a:prstGeom>
                  </pic:spPr>
                </pic:pic>
              </a:graphicData>
            </a:graphic>
          </wp:inline>
        </w:drawing>
      </w:r>
    </w:p>
    <w:p w14:paraId="52EA271B" w14:textId="77777777" w:rsidR="009757A9" w:rsidRDefault="009757A9">
      <w:pPr>
        <w:spacing w:after="1732"/>
        <w:sectPr w:rsidR="009757A9">
          <w:type w:val="continuous"/>
          <w:pgSz w:w="11909" w:h="16838"/>
          <w:pgMar w:top="1080" w:right="0" w:bottom="0" w:left="1872" w:header="720" w:footer="720" w:gutter="0"/>
          <w:cols w:space="720"/>
        </w:sectPr>
      </w:pPr>
    </w:p>
    <w:p w14:paraId="7BEB09E7" w14:textId="77777777" w:rsidR="009757A9" w:rsidRDefault="000D2E34">
      <w:pPr>
        <w:spacing w:before="46" w:line="201" w:lineRule="exact"/>
        <w:ind w:left="1080" w:right="864"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75168" behindDoc="0" locked="0" layoutInCell="1" allowOverlap="1" wp14:anchorId="695BD13C" wp14:editId="0276D114">
                <wp:simplePos x="0" y="0"/>
                <wp:positionH relativeFrom="page">
                  <wp:posOffset>539750</wp:posOffset>
                </wp:positionH>
                <wp:positionV relativeFrom="page">
                  <wp:posOffset>8872855</wp:posOffset>
                </wp:positionV>
                <wp:extent cx="917575" cy="0"/>
                <wp:effectExtent l="0" t="0" r="0" b="0"/>
                <wp:wrapNone/>
                <wp:docPr id="451"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BAD62" id="Line 172" o:spid="_x0000_s1026" style="position:absolute;z-index:2519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98.65pt" to="114.75pt,6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EGYzQEAAIYDAAAOAAAAZHJzL2Uyb0RvYy54bWysU02P0zAQvSPxHyzfaZKKbiFquoeW5VKg&#10;0i4/YGo7iYXjsWy3Sf89Y/eDBW6IHCyPZ+bNmzeT1eM0GHZSPmi0Da9mJWfKCpTadg3//vL07gNn&#10;IYKVYNCqhp9V4I/rt29Wo6vVHHs0UnlGIDbUo2t4H6OriyKIXg0QZuiUJWeLfoBIpu8K6WEk9MEU&#10;87J8KEb00nkUKgR63V6cfJ3x21aJ+K1tg4rMNJy4xXz6fB7SWaxXUHceXK/FlQb8A4sBtKWid6gt&#10;RGBHr/+CGrTwGLCNM4FDgW2rhco9UDdV+Uc3zz04lXshcYK7yxT+H6z4etp7pmXD3y8qziwMNKSd&#10;topVy3lSZ3ShpqCN3fvUn5jss9uh+BGYxU0PtlOZ5cvZUWKVMorfUpIRHNU4jF9QUgwcI2apptYP&#10;CZJEYFOeyPk+ETVFJujxY7VcLBeciZurgPqW53yInxUOLF0aboh0xoXTLsTEA+pbSCpj8Ukbk+dt&#10;LBuJ7Lx8WOSMgEbL5E1xwXeHjfHsBGll8pe7Is/rsAS9hdBf4rLrskwej1bmMr0C+el6j6DN5U60&#10;jL2qlIS5SHxAed77m3o07Mz/uphpm17bOfvX77P+CQAA//8DAFBLAwQUAAYACAAAACEAva8uU+AA&#10;AAAMAQAADwAAAGRycy9kb3ducmV2LnhtbEyPQU/CQBCF7yb8h82QeDGwtYCW2i0xJHqTKEjguHTH&#10;trE723QXWv+948Hocd68vPe9bDXYRlyw87UjBbfTCARS4UxNpYL33dMkAeGDJqMbR6jgCz2s8tFV&#10;plPjenrDyzaUgkPIp1pBFUKbSumLCq32U9ci8e/DdVYHPrtSmk73HG4bGUfRnbS6Jm6odIvrCovP&#10;7dkqkDJK5sP+0L/Mb3xSH9fl8XnzqtT1eHh8ABFwCH9m+MFndMiZ6eTOZLxoFCQLnhJYny3vZyDY&#10;EcfLBYjTryTzTP4fkX8DAAD//wMAUEsBAi0AFAAGAAgAAAAhALaDOJL+AAAA4QEAABMAAAAAAAAA&#10;AAAAAAAAAAAAAFtDb250ZW50X1R5cGVzXS54bWxQSwECLQAUAAYACAAAACEAOP0h/9YAAACUAQAA&#10;CwAAAAAAAAAAAAAAAAAvAQAAX3JlbHMvLnJlbHNQSwECLQAUAAYACAAAACEAcohBmM0BAACGAwAA&#10;DgAAAAAAAAAAAAAAAAAuAgAAZHJzL2Uyb0RvYy54bWxQSwECLQAUAAYACAAAACEAva8uU+AAAAAM&#10;AQAADwAAAAAAAAAAAAAAAAAnBAAAZHJzL2Rvd25yZXYueG1sUEsFBgAAAAAEAAQA8wAAADQFAAAA&#10;AA==&#10;" strokeweight=".95pt">
                <w10:wrap anchorx="page" anchory="page"/>
              </v:line>
            </w:pict>
          </mc:Fallback>
        </mc:AlternateContent>
      </w:r>
      <w:r w:rsidR="00083242">
        <w:rPr>
          <w:rFonts w:ascii="Tahoma" w:eastAsia="Tahoma" w:hAnsi="Tahoma"/>
          <w:color w:val="404042"/>
          <w:sz w:val="14"/>
        </w:rPr>
        <w:t xml:space="preserve">185 Pilcher, S., Torii, K. and Andow, J. (2018), </w:t>
      </w:r>
      <w:r w:rsidR="00083242">
        <w:rPr>
          <w:rFonts w:ascii="Arial" w:eastAsia="Arial" w:hAnsi="Arial"/>
          <w:i/>
          <w:color w:val="404042"/>
          <w:sz w:val="14"/>
        </w:rPr>
        <w:t>Evidence Scan of Educational Interventions for Children and Young People Disengaged from Education</w:t>
      </w:r>
      <w:r w:rsidR="00083242">
        <w:rPr>
          <w:rFonts w:ascii="Tahoma" w:eastAsia="Tahoma" w:hAnsi="Tahoma"/>
          <w:color w:val="404042"/>
          <w:sz w:val="14"/>
        </w:rPr>
        <w:t xml:space="preserve">, Mitchell Institute: Victoria University, September 2018, p.3, </w:t>
      </w:r>
      <w:hyperlink r:id="rId272">
        <w:r w:rsidR="00083242">
          <w:rPr>
            <w:rFonts w:ascii="Tahoma" w:eastAsia="Tahoma" w:hAnsi="Tahoma"/>
            <w:color w:val="0000FF"/>
            <w:sz w:val="14"/>
            <w:u w:val="single"/>
          </w:rPr>
          <w:t>https://www.socialventures.com.au/assets/SVA-Perspective-Education-Evidence-scan-for-Childr en-and-young-people-disengaged.pdf</w:t>
        </w:r>
      </w:hyperlink>
      <w:r w:rsidR="00083242">
        <w:rPr>
          <w:rFonts w:ascii="Tahoma" w:eastAsia="Tahoma" w:hAnsi="Tahoma"/>
          <w:color w:val="404042"/>
          <w:sz w:val="14"/>
        </w:rPr>
        <w:t>.</w:t>
      </w:r>
    </w:p>
    <w:p w14:paraId="02E7CD9F" w14:textId="77777777" w:rsidR="009757A9" w:rsidRDefault="00083242">
      <w:pPr>
        <w:spacing w:before="640" w:after="639" w:line="209"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9"/>
        </w:rPr>
        <w:t xml:space="preserve"> 123</w:t>
      </w:r>
    </w:p>
    <w:p w14:paraId="11C7F30E" w14:textId="77777777" w:rsidR="009757A9" w:rsidRDefault="00083242">
      <w:pPr>
        <w:textAlignment w:val="baseline"/>
      </w:pPr>
      <w:r>
        <w:rPr>
          <w:noProof/>
          <w:lang w:val="en-AU" w:eastAsia="en-AU"/>
        </w:rPr>
        <w:drawing>
          <wp:inline distT="0" distB="0" distL="0" distR="0" wp14:anchorId="233F9D6C" wp14:editId="5A86F1B5">
            <wp:extent cx="7562215" cy="462915"/>
            <wp:effectExtent l="0" t="0" r="0" b="0"/>
            <wp:docPr id="205" name="Picture"/>
            <wp:cNvGraphicFramePr/>
            <a:graphic xmlns:a="http://schemas.openxmlformats.org/drawingml/2006/main">
              <a:graphicData uri="http://schemas.openxmlformats.org/drawingml/2006/picture">
                <pic:pic xmlns:pic="http://schemas.openxmlformats.org/drawingml/2006/picture">
                  <pic:nvPicPr>
                    <pic:cNvPr id="205" name="Picture"/>
                    <pic:cNvPicPr preferRelativeResize="0"/>
                  </pic:nvPicPr>
                  <pic:blipFill>
                    <a:blip r:embed="rId273"/>
                    <a:stretch>
                      <a:fillRect/>
                    </a:stretch>
                  </pic:blipFill>
                  <pic:spPr>
                    <a:xfrm>
                      <a:off x="0" y="0"/>
                      <a:ext cx="7562215" cy="462915"/>
                    </a:xfrm>
                    <a:prstGeom prst="rect">
                      <a:avLst/>
                    </a:prstGeom>
                  </pic:spPr>
                </pic:pic>
              </a:graphicData>
            </a:graphic>
          </wp:inline>
        </w:drawing>
      </w:r>
    </w:p>
    <w:p w14:paraId="3EC40C99" w14:textId="77777777" w:rsidR="009757A9" w:rsidRDefault="009757A9">
      <w:pPr>
        <w:sectPr w:rsidR="009757A9">
          <w:type w:val="continuous"/>
          <w:pgSz w:w="11909" w:h="16838"/>
          <w:pgMar w:top="1080" w:right="0" w:bottom="0" w:left="0" w:header="720" w:footer="720" w:gutter="0"/>
          <w:cols w:space="720"/>
        </w:sectPr>
      </w:pPr>
    </w:p>
    <w:p w14:paraId="02241005"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667968" behindDoc="1" locked="0" layoutInCell="1" allowOverlap="1" wp14:anchorId="05F38373" wp14:editId="6A068C52">
                <wp:simplePos x="0" y="0"/>
                <wp:positionH relativeFrom="page">
                  <wp:posOffset>0</wp:posOffset>
                </wp:positionH>
                <wp:positionV relativeFrom="page">
                  <wp:posOffset>0</wp:posOffset>
                </wp:positionV>
                <wp:extent cx="7562215" cy="10692130"/>
                <wp:effectExtent l="0" t="0" r="0" b="0"/>
                <wp:wrapSquare wrapText="bothSides"/>
                <wp:docPr id="45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A7D8A" w14:textId="77777777" w:rsidR="00490F33" w:rsidRDefault="00490F33">
                            <w:pPr>
                              <w:textAlignment w:val="baseline"/>
                            </w:pPr>
                            <w:r>
                              <w:rPr>
                                <w:noProof/>
                                <w:lang w:val="en-AU" w:eastAsia="en-AU"/>
                              </w:rPr>
                              <w:drawing>
                                <wp:inline distT="0" distB="0" distL="0" distR="0" wp14:anchorId="365BD368" wp14:editId="6A159969">
                                  <wp:extent cx="7562215" cy="10692130"/>
                                  <wp:effectExtent l="0" t="0" r="0" b="0"/>
                                  <wp:docPr id="206" name="Picture" descr="Image 1: Picture of some cakes students made.&#10;Image 2: picture of the outside of the school. &#10;&#10;"/>
                                  <wp:cNvGraphicFramePr/>
                                  <a:graphic xmlns:a="http://schemas.openxmlformats.org/drawingml/2006/main">
                                    <a:graphicData uri="http://schemas.openxmlformats.org/drawingml/2006/picture">
                                      <pic:pic xmlns:pic="http://schemas.openxmlformats.org/drawingml/2006/picture">
                                        <pic:nvPicPr>
                                          <pic:cNvPr id="206" name="Picture" descr="Image 1: Picture of some cakes students made.&#10;Image 2: picture of the outside of the school. &#10;&#10;"/>
                                          <pic:cNvPicPr preferRelativeResize="0"/>
                                        </pic:nvPicPr>
                                        <pic:blipFill>
                                          <a:blip r:embed="rId274"/>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38373" id="Text Box 171" o:spid="_x0000_s1333" type="#_x0000_t202" style="position:absolute;margin-left:0;margin-top:0;width:595.45pt;height:841.9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fz8gEAAMUDAAAOAAAAZHJzL2Uyb0RvYy54bWysU9uO0zAQfUfiHyy/01yWthA1XS27WoS0&#10;XKRdPsBxnMQi8Zix26R8PWOnKQu8IV6s8Xh8fM6Z8e56Gnp2VOg0mJJnq5QzZSTU2rQl//p0/+oN&#10;Z84LU4sejCr5STl+vX/5YjfaQuXQQV8rZARiXDHaknfe2yJJnOzUINwKrDJ02AAOwtMW26RGMRL6&#10;0Cd5mm6SEbC2CFI5R9m7+ZDvI37TKOk/N41TnvUlJ24+rhjXKqzJfieKFoXttDzTEP/AYhDa0KMX&#10;qDvhBTug/gtq0BLBQeNXEoYEmkZLFTWQmiz9Q81jJ6yKWsgcZy82uf8HKz8dvyDTdclfr8kfIwZq&#10;0pOaPHsHE8u2WXBotK6gwkdLpX6iA+p0VOvsA8hvjhm47YRp1Q0ijJ0SNTGMN5NnV2ccF0Cq8SPU&#10;9JA4eIhAU4NDsI8MYYROTE6X7gQykpLb9SbPszVnks6ydPM2z65iAxNRLPctOv9ewcBCUHKk/kd8&#10;cXxwnpRQ6VISnjNwr/s+zkBvfktQYchE/oHyTN5P1RTNukq3izEV1CeShDDPFv0FCjrAH5yNNFcl&#10;d98PAhVn/QdDtoQhXAJcgmoJhJF0teSeszm89fOwHizqtiPk2XgDN2Rdo6Om4PHM4kyYZiVKPc91&#10;GMbn+1j16/ftfwI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N5/J/PyAQAAxQMAAA4AAAAAAAAAAAAAAAAALgIAAGRycy9l&#10;Mm9Eb2MueG1sUEsBAi0AFAAGAAgAAAAhAHsiySLdAAAABwEAAA8AAAAAAAAAAAAAAAAATAQAAGRy&#10;cy9kb3ducmV2LnhtbFBLBQYAAAAABAAEAPMAAABWBQAAAAA=&#10;" filled="f" stroked="f">
                <v:textbox inset="0,0,0,0">
                  <w:txbxContent>
                    <w:p w14:paraId="47BA7D8A" w14:textId="77777777" w:rsidR="00490F33" w:rsidRDefault="00490F33">
                      <w:pPr>
                        <w:textAlignment w:val="baseline"/>
                      </w:pPr>
                      <w:r>
                        <w:rPr>
                          <w:noProof/>
                          <w:lang w:val="en-AU" w:eastAsia="en-AU"/>
                        </w:rPr>
                        <w:drawing>
                          <wp:inline distT="0" distB="0" distL="0" distR="0" wp14:anchorId="365BD368" wp14:editId="6A159969">
                            <wp:extent cx="7562215" cy="10692130"/>
                            <wp:effectExtent l="0" t="0" r="0" b="0"/>
                            <wp:docPr id="206" name="Picture" descr="Image 1: Picture of some cakes students made.&#10;Image 2: picture of the outside of the school. &#10;&#10;"/>
                            <wp:cNvGraphicFramePr/>
                            <a:graphic xmlns:a="http://schemas.openxmlformats.org/drawingml/2006/main">
                              <a:graphicData uri="http://schemas.openxmlformats.org/drawingml/2006/picture">
                                <pic:pic xmlns:pic="http://schemas.openxmlformats.org/drawingml/2006/picture">
                                  <pic:nvPicPr>
                                    <pic:cNvPr id="206" name="Picture" descr="Image 1: Picture of some cakes students made.&#10;Image 2: picture of the outside of the school. &#10;&#10;"/>
                                    <pic:cNvPicPr preferRelativeResize="0"/>
                                  </pic:nvPicPr>
                                  <pic:blipFill>
                                    <a:blip r:embed="rId274"/>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68992" behindDoc="1" locked="0" layoutInCell="1" allowOverlap="1" wp14:anchorId="184212D0" wp14:editId="39D8740E">
                <wp:simplePos x="0" y="0"/>
                <wp:positionH relativeFrom="page">
                  <wp:posOffset>847090</wp:posOffset>
                </wp:positionH>
                <wp:positionV relativeFrom="page">
                  <wp:posOffset>982980</wp:posOffset>
                </wp:positionV>
                <wp:extent cx="1511935" cy="285115"/>
                <wp:effectExtent l="0" t="0" r="0" b="0"/>
                <wp:wrapSquare wrapText="bothSides"/>
                <wp:docPr id="44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ECB59"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212D0" id="Text Box 170" o:spid="_x0000_s1334" type="#_x0000_t202" style="position:absolute;margin-left:66.7pt;margin-top:77.4pt;width:119.05pt;height:22.4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S8gEAAMMDAAAOAAAAZHJzL2Uyb0RvYy54bWysU9tu2zAMfR+wfxD0vjhOmy014hRdiw4D&#10;ugvQ7gMYWY6F2aJGKbGzrx8lx2m3vQ17ESiJOjznkFpfD10rDpq8QVvKfDaXQluFlbG7Un57un+z&#10;ksIHsBW0aHUpj9rL683rV+veFXqBDbaVJsEg1he9K2UTgiuyzKtGd+Bn6LTlyxqpg8Bb2mUVQc/o&#10;XZst5vO3WY9UOUKlvefTu/FSbhJ+XWsVvtS110G0pWRuIa2U1m1cs80aih2Ba4w60YB/YNGBsVz0&#10;DHUHAcSezF9QnVGEHuswU9hlWNdG6aSB1eTzP9Q8NuB00sLmeHe2yf8/WPX58JWEqUp5eXklhYWO&#10;m/SkhyDe4yDyd8mh3vmCEx8dp4aBL7jTSa13D6i+e2HxtgG70zdE2DcaKmaYR2+zF09jT3zhI8i2&#10;/4QVF4J9wAQ01NRF+9gQwejcqeO5O5GMiiWXeX51sZRC8d1ixbtlKgHF9NqRDx80diIGpSTufkKH&#10;w4MPkQ0UU0osZvHetG2agNb+dsCJ8SSxj4RH6mHYDsmqi/kqVo5ytlgdWRDhOFn8EzhokH5K0fNU&#10;ldL/2ANpKdqPlk2JIzgFNAXbKQCr+GkpgxRjeBvGUd07MruGkUfbLd6wcbVJmp5ZnAjzpCSpp6mO&#10;o/hyn7Ke/97mFwAAAP//AwBQSwMEFAAGAAgAAAAhABa29dPgAAAACwEAAA8AAABkcnMvZG93bnJl&#10;di54bWxMj81OwzAQhO9IvIO1SNyoU9K/hDhVheCEhEjDoUcn3iZR43WI3Ta8PcsJbju7o9lvsu1k&#10;e3HB0XeOFMxnEQik2pmOGgWf5evDBoQPmozuHaGCb/SwzW9vMp0ad6UCL/vQCA4hn2oFbQhDKqWv&#10;W7Taz9yAxLejG60OLMdGmlFfOdz28jGKVtLqjvhDqwd8brE+7c9Wwe5AxUv39V59FMeiK8skorfV&#10;San7u2n3BCLgFP7M8IvP6JAzU+XOZLzoWcfxgq08LBfcgR3xer4EUfEmSdYg80z+75D/AAAA//8D&#10;AFBLAQItABQABgAIAAAAIQC2gziS/gAAAOEBAAATAAAAAAAAAAAAAAAAAAAAAABbQ29udGVudF9U&#10;eXBlc10ueG1sUEsBAi0AFAAGAAgAAAAhADj9If/WAAAAlAEAAAsAAAAAAAAAAAAAAAAALwEAAF9y&#10;ZWxzLy5yZWxzUEsBAi0AFAAGAAgAAAAhANjFL5LyAQAAwwMAAA4AAAAAAAAAAAAAAAAALgIAAGRy&#10;cy9lMm9Eb2MueG1sUEsBAi0AFAAGAAgAAAAhABa29dPgAAAACwEAAA8AAAAAAAAAAAAAAAAATAQA&#10;AGRycy9kb3ducmV2LnhtbFBLBQYAAAAABAAEAPMAAABZBQAAAAA=&#10;" filled="f" stroked="f">
                <v:textbox inset="0,0,0,0">
                  <w:txbxContent>
                    <w:p w14:paraId="30EECB59" w14:textId="77777777" w:rsidR="00490F33" w:rsidRDefault="00490F33">
                      <w:pPr>
                        <w:spacing w:line="439"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0016" behindDoc="1" locked="0" layoutInCell="1" allowOverlap="1" wp14:anchorId="3FE9034B" wp14:editId="693035A7">
                <wp:simplePos x="0" y="0"/>
                <wp:positionH relativeFrom="page">
                  <wp:posOffset>2359025</wp:posOffset>
                </wp:positionH>
                <wp:positionV relativeFrom="page">
                  <wp:posOffset>982980</wp:posOffset>
                </wp:positionV>
                <wp:extent cx="88265" cy="278765"/>
                <wp:effectExtent l="0" t="0" r="0" b="0"/>
                <wp:wrapSquare wrapText="bothSides"/>
                <wp:docPr id="44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460EE" w14:textId="77777777" w:rsidR="00490F33" w:rsidRDefault="00490F33">
                            <w:pPr>
                              <w:spacing w:line="424" w:lineRule="exact"/>
                              <w:textAlignment w:val="baseline"/>
                              <w:rPr>
                                <w:rFonts w:ascii="Arial" w:eastAsia="Arial" w:hAnsi="Arial"/>
                                <w:b/>
                                <w:color w:val="BF5B1F"/>
                                <w:w w:val="90"/>
                                <w:sz w:val="39"/>
                              </w:rPr>
                            </w:pPr>
                            <w:r>
                              <w:rPr>
                                <w:rFonts w:ascii="Arial" w:eastAsia="Arial" w:hAnsi="Arial"/>
                                <w:b/>
                                <w:color w:val="BF5B1F"/>
                                <w:w w:val="90"/>
                                <w:sz w:val="3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9034B" id="Text Box 169" o:spid="_x0000_s1335" type="#_x0000_t202" style="position:absolute;margin-left:185.75pt;margin-top:77.4pt;width:6.95pt;height:21.9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j57gEAAMEDAAAOAAAAZHJzL2Uyb0RvYy54bWysU9tu2zAMfR+wfxD0vjjJujQ14hRdiw4D&#10;ugvQ7gNoWbaF2aJGKbGzrx8lJ1m7vQ17ESiSOjw8pDbXY9+JvSZv0BZyMZtLoa3CytimkN+e7t+s&#10;pfABbAUdWl3Ig/byevv61WZwuV5ii12lSTCI9fngCtmG4PIs86rVPfgZOm05WCP1EPhKTVYRDIze&#10;d9lyPl9lA1LlCJX2nr13U1BuE35daxW+1LXXQXSFZG4hnZTOMp7ZdgN5Q+Bao4404B9Y9GAsFz1D&#10;3UEAsSPzF1RvFKHHOswU9hnWtVE69cDdLOZ/dPPYgtOpFxbHu7NM/v/Bqs/7ryRMVciLCx6VhZ6H&#10;9KTHIN7jKBarq6jQ4HzOiY+OU8PIAZ506ta7B1TfvbB424Jt9A0RDq2Gihku4svs2dMJx0eQcviE&#10;FReCXcAENNbUR/lYEMHoPKnDeTqRjGLner1cvZNCcWR5ub5kOxaA/PTWkQ8fNPYiGoUknn3Chv2D&#10;D1PqKSWWsnhvuo79kHf2hYMxoydxj3Qn4mEsxyTU2/lZlBKrA7dDOO0V/wM2WqSfUgy8U4X0P3ZA&#10;Woruo2VJ4gKeDDoZ5ckAq/hpIYMUk3kbpkXdOTJNy8iT6BZvWLbapJ6ivhOLI2Hek6TKcafjIj6/&#10;p6zfP2/7CwAA//8DAFBLAwQUAAYACAAAACEA68Mg8+EAAAALAQAADwAAAGRycy9kb3ducmV2Lnht&#10;bEyPwU7DMBBE70j8g7VI3KhT2rRpiFNVCE5IiDQcODrJNrEar0PstuHvWU7luDNPszPZdrK9OOPo&#10;jSMF81kEAql2jaFWwWf5+pCA8EFTo3tHqOAHPWzz25tMp427UIHnfWgFh5BPtYIuhCGV0tcdWu1n&#10;bkBi7+BGqwOfYyubUV843PbyMYpW0mpD/KHTAz53WB/3J6tg90XFi/l+rz6KQ2HKchPR2+qo1P3d&#10;tHsCEXAKVxj+6nN1yLlT5U7UeNErWKznMaNsxEvewMQiiZcgKlY2yRpknsn/G/JfAAAA//8DAFBL&#10;AQItABQABgAIAAAAIQC2gziS/gAAAOEBAAATAAAAAAAAAAAAAAAAAAAAAABbQ29udGVudF9UeXBl&#10;c10ueG1sUEsBAi0AFAAGAAgAAAAhADj9If/WAAAAlAEAAAsAAAAAAAAAAAAAAAAALwEAAF9yZWxz&#10;Ly5yZWxzUEsBAi0AFAAGAAgAAAAhAFStmPnuAQAAwQMAAA4AAAAAAAAAAAAAAAAALgIAAGRycy9l&#10;Mm9Eb2MueG1sUEsBAi0AFAAGAAgAAAAhAOvDIPPhAAAACwEAAA8AAAAAAAAAAAAAAAAASAQAAGRy&#10;cy9kb3ducmV2LnhtbFBLBQYAAAAABAAEAPMAAABWBQAAAAA=&#10;" filled="f" stroked="f">
                <v:textbox inset="0,0,0,0">
                  <w:txbxContent>
                    <w:p w14:paraId="02B460EE" w14:textId="77777777" w:rsidR="00490F33" w:rsidRDefault="00490F33">
                      <w:pPr>
                        <w:spacing w:line="424" w:lineRule="exact"/>
                        <w:textAlignment w:val="baseline"/>
                        <w:rPr>
                          <w:rFonts w:ascii="Arial" w:eastAsia="Arial" w:hAnsi="Arial"/>
                          <w:b/>
                          <w:color w:val="BF5B1F"/>
                          <w:w w:val="90"/>
                          <w:sz w:val="39"/>
                        </w:rPr>
                      </w:pPr>
                      <w:r>
                        <w:rPr>
                          <w:rFonts w:ascii="Arial" w:eastAsia="Arial" w:hAnsi="Arial"/>
                          <w:b/>
                          <w:color w:val="BF5B1F"/>
                          <w:w w:val="90"/>
                          <w:sz w:val="39"/>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1040" behindDoc="1" locked="0" layoutInCell="1" allowOverlap="1" wp14:anchorId="79872699" wp14:editId="50E0C11B">
                <wp:simplePos x="0" y="0"/>
                <wp:positionH relativeFrom="page">
                  <wp:posOffset>835025</wp:posOffset>
                </wp:positionH>
                <wp:positionV relativeFrom="page">
                  <wp:posOffset>1261745</wp:posOffset>
                </wp:positionV>
                <wp:extent cx="1953895" cy="871855"/>
                <wp:effectExtent l="0" t="0" r="0" b="0"/>
                <wp:wrapSquare wrapText="bothSides"/>
                <wp:docPr id="44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0F0C6" w14:textId="77777777" w:rsidR="00490F33" w:rsidRDefault="00490F33">
                            <w:pPr>
                              <w:spacing w:line="447" w:lineRule="exact"/>
                              <w:textAlignment w:val="baseline"/>
                              <w:rPr>
                                <w:rFonts w:ascii="Tahoma" w:eastAsia="Tahoma" w:hAnsi="Tahoma"/>
                                <w:color w:val="BF5B1F"/>
                                <w:spacing w:val="33"/>
                                <w:w w:val="95"/>
                                <w:sz w:val="38"/>
                              </w:rPr>
                            </w:pPr>
                            <w:r>
                              <w:rPr>
                                <w:rFonts w:ascii="Tahoma" w:eastAsia="Tahoma" w:hAnsi="Tahoma"/>
                                <w:color w:val="BF5B1F"/>
                                <w:spacing w:val="33"/>
                                <w:w w:val="95"/>
                                <w:sz w:val="38"/>
                              </w:rPr>
                              <w:t>TOOWOOMBA</w:t>
                            </w:r>
                          </w:p>
                          <w:p w14:paraId="4F019972" w14:textId="77777777" w:rsidR="00490F33" w:rsidRDefault="00490F33">
                            <w:pPr>
                              <w:spacing w:line="460" w:lineRule="exact"/>
                              <w:textAlignment w:val="baseline"/>
                              <w:rPr>
                                <w:rFonts w:ascii="Tahoma" w:eastAsia="Tahoma" w:hAnsi="Tahoma"/>
                                <w:color w:val="BF5B1F"/>
                                <w:spacing w:val="4"/>
                                <w:w w:val="95"/>
                                <w:sz w:val="38"/>
                              </w:rPr>
                            </w:pPr>
                            <w:r>
                              <w:rPr>
                                <w:rFonts w:ascii="Tahoma" w:eastAsia="Tahoma" w:hAnsi="Tahoma"/>
                                <w:color w:val="BF5B1F"/>
                                <w:spacing w:val="4"/>
                                <w:w w:val="95"/>
                                <w:sz w:val="38"/>
                              </w:rPr>
                              <w:t>FLEXI SCHOOL IN</w:t>
                            </w:r>
                          </w:p>
                          <w:p w14:paraId="0B688921" w14:textId="77777777" w:rsidR="00490F33" w:rsidRDefault="00490F33">
                            <w:pPr>
                              <w:spacing w:before="1" w:line="460" w:lineRule="exact"/>
                              <w:textAlignment w:val="baseline"/>
                              <w:rPr>
                                <w:rFonts w:ascii="Tahoma" w:eastAsia="Tahoma" w:hAnsi="Tahoma"/>
                                <w:color w:val="BF5B1F"/>
                                <w:spacing w:val="24"/>
                                <w:w w:val="95"/>
                                <w:sz w:val="38"/>
                              </w:rPr>
                            </w:pPr>
                            <w:r>
                              <w:rPr>
                                <w:rFonts w:ascii="Tahoma" w:eastAsia="Tahoma" w:hAnsi="Tahoma"/>
                                <w:color w:val="BF5B1F"/>
                                <w:spacing w:val="24"/>
                                <w:w w:val="95"/>
                                <w:sz w:val="38"/>
                              </w:rPr>
                              <w:t>QUEENSLAND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72699" id="Text Box 168" o:spid="_x0000_s1336" type="#_x0000_t202" style="position:absolute;margin-left:65.75pt;margin-top:99.35pt;width:153.85pt;height:68.6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nY8gEAAMMDAAAOAAAAZHJzL2Uyb0RvYy54bWysU9tu2zAMfR+wfxD0vjhum9Y14hRdiw4D&#10;ugvQ7gMYWY6F2aJGKbGzrx8lJ2m3vQ17ESiJOjyHPFrejH0ndpq8QVvJfDaXQluFtbGbSn57fnhX&#10;SOED2Bo6tLqSe+3lzertm+XgSn2GLXa1JsEg1peDq2QbgiuzzKtW9+Bn6LTlywaph8Bb2mQ1wcDo&#10;fZedzeeX2YBUO0KlvefT++lSrhJ+02gVvjSN10F0lWRuIa2U1nVcs9USyg2Ba4060IB/YNGDsVz0&#10;BHUPAcSWzF9QvVGEHpswU9hn2DRG6aSB1eTzP9Q8teB00sLN8e7UJv//YNXn3VcSpq7kxcWVFBZ6&#10;HtKzHoN4j6PIL4vYocH5khOfHKeGkS940kmtd4+ovnth8a4Fu9G3RDi0GmpmmMeX2aunE46PIOvh&#10;E9ZcCLYBE9DYUB/bxw0RjM6T2p+mE8moWPJ6cV5cL6RQfFdc5cVikUpAeXztyIcPGnsRg0oSTz+h&#10;w+7Rh8gGymNKLGbxwXRdckBnfzvgxHiS2EfCE/UwrsfUqvM8GSdqW2O9Z0GEk7P4J3DQIv2UYmBX&#10;VdL/2AJpKbqPlpsSLXgM6BisjwFYxU8rGaSYwrswWXXryGxaRp7abvGWG9eYpOmFxYEwOyVJPbg6&#10;WvH1PmW9/L3VLwAAAP//AwBQSwMEFAAGAAgAAAAhAFqdIyjgAAAACwEAAA8AAABkcnMvZG93bnJl&#10;di54bWxMj8FOwzAMhu9IvENkJG4s2QplLU2nCcEJCa0rB45pk7XRGqc02VbeHnOCm3/50+/PxWZ2&#10;AzubKViPEpYLAcxg67XFTsJH/Xq3BhaiQq0Gj0bCtwmwKa+vCpVrf8HKnPexY1SCIVcS+hjHnPPQ&#10;9sapsPCjQdod/ORUpDh1XE/qQuVu4CshUu6URbrQq9E896Y97k9OwvYTqxf79d7sqkNl6zoT+JYe&#10;pby9mbdPwKKZ4x8Mv/qkDiU5Nf6EOrCBcrJ8IJSGbP0IjIj7JFsBayQkSSqAlwX//0P5AwAA//8D&#10;AFBLAQItABQABgAIAAAAIQC2gziS/gAAAOEBAAATAAAAAAAAAAAAAAAAAAAAAABbQ29udGVudF9U&#10;eXBlc10ueG1sUEsBAi0AFAAGAAgAAAAhADj9If/WAAAAlAEAAAsAAAAAAAAAAAAAAAAALwEAAF9y&#10;ZWxzLy5yZWxzUEsBAi0AFAAGAAgAAAAhALNaedjyAQAAwwMAAA4AAAAAAAAAAAAAAAAALgIAAGRy&#10;cy9lMm9Eb2MueG1sUEsBAi0AFAAGAAgAAAAhAFqdIyjgAAAACwEAAA8AAAAAAAAAAAAAAAAATAQA&#10;AGRycy9kb3ducmV2LnhtbFBLBQYAAAAABAAEAPMAAABZBQAAAAA=&#10;" filled="f" stroked="f">
                <v:textbox inset="0,0,0,0">
                  <w:txbxContent>
                    <w:p w14:paraId="1160F0C6" w14:textId="77777777" w:rsidR="00490F33" w:rsidRDefault="00490F33">
                      <w:pPr>
                        <w:spacing w:line="447" w:lineRule="exact"/>
                        <w:textAlignment w:val="baseline"/>
                        <w:rPr>
                          <w:rFonts w:ascii="Tahoma" w:eastAsia="Tahoma" w:hAnsi="Tahoma"/>
                          <w:color w:val="BF5B1F"/>
                          <w:spacing w:val="33"/>
                          <w:w w:val="95"/>
                          <w:sz w:val="38"/>
                        </w:rPr>
                      </w:pPr>
                      <w:r>
                        <w:rPr>
                          <w:rFonts w:ascii="Tahoma" w:eastAsia="Tahoma" w:hAnsi="Tahoma"/>
                          <w:color w:val="BF5B1F"/>
                          <w:spacing w:val="33"/>
                          <w:w w:val="95"/>
                          <w:sz w:val="38"/>
                        </w:rPr>
                        <w:t>TOOWOOMBA</w:t>
                      </w:r>
                    </w:p>
                    <w:p w14:paraId="4F019972" w14:textId="77777777" w:rsidR="00490F33" w:rsidRDefault="00490F33">
                      <w:pPr>
                        <w:spacing w:line="460" w:lineRule="exact"/>
                        <w:textAlignment w:val="baseline"/>
                        <w:rPr>
                          <w:rFonts w:ascii="Tahoma" w:eastAsia="Tahoma" w:hAnsi="Tahoma"/>
                          <w:color w:val="BF5B1F"/>
                          <w:spacing w:val="4"/>
                          <w:w w:val="95"/>
                          <w:sz w:val="38"/>
                        </w:rPr>
                      </w:pPr>
                      <w:r>
                        <w:rPr>
                          <w:rFonts w:ascii="Tahoma" w:eastAsia="Tahoma" w:hAnsi="Tahoma"/>
                          <w:color w:val="BF5B1F"/>
                          <w:spacing w:val="4"/>
                          <w:w w:val="95"/>
                          <w:sz w:val="38"/>
                        </w:rPr>
                        <w:t>FLEXI SCHOOL IN</w:t>
                      </w:r>
                    </w:p>
                    <w:p w14:paraId="0B688921" w14:textId="77777777" w:rsidR="00490F33" w:rsidRDefault="00490F33">
                      <w:pPr>
                        <w:spacing w:before="1" w:line="460" w:lineRule="exact"/>
                        <w:textAlignment w:val="baseline"/>
                        <w:rPr>
                          <w:rFonts w:ascii="Tahoma" w:eastAsia="Tahoma" w:hAnsi="Tahoma"/>
                          <w:color w:val="BF5B1F"/>
                          <w:spacing w:val="24"/>
                          <w:w w:val="95"/>
                          <w:sz w:val="38"/>
                        </w:rPr>
                      </w:pPr>
                      <w:r>
                        <w:rPr>
                          <w:rFonts w:ascii="Tahoma" w:eastAsia="Tahoma" w:hAnsi="Tahoma"/>
                          <w:color w:val="BF5B1F"/>
                          <w:spacing w:val="24"/>
                          <w:w w:val="95"/>
                          <w:sz w:val="38"/>
                        </w:rPr>
                        <w:t>QUEENSLAND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2064" behindDoc="1" locked="0" layoutInCell="1" allowOverlap="1" wp14:anchorId="595CF6A8" wp14:editId="5E6F80AB">
                <wp:simplePos x="0" y="0"/>
                <wp:positionH relativeFrom="page">
                  <wp:posOffset>4117975</wp:posOffset>
                </wp:positionH>
                <wp:positionV relativeFrom="page">
                  <wp:posOffset>956310</wp:posOffset>
                </wp:positionV>
                <wp:extent cx="2578735" cy="1141095"/>
                <wp:effectExtent l="0" t="0" r="0" b="0"/>
                <wp:wrapSquare wrapText="bothSides"/>
                <wp:docPr id="44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114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43CD" w14:textId="77777777" w:rsidR="00490F33" w:rsidRDefault="00490F33">
                            <w:pPr>
                              <w:spacing w:before="4" w:line="299" w:lineRule="exact"/>
                              <w:textAlignment w:val="baseline"/>
                              <w:rPr>
                                <w:rFonts w:ascii="Tahoma" w:eastAsia="Tahoma" w:hAnsi="Tahoma"/>
                                <w:i/>
                                <w:color w:val="027791"/>
                                <w:sz w:val="21"/>
                              </w:rPr>
                            </w:pPr>
                            <w:r>
                              <w:rPr>
                                <w:rFonts w:ascii="Tahoma" w:eastAsia="Tahoma" w:hAnsi="Tahoma"/>
                                <w:i/>
                                <w:color w:val="027791"/>
                                <w:sz w:val="21"/>
                              </w:rPr>
                              <w:t xml:space="preserve">“I went from failing to achieving A &amp; B standard in the subjects I was participating </w:t>
                            </w:r>
                            <w:r>
                              <w:rPr>
                                <w:rFonts w:ascii="Verdana" w:eastAsia="Verdana" w:hAnsi="Verdana"/>
                                <w:i/>
                                <w:color w:val="027791"/>
                                <w:sz w:val="19"/>
                              </w:rPr>
                              <w:t xml:space="preserve">in, so it really made a huge difference to </w:t>
                            </w:r>
                            <w:r>
                              <w:rPr>
                                <w:rFonts w:ascii="Tahoma" w:eastAsia="Tahoma" w:hAnsi="Tahoma"/>
                                <w:i/>
                                <w:color w:val="027791"/>
                                <w:sz w:val="21"/>
                              </w:rPr>
                              <w:t>my grades. I started making friends, which meant I enjoyed coming to school.”</w:t>
                            </w:r>
                          </w:p>
                          <w:p w14:paraId="1A7DF60D" w14:textId="77777777" w:rsidR="00490F33" w:rsidRDefault="00490F33">
                            <w:pPr>
                              <w:spacing w:before="55" w:line="237" w:lineRule="exact"/>
                              <w:jc w:val="right"/>
                              <w:textAlignment w:val="baseline"/>
                              <w:rPr>
                                <w:rFonts w:ascii="Tahoma" w:eastAsia="Tahoma" w:hAnsi="Tahoma"/>
                                <w:i/>
                                <w:color w:val="027791"/>
                                <w:sz w:val="21"/>
                              </w:rPr>
                            </w:pPr>
                            <w:r>
                              <w:rPr>
                                <w:rFonts w:ascii="Tahoma" w:eastAsia="Tahoma" w:hAnsi="Tahoma"/>
                                <w:i/>
                                <w:color w:val="027791"/>
                                <w:sz w:val="21"/>
                              </w:rPr>
                              <w:t>Student,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CF6A8" id="Text Box 167" o:spid="_x0000_s1337" type="#_x0000_t202" style="position:absolute;margin-left:324.25pt;margin-top:75.3pt;width:203.05pt;height:89.8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aF8gEAAMQDAAAOAAAAZHJzL2Uyb0RvYy54bWysU8Fu2zAMvQ/YPwi6L47TJO2MOEXXosOA&#10;rhvQ7gMYWY6F2aJGKbGzrx8lJ2m33YZdBEqiHt97pFbXQ9eKvSZv0JYyn0yl0FZhZey2lN+e799d&#10;SeED2ApatLqUB+3l9frtm1XvCj3DBttKk2AQ64velbIJwRVZ5lWjO/ATdNryZY3UQeAtbbOKoGf0&#10;rs1m0+ky65EqR6i093x6N17KdcKva63Cl7r2Ooi2lMwtpJXSuolrtl5BsSVwjVFHGvAPLDowloue&#10;oe4ggNiR+QuqM4rQYx0mCrsM69oonTSwmnz6h5qnBpxOWtgc7842+f8Hqx73X0mYqpTz+VIKCx03&#10;6VkPQXzAQeTLy+hQ73zBiU+OU8PAF9zppNa7B1TfvbB424Dd6hsi7BsNFTPM48vs1dMRx0eQTf8Z&#10;Ky4Eu4AJaKipi/axIYLRuVOHc3ciGcWHs8Xl1eXFQgrFd3k+z6fvF6kGFKfnjnz4qLETMSglcfsT&#10;POwffIh0oDilxGoW703bphFo7W8HnBhPEv3IeOQehs2QvLrIk7ooboPVgRURjqPFX4GDBumnFD2P&#10;VSn9jx2QlqL9ZNmVOIOngE7B5hSAVfy0lEGKMbwN46zuHJltw8ij7xZv2LnaJE0vLI6EeVSS1ONY&#10;x1l8vU9ZL59v/QsAAP//AwBQSwMEFAAGAAgAAAAhACacv2XgAAAADAEAAA8AAABkcnMvZG93bnJl&#10;di54bWxMj8FOwzAMhu9IvENkJG4sga7VKE2nCcEJaVpXDhzTxmujNU5psq28PdkJbrb+T78/F+vZ&#10;DuyMkzeOJDwuBDCk1mlDnYTP+v1hBcwHRVoNjlDCD3pYl7c3hcq1u1CF533oWCwhnysJfQhjzrlv&#10;e7TKL9yIFLODm6wKcZ06rid1ieV24E9CZNwqQ/FCr0Z87bE97k9WwuaLqjfzvW121aEydf0s6CM7&#10;Snl/N29egAWcwx8MV/2oDmV0atyJtGeDhGy5SiMag1RkwK6ESJdxaiQkiUiAlwX//0T5CwAA//8D&#10;AFBLAQItABQABgAIAAAAIQC2gziS/gAAAOEBAAATAAAAAAAAAAAAAAAAAAAAAABbQ29udGVudF9U&#10;eXBlc10ueG1sUEsBAi0AFAAGAAgAAAAhADj9If/WAAAAlAEAAAsAAAAAAAAAAAAAAAAALwEAAF9y&#10;ZWxzLy5yZWxzUEsBAi0AFAAGAAgAAAAhAMA49oXyAQAAxAMAAA4AAAAAAAAAAAAAAAAALgIAAGRy&#10;cy9lMm9Eb2MueG1sUEsBAi0AFAAGAAgAAAAhACacv2XgAAAADAEAAA8AAAAAAAAAAAAAAAAATAQA&#10;AGRycy9kb3ducmV2LnhtbFBLBQYAAAAABAAEAPMAAABZBQAAAAA=&#10;" filled="f" stroked="f">
                <v:textbox inset="0,0,0,0">
                  <w:txbxContent>
                    <w:p w14:paraId="65E843CD" w14:textId="77777777" w:rsidR="00490F33" w:rsidRDefault="00490F33">
                      <w:pPr>
                        <w:spacing w:before="4" w:line="299" w:lineRule="exact"/>
                        <w:textAlignment w:val="baseline"/>
                        <w:rPr>
                          <w:rFonts w:ascii="Tahoma" w:eastAsia="Tahoma" w:hAnsi="Tahoma"/>
                          <w:i/>
                          <w:color w:val="027791"/>
                          <w:sz w:val="21"/>
                        </w:rPr>
                      </w:pPr>
                      <w:r>
                        <w:rPr>
                          <w:rFonts w:ascii="Tahoma" w:eastAsia="Tahoma" w:hAnsi="Tahoma"/>
                          <w:i/>
                          <w:color w:val="027791"/>
                          <w:sz w:val="21"/>
                        </w:rPr>
                        <w:t xml:space="preserve">“I went from failing to achieving A &amp; B standard in the subjects I was participating </w:t>
                      </w:r>
                      <w:r>
                        <w:rPr>
                          <w:rFonts w:ascii="Verdana" w:eastAsia="Verdana" w:hAnsi="Verdana"/>
                          <w:i/>
                          <w:color w:val="027791"/>
                          <w:sz w:val="19"/>
                        </w:rPr>
                        <w:t xml:space="preserve">in, so it really made a huge difference to </w:t>
                      </w:r>
                      <w:r>
                        <w:rPr>
                          <w:rFonts w:ascii="Tahoma" w:eastAsia="Tahoma" w:hAnsi="Tahoma"/>
                          <w:i/>
                          <w:color w:val="027791"/>
                          <w:sz w:val="21"/>
                        </w:rPr>
                        <w:t>my grades. I started making friends, which meant I enjoyed coming to school.”</w:t>
                      </w:r>
                    </w:p>
                    <w:p w14:paraId="1A7DF60D" w14:textId="77777777" w:rsidR="00490F33" w:rsidRDefault="00490F33">
                      <w:pPr>
                        <w:spacing w:before="55" w:line="237" w:lineRule="exact"/>
                        <w:jc w:val="right"/>
                        <w:textAlignment w:val="baseline"/>
                        <w:rPr>
                          <w:rFonts w:ascii="Tahoma" w:eastAsia="Tahoma" w:hAnsi="Tahoma"/>
                          <w:i/>
                          <w:color w:val="027791"/>
                          <w:sz w:val="21"/>
                        </w:rPr>
                      </w:pPr>
                      <w:r>
                        <w:rPr>
                          <w:rFonts w:ascii="Tahoma" w:eastAsia="Tahoma" w:hAnsi="Tahoma"/>
                          <w:i/>
                          <w:color w:val="027791"/>
                          <w:sz w:val="21"/>
                        </w:rPr>
                        <w:t>Student, 2018</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3088" behindDoc="1" locked="0" layoutInCell="1" allowOverlap="1" wp14:anchorId="76A800B3" wp14:editId="262FD867">
                <wp:simplePos x="0" y="0"/>
                <wp:positionH relativeFrom="page">
                  <wp:posOffset>905510</wp:posOffset>
                </wp:positionH>
                <wp:positionV relativeFrom="page">
                  <wp:posOffset>2294890</wp:posOffset>
                </wp:positionV>
                <wp:extent cx="2489835" cy="1219200"/>
                <wp:effectExtent l="0" t="0" r="0" b="0"/>
                <wp:wrapSquare wrapText="bothSides"/>
                <wp:docPr id="44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1E19" w14:textId="77777777" w:rsidR="00490F33" w:rsidRDefault="00490F33">
                            <w:pPr>
                              <w:spacing w:line="239" w:lineRule="exact"/>
                              <w:textAlignment w:val="baseline"/>
                              <w:rPr>
                                <w:rFonts w:ascii="Tahoma" w:eastAsia="Tahoma" w:hAnsi="Tahoma"/>
                                <w:color w:val="414042"/>
                                <w:spacing w:val="3"/>
                                <w:sz w:val="18"/>
                              </w:rPr>
                            </w:pPr>
                            <w:r>
                              <w:rPr>
                                <w:rFonts w:ascii="Tahoma" w:eastAsia="Tahoma" w:hAnsi="Tahoma"/>
                                <w:color w:val="414042"/>
                                <w:spacing w:val="3"/>
                                <w:sz w:val="18"/>
                              </w:rPr>
                              <w:t xml:space="preserve">Toowoomba Flexi School is a campus of the Centenary Heights State High School. The school has a responsive learning environment that provides smaller classes </w:t>
                            </w:r>
                            <w:r>
                              <w:rPr>
                                <w:rFonts w:ascii="Verdana" w:eastAsia="Verdana" w:hAnsi="Verdana"/>
                                <w:color w:val="414042"/>
                                <w:spacing w:val="3"/>
                                <w:sz w:val="17"/>
                              </w:rPr>
                              <w:t xml:space="preserve">and flexible, individualised educational </w:t>
                            </w:r>
                            <w:r>
                              <w:rPr>
                                <w:rFonts w:ascii="Tahoma" w:eastAsia="Tahoma" w:hAnsi="Tahoma"/>
                                <w:color w:val="414042"/>
                                <w:spacing w:val="3"/>
                                <w:sz w:val="18"/>
                              </w:rPr>
                              <w:t>opportunities aimed at breaking the cycle of disenfranchisement and/or disengagement of young people aged 15 to 17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800B3" id="Text Box 166" o:spid="_x0000_s1338" type="#_x0000_t202" style="position:absolute;margin-left:71.3pt;margin-top:180.7pt;width:196.05pt;height:96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kK8gEAAMQDAAAOAAAAZHJzL2Uyb0RvYy54bWysU9tu2zAMfR+wfxD0vjhOsyA14hRdiw4D&#10;ugvQ7gMYWY6F2aJGKbGzrx8lx1m3vQ17ESiSOjw8pDY3Q9eKoyZv0JYyn82l0FZhZey+lF+fH96s&#10;pfABbAUtWl3Kk/byZvv61aZ3hV5gg22lSTCI9UXvStmE4Ios86rRHfgZOm05WCN1EPhK+6wi6Bm9&#10;a7PFfL7KeqTKESrtPXvvx6DcJvy61ip8rmuvg2hLydxCOimdu3hm2w0UewLXGHWmAf/AogNjuegF&#10;6h4CiAOZv6A6owg91mGmsMuwro3SqQfuJp//0c1TA06nXlgc7y4y+f8Hqz4dv5AwVSmXy7dSWOh4&#10;SM96COIdDiJfraJCvfMFJz45Tg0DB3jSqVvvHlF988LiXQN2r2+JsG80VMwwjy+zF09HHB9Bdv1H&#10;rLgQHAImoKGmLsrHgghG50mdLtOJZBQ7F8v19fqKSSqO5Yv8muefakAxPXfkw3uNnYhGKYnHn+Dh&#10;+OhDpAPFlBKrWXwwbZtWoLW/OTgxehL9yHjkHobdkLS6yheTLjusTtwR4bha/BXYaJB+SNHzWpXS&#10;fz8AaSnaD5ZViTs4GTQZu8kAq/hpKYMUo3kXxl09ODL7hpFH3S3esnK1ST1FiUcWZ8K8KqnV81rH&#10;XXx5T1m/Pt/2JwAAAP//AwBQSwMEFAAGAAgAAAAhAE7OnLjfAAAACwEAAA8AAABkcnMvZG93bnJl&#10;di54bWxMj8FOwzAQRO9I/IO1SNyo0zYECHGqCsEJCZGGA0cn3iZW43WI3Tb8PcsJbjPap9mZYjO7&#10;QZxwCtaTguUiAYHUemOpU/BRv9zcgwhRk9GDJ1TwjQE25eVFoXPjz1ThaRc7wSEUcq2gj3HMpQxt&#10;j06HhR+R+Lb3k9OR7dRJM+kzh7tBrpIkk05b4g+9HvGpx/awOzoF20+qnu3XW/Ne7Stb1w8JvWYH&#10;pa6v5u0jiIhz/IPhtz5Xh5I7Nf5IJoiBfbrKGFWwzpYpCCZu1+kdiIYFK5BlIf9vKH8AAAD//wMA&#10;UEsBAi0AFAAGAAgAAAAhALaDOJL+AAAA4QEAABMAAAAAAAAAAAAAAAAAAAAAAFtDb250ZW50X1R5&#10;cGVzXS54bWxQSwECLQAUAAYACAAAACEAOP0h/9YAAACUAQAACwAAAAAAAAAAAAAAAAAvAQAAX3Jl&#10;bHMvLnJlbHNQSwECLQAUAAYACAAAACEAPHkpCvIBAADEAwAADgAAAAAAAAAAAAAAAAAuAgAAZHJz&#10;L2Uyb0RvYy54bWxQSwECLQAUAAYACAAAACEATs6cuN8AAAALAQAADwAAAAAAAAAAAAAAAABMBAAA&#10;ZHJzL2Rvd25yZXYueG1sUEsFBgAAAAAEAAQA8wAAAFgFAAAAAA==&#10;" filled="f" stroked="f">
                <v:textbox inset="0,0,0,0">
                  <w:txbxContent>
                    <w:p w14:paraId="75631E19" w14:textId="77777777" w:rsidR="00490F33" w:rsidRDefault="00490F33">
                      <w:pPr>
                        <w:spacing w:line="239" w:lineRule="exact"/>
                        <w:textAlignment w:val="baseline"/>
                        <w:rPr>
                          <w:rFonts w:ascii="Tahoma" w:eastAsia="Tahoma" w:hAnsi="Tahoma"/>
                          <w:color w:val="414042"/>
                          <w:spacing w:val="3"/>
                          <w:sz w:val="18"/>
                        </w:rPr>
                      </w:pPr>
                      <w:r>
                        <w:rPr>
                          <w:rFonts w:ascii="Tahoma" w:eastAsia="Tahoma" w:hAnsi="Tahoma"/>
                          <w:color w:val="414042"/>
                          <w:spacing w:val="3"/>
                          <w:sz w:val="18"/>
                        </w:rPr>
                        <w:t xml:space="preserve">Toowoomba Flexi School is a campus of the Centenary Heights State High School. The school has a responsive learning environment that provides smaller classes </w:t>
                      </w:r>
                      <w:r>
                        <w:rPr>
                          <w:rFonts w:ascii="Verdana" w:eastAsia="Verdana" w:hAnsi="Verdana"/>
                          <w:color w:val="414042"/>
                          <w:spacing w:val="3"/>
                          <w:sz w:val="17"/>
                        </w:rPr>
                        <w:t xml:space="preserve">and flexible, individualised educational </w:t>
                      </w:r>
                      <w:r>
                        <w:rPr>
                          <w:rFonts w:ascii="Tahoma" w:eastAsia="Tahoma" w:hAnsi="Tahoma"/>
                          <w:color w:val="414042"/>
                          <w:spacing w:val="3"/>
                          <w:sz w:val="18"/>
                        </w:rPr>
                        <w:t>opportunities aimed at breaking the cycle of disenfranchisement and/or disengagement of young people aged 15 to 17 years.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4112" behindDoc="1" locked="0" layoutInCell="1" allowOverlap="1" wp14:anchorId="148DA72F" wp14:editId="19537FA8">
                <wp:simplePos x="0" y="0"/>
                <wp:positionH relativeFrom="page">
                  <wp:posOffset>4182110</wp:posOffset>
                </wp:positionH>
                <wp:positionV relativeFrom="page">
                  <wp:posOffset>2475865</wp:posOffset>
                </wp:positionV>
                <wp:extent cx="2453640" cy="588645"/>
                <wp:effectExtent l="0" t="0" r="0" b="0"/>
                <wp:wrapSquare wrapText="bothSides"/>
                <wp:docPr id="44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0DDB0" w14:textId="77777777" w:rsidR="00490F33" w:rsidRDefault="00490F33">
                            <w:pPr>
                              <w:spacing w:line="231" w:lineRule="exact"/>
                              <w:textAlignment w:val="baseline"/>
                              <w:rPr>
                                <w:rFonts w:ascii="Verdana" w:eastAsia="Verdana" w:hAnsi="Verdana"/>
                                <w:color w:val="414042"/>
                                <w:sz w:val="17"/>
                              </w:rPr>
                            </w:pPr>
                            <w:r>
                              <w:rPr>
                                <w:rFonts w:ascii="Verdana" w:eastAsia="Verdana" w:hAnsi="Verdana"/>
                                <w:color w:val="414042"/>
                                <w:sz w:val="17"/>
                              </w:rPr>
                              <w:t xml:space="preserve">Every year, the staff members of Toowoomba </w:t>
                            </w:r>
                            <w:r>
                              <w:rPr>
                                <w:rFonts w:ascii="Tahoma" w:eastAsia="Tahoma" w:hAnsi="Tahoma"/>
                                <w:color w:val="414042"/>
                                <w:sz w:val="18"/>
                              </w:rPr>
                              <w:t xml:space="preserve">Flexi School speak with parents to discuss their experiences with Flexi School, and how </w:t>
                            </w:r>
                            <w:r>
                              <w:rPr>
                                <w:rFonts w:ascii="Verdana" w:eastAsia="Verdana" w:hAnsi="Verdana"/>
                                <w:color w:val="414042"/>
                                <w:sz w:val="17"/>
                              </w:rPr>
                              <w:t>the school has affected their child: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DA72F" id="Text Box 165" o:spid="_x0000_s1339" type="#_x0000_t202" style="position:absolute;margin-left:329.3pt;margin-top:194.95pt;width:193.2pt;height:46.3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cQT8QEAAMMDAAAOAAAAZHJzL2Uyb0RvYy54bWysU9uO0zAQfUfiHyy/0zRtWlVR09Wyq0VI&#10;C6y0ywc4jpNYJB4zdpuUr2fsNGWBN8SLNZ7L8Zkz4/3N2HfspNBpMAVPF0vOlJFQadMU/OvLw7sd&#10;Z84LU4kOjCr4WTl+c3j7Zj/YXK2gha5SyAjEuHywBW+9t3mSONmqXrgFWGUoWAP2wtMVm6RCMRB6&#10;3yWr5XKbDICVRZDKOfLeT0F+iPh1raT/UtdOedYVnLj5eGI8y3Amh73IGxS21fJCQ/wDi15oQ49e&#10;oe6FF+yI+i+oXksEB7VfSOgTqGstVeyBukmXf3Tz3AqrYi8kjrNXmdz/g5WfT0/IdFXwLMs4M6Kn&#10;Ib2o0bP3MLJ0uwkKDdbllPhsKdWPFKBJx26dfQT5zTEDd60wjbpFhKFVoiKGaahMXpVOOC6AlMMn&#10;qOghcfQQgcYa+yAfCcIInSZ1vk4nkJHkXGWb9TajkKTYZrfbZpFcIvK52qLzHxT0LBgFR5p+RBen&#10;R+cDG5HPKeExAw+66+IGdOY3ByUGT2QfCE/U/ViOUap1up5lKaE6U0MI02bRTyCjBfzB2UBbVXD3&#10;/ShQcdZ9NCRKWMHZwNkoZ0MYSaUF95xN5p2fVvVoUTctIU+yG7gl4WodewoKTywuhGlTYquXrQ6r&#10;+Poes379vcNPAAAA//8DAFBLAwQUAAYACAAAACEA5/hFPOEAAAAMAQAADwAAAGRycy9kb3ducmV2&#10;LnhtbEyPwU7DMBBE70j8g7VI3KhNaaMkxKkqBCckRBoOHJ14m1iN1yF22/D3uKdyXO3TzJtiM9uB&#10;nXDyxpGEx4UAhtQ6baiT8FW/PaTAfFCk1eAIJfyih015e1OoXLszVXjahY7FEPK5ktCHMOac+7ZH&#10;q/zCjUjxt3eTVSGeU8f1pM4x3A58KUTCrTIUG3o14kuP7WF3tBK231S9mp+P5rPaV6auM0HvyUHK&#10;+7t5+wws4ByuMFz0ozqU0alxR9KeDRKSdZpEVMJTmmXALoRYreO8RsIqXSbAy4L/H1H+AQAA//8D&#10;AFBLAQItABQABgAIAAAAIQC2gziS/gAAAOEBAAATAAAAAAAAAAAAAAAAAAAAAABbQ29udGVudF9U&#10;eXBlc10ueG1sUEsBAi0AFAAGAAgAAAAhADj9If/WAAAAlAEAAAsAAAAAAAAAAAAAAAAALwEAAF9y&#10;ZWxzLy5yZWxzUEsBAi0AFAAGAAgAAAAhALepxBPxAQAAwwMAAA4AAAAAAAAAAAAAAAAALgIAAGRy&#10;cy9lMm9Eb2MueG1sUEsBAi0AFAAGAAgAAAAhAOf4RTzhAAAADAEAAA8AAAAAAAAAAAAAAAAASwQA&#10;AGRycy9kb3ducmV2LnhtbFBLBQYAAAAABAAEAPMAAABZBQAAAAA=&#10;" filled="f" stroked="f">
                <v:textbox inset="0,0,0,0">
                  <w:txbxContent>
                    <w:p w14:paraId="22D0DDB0" w14:textId="77777777" w:rsidR="00490F33" w:rsidRDefault="00490F33">
                      <w:pPr>
                        <w:spacing w:line="231" w:lineRule="exact"/>
                        <w:textAlignment w:val="baseline"/>
                        <w:rPr>
                          <w:rFonts w:ascii="Verdana" w:eastAsia="Verdana" w:hAnsi="Verdana"/>
                          <w:color w:val="414042"/>
                          <w:sz w:val="17"/>
                        </w:rPr>
                      </w:pPr>
                      <w:r>
                        <w:rPr>
                          <w:rFonts w:ascii="Verdana" w:eastAsia="Verdana" w:hAnsi="Verdana"/>
                          <w:color w:val="414042"/>
                          <w:sz w:val="17"/>
                        </w:rPr>
                        <w:t xml:space="preserve">Every year, the staff members of Toowoomba </w:t>
                      </w:r>
                      <w:r>
                        <w:rPr>
                          <w:rFonts w:ascii="Tahoma" w:eastAsia="Tahoma" w:hAnsi="Tahoma"/>
                          <w:color w:val="414042"/>
                          <w:sz w:val="18"/>
                        </w:rPr>
                        <w:t xml:space="preserve">Flexi School speak with parents to discuss their experiences with Flexi School, and how </w:t>
                      </w:r>
                      <w:r>
                        <w:rPr>
                          <w:rFonts w:ascii="Verdana" w:eastAsia="Verdana" w:hAnsi="Verdana"/>
                          <w:color w:val="414042"/>
                          <w:sz w:val="17"/>
                        </w:rPr>
                        <w:t>the school has affected their child: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5136" behindDoc="1" locked="0" layoutInCell="1" allowOverlap="1" wp14:anchorId="335511BF" wp14:editId="61968B53">
                <wp:simplePos x="0" y="0"/>
                <wp:positionH relativeFrom="page">
                  <wp:posOffset>905510</wp:posOffset>
                </wp:positionH>
                <wp:positionV relativeFrom="page">
                  <wp:posOffset>3620770</wp:posOffset>
                </wp:positionV>
                <wp:extent cx="2428875" cy="914400"/>
                <wp:effectExtent l="0" t="0" r="0" b="0"/>
                <wp:wrapSquare wrapText="bothSides"/>
                <wp:docPr id="44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D0548" w14:textId="77777777" w:rsidR="00490F33" w:rsidRDefault="00490F33">
                            <w:pPr>
                              <w:spacing w:line="237" w:lineRule="exact"/>
                              <w:textAlignment w:val="baseline"/>
                              <w:rPr>
                                <w:rFonts w:ascii="Tahoma" w:eastAsia="Tahoma" w:hAnsi="Tahoma"/>
                                <w:color w:val="414042"/>
                                <w:sz w:val="18"/>
                              </w:rPr>
                            </w:pPr>
                            <w:r>
                              <w:rPr>
                                <w:rFonts w:ascii="Tahoma" w:eastAsia="Tahoma" w:hAnsi="Tahoma"/>
                                <w:color w:val="414042"/>
                                <w:sz w:val="18"/>
                              </w:rPr>
                              <w:t>The program is designed to increase the number of educationally ‘at risk’ students completing school with a clear and sustained transition pathway. The school works with young people through intensive case management to overcome disadvantage.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11BF" id="Text Box 164" o:spid="_x0000_s1340" type="#_x0000_t202" style="position:absolute;margin-left:71.3pt;margin-top:285.1pt;width:191.25pt;height:1in;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T8QEAAMMDAAAOAAAAZHJzL2Uyb0RvYy54bWysU9tu2zAMfR+wfxD0vjhOvS414hRdiw4D&#10;ugvQ7gMYWY6F2aJGKbGzrx8lJ1m7vQ17EShejg4PqdX12Hdir8kbtJXMZ3MptFVYG7ut5Len+zdL&#10;KXwAW0OHVlfyoL28Xr9+tRpcqRfYYldrEgxifTm4SrYhuDLLvGp1D36GTlsONkg9BL7SNqsJBkbv&#10;u2wxn19mA1LtCJX2nr13U1CuE37TaBW+NI3XQXSVZG4hnZTOTTyz9QrKLYFrjTrSgH9g0YOx/OgZ&#10;6g4CiB2Zv6B6owg9NmGmsM+waYzSqQfuJp//0c1jC06nXlgc784y+f8Hqz7vv5IwdSWL4kIKCz0P&#10;6UmPQbzHUeSXRVRocL7kxEfHqWHkAE86devdA6rvXli8bcFu9Q0RDq2GmhnmsTJ7Vjrh+AiyGT5h&#10;zQ/BLmACGhvqo3wsiGB0ntThPJ1IRrFzUSyWy3dvpVAcu8qLYp7Gl0F5qnbkwweNvYhGJYmnn9Bh&#10;/+BDZAPlKSU+ZvHedF3agM6+cHBi9CT2kfBEPYybMUl1kZ9l2WB94IYIp83in8BGi/RTioG3qpL+&#10;xw5IS9F9tCxKXMGTQSdjczLAKi6tZJBiMm/DtKo7R2bbMvIku8UbFq4xqaeo8MTiSJg3JbV63Oq4&#10;is/vKev331v/AgAA//8DAFBLAwQUAAYACAAAACEADHPMgN8AAAALAQAADwAAAGRycy9kb3ducmV2&#10;LnhtbEyPwU7DMBBE70j8g7VI3KjdiKQ0jVNVCE5IiDQcODqxm1iN1yF22/D3LKdyHM3T7NtiO7uB&#10;nc0UrEcJy4UAZrD12mIn4bN+fXgCFqJCrQaPRsKPCbAtb28KlWt/wcqc97FjNIIhVxL6GMec89D2&#10;xqmw8KNB6g5+cipSnDquJ3WhcTfwRIiMO2WRLvRqNM+9aY/7k5Ow+8LqxX6/Nx/VobJ1vRb4lh2l&#10;vL+bdxtg0czxCsOfPqlDSU6NP6EObKD8mGSESkhXIgFGRJqkS2CNhBV1wMuC//+h/AUAAP//AwBQ&#10;SwECLQAUAAYACAAAACEAtoM4kv4AAADhAQAAEwAAAAAAAAAAAAAAAAAAAAAAW0NvbnRlbnRfVHlw&#10;ZXNdLnhtbFBLAQItABQABgAIAAAAIQA4/SH/1gAAAJQBAAALAAAAAAAAAAAAAAAAAC8BAABfcmVs&#10;cy8ucmVsc1BLAQItABQABgAIAAAAIQANbf/T8QEAAMMDAAAOAAAAAAAAAAAAAAAAAC4CAABkcnMv&#10;ZTJvRG9jLnhtbFBLAQItABQABgAIAAAAIQAMc8yA3wAAAAsBAAAPAAAAAAAAAAAAAAAAAEsEAABk&#10;cnMvZG93bnJldi54bWxQSwUGAAAAAAQABADzAAAAVwUAAAAA&#10;" filled="f" stroked="f">
                <v:textbox inset="0,0,0,0">
                  <w:txbxContent>
                    <w:p w14:paraId="339D0548" w14:textId="77777777" w:rsidR="00490F33" w:rsidRDefault="00490F33">
                      <w:pPr>
                        <w:spacing w:line="237" w:lineRule="exact"/>
                        <w:textAlignment w:val="baseline"/>
                        <w:rPr>
                          <w:rFonts w:ascii="Tahoma" w:eastAsia="Tahoma" w:hAnsi="Tahoma"/>
                          <w:color w:val="414042"/>
                          <w:sz w:val="18"/>
                        </w:rPr>
                      </w:pPr>
                      <w:r>
                        <w:rPr>
                          <w:rFonts w:ascii="Tahoma" w:eastAsia="Tahoma" w:hAnsi="Tahoma"/>
                          <w:color w:val="414042"/>
                          <w:sz w:val="18"/>
                        </w:rPr>
                        <w:t>The program is designed to increase the number of educationally ‘at risk’ students completing school with a clear and sustained transition pathway. The school works with young people through intensive case management to overcome disadvantage.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6160" behindDoc="1" locked="0" layoutInCell="1" allowOverlap="1" wp14:anchorId="676BDF2B" wp14:editId="305D63AB">
                <wp:simplePos x="0" y="0"/>
                <wp:positionH relativeFrom="page">
                  <wp:posOffset>905510</wp:posOffset>
                </wp:positionH>
                <wp:positionV relativeFrom="page">
                  <wp:posOffset>4645025</wp:posOffset>
                </wp:positionV>
                <wp:extent cx="2416810" cy="762000"/>
                <wp:effectExtent l="0" t="0" r="0" b="0"/>
                <wp:wrapSquare wrapText="bothSides"/>
                <wp:docPr id="44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A03D9" w14:textId="77777777" w:rsidR="00490F33" w:rsidRDefault="00490F33">
                            <w:pPr>
                              <w:spacing w:line="239" w:lineRule="exact"/>
                              <w:textAlignment w:val="baseline"/>
                              <w:rPr>
                                <w:rFonts w:ascii="Tahoma" w:eastAsia="Tahoma" w:hAnsi="Tahoma"/>
                                <w:color w:val="414042"/>
                                <w:spacing w:val="3"/>
                                <w:sz w:val="18"/>
                              </w:rPr>
                            </w:pPr>
                            <w:r>
                              <w:rPr>
                                <w:rFonts w:ascii="Tahoma" w:eastAsia="Tahoma" w:hAnsi="Tahoma"/>
                                <w:color w:val="414042"/>
                                <w:spacing w:val="3"/>
                                <w:sz w:val="18"/>
                              </w:rPr>
                              <w:t>A key design feature of the Toowoomba Flexi School is a dedicated leadership team who works in partnership with parents, carers and numerous valued community groups to support student post-school transitions.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BDF2B" id="Text Box 163" o:spid="_x0000_s1341" type="#_x0000_t202" style="position:absolute;margin-left:71.3pt;margin-top:365.75pt;width:190.3pt;height:60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Om8AEAAMMDAAAOAAAAZHJzL2Uyb0RvYy54bWysU9tu2zAMfR+wfxD0vjhOs6ww4hRdiw4D&#10;unVAuw9gZDkWZosapcTOvn6UHGfd9lb0RaB4OTo8pNZXQ9eKgyZv0JYyn82l0FZhZeyulN+f7t5d&#10;SuED2ApatLqUR+3l1ebtm3XvCr3ABttKk2AQ64velbIJwRVZ5lWjO/AzdNpysEbqIPCVdllF0DN6&#10;12aL+XyV9UiVI1Tae/bejkG5Sfh1rVV4qGuvg2hLydxCOimd23hmmzUUOwLXGHWiAS9g0YGx/OgZ&#10;6hYCiD2Z/6A6owg91mGmsMuwro3SqQfuJp//081jA06nXlgc784y+deDVV8P30iYqpTL5UIKCx0P&#10;6UkPQXzEQeSri6hQ73zBiY+OU8PAAZ506ta7e1Q/vLB404Dd6Wsi7BsNFTPMY2X2rHTE8RFk23/B&#10;ih+CfcAENNTURflYEMHoPKnjeTqRjGLnYpmvLnMOKY59WPH00/gyKKZqRz580tiJaJSSePoJHQ73&#10;PkQ2UEwp8TGLd6Zt0wa09i8HJ0ZPYh8Jj9TDsB2SVBf5+0mWLVZHbohw3Cz+CWw0SL+k6HmrSul/&#10;7oG0FO1ny6LEFZwMmoztZIBVXFrKIMVo3oRxVfeOzK5h5FF2i9csXG1ST1HhkcWJMG9KavW01XEV&#10;n99T1p+/t/kNAAD//wMAUEsDBBQABgAIAAAAIQAKfbNh4AAAAAsBAAAPAAAAZHJzL2Rvd25yZXYu&#10;eG1sTI/BToNAEIbvJr7DZky82aVUsCJL0xg9mZhSPHhc2CmQsrPIblt8e8eTHv+ZL/98k29mO4gz&#10;Tr53pGC5iEAgNc701Cr4qF7v1iB80GT04AgVfKOHTXF9levMuAuVeN6HVnAJ+Uwr6EIYMyl906HV&#10;fuFGJN4d3GR14Di10kz6wuV2kHEUpdLqnvhCp0d87rA57k9WwfaTypf+673elYeyr6rHiN7So1K3&#10;N/P2CUTAOfzB8KvP6lCwU+1OZLwYON/HKaMKHlbLBAQTSbyKQdQK1glPZJHL/z8UPwAAAP//AwBQ&#10;SwECLQAUAAYACAAAACEAtoM4kv4AAADhAQAAEwAAAAAAAAAAAAAAAAAAAAAAW0NvbnRlbnRfVHlw&#10;ZXNdLnhtbFBLAQItABQABgAIAAAAIQA4/SH/1gAAAJQBAAALAAAAAAAAAAAAAAAAAC8BAABfcmVs&#10;cy8ucmVsc1BLAQItABQABgAIAAAAIQCaByOm8AEAAMMDAAAOAAAAAAAAAAAAAAAAAC4CAABkcnMv&#10;ZTJvRG9jLnhtbFBLAQItABQABgAIAAAAIQAKfbNh4AAAAAsBAAAPAAAAAAAAAAAAAAAAAEoEAABk&#10;cnMvZG93bnJldi54bWxQSwUGAAAAAAQABADzAAAAVwUAAAAA&#10;" filled="f" stroked="f">
                <v:textbox inset="0,0,0,0">
                  <w:txbxContent>
                    <w:p w14:paraId="20EA03D9" w14:textId="77777777" w:rsidR="00490F33" w:rsidRDefault="00490F33">
                      <w:pPr>
                        <w:spacing w:line="239" w:lineRule="exact"/>
                        <w:textAlignment w:val="baseline"/>
                        <w:rPr>
                          <w:rFonts w:ascii="Tahoma" w:eastAsia="Tahoma" w:hAnsi="Tahoma"/>
                          <w:color w:val="414042"/>
                          <w:spacing w:val="3"/>
                          <w:sz w:val="18"/>
                        </w:rPr>
                      </w:pPr>
                      <w:r>
                        <w:rPr>
                          <w:rFonts w:ascii="Tahoma" w:eastAsia="Tahoma" w:hAnsi="Tahoma"/>
                          <w:color w:val="414042"/>
                          <w:spacing w:val="3"/>
                          <w:sz w:val="18"/>
                        </w:rPr>
                        <w:t>A key design feature of the Toowoomba Flexi School is a dedicated leadership team who works in partnership with parents, carers and numerous valued community groups to support student post-school transitions.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7184" behindDoc="1" locked="0" layoutInCell="1" allowOverlap="1" wp14:anchorId="09C551F2" wp14:editId="71E55494">
                <wp:simplePos x="0" y="0"/>
                <wp:positionH relativeFrom="page">
                  <wp:posOffset>905510</wp:posOffset>
                </wp:positionH>
                <wp:positionV relativeFrom="page">
                  <wp:posOffset>5513705</wp:posOffset>
                </wp:positionV>
                <wp:extent cx="2303780" cy="1676400"/>
                <wp:effectExtent l="0" t="0" r="0" b="0"/>
                <wp:wrapSquare wrapText="bothSides"/>
                <wp:docPr id="44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2B7AE" w14:textId="77777777" w:rsidR="00490F33" w:rsidRDefault="00490F33">
                            <w:pPr>
                              <w:spacing w:line="239" w:lineRule="exact"/>
                              <w:textAlignment w:val="baseline"/>
                              <w:rPr>
                                <w:rFonts w:ascii="Tahoma" w:eastAsia="Tahoma" w:hAnsi="Tahoma"/>
                                <w:color w:val="414042"/>
                                <w:sz w:val="18"/>
                              </w:rPr>
                            </w:pPr>
                            <w:r>
                              <w:rPr>
                                <w:rFonts w:ascii="Tahoma" w:eastAsia="Tahoma" w:hAnsi="Tahoma"/>
                                <w:color w:val="414042"/>
                                <w:sz w:val="18"/>
                              </w:rPr>
                              <w:t xml:space="preserve">The success of the school can be put down to several factors, including the valuing of both vocational education and training and university as equally valid pathways, and project-based learning. The school also provides career advice that involves </w:t>
                            </w:r>
                            <w:r>
                              <w:rPr>
                                <w:rFonts w:ascii="Verdana" w:eastAsia="Verdana" w:hAnsi="Verdana"/>
                                <w:color w:val="414042"/>
                                <w:sz w:val="17"/>
                              </w:rPr>
                              <w:t xml:space="preserve">online career profiling, subject selection </w:t>
                            </w:r>
                            <w:r>
                              <w:rPr>
                                <w:rFonts w:ascii="Tahoma" w:eastAsia="Tahoma" w:hAnsi="Tahoma"/>
                                <w:color w:val="414042"/>
                                <w:sz w:val="18"/>
                              </w:rPr>
                              <w:t xml:space="preserve">and job pathways, as well as access to an </w:t>
                            </w:r>
                            <w:r>
                              <w:rPr>
                                <w:rFonts w:ascii="Verdana" w:eastAsia="Verdana" w:hAnsi="Verdana"/>
                                <w:color w:val="414042"/>
                                <w:sz w:val="17"/>
                              </w:rPr>
                              <w:t xml:space="preserve">industry liaison officer who actively works </w:t>
                            </w:r>
                            <w:r>
                              <w:rPr>
                                <w:rFonts w:ascii="Tahoma" w:eastAsia="Tahoma" w:hAnsi="Tahoma"/>
                                <w:color w:val="414042"/>
                                <w:sz w:val="18"/>
                              </w:rPr>
                              <w:t>with employers to place students in work experience and traineeships.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551F2" id="Text Box 162" o:spid="_x0000_s1342" type="#_x0000_t202" style="position:absolute;margin-left:71.3pt;margin-top:434.15pt;width:181.4pt;height:132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3lZ8gEAAMQDAAAOAAAAZHJzL2Uyb0RvYy54bWysU9tu1DAQfUfiHyy/s0l2V2kVbbYqrYqQ&#10;ClRq+QDHcRKLxGPG3k2Wr2fsbJYCb4gXazyX4zNnxrubaejZUaHTYEqerVLOlJFQa9OW/OvLw7tr&#10;zpwXphY9GFXyk3L8Zv/2zW60hVpDB32tkBGIccVoS955b4skcbJTg3ArsMpQsAEchKcrtkmNYiT0&#10;oU/WaZonI2BtEaRyjrz3c5DvI37TKOm/NI1TnvUlJ24+nhjPKpzJfieKFoXttDzTEP/AYhDa0KMX&#10;qHvhBTug/gtq0BLBQeNXEoYEmkZLFXugbrL0j26eO2FV7IXEcfYik/t/sPLz8QmZrku+3WacGTHQ&#10;kF7U5Nl7mFiWr4NCo3UFJT5bSvUTBWjSsVtnH0F+c8zAXSdMq24RYeyUqIlhFiqTV6Uzjgsg1fgJ&#10;anpIHDxEoKnBIchHgjBCp0mdLtMJZCQ515t0c3VNIUmxLL/Kt2mcXyKKpdyi8x8UDCwYJUcaf4QX&#10;x0fnAx1RLCnhNQMPuu/jCvTmNwclBk+kHxjP3P1UTVGrTZYvulRQn6gjhHm16CuQ0QH+4GyktSq5&#10;+34QqDjrPxpSJezgYuBiVIshjKTSknvOZvPOz7t6sKjbjpBn3Q3cknKNjj0FiWcWZ8K0KrHV81qH&#10;XXx9j1m/Pt/+JwAAAP//AwBQSwMEFAAGAAgAAAAhAIMQcPfhAAAADAEAAA8AAABkcnMvZG93bnJl&#10;di54bWxMj8FOwzAQRO9I/IO1lbhRp0kbhTROVSE4ISHScODoxG5iNV6H2G3D37OcynE0T7Nvi91s&#10;B3bRkzcOBayWETCNrVMGOwGf9etjBswHiUoODrWAH+1hV97fFTJX7oqVvhxCx2gEfS4F9CGMOee+&#10;7bWVfulGjdQd3WRloDh1XE3ySuN24HEUpdxKg3Shl6N+7nV7OpytgP0XVi/m+735qI6VqeunCN/S&#10;kxAPi3m/BRb0HG4w/OmTOpTk1LgzKs8Gyus4JVRAlmYJMCI20WYNrKFqlcQJ8LLg/58ofwEAAP//&#10;AwBQSwECLQAUAAYACAAAACEAtoM4kv4AAADhAQAAEwAAAAAAAAAAAAAAAAAAAAAAW0NvbnRlbnRf&#10;VHlwZXNdLnhtbFBLAQItABQABgAIAAAAIQA4/SH/1gAAAJQBAAALAAAAAAAAAAAAAAAAAC8BAABf&#10;cmVscy8ucmVsc1BLAQItABQABgAIAAAAIQBg63lZ8gEAAMQDAAAOAAAAAAAAAAAAAAAAAC4CAABk&#10;cnMvZTJvRG9jLnhtbFBLAQItABQABgAIAAAAIQCDEHD34QAAAAwBAAAPAAAAAAAAAAAAAAAAAEwE&#10;AABkcnMvZG93bnJldi54bWxQSwUGAAAAAAQABADzAAAAWgUAAAAA&#10;" filled="f" stroked="f">
                <v:textbox inset="0,0,0,0">
                  <w:txbxContent>
                    <w:p w14:paraId="0CE2B7AE" w14:textId="77777777" w:rsidR="00490F33" w:rsidRDefault="00490F33">
                      <w:pPr>
                        <w:spacing w:line="239" w:lineRule="exact"/>
                        <w:textAlignment w:val="baseline"/>
                        <w:rPr>
                          <w:rFonts w:ascii="Tahoma" w:eastAsia="Tahoma" w:hAnsi="Tahoma"/>
                          <w:color w:val="414042"/>
                          <w:sz w:val="18"/>
                        </w:rPr>
                      </w:pPr>
                      <w:r>
                        <w:rPr>
                          <w:rFonts w:ascii="Tahoma" w:eastAsia="Tahoma" w:hAnsi="Tahoma"/>
                          <w:color w:val="414042"/>
                          <w:sz w:val="18"/>
                        </w:rPr>
                        <w:t xml:space="preserve">The success of the school can be put down to several factors, including the valuing of both vocational education and training and university as equally valid pathways, and project-based learning. The school also provides career advice that involves </w:t>
                      </w:r>
                      <w:r>
                        <w:rPr>
                          <w:rFonts w:ascii="Verdana" w:eastAsia="Verdana" w:hAnsi="Verdana"/>
                          <w:color w:val="414042"/>
                          <w:sz w:val="17"/>
                        </w:rPr>
                        <w:t xml:space="preserve">online career profiling, subject selection </w:t>
                      </w:r>
                      <w:r>
                        <w:rPr>
                          <w:rFonts w:ascii="Tahoma" w:eastAsia="Tahoma" w:hAnsi="Tahoma"/>
                          <w:color w:val="414042"/>
                          <w:sz w:val="18"/>
                        </w:rPr>
                        <w:t xml:space="preserve">and job pathways, as well as access to an </w:t>
                      </w:r>
                      <w:r>
                        <w:rPr>
                          <w:rFonts w:ascii="Verdana" w:eastAsia="Verdana" w:hAnsi="Verdana"/>
                          <w:color w:val="414042"/>
                          <w:sz w:val="17"/>
                        </w:rPr>
                        <w:t xml:space="preserve">industry liaison officer who actively works </w:t>
                      </w:r>
                      <w:r>
                        <w:rPr>
                          <w:rFonts w:ascii="Tahoma" w:eastAsia="Tahoma" w:hAnsi="Tahoma"/>
                          <w:color w:val="414042"/>
                          <w:sz w:val="18"/>
                        </w:rPr>
                        <w:t>with employers to place students in work experience and traineeships.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8208" behindDoc="1" locked="0" layoutInCell="1" allowOverlap="1" wp14:anchorId="05EA9D4B" wp14:editId="14A0EC8A">
                <wp:simplePos x="0" y="0"/>
                <wp:positionH relativeFrom="page">
                  <wp:posOffset>4108450</wp:posOffset>
                </wp:positionH>
                <wp:positionV relativeFrom="page">
                  <wp:posOffset>3446145</wp:posOffset>
                </wp:positionV>
                <wp:extent cx="2615565" cy="2281555"/>
                <wp:effectExtent l="0" t="0" r="0" b="0"/>
                <wp:wrapSquare wrapText="bothSides"/>
                <wp:docPr id="44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28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1F81B" w14:textId="77777777" w:rsidR="00490F33" w:rsidRDefault="00490F33">
                            <w:pPr>
                              <w:spacing w:before="10" w:line="299" w:lineRule="exact"/>
                              <w:textAlignment w:val="baseline"/>
                              <w:rPr>
                                <w:rFonts w:ascii="Tahoma" w:eastAsia="Tahoma" w:hAnsi="Tahoma"/>
                                <w:i/>
                                <w:color w:val="027791"/>
                                <w:sz w:val="21"/>
                              </w:rPr>
                            </w:pPr>
                            <w:r>
                              <w:rPr>
                                <w:rFonts w:ascii="Tahoma" w:eastAsia="Tahoma" w:hAnsi="Tahoma"/>
                                <w:i/>
                                <w:color w:val="027791"/>
                                <w:sz w:val="21"/>
                              </w:rPr>
                              <w:t xml:space="preserve">“One parent spoke of how her son was once a chronic school refuser but, since enrolling at Flexi School, he has only been staying home when he is actually sick! His </w:t>
                            </w:r>
                            <w:r>
                              <w:rPr>
                                <w:rFonts w:ascii="Verdana" w:eastAsia="Verdana" w:hAnsi="Verdana"/>
                                <w:i/>
                                <w:color w:val="027791"/>
                                <w:sz w:val="19"/>
                              </w:rPr>
                              <w:t xml:space="preserve">confidence has improved, his grades are </w:t>
                            </w:r>
                            <w:r>
                              <w:rPr>
                                <w:rFonts w:ascii="Tahoma" w:eastAsia="Tahoma" w:hAnsi="Tahoma"/>
                                <w:i/>
                                <w:color w:val="027791"/>
                                <w:sz w:val="21"/>
                              </w:rPr>
                              <w:t xml:space="preserve">getting better, and he has made some close </w:t>
                            </w:r>
                            <w:r>
                              <w:rPr>
                                <w:rFonts w:ascii="Verdana" w:eastAsia="Verdana" w:hAnsi="Verdana"/>
                                <w:i/>
                                <w:color w:val="027791"/>
                                <w:sz w:val="19"/>
                              </w:rPr>
                              <w:t xml:space="preserve">friends. Another spoke of how the flexible </w:t>
                            </w:r>
                            <w:r>
                              <w:rPr>
                                <w:rFonts w:ascii="Tahoma" w:eastAsia="Tahoma" w:hAnsi="Tahoma"/>
                                <w:i/>
                                <w:color w:val="027791"/>
                                <w:sz w:val="21"/>
                              </w:rPr>
                              <w:t>timetable meant that her daughter had been able to pick up quite a number of shifts at her workplace each week, while still being able to attend all her classes.”</w:t>
                            </w:r>
                          </w:p>
                          <w:p w14:paraId="1D88090A" w14:textId="77777777" w:rsidR="00490F33" w:rsidRDefault="00490F33">
                            <w:pPr>
                              <w:spacing w:before="51" w:line="237" w:lineRule="exact"/>
                              <w:jc w:val="right"/>
                              <w:textAlignment w:val="baseline"/>
                              <w:rPr>
                                <w:rFonts w:ascii="Tahoma" w:eastAsia="Tahoma" w:hAnsi="Tahoma"/>
                                <w:i/>
                                <w:color w:val="027791"/>
                                <w:sz w:val="21"/>
                              </w:rPr>
                            </w:pPr>
                            <w:r>
                              <w:rPr>
                                <w:rFonts w:ascii="Tahoma" w:eastAsia="Tahoma" w:hAnsi="Tahoma"/>
                                <w:i/>
                                <w:color w:val="027791"/>
                                <w:sz w:val="21"/>
                              </w:rPr>
                              <w:t>Flexi School,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A9D4B" id="Text Box 161" o:spid="_x0000_s1343" type="#_x0000_t202" style="position:absolute;margin-left:323.5pt;margin-top:271.35pt;width:205.95pt;height:179.6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Wf7wEAAMQDAAAOAAAAZHJzL2Uyb0RvYy54bWysU21v0zAQ/o7Ef7D8naYpa5miptPYNIQ0&#10;GNLGD3AcO7FIfObsNim/nrPTlAHfpn2xzvfy+Lnnzturse/YQaE3YEueL5acKSuhNrYp+fenu3eX&#10;nPkgbC06sKrkR+X51e7tm+3gCrWCFrpaISMQ64vBlbwNwRVZ5mWreuEX4JSloAbsRaArNlmNYiD0&#10;vstWy+UmGwBrhyCV9+S9nYJ8l/C1VjI8aO1VYF3JiVtIJ6azime224qiQeFaI080xAtY9MJYevQM&#10;dSuCYHs0/0H1RiJ40GEhoc9AayNV6oG6yZf/dPPYCqdSLySOd2eZ/OvByq+Hb8hMXfKLC9LHip6G&#10;9KTGwD7CyPJNHhUanC8o8dFRahgpQJNO3Xp3D/KHZxZuWmEbdY0IQ6tETQxTZfasdMLxEaQavkBN&#10;D4l9gAQ0auyjfCQII3RicjxPJ5KR5Fxt8vV6s+ZMUmy1uqTbOrLLRDGXO/Thk4KeRaPkSONP8OJw&#10;78OUOqfE1yzcma5LK9DZvxyEGT2JfmQ8cQ9jNSat3ucfZl0qqI/UEcK0WvQVyGgBf3E20FqV3P/c&#10;C1ScdZ8tqRJ3cDZwNqrZEFZSackDZ5N5E6Zd3Ts0TUvIk+4Wrkk5bVJPUeKJxYkwrUpS5bTWcRef&#10;31PWn8+3+w0AAP//AwBQSwMEFAAGAAgAAAAhAFxNWyjhAAAADAEAAA8AAABkcnMvZG93bnJldi54&#10;bWxMjzFPwzAUhHck/oP1kNioTdSmTYhTVQgmJEQaBkYnfk2sxs8hdtvw73EnGE93uvuu2M52YGec&#10;vHEk4XEhgCG1ThvqJHzWrw8bYD4o0mpwhBJ+0MO2vL0pVK7dhSo870PHYgn5XEnoQxhzzn3bo1V+&#10;4Uak6B3cZFWIcuq4ntQlltuBJ0Kk3CpDcaFXIz732B73Jyth90XVi/l+bz6qQ2XqOhP0lh6lvL+b&#10;d0/AAs7hLwxX/IgOZWRq3Im0Z4OEdLmOX4KE1TJZA7smxGqTAWskZCIRwMuC/z9R/gIAAP//AwBQ&#10;SwECLQAUAAYACAAAACEAtoM4kv4AAADhAQAAEwAAAAAAAAAAAAAAAAAAAAAAW0NvbnRlbnRfVHlw&#10;ZXNdLnhtbFBLAQItABQABgAIAAAAIQA4/SH/1gAAAJQBAAALAAAAAAAAAAAAAAAAAC8BAABfcmVs&#10;cy8ucmVsc1BLAQItABQABgAIAAAAIQCprwWf7wEAAMQDAAAOAAAAAAAAAAAAAAAAAC4CAABkcnMv&#10;ZTJvRG9jLnhtbFBLAQItABQABgAIAAAAIQBcTVso4QAAAAwBAAAPAAAAAAAAAAAAAAAAAEkEAABk&#10;cnMvZG93bnJldi54bWxQSwUGAAAAAAQABADzAAAAVwUAAAAA&#10;" filled="f" stroked="f">
                <v:textbox inset="0,0,0,0">
                  <w:txbxContent>
                    <w:p w14:paraId="43B1F81B" w14:textId="77777777" w:rsidR="00490F33" w:rsidRDefault="00490F33">
                      <w:pPr>
                        <w:spacing w:before="10" w:line="299" w:lineRule="exact"/>
                        <w:textAlignment w:val="baseline"/>
                        <w:rPr>
                          <w:rFonts w:ascii="Tahoma" w:eastAsia="Tahoma" w:hAnsi="Tahoma"/>
                          <w:i/>
                          <w:color w:val="027791"/>
                          <w:sz w:val="21"/>
                        </w:rPr>
                      </w:pPr>
                      <w:r>
                        <w:rPr>
                          <w:rFonts w:ascii="Tahoma" w:eastAsia="Tahoma" w:hAnsi="Tahoma"/>
                          <w:i/>
                          <w:color w:val="027791"/>
                          <w:sz w:val="21"/>
                        </w:rPr>
                        <w:t xml:space="preserve">“One parent spoke of how her son was once a chronic school refuser but, since enrolling at Flexi School, he has only been staying home when he is actually sick! His </w:t>
                      </w:r>
                      <w:r>
                        <w:rPr>
                          <w:rFonts w:ascii="Verdana" w:eastAsia="Verdana" w:hAnsi="Verdana"/>
                          <w:i/>
                          <w:color w:val="027791"/>
                          <w:sz w:val="19"/>
                        </w:rPr>
                        <w:t xml:space="preserve">confidence has improved, his grades are </w:t>
                      </w:r>
                      <w:r>
                        <w:rPr>
                          <w:rFonts w:ascii="Tahoma" w:eastAsia="Tahoma" w:hAnsi="Tahoma"/>
                          <w:i/>
                          <w:color w:val="027791"/>
                          <w:sz w:val="21"/>
                        </w:rPr>
                        <w:t xml:space="preserve">getting better, and he has made some close </w:t>
                      </w:r>
                      <w:r>
                        <w:rPr>
                          <w:rFonts w:ascii="Verdana" w:eastAsia="Verdana" w:hAnsi="Verdana"/>
                          <w:i/>
                          <w:color w:val="027791"/>
                          <w:sz w:val="19"/>
                        </w:rPr>
                        <w:t xml:space="preserve">friends. Another spoke of how the flexible </w:t>
                      </w:r>
                      <w:r>
                        <w:rPr>
                          <w:rFonts w:ascii="Tahoma" w:eastAsia="Tahoma" w:hAnsi="Tahoma"/>
                          <w:i/>
                          <w:color w:val="027791"/>
                          <w:sz w:val="21"/>
                        </w:rPr>
                        <w:t>timetable meant that her daughter had been able to pick up quite a number of shifts at her workplace each week, while still being able to attend all her classes.”</w:t>
                      </w:r>
                    </w:p>
                    <w:p w14:paraId="1D88090A" w14:textId="77777777" w:rsidR="00490F33" w:rsidRDefault="00490F33">
                      <w:pPr>
                        <w:spacing w:before="51" w:line="237" w:lineRule="exact"/>
                        <w:jc w:val="right"/>
                        <w:textAlignment w:val="baseline"/>
                        <w:rPr>
                          <w:rFonts w:ascii="Tahoma" w:eastAsia="Tahoma" w:hAnsi="Tahoma"/>
                          <w:i/>
                          <w:color w:val="027791"/>
                          <w:sz w:val="21"/>
                        </w:rPr>
                      </w:pPr>
                      <w:r>
                        <w:rPr>
                          <w:rFonts w:ascii="Tahoma" w:eastAsia="Tahoma" w:hAnsi="Tahoma"/>
                          <w:i/>
                          <w:color w:val="027791"/>
                          <w:sz w:val="21"/>
                        </w:rPr>
                        <w:t>Flexi School, 2020</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79232" behindDoc="1" locked="0" layoutInCell="1" allowOverlap="1" wp14:anchorId="7C9F16A3" wp14:editId="7E34675E">
                <wp:simplePos x="0" y="0"/>
                <wp:positionH relativeFrom="page">
                  <wp:posOffset>4184650</wp:posOffset>
                </wp:positionH>
                <wp:positionV relativeFrom="page">
                  <wp:posOffset>6467475</wp:posOffset>
                </wp:positionV>
                <wp:extent cx="1402080" cy="374650"/>
                <wp:effectExtent l="0" t="0" r="0" b="0"/>
                <wp:wrapSquare wrapText="bothSides"/>
                <wp:docPr id="43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72197" w14:textId="77777777" w:rsidR="00490F33" w:rsidRDefault="00490F33">
                            <w:pPr>
                              <w:spacing w:before="7" w:line="171" w:lineRule="exact"/>
                              <w:textAlignment w:val="baseline"/>
                              <w:rPr>
                                <w:rFonts w:ascii="Tahoma" w:eastAsia="Tahoma" w:hAnsi="Tahoma"/>
                                <w:color w:val="030404"/>
                                <w:spacing w:val="2"/>
                                <w:sz w:val="14"/>
                              </w:rPr>
                            </w:pPr>
                            <w:r>
                              <w:rPr>
                                <w:rFonts w:ascii="Tahoma" w:eastAsia="Tahoma" w:hAnsi="Tahoma"/>
                                <w:color w:val="030404"/>
                                <w:spacing w:val="2"/>
                                <w:sz w:val="14"/>
                              </w:rPr>
                              <w:t>Source: Toowoomba</w:t>
                            </w:r>
                          </w:p>
                          <w:p w14:paraId="75207EA9" w14:textId="77777777" w:rsidR="00490F33" w:rsidRDefault="00490F33">
                            <w:pPr>
                              <w:spacing w:before="6" w:line="171" w:lineRule="exact"/>
                              <w:textAlignment w:val="baseline"/>
                              <w:rPr>
                                <w:rFonts w:ascii="Tahoma" w:eastAsia="Tahoma" w:hAnsi="Tahoma"/>
                                <w:color w:val="030404"/>
                                <w:spacing w:val="2"/>
                                <w:sz w:val="14"/>
                              </w:rPr>
                            </w:pPr>
                            <w:r>
                              <w:rPr>
                                <w:rFonts w:ascii="Tahoma" w:eastAsia="Tahoma" w:hAnsi="Tahoma"/>
                                <w:color w:val="030404"/>
                                <w:spacing w:val="2"/>
                                <w:sz w:val="14"/>
                              </w:rPr>
                              <w:t>Flexi School website,</w:t>
                            </w:r>
                          </w:p>
                          <w:p w14:paraId="7AA80D4E" w14:textId="77777777" w:rsidR="00490F33" w:rsidRDefault="00837BFF">
                            <w:pPr>
                              <w:spacing w:before="31" w:after="29" w:line="171" w:lineRule="exact"/>
                              <w:textAlignment w:val="baseline"/>
                              <w:rPr>
                                <w:rFonts w:ascii="Verdana" w:eastAsia="Verdana" w:hAnsi="Verdana"/>
                                <w:color w:val="030404"/>
                                <w:spacing w:val="-5"/>
                                <w:sz w:val="13"/>
                              </w:rPr>
                            </w:pPr>
                            <w:hyperlink r:id="rId275">
                              <w:r w:rsidR="00490F33">
                                <w:rPr>
                                  <w:rFonts w:ascii="Verdana" w:eastAsia="Verdana" w:hAnsi="Verdana"/>
                                  <w:color w:val="0000FF"/>
                                  <w:spacing w:val="-5"/>
                                  <w:sz w:val="13"/>
                                  <w:u w:val="single"/>
                                </w:rPr>
                                <w:t>https://toowoombaflex.eq.edu.au</w:t>
                              </w:r>
                            </w:hyperlink>
                            <w:r w:rsidR="00490F33">
                              <w:rPr>
                                <w:rFonts w:ascii="Tahoma" w:eastAsia="Tahoma" w:hAnsi="Tahoma"/>
                                <w:color w:val="030404"/>
                                <w:spacing w:val="-5"/>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F16A3" id="Text Box 160" o:spid="_x0000_s1344" type="#_x0000_t202" style="position:absolute;margin-left:329.5pt;margin-top:509.25pt;width:110.4pt;height:29.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7c8gEAAMMDAAAOAAAAZHJzL2Uyb0RvYy54bWysU9uO0zAQfUfiHyy/06QXSomarpZdLUJa&#10;FqRdPmDqOI1F4jFjt0n5esZO213gDfFijT3j43POjNdXQ9eKgyZv0JZyOsml0FZhZeyulN+e7t6s&#10;pPABbAUtWl3Ko/byavP61bp3hZ5hg22lSTCI9UXvStmE4Ios86rRHfgJOm05WSN1EHhLu6wi6Bm9&#10;a7NZni+zHqlyhEp7z6e3Y1JuEn5daxW+1LXXQbSlZG4hrZTWbVyzzRqKHYFrjDrRgH9g0YGx/OgF&#10;6hYCiD2Zv6A6owg91mGisMuwro3SSQOrmeZ/qHlswOmkhc3x7mKT/3+w6uHwlYSpSrmYv5fCQsdN&#10;etJDEB9wENNlcqh3vuDCR8elYeAEdzqp9e4e1XcvLN40YHf6mgj7RkPFDKfR2+zF1dgTX/gIsu0/&#10;Y8UPwT5gAhpq6qJ9bIhgdO7U8dKdSEbFJxf5LF9xSnFu/m6xfJvIZVCcbzvy4aPGTsSglMTdT+hw&#10;uPchsoHiXBIfs3hn2jZNQGt/O+DCeJLYR8Ij9TBsh2TVfLqK4qKcLVZHFkQ4Thb/BA4apJ9S9DxV&#10;pfQ/9kBaivaTZVPiCJ4DOgfbcwBW8dVSBinG8CaMo7p3ZHYNI4+2W7xm42qTND2zOBHmSUlST1Md&#10;R/HlPlU9/73NLwAAAP//AwBQSwMEFAAGAAgAAAAhANi8mRfgAAAADQEAAA8AAABkcnMvZG93bnJl&#10;di54bWxMj81OwzAQhO9IfQdrK3GjdpHyS5yqQnBCQqThwNGJ3SRqvA6x24a3Z3uC486MZucrdosd&#10;2cXMfnAoYbsRwAy2Tg/YSfisXx9SYD4o1Gp0aCT8GA+7cnVXqFy7K1bmcggdoxL0uZLQhzDlnPu2&#10;N1b5jZsMknd0s1WBzrnjelZXKrcjfxQi5lYNSB96NZnn3rSnw9lK2H9h9TJ8vzcf1bEa6joT+Baf&#10;pLxfL/snYMEs4S8Mt/k0HUra1Lgzas9GCXGUEUsgQ2zTCBhF0iQjmuYmJUkEvCz4f4ryFwAA//8D&#10;AFBLAQItABQABgAIAAAAIQC2gziS/gAAAOEBAAATAAAAAAAAAAAAAAAAAAAAAABbQ29udGVudF9U&#10;eXBlc10ueG1sUEsBAi0AFAAGAAgAAAAhADj9If/WAAAAlAEAAAsAAAAAAAAAAAAAAAAALwEAAF9y&#10;ZWxzLy5yZWxzUEsBAi0AFAAGAAgAAAAhAFZxvtzyAQAAwwMAAA4AAAAAAAAAAAAAAAAALgIAAGRy&#10;cy9lMm9Eb2MueG1sUEsBAi0AFAAGAAgAAAAhANi8mRfgAAAADQEAAA8AAAAAAAAAAAAAAAAATAQA&#10;AGRycy9kb3ducmV2LnhtbFBLBQYAAAAABAAEAPMAAABZBQAAAAA=&#10;" filled="f" stroked="f">
                <v:textbox inset="0,0,0,0">
                  <w:txbxContent>
                    <w:p w14:paraId="62872197" w14:textId="77777777" w:rsidR="00490F33" w:rsidRDefault="00490F33">
                      <w:pPr>
                        <w:spacing w:before="7" w:line="171" w:lineRule="exact"/>
                        <w:textAlignment w:val="baseline"/>
                        <w:rPr>
                          <w:rFonts w:ascii="Tahoma" w:eastAsia="Tahoma" w:hAnsi="Tahoma"/>
                          <w:color w:val="030404"/>
                          <w:spacing w:val="2"/>
                          <w:sz w:val="14"/>
                        </w:rPr>
                      </w:pPr>
                      <w:r>
                        <w:rPr>
                          <w:rFonts w:ascii="Tahoma" w:eastAsia="Tahoma" w:hAnsi="Tahoma"/>
                          <w:color w:val="030404"/>
                          <w:spacing w:val="2"/>
                          <w:sz w:val="14"/>
                        </w:rPr>
                        <w:t>Source: Toowoomba</w:t>
                      </w:r>
                    </w:p>
                    <w:p w14:paraId="75207EA9" w14:textId="77777777" w:rsidR="00490F33" w:rsidRDefault="00490F33">
                      <w:pPr>
                        <w:spacing w:before="6" w:line="171" w:lineRule="exact"/>
                        <w:textAlignment w:val="baseline"/>
                        <w:rPr>
                          <w:rFonts w:ascii="Tahoma" w:eastAsia="Tahoma" w:hAnsi="Tahoma"/>
                          <w:color w:val="030404"/>
                          <w:spacing w:val="2"/>
                          <w:sz w:val="14"/>
                        </w:rPr>
                      </w:pPr>
                      <w:r>
                        <w:rPr>
                          <w:rFonts w:ascii="Tahoma" w:eastAsia="Tahoma" w:hAnsi="Tahoma"/>
                          <w:color w:val="030404"/>
                          <w:spacing w:val="2"/>
                          <w:sz w:val="14"/>
                        </w:rPr>
                        <w:t>Flexi School website,</w:t>
                      </w:r>
                    </w:p>
                    <w:p w14:paraId="7AA80D4E" w14:textId="77777777" w:rsidR="00490F33" w:rsidRDefault="00837BFF">
                      <w:pPr>
                        <w:spacing w:before="31" w:after="29" w:line="171" w:lineRule="exact"/>
                        <w:textAlignment w:val="baseline"/>
                        <w:rPr>
                          <w:rFonts w:ascii="Verdana" w:eastAsia="Verdana" w:hAnsi="Verdana"/>
                          <w:color w:val="030404"/>
                          <w:spacing w:val="-5"/>
                          <w:sz w:val="13"/>
                        </w:rPr>
                      </w:pPr>
                      <w:hyperlink r:id="rId276">
                        <w:r w:rsidR="00490F33">
                          <w:rPr>
                            <w:rFonts w:ascii="Verdana" w:eastAsia="Verdana" w:hAnsi="Verdana"/>
                            <w:color w:val="0000FF"/>
                            <w:spacing w:val="-5"/>
                            <w:sz w:val="13"/>
                            <w:u w:val="single"/>
                          </w:rPr>
                          <w:t>https://toowoombaflex.eq.edu.au</w:t>
                        </w:r>
                      </w:hyperlink>
                      <w:r w:rsidR="00490F33">
                        <w:rPr>
                          <w:rFonts w:ascii="Tahoma" w:eastAsia="Tahoma" w:hAnsi="Tahoma"/>
                          <w:color w:val="030404"/>
                          <w:spacing w:val="-5"/>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0256" behindDoc="1" locked="0" layoutInCell="1" allowOverlap="1" wp14:anchorId="3B6E809A" wp14:editId="19486CBD">
                <wp:simplePos x="0" y="0"/>
                <wp:positionH relativeFrom="page">
                  <wp:posOffset>911225</wp:posOffset>
                </wp:positionH>
                <wp:positionV relativeFrom="page">
                  <wp:posOffset>8238490</wp:posOffset>
                </wp:positionV>
                <wp:extent cx="1274445" cy="241300"/>
                <wp:effectExtent l="0" t="0" r="0" b="0"/>
                <wp:wrapSquare wrapText="bothSides"/>
                <wp:docPr id="43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4A4E2" w14:textId="77777777" w:rsidR="00490F33" w:rsidRDefault="00490F33">
                            <w:pPr>
                              <w:spacing w:line="187" w:lineRule="exact"/>
                              <w:textAlignment w:val="baseline"/>
                              <w:rPr>
                                <w:rFonts w:ascii="Tahoma" w:eastAsia="Tahoma" w:hAnsi="Tahoma"/>
                                <w:color w:val="030404"/>
                                <w:sz w:val="14"/>
                              </w:rPr>
                            </w:pPr>
                            <w:r>
                              <w:rPr>
                                <w:rFonts w:ascii="Tahoma" w:eastAsia="Tahoma" w:hAnsi="Tahoma"/>
                                <w:color w:val="030404"/>
                                <w:sz w:val="14"/>
                              </w:rPr>
                              <w:t>Baked and presented by students at the Flexi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E809A" id="Text Box 159" o:spid="_x0000_s1345" type="#_x0000_t202" style="position:absolute;margin-left:71.75pt;margin-top:648.7pt;width:100.35pt;height:19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oY8AEAAMMDAAAOAAAAZHJzL2Uyb0RvYy54bWysU8Fu2zAMvQ/YPwi6L46TdFuNOEXXosOA&#10;rhvQ7gMYWY6F2aJGKbGzrx8lx1m73YZdBEokHx8fqfXV0LXioMkbtKXMZ3MptFVYGbsr5benuzfv&#10;pfABbAUtWl3Ko/byavP61bp3hV5gg22lSTCI9UXvStmE4Ios86rRHfgZOm3ZWSN1EPhKu6wi6Bm9&#10;a7PFfP4265EqR6i09/x6OzrlJuHXtVbhS117HURbSuYW0knp3MYz26yh2BG4xqgTDfgHFh0Yy0XP&#10;ULcQQOzJ/AXVGUXosQ4zhV2GdW2UTj1wN/n8j24eG3A69cLieHeWyf8/WPVw+ErCVKVcLXlUFjoe&#10;0pMegviAg8gvLqNCvfMFBz46Dg0DO3jSqVvv7lF998LiTQN2p6+JsG80VMwwj5nZs9QRx0eQbf8Z&#10;Ky4E+4AJaKipi/KxIILReVLH83QiGRVLLt6tVqsLKRT7Fqt8OU/jy6CYsh358FFjJ6JRSuLpJ3Q4&#10;3PsQ2UAxhcRiFu9M26YNaO2LBw6ML4l9JDxSD8N2SFIt87MsW6yO3BDhuFn8E9hokH5K0fNWldL/&#10;2ANpKdpPlkWJKzgZNBnbyQCrOLWUQYrRvAnjqu4dmV3DyKPsFq9ZuNqknqLCI4sTYd6U1Oppq+Mq&#10;Pr+nqN9/b/MLAAD//wMAUEsDBBQABgAIAAAAIQA5e6ti4gAAAA0BAAAPAAAAZHJzL2Rvd25yZXYu&#10;eG1sTI/BTsMwEETvSPyDtUjcqEPiFhriVBWCExJqGg4cndhNrMbrELtt+HuWE9x2dkezb4rN7AZ2&#10;NlOwHiXcLxJgBluvLXYSPurXu0dgISrUavBoJHybAJvy+qpQufYXrMx5HztGIRhyJaGPccw5D21v&#10;nAoLPxqk28FPTkWSU8f1pC4U7gaeJsmKO2WRPvRqNM+9aY/7k5Ow/cTqxX69N7vqUNm6Xif4tjpK&#10;eXszb5+ARTPHPzP84hM6lMTU+BPqwAbSIluSlYZ0/SCAkSUTIgXW0CrLlgJ4WfD/LcofAAAA//8D&#10;AFBLAQItABQABgAIAAAAIQC2gziS/gAAAOEBAAATAAAAAAAAAAAAAAAAAAAAAABbQ29udGVudF9U&#10;eXBlc10ueG1sUEsBAi0AFAAGAAgAAAAhADj9If/WAAAAlAEAAAsAAAAAAAAAAAAAAAAALwEAAF9y&#10;ZWxzLy5yZWxzUEsBAi0AFAAGAAgAAAAhAKpjWhjwAQAAwwMAAA4AAAAAAAAAAAAAAAAALgIAAGRy&#10;cy9lMm9Eb2MueG1sUEsBAi0AFAAGAAgAAAAhADl7q2LiAAAADQEAAA8AAAAAAAAAAAAAAAAASgQA&#10;AGRycy9kb3ducmV2LnhtbFBLBQYAAAAABAAEAPMAAABZBQAAAAA=&#10;" filled="f" stroked="f">
                <v:textbox inset="0,0,0,0">
                  <w:txbxContent>
                    <w:p w14:paraId="2FC4A4E2" w14:textId="77777777" w:rsidR="00490F33" w:rsidRDefault="00490F33">
                      <w:pPr>
                        <w:spacing w:line="187" w:lineRule="exact"/>
                        <w:textAlignment w:val="baseline"/>
                        <w:rPr>
                          <w:rFonts w:ascii="Tahoma" w:eastAsia="Tahoma" w:hAnsi="Tahoma"/>
                          <w:color w:val="030404"/>
                          <w:sz w:val="14"/>
                        </w:rPr>
                      </w:pPr>
                      <w:r>
                        <w:rPr>
                          <w:rFonts w:ascii="Tahoma" w:eastAsia="Tahoma" w:hAnsi="Tahoma"/>
                          <w:color w:val="030404"/>
                          <w:sz w:val="14"/>
                        </w:rPr>
                        <w:t>Baked and presented by students at the Flexi School.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1280" behindDoc="1" locked="0" layoutInCell="1" allowOverlap="1" wp14:anchorId="0A804B81" wp14:editId="76DD5A38">
                <wp:simplePos x="0" y="0"/>
                <wp:positionH relativeFrom="page">
                  <wp:posOffset>545465</wp:posOffset>
                </wp:positionH>
                <wp:positionV relativeFrom="page">
                  <wp:posOffset>9698355</wp:posOffset>
                </wp:positionV>
                <wp:extent cx="1219200" cy="140970"/>
                <wp:effectExtent l="0" t="0" r="0" b="0"/>
                <wp:wrapSquare wrapText="bothSides"/>
                <wp:docPr id="43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6852F" w14:textId="77777777" w:rsidR="00490F33" w:rsidRDefault="00490F33">
                            <w:pPr>
                              <w:tabs>
                                <w:tab w:val="right" w:pos="1944"/>
                              </w:tabs>
                              <w:spacing w:after="31" w:line="190" w:lineRule="exact"/>
                              <w:textAlignment w:val="baseline"/>
                              <w:rPr>
                                <w:rFonts w:ascii="Arial" w:eastAsia="Arial" w:hAnsi="Arial"/>
                                <w:b/>
                                <w:color w:val="5057A3"/>
                                <w:sz w:val="18"/>
                              </w:rPr>
                            </w:pPr>
                            <w:r>
                              <w:rPr>
                                <w:rFonts w:ascii="Arial" w:eastAsia="Arial" w:hAnsi="Arial"/>
                                <w:b/>
                                <w:color w:val="5057A3"/>
                                <w:sz w:val="18"/>
                              </w:rPr>
                              <w:t>124</w:t>
                            </w:r>
                            <w:r>
                              <w:rPr>
                                <w:rFonts w:ascii="Tahoma" w:eastAsia="Tahoma" w:hAnsi="Tahoma"/>
                                <w:color w:val="41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04B81" id="Text Box 158" o:spid="_x0000_s1346" type="#_x0000_t202" style="position:absolute;margin-left:42.95pt;margin-top:763.65pt;width:96pt;height:11.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i8AEAAMMDAAAOAAAAZHJzL2Uyb0RvYy54bWysU9tu2zAMfR+wfxD0vthOu7U14hRdiw4D&#10;ugvQ7gMYWY6F2aJGKbGzrx8lx2m3vQ17ESiJOjznkFpdj30n9pq8QVvJYpFLoa3C2thtJb893b+5&#10;lMIHsDV0aHUlD9rL6/XrV6vBlXqJLXa1JsEg1peDq2QbgiuzzKtW9+AX6LTlywaph8Bb2mY1wcDo&#10;fZct8/xdNiDVjlBp7/n0brqU64TfNFqFL03jdRBdJZlbSCuldRPXbL2CckvgWqOONOAfWPRgLBc9&#10;Qd1BALEj8xdUbxShxyYsFPYZNo1ROmlgNUX+h5rHFpxOWtgc7042+f8Hqz7vv5IwdSXPzy6ksNBz&#10;k570GMR7HEXx9jI6NDhfcuKj49Qw8gV3Oqn17gHVdy8s3rZgt/qGCIdWQ80Mi/gye/F0wvERZDN8&#10;wpoLwS5gAhob6qN9bIhgdO7U4dSdSEbFksviilsuheK74jy/ukjty6CcXzvy4YPGXsSgksTdT+iw&#10;f/AhsoFyTonFLN6brksT0NnfDjgxniT2kfBEPYybMVl1tkyVo7YN1gcWRDhNFv8EDlqkn1IMPFWV&#10;9D92QFqK7qNlU+IIzgHNwWYOwCp+WskgxRTehmlUd47MtmXkyXaLN2xcY5KmZxZHwjwpSepxquMo&#10;vtynrOe/t/4FAAD//wMAUEsDBBQABgAIAAAAIQBTb97b4AAAAAwBAAAPAAAAZHJzL2Rvd25yZXYu&#10;eG1sTI/BTsMwDIbvSLxDZCRuLKXQdS1NpwnBaRKiKweOaZO10RqnNNnWvT3eCY7+/Ov352I924Gd&#10;9OSNQwGPiwiYxtYpg52Ar/r9YQXMB4lKDg61gIv2sC5vbwqZK3fGSp92oWNUgj6XAvoQxpxz3/ba&#10;Sr9wo0ba7d1kZaBx6ria5JnK7cDjKFpyKw3ShV6O+rXX7WF3tAI231i9mZ+P5rPaV6auswi3y4MQ&#10;93fz5gVY0HP4C8NVn9ShJKfGHVF5NghYJRkliSdx+gSMEnGaEmqu6DlLgJcF//9E+QsAAP//AwBQ&#10;SwECLQAUAAYACAAAACEAtoM4kv4AAADhAQAAEwAAAAAAAAAAAAAAAAAAAAAAW0NvbnRlbnRfVHlw&#10;ZXNdLnhtbFBLAQItABQABgAIAAAAIQA4/SH/1gAAAJQBAAALAAAAAAAAAAAAAAAAAC8BAABfcmVs&#10;cy8ucmVsc1BLAQItABQABgAIAAAAIQAwXY/i8AEAAMMDAAAOAAAAAAAAAAAAAAAAAC4CAABkcnMv&#10;ZTJvRG9jLnhtbFBLAQItABQABgAIAAAAIQBTb97b4AAAAAwBAAAPAAAAAAAAAAAAAAAAAEoEAABk&#10;cnMvZG93bnJldi54bWxQSwUGAAAAAAQABADzAAAAVwUAAAAA&#10;" filled="f" stroked="f">
                <v:textbox inset="0,0,0,0">
                  <w:txbxContent>
                    <w:p w14:paraId="7006852F" w14:textId="77777777" w:rsidR="00490F33" w:rsidRDefault="00490F33">
                      <w:pPr>
                        <w:tabs>
                          <w:tab w:val="right" w:pos="1944"/>
                        </w:tabs>
                        <w:spacing w:after="31" w:line="190" w:lineRule="exact"/>
                        <w:textAlignment w:val="baseline"/>
                        <w:rPr>
                          <w:rFonts w:ascii="Arial" w:eastAsia="Arial" w:hAnsi="Arial"/>
                          <w:b/>
                          <w:color w:val="5057A3"/>
                          <w:sz w:val="18"/>
                        </w:rPr>
                      </w:pPr>
                      <w:r>
                        <w:rPr>
                          <w:rFonts w:ascii="Arial" w:eastAsia="Arial" w:hAnsi="Arial"/>
                          <w:b/>
                          <w:color w:val="5057A3"/>
                          <w:sz w:val="18"/>
                        </w:rPr>
                        <w:t>124</w:t>
                      </w:r>
                      <w:r>
                        <w:rPr>
                          <w:rFonts w:ascii="Tahoma" w:eastAsia="Tahoma" w:hAnsi="Tahoma"/>
                          <w:color w:val="414042"/>
                          <w:sz w:val="14"/>
                        </w:rPr>
                        <w:tab/>
                        <w:t>Looking to the future</w:t>
                      </w:r>
                    </w:p>
                  </w:txbxContent>
                </v:textbox>
                <w10:wrap type="square" anchorx="page" anchory="page"/>
              </v:shape>
            </w:pict>
          </mc:Fallback>
        </mc:AlternateContent>
      </w:r>
    </w:p>
    <w:p w14:paraId="3C873967" w14:textId="77777777" w:rsidR="009757A9" w:rsidRDefault="009757A9">
      <w:pPr>
        <w:sectPr w:rsidR="009757A9">
          <w:pgSz w:w="11909" w:h="16838"/>
          <w:pgMar w:top="0" w:right="1440" w:bottom="0" w:left="1440" w:header="720" w:footer="720" w:gutter="0"/>
          <w:cols w:space="720"/>
        </w:sectPr>
      </w:pPr>
    </w:p>
    <w:p w14:paraId="2AB1F6FE" w14:textId="77777777" w:rsidR="009757A9" w:rsidRDefault="00083242">
      <w:pPr>
        <w:spacing w:before="24" w:line="282" w:lineRule="exact"/>
        <w:ind w:left="864"/>
        <w:textAlignment w:val="baseline"/>
        <w:rPr>
          <w:rFonts w:ascii="Arial" w:eastAsia="Arial" w:hAnsi="Arial"/>
          <w:b/>
          <w:color w:val="00708E"/>
          <w:sz w:val="25"/>
        </w:rPr>
      </w:pPr>
      <w:r>
        <w:rPr>
          <w:rFonts w:ascii="Arial" w:eastAsia="Arial" w:hAnsi="Arial"/>
          <w:b/>
          <w:color w:val="00708E"/>
          <w:sz w:val="25"/>
        </w:rPr>
        <w:lastRenderedPageBreak/>
        <w:t>Supporting all students</w:t>
      </w:r>
    </w:p>
    <w:p w14:paraId="085D3F33" w14:textId="77777777" w:rsidR="009757A9" w:rsidRDefault="00083242">
      <w:pPr>
        <w:spacing w:before="163"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Some students face particular challenges in making decisions around their future pathways. They are less likely to </w:t>
      </w:r>
      <w:r>
        <w:rPr>
          <w:rFonts w:ascii="Verdana" w:eastAsia="Verdana" w:hAnsi="Verdana"/>
          <w:color w:val="404042"/>
          <w:sz w:val="18"/>
        </w:rPr>
        <w:t xml:space="preserve">experience successful transitions from school. As identified above, these obstacles can include geographic barriers, limited access to work, financial barriers, low parental expectations and low aspirations. There are a number of priority </w:t>
      </w:r>
      <w:r>
        <w:rPr>
          <w:rFonts w:ascii="Tahoma" w:eastAsia="Tahoma" w:hAnsi="Tahoma"/>
          <w:color w:val="404042"/>
          <w:sz w:val="18"/>
        </w:rPr>
        <w:t>equity cohorts where “traditional pathways from secondary school through to tertiary education and employment have generated unintended barriers for particular students and systemic barriers for particular groups.”</w:t>
      </w:r>
      <w:r>
        <w:rPr>
          <w:rFonts w:ascii="Tahoma" w:eastAsia="Tahoma" w:hAnsi="Tahoma"/>
          <w:color w:val="404042"/>
          <w:sz w:val="18"/>
          <w:vertAlign w:val="superscript"/>
        </w:rPr>
        <w:t>186</w:t>
      </w:r>
      <w:r>
        <w:rPr>
          <w:rFonts w:ascii="Tahoma" w:eastAsia="Tahoma" w:hAnsi="Tahoma"/>
          <w:color w:val="404042"/>
          <w:sz w:val="9"/>
        </w:rPr>
        <w:t xml:space="preserve"> </w:t>
      </w:r>
    </w:p>
    <w:p w14:paraId="7C4E4198" w14:textId="77777777" w:rsidR="009757A9" w:rsidRDefault="00083242">
      <w:pPr>
        <w:spacing w:before="167"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Outcomes of educational disadvantage can include poorer engagement at school and, consequently, lower participation in the labour market. Research indicates that students who fall behind in their learning can only catch up again if they are provided with appropriate support. Targeted interventions for students who require them remain important throughout their schooling. High-performing lower socioeconomic status schools routinely provide support for students at risk, both within and outside the traditional school day.</w:t>
      </w:r>
      <w:r>
        <w:rPr>
          <w:rFonts w:ascii="Tahoma" w:eastAsia="Tahoma" w:hAnsi="Tahoma"/>
          <w:color w:val="404042"/>
          <w:spacing w:val="6"/>
          <w:sz w:val="18"/>
          <w:vertAlign w:val="superscript"/>
        </w:rPr>
        <w:t>187</w:t>
      </w:r>
      <w:r>
        <w:rPr>
          <w:rFonts w:ascii="Tahoma" w:eastAsia="Tahoma" w:hAnsi="Tahoma"/>
          <w:color w:val="404042"/>
          <w:spacing w:val="6"/>
          <w:sz w:val="9"/>
        </w:rPr>
        <w:t xml:space="preserve"> </w:t>
      </w:r>
    </w:p>
    <w:p w14:paraId="61375BA7" w14:textId="77777777" w:rsidR="009757A9" w:rsidRDefault="00083242">
      <w:pPr>
        <w:spacing w:before="262" w:line="237" w:lineRule="exact"/>
        <w:ind w:left="864"/>
        <w:textAlignment w:val="baseline"/>
        <w:rPr>
          <w:rFonts w:ascii="Arial" w:eastAsia="Arial" w:hAnsi="Arial"/>
          <w:b/>
          <w:color w:val="000000"/>
          <w:sz w:val="21"/>
        </w:rPr>
      </w:pPr>
      <w:r>
        <w:rPr>
          <w:rFonts w:ascii="Arial" w:eastAsia="Arial" w:hAnsi="Arial"/>
          <w:b/>
          <w:color w:val="000000"/>
          <w:sz w:val="21"/>
        </w:rPr>
        <w:t>Aboriginal and Torres Strait Islander students</w:t>
      </w:r>
    </w:p>
    <w:p w14:paraId="23C40430" w14:textId="77777777" w:rsidR="009757A9" w:rsidRDefault="00083242">
      <w:pPr>
        <w:spacing w:before="161"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The Year 12 attainment rate is a Closing the Gap measure that has been successfully met over the past decade. It </w:t>
      </w:r>
      <w:r>
        <w:rPr>
          <w:rFonts w:ascii="Verdana" w:eastAsia="Verdana" w:hAnsi="Verdana"/>
          <w:color w:val="404042"/>
          <w:sz w:val="18"/>
        </w:rPr>
        <w:t xml:space="preserve">provides confirmation that school-based interventions can have a positive impact on tackling disadvantage in the </w:t>
      </w:r>
      <w:r>
        <w:rPr>
          <w:rFonts w:ascii="Tahoma" w:eastAsia="Tahoma" w:hAnsi="Tahoma"/>
          <w:color w:val="404042"/>
          <w:sz w:val="18"/>
        </w:rPr>
        <w:t>classroom. Yet some Aboriginal and Torres Strait Islander students still face barriers in making successful transitions to post-schooling pathways and into employment.</w:t>
      </w:r>
    </w:p>
    <w:p w14:paraId="31E17C35" w14:textId="77777777" w:rsidR="009757A9" w:rsidRDefault="00083242">
      <w:pPr>
        <w:spacing w:before="184" w:line="240" w:lineRule="exact"/>
        <w:ind w:left="864" w:right="864"/>
        <w:textAlignment w:val="baseline"/>
        <w:rPr>
          <w:rFonts w:ascii="Tahoma" w:eastAsia="Tahoma" w:hAnsi="Tahoma"/>
          <w:color w:val="404042"/>
          <w:sz w:val="18"/>
        </w:rPr>
      </w:pPr>
      <w:r>
        <w:rPr>
          <w:rFonts w:ascii="Tahoma" w:eastAsia="Tahoma" w:hAnsi="Tahoma"/>
          <w:color w:val="404042"/>
          <w:sz w:val="18"/>
        </w:rPr>
        <w:t>In 2019, the apparent retention rate between Year 10 and Year 11 for Indigenous students was 82.4 per cent, compared to 93.8 per cent for non-Indigenous students.</w:t>
      </w:r>
      <w:r>
        <w:rPr>
          <w:rFonts w:ascii="Tahoma" w:eastAsia="Tahoma" w:hAnsi="Tahoma"/>
          <w:color w:val="404042"/>
          <w:sz w:val="18"/>
          <w:vertAlign w:val="superscript"/>
        </w:rPr>
        <w:t>188</w:t>
      </w:r>
      <w:r>
        <w:rPr>
          <w:rFonts w:ascii="Tahoma" w:eastAsia="Tahoma" w:hAnsi="Tahoma"/>
          <w:color w:val="404042"/>
          <w:sz w:val="18"/>
        </w:rPr>
        <w:t xml:space="preserve"> Between Year 10 and Year 12, the rate for Indigenous students was 60.0 per cent, compared to 83.2 per cent for nonIndigenous students.</w:t>
      </w:r>
      <w:r>
        <w:rPr>
          <w:rFonts w:ascii="Tahoma" w:eastAsia="Tahoma" w:hAnsi="Tahoma"/>
          <w:color w:val="404042"/>
          <w:sz w:val="18"/>
          <w:vertAlign w:val="superscript"/>
        </w:rPr>
        <w:t>189</w:t>
      </w:r>
      <w:r>
        <w:rPr>
          <w:rFonts w:ascii="Tahoma" w:eastAsia="Tahoma" w:hAnsi="Tahoma"/>
          <w:color w:val="404042"/>
          <w:sz w:val="9"/>
        </w:rPr>
        <w:t xml:space="preserve"> </w:t>
      </w:r>
    </w:p>
    <w:p w14:paraId="3266BDC5" w14:textId="77777777" w:rsidR="009757A9" w:rsidRDefault="00083242">
      <w:pPr>
        <w:spacing w:before="157" w:after="4694" w:line="240" w:lineRule="exact"/>
        <w:ind w:left="864" w:right="1080"/>
        <w:textAlignment w:val="baseline"/>
        <w:rPr>
          <w:rFonts w:ascii="Tahoma" w:eastAsia="Tahoma" w:hAnsi="Tahoma"/>
          <w:color w:val="404042"/>
          <w:spacing w:val="5"/>
          <w:sz w:val="18"/>
        </w:rPr>
      </w:pPr>
      <w:r>
        <w:rPr>
          <w:rFonts w:ascii="Tahoma" w:eastAsia="Tahoma" w:hAnsi="Tahoma"/>
          <w:color w:val="404042"/>
          <w:spacing w:val="5"/>
          <w:sz w:val="18"/>
        </w:rPr>
        <w:t>More remains to be done to support students to build their expectations and aspirations. We know that when Aboriginal and Torres Strait Islander students are supported to participate in schooling and higher education, they succeed. We know, too, that successful educational outcomes translate into employment opportunity. For example, the 2019 Graduate Outcomes Survey found that undergraduate full-time employment outcomes were actually better for Indigenous students than non-Indigenous students.</w:t>
      </w:r>
      <w:r>
        <w:rPr>
          <w:rFonts w:ascii="Tahoma" w:eastAsia="Tahoma" w:hAnsi="Tahoma"/>
          <w:color w:val="404042"/>
          <w:spacing w:val="5"/>
          <w:sz w:val="9"/>
        </w:rPr>
        <w:t xml:space="preserve">19 </w:t>
      </w:r>
      <w:r>
        <w:rPr>
          <w:rFonts w:ascii="Tahoma" w:eastAsia="Tahoma" w:hAnsi="Tahoma"/>
          <w:color w:val="404042"/>
          <w:spacing w:val="5"/>
          <w:sz w:val="9"/>
          <w:vertAlign w:val="superscript"/>
        </w:rPr>
        <w:t>0</w:t>
      </w:r>
      <w:r>
        <w:rPr>
          <w:rFonts w:ascii="Tahoma" w:eastAsia="Tahoma" w:hAnsi="Tahoma"/>
          <w:color w:val="404042"/>
          <w:spacing w:val="5"/>
          <w:sz w:val="18"/>
        </w:rPr>
        <w:t xml:space="preserve"> Governments should be encouraged by the fact that well-targeted educational interventions can help to overcome even the most entrenched forms of disadvantage.</w:t>
      </w:r>
    </w:p>
    <w:p w14:paraId="2A8AF11B" w14:textId="77777777" w:rsidR="009757A9" w:rsidRDefault="009757A9">
      <w:pPr>
        <w:spacing w:before="157" w:after="4694" w:line="240" w:lineRule="exact"/>
        <w:sectPr w:rsidR="009757A9">
          <w:pgSz w:w="11909" w:h="16838"/>
          <w:pgMar w:top="1080" w:right="0" w:bottom="0" w:left="0" w:header="720" w:footer="720" w:gutter="0"/>
          <w:cols w:space="720"/>
        </w:sectPr>
      </w:pPr>
    </w:p>
    <w:p w14:paraId="2F5057AD" w14:textId="77777777" w:rsidR="009757A9" w:rsidRDefault="000D2E34">
      <w:pPr>
        <w:spacing w:before="80" w:line="167" w:lineRule="exact"/>
        <w:ind w:left="864"/>
        <w:textAlignment w:val="baseline"/>
        <w:rPr>
          <w:rFonts w:ascii="Tahoma" w:eastAsia="Tahoma" w:hAnsi="Tahoma"/>
          <w:color w:val="404042"/>
          <w:spacing w:val="6"/>
          <w:sz w:val="14"/>
        </w:rPr>
      </w:pPr>
      <w:r>
        <w:rPr>
          <w:noProof/>
          <w:lang w:val="en-AU" w:eastAsia="en-AU"/>
        </w:rPr>
        <mc:AlternateContent>
          <mc:Choice Requires="wps">
            <w:drawing>
              <wp:anchor distT="0" distB="0" distL="114300" distR="114300" simplePos="0" relativeHeight="251976192" behindDoc="0" locked="0" layoutInCell="1" allowOverlap="1" wp14:anchorId="24DB05B0" wp14:editId="017607C9">
                <wp:simplePos x="0" y="0"/>
                <wp:positionH relativeFrom="page">
                  <wp:posOffset>539750</wp:posOffset>
                </wp:positionH>
                <wp:positionV relativeFrom="page">
                  <wp:posOffset>8223250</wp:posOffset>
                </wp:positionV>
                <wp:extent cx="917575" cy="0"/>
                <wp:effectExtent l="0" t="0" r="0" b="0"/>
                <wp:wrapNone/>
                <wp:docPr id="43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43E86" id="Line 157" o:spid="_x0000_s1026" style="position:absolute;z-index:2519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47.5pt" to="114.75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H+zgEAAIYDAAAOAAAAZHJzL2Uyb0RvYy54bWysU02T0zAMvTPDf/D4TpMU2kKm6R5alkuB&#10;zuzyA1TbSTw4lsd2m/bfI7sfu8CNIQePZUlPT0/K8uE0GHZUPmi0Da8mJWfKCpTadg3/8fz47iNn&#10;IYKVYNCqhp9V4A+rt2+Wo6vVFHs0UnlGIDbUo2t4H6OriyKIXg0QJuiUJWeLfoBIpu8K6WEk9MEU&#10;07KcFyN66TwKFQK9bi5Ovsr4batE/N62QUVmGk7cYj59PvfpLFZLqDsPrtfiSgP+gcUA2lLRO9QG&#10;IrCD139BDVp4DNjGicChwLbVQuUeqJuq/KObpx6cyr2QOMHdZQr/D1Z8O+4807LhH97PObMw0JC2&#10;2ipWzRZJndGFmoLWdudTf+Jkn9wWxc/ALK57sJ3KLJ/PjhKrlFH8lpKM4KjGfvyKkmLgEDFLdWr9&#10;kCBJBHbKEznfJ6JOkQl6/FQtZosZZ+LmKqC+5Tkf4heFA0uXhhsinXHhuA0x8YD6FpLKWHzUxuR5&#10;G8tGIjst57OcEdBombwpLvhuvzaeHSGtTP5yV+R5HZagNxD6S1x2XZbJ48HKXKZXID9f7xG0udyJ&#10;lrFXlZIwF4n3KM87f1OPhp35XxczbdNrO2e//D6rXwAAAP//AwBQSwMEFAAGAAgAAAAhAMy8cxXc&#10;AAAADAEAAA8AAABkcnMvZG93bnJldi54bWxMT9FKw0AQfBf8h2MFX6S9GKrEmEuRgr4ptlrs4za3&#10;JsHcXshdm/j3bh9E32ZnhtmZYjm5Th1pCK1nA9fzBBRx5W3LtYH3t8dZBipEZIudZzLwTQGW5flZ&#10;gbn1I6/puIm1khAOORpoYuxzrUPVkMMw9z2xaJ9+cBjlHGptBxwl3HU6TZJb7bBl+dBgT6uGqq/N&#10;wRnQOskW0/ZjfF5chazdrerd08urMZcX08M9qEhT/DPDqb5Uh1I67f2BbVCdgexGpkTh07sTEkcq&#10;CNT+l9Jlof+PKH8AAAD//wMAUEsBAi0AFAAGAAgAAAAhALaDOJL+AAAA4QEAABMAAAAAAAAAAAAA&#10;AAAAAAAAAFtDb250ZW50X1R5cGVzXS54bWxQSwECLQAUAAYACAAAACEAOP0h/9YAAACUAQAACwAA&#10;AAAAAAAAAAAAAAAvAQAAX3JlbHMvLnJlbHNQSwECLQAUAAYACAAAACEAWMyB/s4BAACGAwAADgAA&#10;AAAAAAAAAAAAAAAuAgAAZHJzL2Uyb0RvYy54bWxQSwECLQAUAAYACAAAACEAzLxzFdwAAAAMAQAA&#10;DwAAAAAAAAAAAAAAAAAoBAAAZHJzL2Rvd25yZXYueG1sUEsFBgAAAAAEAAQA8wAAADEFAAAAAA==&#10;" strokeweight=".95pt">
                <w10:wrap anchorx="page" anchory="page"/>
              </v:line>
            </w:pict>
          </mc:Fallback>
        </mc:AlternateContent>
      </w:r>
      <w:r w:rsidR="00083242">
        <w:rPr>
          <w:rFonts w:ascii="Tahoma" w:eastAsia="Tahoma" w:hAnsi="Tahoma"/>
          <w:color w:val="404042"/>
          <w:spacing w:val="6"/>
          <w:sz w:val="14"/>
        </w:rPr>
        <w:t>186 University of Western Australia submission.</w:t>
      </w:r>
    </w:p>
    <w:p w14:paraId="38404A89" w14:textId="77777777" w:rsidR="009757A9" w:rsidRDefault="00083242">
      <w:pPr>
        <w:spacing w:before="30" w:line="166" w:lineRule="exact"/>
        <w:ind w:left="864"/>
        <w:textAlignment w:val="baseline"/>
        <w:rPr>
          <w:rFonts w:ascii="Tahoma" w:eastAsia="Tahoma" w:hAnsi="Tahoma"/>
          <w:color w:val="404042"/>
          <w:spacing w:val="6"/>
          <w:sz w:val="14"/>
        </w:rPr>
      </w:pPr>
      <w:r>
        <w:rPr>
          <w:rFonts w:ascii="Tahoma" w:eastAsia="Tahoma" w:hAnsi="Tahoma"/>
          <w:color w:val="404042"/>
          <w:spacing w:val="6"/>
          <w:sz w:val="14"/>
        </w:rPr>
        <w:t>187 Mitchell Institute, Victoria University, submission.</w:t>
      </w:r>
    </w:p>
    <w:p w14:paraId="15783693" w14:textId="77777777" w:rsidR="009757A9" w:rsidRDefault="00083242">
      <w:pPr>
        <w:spacing w:before="35" w:line="172" w:lineRule="exact"/>
        <w:ind w:left="864"/>
        <w:textAlignment w:val="baseline"/>
        <w:rPr>
          <w:rFonts w:ascii="Tahoma" w:eastAsia="Tahoma" w:hAnsi="Tahoma"/>
          <w:color w:val="404042"/>
          <w:spacing w:val="6"/>
          <w:sz w:val="14"/>
        </w:rPr>
      </w:pPr>
      <w:r>
        <w:rPr>
          <w:rFonts w:ascii="Tahoma" w:eastAsia="Tahoma" w:hAnsi="Tahoma"/>
          <w:color w:val="404042"/>
          <w:spacing w:val="6"/>
          <w:sz w:val="14"/>
        </w:rPr>
        <w:t>188 Australian Curriculum, Assessment and Reporting Authority, ‘Apparent retention’, National Report on Schooling in Australia data portal</w:t>
      </w:r>
    </w:p>
    <w:p w14:paraId="3FD25FD9" w14:textId="77777777" w:rsidR="009757A9" w:rsidRDefault="00083242">
      <w:pPr>
        <w:spacing w:line="196" w:lineRule="exact"/>
        <w:ind w:left="1080" w:right="1080"/>
        <w:textAlignment w:val="baseline"/>
        <w:rPr>
          <w:rFonts w:ascii="Verdana" w:eastAsia="Verdana" w:hAnsi="Verdana"/>
          <w:color w:val="404042"/>
          <w:sz w:val="13"/>
        </w:rPr>
      </w:pPr>
      <w:r>
        <w:rPr>
          <w:rFonts w:ascii="Verdana" w:eastAsia="Verdana" w:hAnsi="Verdana"/>
          <w:color w:val="404042"/>
          <w:sz w:val="13"/>
        </w:rPr>
        <w:t xml:space="preserve">(accessed 28 April 2020), </w:t>
      </w:r>
      <w:hyperlink r:id="rId277">
        <w:r>
          <w:rPr>
            <w:rFonts w:ascii="Tahoma" w:eastAsia="Tahoma" w:hAnsi="Tahoma"/>
            <w:color w:val="0000FF"/>
            <w:sz w:val="14"/>
            <w:u w:val="single"/>
          </w:rPr>
          <w:t>https://www.acara.edu.au/reporting/national-report-on-schooling-in-australia/national-report-on-schooling-in-austral</w:t>
        </w:r>
      </w:hyperlink>
      <w:r>
        <w:rPr>
          <w:rFonts w:ascii="Tahoma" w:eastAsia="Tahoma" w:hAnsi="Tahoma"/>
          <w:color w:val="404042"/>
          <w:sz w:val="14"/>
        </w:rPr>
        <w:t xml:space="preserve"> ia-data-portal/apparent-retention#View3.</w:t>
      </w:r>
    </w:p>
    <w:p w14:paraId="04B3D563" w14:textId="77777777" w:rsidR="009757A9" w:rsidRDefault="00083242">
      <w:pPr>
        <w:spacing w:before="35" w:line="166" w:lineRule="exact"/>
        <w:ind w:left="864"/>
        <w:textAlignment w:val="baseline"/>
        <w:rPr>
          <w:rFonts w:ascii="Tahoma" w:eastAsia="Tahoma" w:hAnsi="Tahoma"/>
          <w:color w:val="404042"/>
          <w:spacing w:val="3"/>
          <w:sz w:val="14"/>
        </w:rPr>
      </w:pPr>
      <w:r>
        <w:rPr>
          <w:rFonts w:ascii="Tahoma" w:eastAsia="Tahoma" w:hAnsi="Tahoma"/>
          <w:color w:val="404042"/>
          <w:spacing w:val="3"/>
          <w:sz w:val="14"/>
        </w:rPr>
        <w:t>189 Ibid.</w:t>
      </w:r>
    </w:p>
    <w:p w14:paraId="020DEA5F" w14:textId="77777777" w:rsidR="009757A9" w:rsidRDefault="00083242">
      <w:pPr>
        <w:spacing w:before="1" w:line="199" w:lineRule="exact"/>
        <w:ind w:left="1080" w:right="1512" w:hanging="216"/>
        <w:textAlignment w:val="baseline"/>
        <w:rPr>
          <w:rFonts w:ascii="Verdana" w:eastAsia="Verdana" w:hAnsi="Verdana"/>
          <w:color w:val="404042"/>
          <w:sz w:val="13"/>
        </w:rPr>
      </w:pPr>
      <w:r>
        <w:rPr>
          <w:rFonts w:ascii="Verdana" w:eastAsia="Verdana" w:hAnsi="Verdana"/>
          <w:color w:val="404042"/>
          <w:sz w:val="13"/>
        </w:rPr>
        <w:t xml:space="preserve">190 Quality Indicators for Learning and Teaching (2019b), 2019 Graduate Outcomes Survey national tables, Table 15, </w:t>
      </w:r>
      <w:hyperlink r:id="rId278">
        <w:r>
          <w:rPr>
            <w:rFonts w:ascii="Tahoma" w:eastAsia="Tahoma" w:hAnsi="Tahoma"/>
            <w:color w:val="0000FF"/>
            <w:sz w:val="14"/>
            <w:u w:val="single"/>
          </w:rPr>
          <w:t>https://www.qilt.edu.au/ qilt-surveys/graduate-employment</w:t>
        </w:r>
      </w:hyperlink>
      <w:r>
        <w:rPr>
          <w:rFonts w:ascii="Tahoma" w:eastAsia="Tahoma" w:hAnsi="Tahoma"/>
          <w:color w:val="404042"/>
          <w:sz w:val="14"/>
        </w:rPr>
        <w:t>.</w:t>
      </w:r>
    </w:p>
    <w:p w14:paraId="6AE4E2DA" w14:textId="77777777" w:rsidR="009757A9" w:rsidRDefault="00083242">
      <w:pPr>
        <w:spacing w:before="677" w:after="641" w:line="199"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8"/>
        </w:rPr>
        <w:t xml:space="preserve"> 125</w:t>
      </w:r>
    </w:p>
    <w:p w14:paraId="69DFA2B5" w14:textId="77777777" w:rsidR="009757A9" w:rsidRDefault="00083242">
      <w:pPr>
        <w:textAlignment w:val="baseline"/>
      </w:pPr>
      <w:r>
        <w:rPr>
          <w:noProof/>
          <w:lang w:val="en-AU" w:eastAsia="en-AU"/>
        </w:rPr>
        <w:drawing>
          <wp:inline distT="0" distB="0" distL="0" distR="0" wp14:anchorId="28154B24" wp14:editId="53F0627E">
            <wp:extent cx="7562215" cy="462915"/>
            <wp:effectExtent l="0" t="0" r="0" b="0"/>
            <wp:docPr id="207" name="Picture"/>
            <wp:cNvGraphicFramePr/>
            <a:graphic xmlns:a="http://schemas.openxmlformats.org/drawingml/2006/main">
              <a:graphicData uri="http://schemas.openxmlformats.org/drawingml/2006/picture">
                <pic:pic xmlns:pic="http://schemas.openxmlformats.org/drawingml/2006/picture">
                  <pic:nvPicPr>
                    <pic:cNvPr id="207" name="Picture"/>
                    <pic:cNvPicPr preferRelativeResize="0"/>
                  </pic:nvPicPr>
                  <pic:blipFill>
                    <a:blip r:embed="rId37"/>
                    <a:stretch>
                      <a:fillRect/>
                    </a:stretch>
                  </pic:blipFill>
                  <pic:spPr>
                    <a:xfrm>
                      <a:off x="0" y="0"/>
                      <a:ext cx="7562215" cy="462915"/>
                    </a:xfrm>
                    <a:prstGeom prst="rect">
                      <a:avLst/>
                    </a:prstGeom>
                  </pic:spPr>
                </pic:pic>
              </a:graphicData>
            </a:graphic>
          </wp:inline>
        </w:drawing>
      </w:r>
    </w:p>
    <w:p w14:paraId="4371DEAF" w14:textId="77777777" w:rsidR="009757A9" w:rsidRDefault="009757A9">
      <w:pPr>
        <w:sectPr w:rsidR="009757A9">
          <w:type w:val="continuous"/>
          <w:pgSz w:w="11909" w:h="16838"/>
          <w:pgMar w:top="1080" w:right="0" w:bottom="0" w:left="0" w:header="720" w:footer="720" w:gutter="0"/>
          <w:cols w:space="720"/>
        </w:sectPr>
      </w:pPr>
    </w:p>
    <w:p w14:paraId="0278ACC1"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682304" behindDoc="1" locked="0" layoutInCell="1" allowOverlap="1" wp14:anchorId="47FF6CE1" wp14:editId="2D00C184">
                <wp:simplePos x="0" y="0"/>
                <wp:positionH relativeFrom="page">
                  <wp:posOffset>0</wp:posOffset>
                </wp:positionH>
                <wp:positionV relativeFrom="page">
                  <wp:posOffset>0</wp:posOffset>
                </wp:positionV>
                <wp:extent cx="7562215" cy="10692130"/>
                <wp:effectExtent l="0" t="0" r="0" b="0"/>
                <wp:wrapSquare wrapText="bothSides"/>
                <wp:docPr id="43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2D921" w14:textId="77777777" w:rsidR="00490F33" w:rsidRDefault="00490F33">
                            <w:pPr>
                              <w:textAlignment w:val="baseline"/>
                            </w:pPr>
                            <w:r>
                              <w:rPr>
                                <w:noProof/>
                                <w:lang w:val="en-AU" w:eastAsia="en-AU"/>
                              </w:rPr>
                              <w:drawing>
                                <wp:inline distT="0" distB="0" distL="0" distR="0" wp14:anchorId="0F744A3C" wp14:editId="59AB3360">
                                  <wp:extent cx="7562215" cy="10692130"/>
                                  <wp:effectExtent l="0" t="0" r="0" b="0"/>
                                  <wp:docPr id="20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 name="Picture">
                                            <a:extLst>
                                              <a:ext uri="{C183D7F6-B498-43B3-948B-1728B52AA6E4}">
                                                <adec:decorative xmlns:adec="http://schemas.microsoft.com/office/drawing/2017/decorative" val="1"/>
                                              </a:ext>
                                            </a:extLst>
                                          </pic:cNvPr>
                                          <pic:cNvPicPr preferRelativeResize="0"/>
                                        </pic:nvPicPr>
                                        <pic:blipFill>
                                          <a:blip r:embed="rId279"/>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F6CE1" id="Text Box 156" o:spid="_x0000_s1347" type="#_x0000_t202" style="position:absolute;margin-left:0;margin-top:0;width:595.45pt;height:841.9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qZ8gEAAMUDAAAOAAAAZHJzL2Uyb0RvYy54bWysU9uO0zAQfUfiHyy/0zQpLRA1XS27WoS0&#10;XKRdPmDqOI1F4jFjt0n5esZO213gDfFijcfj43POjNdXY9+JgyZv0FYyn82l0FZhbeyukt8e7169&#10;lcIHsDV0aHUlj9rLq83LF+vBlbrAFrtak2AQ68vBVbINwZVZ5lWre/AzdNryYYPUQ+At7bKaYGD0&#10;vsuK+XyVDUi1I1Tae87eTodyk/CbRqvwpWm8DqKrJHMLaaW0buOabdZQ7ghca9SJBvwDix6M5Ucv&#10;ULcQQOzJ/AXVG0XosQkzhX2GTWOUThpYTT7/Q81DC04nLWyOdxeb/P+DVZ8PX0mYupKvF0spLPTc&#10;pEc9BvEeR5EvV9GhwfmSCx8cl4aRD7jTSa1396i+e2HxpgW709dEOLQaamaYx5vZs6sTjo8g2+ET&#10;1vwQ7AMmoLGhPtrHhghG504dL92JZBQn3yxXRZEzScVn+Xz1rsgXqYEZlOf7jnz4oLEXMagkcf8T&#10;PhzufYh8oDyXxOcs3pmuSzPQ2d8SXBgziX+kPJEP43ZMZi2KJC+q22J9ZEmE02zxX+CgRfopxcBz&#10;VUn/Yw+kpeg+WrYlDuE5oHOwPQdgFV+tZJBiCm/CNKx7R2bXMvJkvMVrtq4xSdMTixNhnpUk9TTX&#10;cRif71PV0+/b/AI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Ap0upnyAQAAxQMAAA4AAAAAAAAAAAAAAAAALgIAAGRycy9l&#10;Mm9Eb2MueG1sUEsBAi0AFAAGAAgAAAAhAHsiySLdAAAABwEAAA8AAAAAAAAAAAAAAAAATAQAAGRy&#10;cy9kb3ducmV2LnhtbFBLBQYAAAAABAAEAPMAAABWBQAAAAA=&#10;" filled="f" stroked="f">
                <v:textbox inset="0,0,0,0">
                  <w:txbxContent>
                    <w:p w14:paraId="6942D921" w14:textId="77777777" w:rsidR="00490F33" w:rsidRDefault="00490F33">
                      <w:pPr>
                        <w:textAlignment w:val="baseline"/>
                      </w:pPr>
                      <w:r>
                        <w:rPr>
                          <w:noProof/>
                          <w:lang w:val="en-AU" w:eastAsia="en-AU"/>
                        </w:rPr>
                        <w:drawing>
                          <wp:inline distT="0" distB="0" distL="0" distR="0" wp14:anchorId="0F744A3C" wp14:editId="59AB3360">
                            <wp:extent cx="7562215" cy="10692130"/>
                            <wp:effectExtent l="0" t="0" r="0" b="0"/>
                            <wp:docPr id="20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 name="Picture">
                                      <a:extLst>
                                        <a:ext uri="{C183D7F6-B498-43B3-948B-1728B52AA6E4}">
                                          <adec:decorative xmlns:adec="http://schemas.microsoft.com/office/drawing/2017/decorative" val="1"/>
                                        </a:ext>
                                      </a:extLst>
                                    </pic:cNvPr>
                                    <pic:cNvPicPr preferRelativeResize="0"/>
                                  </pic:nvPicPr>
                                  <pic:blipFill>
                                    <a:blip r:embed="rId279"/>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3328" behindDoc="1" locked="0" layoutInCell="1" allowOverlap="1" wp14:anchorId="110CAD43" wp14:editId="2E5FA1AE">
                <wp:simplePos x="0" y="0"/>
                <wp:positionH relativeFrom="page">
                  <wp:posOffset>841375</wp:posOffset>
                </wp:positionH>
                <wp:positionV relativeFrom="page">
                  <wp:posOffset>982980</wp:posOffset>
                </wp:positionV>
                <wp:extent cx="2606040" cy="1135380"/>
                <wp:effectExtent l="0" t="0" r="0" b="0"/>
                <wp:wrapSquare wrapText="bothSides"/>
                <wp:docPr id="43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113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E2BE1"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9564123" w14:textId="77777777" w:rsidR="00490F33" w:rsidRDefault="00490F33">
                            <w:pPr>
                              <w:spacing w:line="425" w:lineRule="exact"/>
                              <w:textAlignment w:val="baseline"/>
                              <w:rPr>
                                <w:rFonts w:ascii="Tahoma" w:eastAsia="Tahoma" w:hAnsi="Tahoma"/>
                                <w:color w:val="BF5B1F"/>
                                <w:spacing w:val="17"/>
                                <w:w w:val="95"/>
                                <w:sz w:val="38"/>
                              </w:rPr>
                            </w:pPr>
                            <w:r>
                              <w:rPr>
                                <w:rFonts w:ascii="Tahoma" w:eastAsia="Tahoma" w:hAnsi="Tahoma"/>
                                <w:color w:val="BF5B1F"/>
                                <w:spacing w:val="17"/>
                                <w:w w:val="95"/>
                                <w:sz w:val="38"/>
                              </w:rPr>
                              <w:t>WUYAGIBA REGIONAL</w:t>
                            </w:r>
                          </w:p>
                          <w:p w14:paraId="6D0DB2DB" w14:textId="77777777" w:rsidR="00490F33" w:rsidRDefault="00490F33">
                            <w:pPr>
                              <w:spacing w:line="46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STUDY HUB,</w:t>
                            </w:r>
                          </w:p>
                          <w:p w14:paraId="41935EEA" w14:textId="77777777" w:rsidR="00490F33" w:rsidRDefault="00490F33">
                            <w:pPr>
                              <w:spacing w:before="1" w:line="450" w:lineRule="exact"/>
                              <w:textAlignment w:val="baseline"/>
                              <w:rPr>
                                <w:rFonts w:ascii="Tahoma" w:eastAsia="Tahoma" w:hAnsi="Tahoma"/>
                                <w:color w:val="BF5B1F"/>
                                <w:spacing w:val="6"/>
                                <w:w w:val="95"/>
                                <w:sz w:val="38"/>
                              </w:rPr>
                            </w:pPr>
                            <w:r>
                              <w:rPr>
                                <w:rFonts w:ascii="Tahoma" w:eastAsia="Tahoma" w:hAnsi="Tahoma"/>
                                <w:color w:val="BF5B1F"/>
                                <w:spacing w:val="6"/>
                                <w:w w:val="95"/>
                                <w:sz w:val="38"/>
                              </w:rPr>
                              <w:t>NORTHERN TERRITORY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CAD43" id="Text Box 155" o:spid="_x0000_s1348" type="#_x0000_t202" style="position:absolute;margin-left:66.25pt;margin-top:77.4pt;width:205.2pt;height:89.4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jx8QEAAMQDAAAOAAAAZHJzL2Uyb0RvYy54bWysU9tu1DAQfUfiHyy/s0n2pirabFVaFSEV&#10;qNTyAY7jJBaJx4y9myxfz9jZLIW+VbxY47kcnzkz3l2PfceOCp0GU/BskXKmjIRKm6bg35/vP1xx&#10;5rwwlejAqIKflOPX+/fvdoPN1RJa6CqFjECMywdb8NZ7myeJk63qhVuAVYaCNWAvPF2xSSoUA6H3&#10;XbJM020yAFYWQSrnyHs3Bfk+4te1kv5bXTvlWVdw4ubjifEsw5nsdyJvUNhWyzMN8QYWvdCGHr1A&#10;3Qkv2AH1K6heSwQHtV9I6BOoay1V7IG6ydJ/unlqhVWxFxLH2YtM7v/Byq/HR2S6Kvh6tebMiJ6G&#10;9KxGzz7CyLLNJig0WJdT4pOlVD9SgCYdu3X2AeQPxwzctsI06gYRhlaJihhmoTJ5UTrhuABSDl+g&#10;oofEwUMEGmvsg3wkCCN0mtTpMp1ARpJzuU236ZpCkmJZttqsruL8EpHP5Rad/6SgZ8EoONL4I7w4&#10;Pjgf6Ih8TgmvGbjXXRdXoDN/OSgxeCL9wHji7sdyjFqtlstZlxKqE3WEMK0WfQUyWsBfnA20VgV3&#10;Pw8CFWfdZ0OqhB2cDZyNcjaEkVRacM/ZZN76aVcPFnXTEvKku4EbUq7Wsacg8cTiTJhWJbZ6Xuuw&#10;iy/vMevP59v/BgAA//8DAFBLAwQUAAYACAAAACEAA+dVZt8AAAALAQAADwAAAGRycy9kb3ducmV2&#10;LnhtbEyPTU+DQBCG7yb+h82YeLOLUIhFlqYxejIxUjx4XGAKm7KzyG5b/PeOJ73Nm3nyfhTbxY7i&#10;jLM3jhTcryIQSK3rDPUKPuqXuwcQPmjq9OgIFXyjh215fVXovHMXqvC8D71gE/K5VjCEMOVS+nZA&#10;q/3KTUj8O7jZ6sBy7mU36wub21HGUZRJqw1xwqAnfBqwPe5PVsHuk6pn8/XWvFeHytT1JqLX7KjU&#10;7c2yewQRcAl/MPzW5+pQcqfGnajzYmSdxCmjfKRr3sBEuo43IBoFSZJkIMtC/t9Q/gAAAP//AwBQ&#10;SwECLQAUAAYACAAAACEAtoM4kv4AAADhAQAAEwAAAAAAAAAAAAAAAAAAAAAAW0NvbnRlbnRfVHlw&#10;ZXNdLnhtbFBLAQItABQABgAIAAAAIQA4/SH/1gAAAJQBAAALAAAAAAAAAAAAAAAAAC8BAABfcmVs&#10;cy8ucmVsc1BLAQItABQABgAIAAAAIQBnZTjx8QEAAMQDAAAOAAAAAAAAAAAAAAAAAC4CAABkcnMv&#10;ZTJvRG9jLnhtbFBLAQItABQABgAIAAAAIQAD51Vm3wAAAAsBAAAPAAAAAAAAAAAAAAAAAEsEAABk&#10;cnMvZG93bnJldi54bWxQSwUGAAAAAAQABADzAAAAVwUAAAAA&#10;" filled="f" stroked="f">
                <v:textbox inset="0,0,0,0">
                  <w:txbxContent>
                    <w:p w14:paraId="7F2E2BE1"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9564123" w14:textId="77777777" w:rsidR="00490F33" w:rsidRDefault="00490F33">
                      <w:pPr>
                        <w:spacing w:line="425" w:lineRule="exact"/>
                        <w:textAlignment w:val="baseline"/>
                        <w:rPr>
                          <w:rFonts w:ascii="Tahoma" w:eastAsia="Tahoma" w:hAnsi="Tahoma"/>
                          <w:color w:val="BF5B1F"/>
                          <w:spacing w:val="17"/>
                          <w:w w:val="95"/>
                          <w:sz w:val="38"/>
                        </w:rPr>
                      </w:pPr>
                      <w:r>
                        <w:rPr>
                          <w:rFonts w:ascii="Tahoma" w:eastAsia="Tahoma" w:hAnsi="Tahoma"/>
                          <w:color w:val="BF5B1F"/>
                          <w:spacing w:val="17"/>
                          <w:w w:val="95"/>
                          <w:sz w:val="38"/>
                        </w:rPr>
                        <w:t>WUYAGIBA REGIONAL</w:t>
                      </w:r>
                    </w:p>
                    <w:p w14:paraId="6D0DB2DB" w14:textId="77777777" w:rsidR="00490F33" w:rsidRDefault="00490F33">
                      <w:pPr>
                        <w:spacing w:line="460"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STUDY HUB,</w:t>
                      </w:r>
                    </w:p>
                    <w:p w14:paraId="41935EEA" w14:textId="77777777" w:rsidR="00490F33" w:rsidRDefault="00490F33">
                      <w:pPr>
                        <w:spacing w:before="1" w:line="450" w:lineRule="exact"/>
                        <w:textAlignment w:val="baseline"/>
                        <w:rPr>
                          <w:rFonts w:ascii="Tahoma" w:eastAsia="Tahoma" w:hAnsi="Tahoma"/>
                          <w:color w:val="BF5B1F"/>
                          <w:spacing w:val="6"/>
                          <w:w w:val="95"/>
                          <w:sz w:val="38"/>
                        </w:rPr>
                      </w:pPr>
                      <w:r>
                        <w:rPr>
                          <w:rFonts w:ascii="Tahoma" w:eastAsia="Tahoma" w:hAnsi="Tahoma"/>
                          <w:color w:val="BF5B1F"/>
                          <w:spacing w:val="6"/>
                          <w:w w:val="95"/>
                          <w:sz w:val="38"/>
                        </w:rPr>
                        <w:t>NORTHERN TERRITORY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4352" behindDoc="1" locked="0" layoutInCell="1" allowOverlap="1" wp14:anchorId="25CA6ED9" wp14:editId="620B3E1E">
                <wp:simplePos x="0" y="0"/>
                <wp:positionH relativeFrom="page">
                  <wp:posOffset>905510</wp:posOffset>
                </wp:positionH>
                <wp:positionV relativeFrom="page">
                  <wp:posOffset>2294890</wp:posOffset>
                </wp:positionV>
                <wp:extent cx="2462530" cy="2438400"/>
                <wp:effectExtent l="0" t="0" r="0" b="0"/>
                <wp:wrapSquare wrapText="bothSides"/>
                <wp:docPr id="43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D2FD2" w14:textId="77777777" w:rsidR="00490F33" w:rsidRDefault="00490F33">
                            <w:pPr>
                              <w:spacing w:line="239" w:lineRule="exact"/>
                              <w:textAlignment w:val="baseline"/>
                              <w:rPr>
                                <w:rFonts w:ascii="Tahoma" w:eastAsia="Tahoma" w:hAnsi="Tahoma"/>
                                <w:color w:val="404042"/>
                                <w:spacing w:val="6"/>
                                <w:sz w:val="18"/>
                              </w:rPr>
                            </w:pPr>
                            <w:r>
                              <w:rPr>
                                <w:rFonts w:ascii="Tahoma" w:eastAsia="Tahoma" w:hAnsi="Tahoma"/>
                                <w:color w:val="404042"/>
                                <w:spacing w:val="6"/>
                                <w:sz w:val="18"/>
                              </w:rPr>
                              <w:t>Wuyagiba is a small homeland located between the main Aboriginal communities of south-east Arnhem Land, Ngukurr</w:t>
                            </w:r>
                            <w:r>
                              <w:rPr>
                                <w:rFonts w:ascii="Tahoma" w:eastAsia="Tahoma" w:hAnsi="Tahoma"/>
                                <w:color w:val="4B423B"/>
                                <w:spacing w:val="6"/>
                                <w:sz w:val="18"/>
                              </w:rPr>
                              <w:t xml:space="preserve"> and </w:t>
                            </w:r>
                            <w:r>
                              <w:rPr>
                                <w:rFonts w:ascii="Tahoma" w:eastAsia="Tahoma" w:hAnsi="Tahoma"/>
                                <w:color w:val="404042"/>
                                <w:spacing w:val="6"/>
                                <w:sz w:val="18"/>
                              </w:rPr>
                              <w:t>Numbulwar, in the Northern</w:t>
                            </w:r>
                            <w:r>
                              <w:rPr>
                                <w:rFonts w:ascii="Tahoma" w:eastAsia="Tahoma" w:hAnsi="Tahoma"/>
                                <w:color w:val="4B423B"/>
                                <w:spacing w:val="6"/>
                                <w:sz w:val="18"/>
                              </w:rPr>
                              <w:t xml:space="preserve"> Territory. The </w:t>
                            </w:r>
                            <w:r>
                              <w:rPr>
                                <w:rFonts w:ascii="Tahoma" w:eastAsia="Tahoma" w:hAnsi="Tahoma"/>
                                <w:color w:val="404042"/>
                                <w:spacing w:val="6"/>
                                <w:sz w:val="18"/>
                              </w:rPr>
                              <w:t>proportion of young people</w:t>
                            </w:r>
                            <w:r>
                              <w:rPr>
                                <w:rFonts w:ascii="Tahoma" w:eastAsia="Tahoma" w:hAnsi="Tahoma"/>
                                <w:color w:val="4B423B"/>
                                <w:spacing w:val="6"/>
                                <w:sz w:val="18"/>
                              </w:rPr>
                              <w:t xml:space="preserve"> under the age </w:t>
                            </w:r>
                            <w:r>
                              <w:rPr>
                                <w:rFonts w:ascii="Tahoma" w:eastAsia="Tahoma" w:hAnsi="Tahoma"/>
                                <w:color w:val="404042"/>
                                <w:spacing w:val="6"/>
                                <w:sz w:val="18"/>
                              </w:rPr>
                              <w:t>of 19 in the town of Ngukurr is</w:t>
                            </w:r>
                            <w:r>
                              <w:rPr>
                                <w:rFonts w:ascii="Tahoma" w:eastAsia="Tahoma" w:hAnsi="Tahoma"/>
                                <w:color w:val="4B423B"/>
                                <w:spacing w:val="6"/>
                                <w:sz w:val="18"/>
                              </w:rPr>
                              <w:t xml:space="preserve"> 44.6 per cent, </w:t>
                            </w:r>
                            <w:r>
                              <w:rPr>
                                <w:rFonts w:ascii="Tahoma" w:eastAsia="Tahoma" w:hAnsi="Tahoma"/>
                                <w:color w:val="404042"/>
                                <w:spacing w:val="6"/>
                                <w:sz w:val="18"/>
                              </w:rPr>
                              <w:t>compared to the national average</w:t>
                            </w:r>
                            <w:r>
                              <w:rPr>
                                <w:rFonts w:ascii="Tahoma" w:eastAsia="Tahoma" w:hAnsi="Tahoma"/>
                                <w:color w:val="4B423B"/>
                                <w:spacing w:val="6"/>
                                <w:sz w:val="18"/>
                              </w:rPr>
                              <w:t xml:space="preserve"> of 24.8 per </w:t>
                            </w:r>
                            <w:r>
                              <w:rPr>
                                <w:rFonts w:ascii="Tahoma" w:eastAsia="Tahoma" w:hAnsi="Tahoma"/>
                                <w:color w:val="404042"/>
                                <w:spacing w:val="6"/>
                                <w:sz w:val="18"/>
                              </w:rPr>
                              <w:t>cent. However, only 4.2 per cent of</w:t>
                            </w:r>
                            <w:r>
                              <w:rPr>
                                <w:rFonts w:ascii="Tahoma" w:eastAsia="Tahoma" w:hAnsi="Tahoma"/>
                                <w:color w:val="4B423B"/>
                                <w:spacing w:val="6"/>
                                <w:sz w:val="18"/>
                              </w:rPr>
                              <w:t xml:space="preserve"> people </w:t>
                            </w:r>
                            <w:r>
                              <w:rPr>
                                <w:rFonts w:ascii="Tahoma" w:eastAsia="Tahoma" w:hAnsi="Tahoma"/>
                                <w:color w:val="404042"/>
                                <w:spacing w:val="6"/>
                                <w:sz w:val="18"/>
                              </w:rPr>
                              <w:t>in the Ngukurr community have a</w:t>
                            </w:r>
                            <w:r>
                              <w:rPr>
                                <w:rFonts w:ascii="Tahoma" w:eastAsia="Tahoma" w:hAnsi="Tahoma"/>
                                <w:color w:val="4B423B"/>
                                <w:spacing w:val="6"/>
                                <w:sz w:val="18"/>
                              </w:rPr>
                              <w:t xml:space="preserve"> bachelor </w:t>
                            </w:r>
                            <w:r>
                              <w:rPr>
                                <w:rFonts w:ascii="Tahoma" w:eastAsia="Tahoma" w:hAnsi="Tahoma"/>
                                <w:color w:val="404042"/>
                                <w:spacing w:val="6"/>
                                <w:sz w:val="18"/>
                              </w:rPr>
                              <w:t>degree (most likely the non-Indigenous residents), compared with 22 per cent Australia wide. There is a clear need to do things differently to encourage young people to complete further education while staying on country and maintaining their cultural and family links.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A6ED9" id="Text Box 154" o:spid="_x0000_s1349" type="#_x0000_t202" style="position:absolute;margin-left:71.3pt;margin-top:180.7pt;width:193.9pt;height:192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4808gEAAMQDAAAOAAAAZHJzL2Uyb0RvYy54bWysU9tu2zAMfR+wfxD0vjix06Iw4hRdiw4D&#10;uq1Auw9gZDkWZosapcTuvn6UHGfd9jbsRaB4OTo8pDbXY9+JoyZv0FZytVhKoa3C2th9Jb8+37+7&#10;ksIHsDV0aHUlX7SX19u3bzaDK3WOLXa1JsEg1peDq2QbgiuzzKtW9+AX6LTlYIPUQ+Ar7bOaYGD0&#10;vsvy5fIyG5BqR6i09+y9m4Jym/CbRqvwpWm8DqKrJHML6aR07uKZbTdQ7glca9SJBvwDix6M5UfP&#10;UHcQQBzI/AXVG0XosQkLhX2GTWOUTj1wN6vlH908teB06oXF8e4sk/9/sOrz8ZGEqSu5LgopLPQ8&#10;pGc9BvEeR7G6WEeFBudLTnxynBpGDvCkU7fePaD65oXF2xbsXt8Q4dBqqJnhKlZmr0onHB9BdsMn&#10;rPkhOARMQGNDfZSPBRGMzpN6OU8nklHszNeX+UXBIcWxfF1crZdpfhmUc7kjHz5o7EU0Kkk8/gQP&#10;xwcfIh0o55T4msV703VpBTr7m4MToyfRj4wn7mHcjUmrIi9mXXZYv3BHhNNq8Vdgo0X6IcXAa1VJ&#10;//0ApKXoPlpWJe7gbNBs7GYDrOLSSgYpJvM2TLt6cGT2LSNPulu8YeUak3qKEk8sToR5VVKrp7WO&#10;u/j6nrJ+fb7tTwAAAP//AwBQSwMEFAAGAAgAAAAhAHN8hdjhAAAACwEAAA8AAABkcnMvZG93bnJl&#10;di54bWxMj8FOwzAMhu9IvENkJG4s2daVrTSdJgQnJLSuHDimTdZGa5zSZFt5e8wJbv7lT78/59vJ&#10;9exixmA9SpjPBDCDjdcWWwkf1evDGliICrXqPRoJ3ybAtri9yVWm/RVLcznEllEJhkxJ6GIcMs5D&#10;0xmnwswPBml39KNTkeLYcj2qK5W7ni+ESLlTFulCpwbz3JnmdDg7CbtPLF/s13u9L4+lraqNwLf0&#10;JOX93bR7AhbNFP9g+NUndSjIqfZn1IH1lJNFSqiEZTpPgBGxWgoaagmPySoBXuT8/w/FDwAAAP//&#10;AwBQSwECLQAUAAYACAAAACEAtoM4kv4AAADhAQAAEwAAAAAAAAAAAAAAAAAAAAAAW0NvbnRlbnRf&#10;VHlwZXNdLnhtbFBLAQItABQABgAIAAAAIQA4/SH/1gAAAJQBAAALAAAAAAAAAAAAAAAAAC8BAABf&#10;cmVscy8ucmVsc1BLAQItABQABgAIAAAAIQDvD4808gEAAMQDAAAOAAAAAAAAAAAAAAAAAC4CAABk&#10;cnMvZTJvRG9jLnhtbFBLAQItABQABgAIAAAAIQBzfIXY4QAAAAsBAAAPAAAAAAAAAAAAAAAAAEwE&#10;AABkcnMvZG93bnJldi54bWxQSwUGAAAAAAQABADzAAAAWgUAAAAA&#10;" filled="f" stroked="f">
                <v:textbox inset="0,0,0,0">
                  <w:txbxContent>
                    <w:p w14:paraId="029D2FD2" w14:textId="77777777" w:rsidR="00490F33" w:rsidRDefault="00490F33">
                      <w:pPr>
                        <w:spacing w:line="239" w:lineRule="exact"/>
                        <w:textAlignment w:val="baseline"/>
                        <w:rPr>
                          <w:rFonts w:ascii="Tahoma" w:eastAsia="Tahoma" w:hAnsi="Tahoma"/>
                          <w:color w:val="404042"/>
                          <w:spacing w:val="6"/>
                          <w:sz w:val="18"/>
                        </w:rPr>
                      </w:pPr>
                      <w:r>
                        <w:rPr>
                          <w:rFonts w:ascii="Tahoma" w:eastAsia="Tahoma" w:hAnsi="Tahoma"/>
                          <w:color w:val="404042"/>
                          <w:spacing w:val="6"/>
                          <w:sz w:val="18"/>
                        </w:rPr>
                        <w:t>Wuyagiba is a small homeland located between the main Aboriginal communities of south-east Arnhem Land, Ngukurr</w:t>
                      </w:r>
                      <w:r>
                        <w:rPr>
                          <w:rFonts w:ascii="Tahoma" w:eastAsia="Tahoma" w:hAnsi="Tahoma"/>
                          <w:color w:val="4B423B"/>
                          <w:spacing w:val="6"/>
                          <w:sz w:val="18"/>
                        </w:rPr>
                        <w:t xml:space="preserve"> and </w:t>
                      </w:r>
                      <w:r>
                        <w:rPr>
                          <w:rFonts w:ascii="Tahoma" w:eastAsia="Tahoma" w:hAnsi="Tahoma"/>
                          <w:color w:val="404042"/>
                          <w:spacing w:val="6"/>
                          <w:sz w:val="18"/>
                        </w:rPr>
                        <w:t>Numbulwar, in the Northern</w:t>
                      </w:r>
                      <w:r>
                        <w:rPr>
                          <w:rFonts w:ascii="Tahoma" w:eastAsia="Tahoma" w:hAnsi="Tahoma"/>
                          <w:color w:val="4B423B"/>
                          <w:spacing w:val="6"/>
                          <w:sz w:val="18"/>
                        </w:rPr>
                        <w:t xml:space="preserve"> Territory. The </w:t>
                      </w:r>
                      <w:r>
                        <w:rPr>
                          <w:rFonts w:ascii="Tahoma" w:eastAsia="Tahoma" w:hAnsi="Tahoma"/>
                          <w:color w:val="404042"/>
                          <w:spacing w:val="6"/>
                          <w:sz w:val="18"/>
                        </w:rPr>
                        <w:t>proportion of young people</w:t>
                      </w:r>
                      <w:r>
                        <w:rPr>
                          <w:rFonts w:ascii="Tahoma" w:eastAsia="Tahoma" w:hAnsi="Tahoma"/>
                          <w:color w:val="4B423B"/>
                          <w:spacing w:val="6"/>
                          <w:sz w:val="18"/>
                        </w:rPr>
                        <w:t xml:space="preserve"> under the age </w:t>
                      </w:r>
                      <w:r>
                        <w:rPr>
                          <w:rFonts w:ascii="Tahoma" w:eastAsia="Tahoma" w:hAnsi="Tahoma"/>
                          <w:color w:val="404042"/>
                          <w:spacing w:val="6"/>
                          <w:sz w:val="18"/>
                        </w:rPr>
                        <w:t>of 19 in the town of Ngukurr is</w:t>
                      </w:r>
                      <w:r>
                        <w:rPr>
                          <w:rFonts w:ascii="Tahoma" w:eastAsia="Tahoma" w:hAnsi="Tahoma"/>
                          <w:color w:val="4B423B"/>
                          <w:spacing w:val="6"/>
                          <w:sz w:val="18"/>
                        </w:rPr>
                        <w:t xml:space="preserve"> 44.6 per cent, </w:t>
                      </w:r>
                      <w:r>
                        <w:rPr>
                          <w:rFonts w:ascii="Tahoma" w:eastAsia="Tahoma" w:hAnsi="Tahoma"/>
                          <w:color w:val="404042"/>
                          <w:spacing w:val="6"/>
                          <w:sz w:val="18"/>
                        </w:rPr>
                        <w:t>compared to the national average</w:t>
                      </w:r>
                      <w:r>
                        <w:rPr>
                          <w:rFonts w:ascii="Tahoma" w:eastAsia="Tahoma" w:hAnsi="Tahoma"/>
                          <w:color w:val="4B423B"/>
                          <w:spacing w:val="6"/>
                          <w:sz w:val="18"/>
                        </w:rPr>
                        <w:t xml:space="preserve"> of 24.8 per </w:t>
                      </w:r>
                      <w:r>
                        <w:rPr>
                          <w:rFonts w:ascii="Tahoma" w:eastAsia="Tahoma" w:hAnsi="Tahoma"/>
                          <w:color w:val="404042"/>
                          <w:spacing w:val="6"/>
                          <w:sz w:val="18"/>
                        </w:rPr>
                        <w:t>cent. However, only 4.2 per cent of</w:t>
                      </w:r>
                      <w:r>
                        <w:rPr>
                          <w:rFonts w:ascii="Tahoma" w:eastAsia="Tahoma" w:hAnsi="Tahoma"/>
                          <w:color w:val="4B423B"/>
                          <w:spacing w:val="6"/>
                          <w:sz w:val="18"/>
                        </w:rPr>
                        <w:t xml:space="preserve"> people </w:t>
                      </w:r>
                      <w:r>
                        <w:rPr>
                          <w:rFonts w:ascii="Tahoma" w:eastAsia="Tahoma" w:hAnsi="Tahoma"/>
                          <w:color w:val="404042"/>
                          <w:spacing w:val="6"/>
                          <w:sz w:val="18"/>
                        </w:rPr>
                        <w:t>in the Ngukurr community have a</w:t>
                      </w:r>
                      <w:r>
                        <w:rPr>
                          <w:rFonts w:ascii="Tahoma" w:eastAsia="Tahoma" w:hAnsi="Tahoma"/>
                          <w:color w:val="4B423B"/>
                          <w:spacing w:val="6"/>
                          <w:sz w:val="18"/>
                        </w:rPr>
                        <w:t xml:space="preserve"> bachelor </w:t>
                      </w:r>
                      <w:r>
                        <w:rPr>
                          <w:rFonts w:ascii="Tahoma" w:eastAsia="Tahoma" w:hAnsi="Tahoma"/>
                          <w:color w:val="404042"/>
                          <w:spacing w:val="6"/>
                          <w:sz w:val="18"/>
                        </w:rPr>
                        <w:t>degree (most likely the non-Indigenous residents), compared with 22 per cent Australia wide. There is a clear need to do things differently to encourage young people to complete further education while staying on country and maintaining their cultural and family links.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5376" behindDoc="1" locked="0" layoutInCell="1" allowOverlap="1" wp14:anchorId="645AE315" wp14:editId="0DC682D6">
                <wp:simplePos x="0" y="0"/>
                <wp:positionH relativeFrom="page">
                  <wp:posOffset>4105910</wp:posOffset>
                </wp:positionH>
                <wp:positionV relativeFrom="page">
                  <wp:posOffset>1104900</wp:posOffset>
                </wp:positionV>
                <wp:extent cx="2462530" cy="1528445"/>
                <wp:effectExtent l="0" t="0" r="0" b="0"/>
                <wp:wrapSquare wrapText="bothSides"/>
                <wp:docPr id="43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52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C893E" w14:textId="77777777" w:rsidR="00490F33" w:rsidRDefault="00490F33">
                            <w:pPr>
                              <w:spacing w:before="7" w:line="298" w:lineRule="exact"/>
                              <w:textAlignment w:val="baseline"/>
                              <w:rPr>
                                <w:rFonts w:ascii="Tahoma" w:eastAsia="Tahoma" w:hAnsi="Tahoma"/>
                                <w:i/>
                                <w:color w:val="017994"/>
                                <w:spacing w:val="-3"/>
                              </w:rPr>
                            </w:pPr>
                            <w:r>
                              <w:rPr>
                                <w:rFonts w:ascii="Tahoma" w:eastAsia="Tahoma" w:hAnsi="Tahoma"/>
                                <w:i/>
                                <w:color w:val="017994"/>
                                <w:spacing w:val="-3"/>
                              </w:rPr>
                              <w:t>“We want our</w:t>
                            </w:r>
                            <w:r>
                              <w:rPr>
                                <w:rFonts w:ascii="Tahoma" w:eastAsia="Tahoma" w:hAnsi="Tahoma"/>
                                <w:i/>
                                <w:color w:val="07758D"/>
                                <w:spacing w:val="-3"/>
                              </w:rPr>
                              <w:t xml:space="preserve"> children to go to university </w:t>
                            </w:r>
                            <w:r>
                              <w:rPr>
                                <w:rFonts w:ascii="Tahoma" w:eastAsia="Tahoma" w:hAnsi="Tahoma"/>
                                <w:i/>
                                <w:color w:val="017994"/>
                                <w:spacing w:val="-3"/>
                              </w:rPr>
                              <w:t>but we can’t</w:t>
                            </w:r>
                            <w:r>
                              <w:rPr>
                                <w:rFonts w:ascii="Tahoma" w:eastAsia="Tahoma" w:hAnsi="Tahoma"/>
                                <w:i/>
                                <w:color w:val="07758D"/>
                                <w:spacing w:val="-3"/>
                              </w:rPr>
                              <w:t xml:space="preserve"> always go down south to </w:t>
                            </w:r>
                            <w:r>
                              <w:rPr>
                                <w:rFonts w:ascii="Tahoma" w:eastAsia="Tahoma" w:hAnsi="Tahoma"/>
                                <w:i/>
                                <w:color w:val="017994"/>
                                <w:spacing w:val="-3"/>
                              </w:rPr>
                              <w:t>university</w:t>
                            </w:r>
                            <w:r>
                              <w:rPr>
                                <w:rFonts w:ascii="Tahoma" w:eastAsia="Tahoma" w:hAnsi="Tahoma"/>
                                <w:i/>
                                <w:color w:val="07758D"/>
                                <w:spacing w:val="-3"/>
                              </w:rPr>
                              <w:t xml:space="preserve"> if we have cultural or family </w:t>
                            </w:r>
                            <w:r>
                              <w:rPr>
                                <w:rFonts w:ascii="Tahoma" w:eastAsia="Tahoma" w:hAnsi="Tahoma"/>
                                <w:i/>
                                <w:color w:val="017994"/>
                                <w:spacing w:val="-3"/>
                              </w:rPr>
                              <w:t>responsibilities.</w:t>
                            </w:r>
                            <w:r>
                              <w:rPr>
                                <w:rFonts w:ascii="Tahoma" w:eastAsia="Tahoma" w:hAnsi="Tahoma"/>
                                <w:i/>
                                <w:color w:val="07758D"/>
                                <w:spacing w:val="-3"/>
                              </w:rPr>
                              <w:t xml:space="preserve"> We can’t go to Darwin </w:t>
                            </w:r>
                            <w:r>
                              <w:rPr>
                                <w:rFonts w:ascii="Tahoma" w:eastAsia="Tahoma" w:hAnsi="Tahoma"/>
                                <w:i/>
                                <w:color w:val="017994"/>
                                <w:spacing w:val="-3"/>
                              </w:rPr>
                              <w:t>’cause there’s</w:t>
                            </w:r>
                            <w:r>
                              <w:rPr>
                                <w:rFonts w:ascii="Tahoma" w:eastAsia="Tahoma" w:hAnsi="Tahoma"/>
                                <w:i/>
                                <w:color w:val="07758D"/>
                                <w:spacing w:val="-3"/>
                              </w:rPr>
                              <w:t xml:space="preserve"> too much humbug ... and grog.</w:t>
                            </w:r>
                            <w:r>
                              <w:rPr>
                                <w:rFonts w:ascii="Tahoma" w:eastAsia="Tahoma" w:hAnsi="Tahoma"/>
                                <w:i/>
                                <w:color w:val="017994"/>
                                <w:spacing w:val="-3"/>
                              </w:rPr>
                              <w:t xml:space="preserve"> We want</w:t>
                            </w:r>
                            <w:r>
                              <w:rPr>
                                <w:rFonts w:ascii="Tahoma" w:eastAsia="Tahoma" w:hAnsi="Tahoma"/>
                                <w:i/>
                                <w:color w:val="07758D"/>
                                <w:spacing w:val="-3"/>
                              </w:rPr>
                              <w:t xml:space="preserve"> those professors to come to us.</w:t>
                            </w:r>
                            <w:r>
                              <w:rPr>
                                <w:rFonts w:ascii="Tahoma" w:eastAsia="Tahoma" w:hAnsi="Tahoma"/>
                                <w:i/>
                                <w:color w:val="017994"/>
                                <w:spacing w:val="-3"/>
                              </w:rPr>
                              <w:t xml:space="preserve"> And our</w:t>
                            </w:r>
                            <w:r>
                              <w:rPr>
                                <w:rFonts w:ascii="Tahoma" w:eastAsia="Tahoma" w:hAnsi="Tahoma"/>
                                <w:i/>
                                <w:color w:val="07758D"/>
                                <w:spacing w:val="-3"/>
                              </w:rPr>
                              <w:t xml:space="preserve"> professors can also teach you mob.”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AE315" id="Text Box 153" o:spid="_x0000_s1350" type="#_x0000_t202" style="position:absolute;margin-left:323.3pt;margin-top:87pt;width:193.9pt;height:120.3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OgW8QEAAMQDAAAOAAAAZHJzL2Uyb0RvYy54bWysU8Fu2zAMvQ/YPwi6L06cpCiMOEXXosOA&#10;bivQ7gMYWY6F2aJGKbGzrx8lx1m33YZdBIqkHh8fqc3N0LXiqMkbtKVczOZSaKuwMnZfyq8vD++u&#10;pfABbAUtWl3Kk/byZvv2zaZ3hc6xwbbSJBjE+qJ3pWxCcEWWedXoDvwMnbYcrJE6CHylfVYR9Ize&#10;tVk+n19lPVLlCJX2nr33Y1BuE35daxW+1LXXQbSlZG4hnZTOXTyz7QaKPYFrjDrTgH9g0YGxXPQC&#10;dQ8BxIHMX1CdUYQe6zBT2GVY10bp1AN3s5j/0c1zA06nXlgc7y4y+f8Hqz4fn0iYqpSrZS6FhY6H&#10;9KKHIN7jIBbrZVSod77gxGfHqWHgAE86devdI6pvXli8a8Du9S0R9o2Gihku4svs1dMRx0eQXf8J&#10;Ky4Eh4AJaKipi/KxIILReVKny3QiGcXOfHWVr5ccUhxbrPPr1WqdakAxPXfkwweNnYhGKYnHn+Dh&#10;+OhDpAPFlBKrWXwwbZtWoLW/OTgxehL9yHjkHobdkLRa5qtJlx1WJ+6IcFwt/gpsNEg/pOh5rUrp&#10;vx+AtBTtR8uqxB2cDJqM3WSAVfy0lEGK0bwL464eHJl9w8ij7hZvWbnapJ6ixCOLM2FeldTqea3j&#10;Lr6+p6xfn2/7EwAA//8DAFBLAwQUAAYACAAAACEAiOiiNuAAAAAMAQAADwAAAGRycy9kb3ducmV2&#10;LnhtbEyPwU7DMBBE70j8g7VI3KhdsFIIcaoKwQkJkYYDRyfeJlbjdYjdNvw97qkcV/M0+6ZYz25g&#10;R5yC9aRguRDAkFpvLHUKvuq3u0dgIWoyevCECn4xwLq8vip0bvyJKjxuY8dSCYVcK+hjHHPOQ9uj&#10;02HhR6SU7fzkdEzn1HEz6VMqdwO/FyLjTltKH3o94kuP7X57cAo231S92p+P5rPaVbaunwS9Z3ul&#10;bm/mzTOwiHO8wHDWT+pQJqfGH8gENijIZJYlNAUrmUadCfEgJbBGgVzKFfCy4P9HlH8AAAD//wMA&#10;UEsBAi0AFAAGAAgAAAAhALaDOJL+AAAA4QEAABMAAAAAAAAAAAAAAAAAAAAAAFtDb250ZW50X1R5&#10;cGVzXS54bWxQSwECLQAUAAYACAAAACEAOP0h/9YAAACUAQAACwAAAAAAAAAAAAAAAAAvAQAAX3Jl&#10;bHMvLnJlbHNQSwECLQAUAAYACAAAACEA/ZToFvEBAADEAwAADgAAAAAAAAAAAAAAAAAuAgAAZHJz&#10;L2Uyb0RvYy54bWxQSwECLQAUAAYACAAAACEAiOiiNuAAAAAMAQAADwAAAAAAAAAAAAAAAABLBAAA&#10;ZHJzL2Rvd25yZXYueG1sUEsFBgAAAAAEAAQA8wAAAFgFAAAAAA==&#10;" filled="f" stroked="f">
                <v:textbox inset="0,0,0,0">
                  <w:txbxContent>
                    <w:p w14:paraId="311C893E" w14:textId="77777777" w:rsidR="00490F33" w:rsidRDefault="00490F33">
                      <w:pPr>
                        <w:spacing w:before="7" w:line="298" w:lineRule="exact"/>
                        <w:textAlignment w:val="baseline"/>
                        <w:rPr>
                          <w:rFonts w:ascii="Tahoma" w:eastAsia="Tahoma" w:hAnsi="Tahoma"/>
                          <w:i/>
                          <w:color w:val="017994"/>
                          <w:spacing w:val="-3"/>
                        </w:rPr>
                      </w:pPr>
                      <w:r>
                        <w:rPr>
                          <w:rFonts w:ascii="Tahoma" w:eastAsia="Tahoma" w:hAnsi="Tahoma"/>
                          <w:i/>
                          <w:color w:val="017994"/>
                          <w:spacing w:val="-3"/>
                        </w:rPr>
                        <w:t>“We want our</w:t>
                      </w:r>
                      <w:r>
                        <w:rPr>
                          <w:rFonts w:ascii="Tahoma" w:eastAsia="Tahoma" w:hAnsi="Tahoma"/>
                          <w:i/>
                          <w:color w:val="07758D"/>
                          <w:spacing w:val="-3"/>
                        </w:rPr>
                        <w:t xml:space="preserve"> children to go to university </w:t>
                      </w:r>
                      <w:r>
                        <w:rPr>
                          <w:rFonts w:ascii="Tahoma" w:eastAsia="Tahoma" w:hAnsi="Tahoma"/>
                          <w:i/>
                          <w:color w:val="017994"/>
                          <w:spacing w:val="-3"/>
                        </w:rPr>
                        <w:t>but we can’t</w:t>
                      </w:r>
                      <w:r>
                        <w:rPr>
                          <w:rFonts w:ascii="Tahoma" w:eastAsia="Tahoma" w:hAnsi="Tahoma"/>
                          <w:i/>
                          <w:color w:val="07758D"/>
                          <w:spacing w:val="-3"/>
                        </w:rPr>
                        <w:t xml:space="preserve"> always go down south to </w:t>
                      </w:r>
                      <w:r>
                        <w:rPr>
                          <w:rFonts w:ascii="Tahoma" w:eastAsia="Tahoma" w:hAnsi="Tahoma"/>
                          <w:i/>
                          <w:color w:val="017994"/>
                          <w:spacing w:val="-3"/>
                        </w:rPr>
                        <w:t>university</w:t>
                      </w:r>
                      <w:r>
                        <w:rPr>
                          <w:rFonts w:ascii="Tahoma" w:eastAsia="Tahoma" w:hAnsi="Tahoma"/>
                          <w:i/>
                          <w:color w:val="07758D"/>
                          <w:spacing w:val="-3"/>
                        </w:rPr>
                        <w:t xml:space="preserve"> if we have cultural or family </w:t>
                      </w:r>
                      <w:r>
                        <w:rPr>
                          <w:rFonts w:ascii="Tahoma" w:eastAsia="Tahoma" w:hAnsi="Tahoma"/>
                          <w:i/>
                          <w:color w:val="017994"/>
                          <w:spacing w:val="-3"/>
                        </w:rPr>
                        <w:t>responsibilities.</w:t>
                      </w:r>
                      <w:r>
                        <w:rPr>
                          <w:rFonts w:ascii="Tahoma" w:eastAsia="Tahoma" w:hAnsi="Tahoma"/>
                          <w:i/>
                          <w:color w:val="07758D"/>
                          <w:spacing w:val="-3"/>
                        </w:rPr>
                        <w:t xml:space="preserve"> We can’t go to Darwin </w:t>
                      </w:r>
                      <w:r>
                        <w:rPr>
                          <w:rFonts w:ascii="Tahoma" w:eastAsia="Tahoma" w:hAnsi="Tahoma"/>
                          <w:i/>
                          <w:color w:val="017994"/>
                          <w:spacing w:val="-3"/>
                        </w:rPr>
                        <w:t>’cause there’s</w:t>
                      </w:r>
                      <w:r>
                        <w:rPr>
                          <w:rFonts w:ascii="Tahoma" w:eastAsia="Tahoma" w:hAnsi="Tahoma"/>
                          <w:i/>
                          <w:color w:val="07758D"/>
                          <w:spacing w:val="-3"/>
                        </w:rPr>
                        <w:t xml:space="preserve"> too much humbug ... and grog.</w:t>
                      </w:r>
                      <w:r>
                        <w:rPr>
                          <w:rFonts w:ascii="Tahoma" w:eastAsia="Tahoma" w:hAnsi="Tahoma"/>
                          <w:i/>
                          <w:color w:val="017994"/>
                          <w:spacing w:val="-3"/>
                        </w:rPr>
                        <w:t xml:space="preserve"> We want</w:t>
                      </w:r>
                      <w:r>
                        <w:rPr>
                          <w:rFonts w:ascii="Tahoma" w:eastAsia="Tahoma" w:hAnsi="Tahoma"/>
                          <w:i/>
                          <w:color w:val="07758D"/>
                          <w:spacing w:val="-3"/>
                        </w:rPr>
                        <w:t xml:space="preserve"> those professors to come to us.</w:t>
                      </w:r>
                      <w:r>
                        <w:rPr>
                          <w:rFonts w:ascii="Tahoma" w:eastAsia="Tahoma" w:hAnsi="Tahoma"/>
                          <w:i/>
                          <w:color w:val="017994"/>
                          <w:spacing w:val="-3"/>
                        </w:rPr>
                        <w:t xml:space="preserve"> And our</w:t>
                      </w:r>
                      <w:r>
                        <w:rPr>
                          <w:rFonts w:ascii="Tahoma" w:eastAsia="Tahoma" w:hAnsi="Tahoma"/>
                          <w:i/>
                          <w:color w:val="07758D"/>
                          <w:spacing w:val="-3"/>
                        </w:rPr>
                        <w:t xml:space="preserve"> professors can also teach you mob.”</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6400" behindDoc="1" locked="0" layoutInCell="1" allowOverlap="1" wp14:anchorId="1395F5EE" wp14:editId="7B08690C">
                <wp:simplePos x="0" y="0"/>
                <wp:positionH relativeFrom="page">
                  <wp:posOffset>4946650</wp:posOffset>
                </wp:positionH>
                <wp:positionV relativeFrom="page">
                  <wp:posOffset>2633345</wp:posOffset>
                </wp:positionV>
                <wp:extent cx="1576070" cy="381000"/>
                <wp:effectExtent l="0" t="0" r="0" b="0"/>
                <wp:wrapSquare wrapText="bothSides"/>
                <wp:docPr id="43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190EF" w14:textId="77777777" w:rsidR="00490F33" w:rsidRDefault="00490F33">
                            <w:pPr>
                              <w:spacing w:line="295" w:lineRule="exact"/>
                              <w:ind w:firstLine="1152"/>
                              <w:textAlignment w:val="baseline"/>
                              <w:rPr>
                                <w:rFonts w:ascii="Tahoma" w:eastAsia="Tahoma" w:hAnsi="Tahoma"/>
                                <w:i/>
                                <w:color w:val="07758D"/>
                                <w:spacing w:val="-3"/>
                              </w:rPr>
                            </w:pPr>
                            <w:r>
                              <w:rPr>
                                <w:rFonts w:ascii="Tahoma" w:eastAsia="Tahoma" w:hAnsi="Tahoma"/>
                                <w:i/>
                                <w:color w:val="07758D"/>
                                <w:spacing w:val="-3"/>
                              </w:rPr>
                              <w:t xml:space="preserve">Robin Rogers, </w:t>
                            </w:r>
                            <w:r>
                              <w:rPr>
                                <w:rFonts w:ascii="Tahoma" w:eastAsia="Tahoma" w:hAnsi="Tahoma"/>
                                <w:i/>
                                <w:color w:val="017994"/>
                                <w:spacing w:val="-3"/>
                              </w:rPr>
                              <w:t>Ngukurr Community Elder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5F5EE" id="Text Box 152" o:spid="_x0000_s1351" type="#_x0000_t202" style="position:absolute;margin-left:389.5pt;margin-top:207.35pt;width:124.1pt;height:30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P8QEAAMMDAAAOAAAAZHJzL2Uyb0RvYy54bWysU9tu2zAMfR+wfxD0vthOlrYw4hRdiw4D&#10;ugvQ7gMYWY6F2aJGKbG7rx8lx1m3vQ17ESiRPDw8pDbXY9+JoyZv0FayWORSaKuwNnZfya9P92+u&#10;pPABbA0dWl3JZ+3l9fb1q83gSr3EFrtak2AQ68vBVbINwZVZ5lWre/ALdNqys0HqIfCV9llNMDB6&#10;32XLPL/IBqTaESrtPb/eTU65TfhNo1X43DReB9FVkrmFdFI6d/HMthso9wSuNepEA/6BRQ/GctEz&#10;1B0EEAcyf0H1RhF6bMJCYZ9h0xilUw/cTZH/0c1jC06nXlgc784y+f8Hqz4dv5AwdSXfrgopLPQ8&#10;pCc9BvEOR1Gsl1GhwfmSAx8dh4aRHTzp1K13D6i+eWHxtgW71zdEOLQaamZYxMzsReqE4yPIbviI&#10;NReCQ8AENDbUR/lYEMHoPKnn83QiGRVLri8v8kt2Kfatroo8T+PLoJyzHfnwXmMvolFJ4ukndDg+&#10;+BDZQDmHxGIW703XpQ3o7G8PHBhfEvtIeKIext2YpFot17MsO6yfuSHCabP4J7DRIv2QYuCtqqT/&#10;fgDSUnQfLIsSV3A2aDZ2swFWcWolgxSTeRumVT04MvuWkSfZLd6wcI1JPUWFJxYnwrwpqdXTVsdV&#10;fHlPUb/+3vYnAAAA//8DAFBLAwQUAAYACAAAACEA0JzlBeAAAAAMAQAADwAAAGRycy9kb3ducmV2&#10;LnhtbEyPwU7DMBBE70j8g7VI3KjdqKppiFNVCE5IiDQcODqxm1iN1yF22/D3bE9w3NnRzJtiO/uB&#10;ne0UXUAFy4UAZrENxmGn4LN+fXgEFpNGo4eAVsGPjbAtb28KnZtwwcqe96ljFIIx1wr6lMac89j2&#10;1uu4CKNF+h3C5HWic+q4mfSFwv3AMyHW3GuH1NDr0T73tj3uT17B7gurF/f93nxUh8rV9Ubg2/qo&#10;1P3dvHsCluyc/sxwxSd0KImpCSc0kQ0KpNzQlqRgtVxJYFeHyGQGrCFJksTLgv8fUf4CAAD//wMA&#10;UEsBAi0AFAAGAAgAAAAhALaDOJL+AAAA4QEAABMAAAAAAAAAAAAAAAAAAAAAAFtDb250ZW50X1R5&#10;cGVzXS54bWxQSwECLQAUAAYACAAAACEAOP0h/9YAAACUAQAACwAAAAAAAAAAAAAAAAAvAQAAX3Jl&#10;bHMvLnJlbHNQSwECLQAUAAYACAAAACEA/lBaj/EBAADDAwAADgAAAAAAAAAAAAAAAAAuAgAAZHJz&#10;L2Uyb0RvYy54bWxQSwECLQAUAAYACAAAACEA0JzlBeAAAAAMAQAADwAAAAAAAAAAAAAAAABLBAAA&#10;ZHJzL2Rvd25yZXYueG1sUEsFBgAAAAAEAAQA8wAAAFgFAAAAAA==&#10;" filled="f" stroked="f">
                <v:textbox inset="0,0,0,0">
                  <w:txbxContent>
                    <w:p w14:paraId="122190EF" w14:textId="77777777" w:rsidR="00490F33" w:rsidRDefault="00490F33">
                      <w:pPr>
                        <w:spacing w:line="295" w:lineRule="exact"/>
                        <w:ind w:firstLine="1152"/>
                        <w:textAlignment w:val="baseline"/>
                        <w:rPr>
                          <w:rFonts w:ascii="Tahoma" w:eastAsia="Tahoma" w:hAnsi="Tahoma"/>
                          <w:i/>
                          <w:color w:val="07758D"/>
                          <w:spacing w:val="-3"/>
                        </w:rPr>
                      </w:pPr>
                      <w:r>
                        <w:rPr>
                          <w:rFonts w:ascii="Tahoma" w:eastAsia="Tahoma" w:hAnsi="Tahoma"/>
                          <w:i/>
                          <w:color w:val="07758D"/>
                          <w:spacing w:val="-3"/>
                        </w:rPr>
                        <w:t xml:space="preserve">Robin Rogers, </w:t>
                      </w:r>
                      <w:r>
                        <w:rPr>
                          <w:rFonts w:ascii="Tahoma" w:eastAsia="Tahoma" w:hAnsi="Tahoma"/>
                          <w:i/>
                          <w:color w:val="017994"/>
                          <w:spacing w:val="-3"/>
                        </w:rPr>
                        <w:t>Ngukurr Community Elder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7424" behindDoc="1" locked="0" layoutInCell="1" allowOverlap="1" wp14:anchorId="0CB2FD67" wp14:editId="49B01EA0">
                <wp:simplePos x="0" y="0"/>
                <wp:positionH relativeFrom="page">
                  <wp:posOffset>905510</wp:posOffset>
                </wp:positionH>
                <wp:positionV relativeFrom="page">
                  <wp:posOffset>4839970</wp:posOffset>
                </wp:positionV>
                <wp:extent cx="2480945" cy="1370330"/>
                <wp:effectExtent l="0" t="0" r="0" b="0"/>
                <wp:wrapSquare wrapText="bothSides"/>
                <wp:docPr id="43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137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111FF" w14:textId="77777777" w:rsidR="00490F33" w:rsidRDefault="00490F33">
                            <w:pPr>
                              <w:spacing w:line="239" w:lineRule="exact"/>
                              <w:textAlignment w:val="baseline"/>
                              <w:rPr>
                                <w:rFonts w:ascii="Tahoma" w:eastAsia="Tahoma" w:hAnsi="Tahoma"/>
                                <w:color w:val="404042"/>
                                <w:spacing w:val="4"/>
                                <w:sz w:val="18"/>
                              </w:rPr>
                            </w:pPr>
                            <w:r>
                              <w:rPr>
                                <w:rFonts w:ascii="Tahoma" w:eastAsia="Tahoma" w:hAnsi="Tahoma"/>
                                <w:color w:val="404042"/>
                                <w:spacing w:val="4"/>
                                <w:sz w:val="18"/>
                              </w:rPr>
                              <w:t>Wuyagiba Regional Study Hub employs cultural and academic experts to teach local Aboriginal students on country. The initial focus is on pre-university preparation courses for local Aboriginal students, and the curriculum focuses on cultural content taught by local elders, with academic skills woven through. The Wuyagiba study hub’s key aims are 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2FD67" id="Text Box 151" o:spid="_x0000_s1352" type="#_x0000_t202" style="position:absolute;margin-left:71.3pt;margin-top:381.1pt;width:195.35pt;height:107.9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zL8QEAAMQDAAAOAAAAZHJzL2Uyb0RvYy54bWysU21v0zAQ/o7Ef7D8nSZpuzGiptPYNIQ0&#10;BtLGD3Acu7FIfObsNim/nrPTlAHfEF+s8708fu658+Z67Dt2UOgN2IoXi5wzZSU0xu4q/vX5/s0V&#10;Zz4I24gOrKr4UXl+vX39ajO4Ui2hha5RyAjE+nJwFW9DcGWWedmqXvgFOGUpqAF7EeiKu6xBMRB6&#10;32XLPL/MBsDGIUjlPXnvpiDfJnytlQyftfYqsK7ixC2kE9NZxzPbbkS5Q+FaI080xD+w6IWx9OgZ&#10;6k4EwfZo/oLqjUTwoMNCQp+B1kaq1AN1U+R/dPPUCqdSLySOd2eZ/P+DlY+HL8hMU/H1ivSxoqch&#10;PasxsPcwsuKiiAoNzpeU+OQoNYwUoEmnbr17APnNMwu3rbA7dYMIQ6tEQwxTZfaidMLxEaQePkFD&#10;D4l9gAQ0auyjfCQII3RicjxPJ5KR5Fyur/J36wvOJMWK1dt8RYyJXSbKudyhDx8U9CwaFUcaf4IX&#10;hwcfptQ5Jb5m4d50XVqBzv7mIMzoSfQj44l7GOsxabVaXs661NAcqSOEabXoK5DRAv7gbKC1qrj/&#10;vheoOOs+WlIl7uBs4GzUsyGspNKKB84m8zZMu7p3aHYtIU+6W7gh5bRJPUWJJxYnwrQqSZXTWsdd&#10;fHlPWb8+3/YnAAAA//8DAFBLAwQUAAYACAAAACEAGCy6v+AAAAALAQAADwAAAGRycy9kb3ducmV2&#10;LnhtbEyPwU7DMBBE70j8g7VI3KhNAmkb4lQVghMSIg0Hjk68TazG6xC7bfh7zKkcR/s087bYzHZg&#10;J5y8cSThfiGAIbVOG+okfNavdytgPijSanCEEn7Qw6a8vipUrt2ZKjztQsdiCflcSehDGHPOfduj&#10;VX7hRqR427vJqhDj1HE9qXMstwNPhMi4VYbiQq9GfO6xPeyOVsL2i6oX8/3efFT7ytT1WtBbdpDy&#10;9mbePgELOIcLDH/6UR3K6NS4I2nPhpgfkiyiEpZZkgCLxGOapsAaCevlSgAvC/7/h/IXAAD//wMA&#10;UEsBAi0AFAAGAAgAAAAhALaDOJL+AAAA4QEAABMAAAAAAAAAAAAAAAAAAAAAAFtDb250ZW50X1R5&#10;cGVzXS54bWxQSwECLQAUAAYACAAAACEAOP0h/9YAAACUAQAACwAAAAAAAAAAAAAAAAAvAQAAX3Jl&#10;bHMvLnJlbHNQSwECLQAUAAYACAAAACEAyHBsy/EBAADEAwAADgAAAAAAAAAAAAAAAAAuAgAAZHJz&#10;L2Uyb0RvYy54bWxQSwECLQAUAAYACAAAACEAGCy6v+AAAAALAQAADwAAAAAAAAAAAAAAAABLBAAA&#10;ZHJzL2Rvd25yZXYueG1sUEsFBgAAAAAEAAQA8wAAAFgFAAAAAA==&#10;" filled="f" stroked="f">
                <v:textbox inset="0,0,0,0">
                  <w:txbxContent>
                    <w:p w14:paraId="26F111FF" w14:textId="77777777" w:rsidR="00490F33" w:rsidRDefault="00490F33">
                      <w:pPr>
                        <w:spacing w:line="239" w:lineRule="exact"/>
                        <w:textAlignment w:val="baseline"/>
                        <w:rPr>
                          <w:rFonts w:ascii="Tahoma" w:eastAsia="Tahoma" w:hAnsi="Tahoma"/>
                          <w:color w:val="404042"/>
                          <w:spacing w:val="4"/>
                          <w:sz w:val="18"/>
                        </w:rPr>
                      </w:pPr>
                      <w:r>
                        <w:rPr>
                          <w:rFonts w:ascii="Tahoma" w:eastAsia="Tahoma" w:hAnsi="Tahoma"/>
                          <w:color w:val="404042"/>
                          <w:spacing w:val="4"/>
                          <w:sz w:val="18"/>
                        </w:rPr>
                        <w:t>Wuyagiba Regional Study Hub employs cultural and academic experts to teach local Aboriginal students on country. The initial focus is on pre-university preparation courses for local Aboriginal students, and the curriculum focuses on cultural content taught by local elders, with academic skills woven through. The Wuyagiba study hub’s key aims are to:</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8448" behindDoc="1" locked="0" layoutInCell="1" allowOverlap="1" wp14:anchorId="0493C189" wp14:editId="33745D57">
                <wp:simplePos x="0" y="0"/>
                <wp:positionH relativeFrom="page">
                  <wp:posOffset>4182110</wp:posOffset>
                </wp:positionH>
                <wp:positionV relativeFrom="page">
                  <wp:posOffset>3369310</wp:posOffset>
                </wp:positionV>
                <wp:extent cx="2432050" cy="1531620"/>
                <wp:effectExtent l="0" t="0" r="0" b="0"/>
                <wp:wrapSquare wrapText="bothSides"/>
                <wp:docPr id="42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153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420AE" w14:textId="77777777" w:rsidR="00490F33" w:rsidRDefault="00490F33">
                            <w:pPr>
                              <w:spacing w:before="12" w:line="238" w:lineRule="exact"/>
                              <w:textAlignment w:val="baseline"/>
                              <w:rPr>
                                <w:rFonts w:ascii="Tahoma" w:eastAsia="Tahoma" w:hAnsi="Tahoma"/>
                                <w:color w:val="4B423B"/>
                                <w:spacing w:val="6"/>
                                <w:sz w:val="18"/>
                              </w:rPr>
                            </w:pPr>
                            <w:r>
                              <w:rPr>
                                <w:rFonts w:ascii="Tahoma" w:eastAsia="Tahoma" w:hAnsi="Tahoma"/>
                                <w:color w:val="4B423B"/>
                                <w:spacing w:val="6"/>
                                <w:sz w:val="18"/>
                              </w:rPr>
                              <w:t>Between</w:t>
                            </w:r>
                            <w:r>
                              <w:rPr>
                                <w:rFonts w:ascii="Tahoma" w:eastAsia="Tahoma" w:hAnsi="Tahoma"/>
                                <w:color w:val="404042"/>
                                <w:spacing w:val="6"/>
                                <w:sz w:val="18"/>
                              </w:rPr>
                              <w:t xml:space="preserve"> 2019 and 2022, the hub will continue to run the two-way tertiary preparation program and is working towards delivering certificate- and bachelor-level subjects through Batchelor Institute and Macquarie University. In the longer term, the hub hopes to create pathways to other degrees at Macquarie and other universities, and open up to other communities in the Northern Territory.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3C189" id="Text Box 150" o:spid="_x0000_s1353" type="#_x0000_t202" style="position:absolute;margin-left:329.3pt;margin-top:265.3pt;width:191.5pt;height:120.6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yLX8wEAAMQDAAAOAAAAZHJzL2Uyb0RvYy54bWysU8Fu2zAMvQ/YPwi6L46dttuMOEXXosOA&#10;rhvQ7gMYWY6F2aJGKbGzrx8lJ2m73oZdBIqint57pJaXY9+JnSZv0FYyn82l0FZhbeymkj8eb999&#10;kMIHsDV0aHUl99rLy9XbN8vBlbrAFrtak2AQ68vBVbINwZVZ5lWre/AzdNryYYPUQ+AtbbKaYGD0&#10;vsuK+fwiG5BqR6i095y9mQ7lKuE3jVbhW9N4HURXSeYW0kppXcc1Wy2h3BC41qgDDfgHFj0Yy4+e&#10;oG4ggNiSeQXVG0XosQkzhX2GTWOUThpYTT7/S81DC04nLWyOdyeb/P+DVfe77yRMXcmz4qMUFnpu&#10;0qMeg/iEo8jPk0OD8yUXPjguDSMfcKeTWu/uUP30wuJ1C3ajr4hwaDXUzDCP3mbPrsae+NJHkPXw&#10;FWt+CLYBE9DYUB/tY0MEo3On9qfuRDKKk8XZopgzIaH4LD9f5BdFYpdBebzuyIfPGnsRg0oStz/B&#10;w+7Oh0gHymNJfM3irem6NAKdfZHgwphJ9CPjiXsY12PyalG8j+qinjXWe1ZEOI0WfwUOWqTfUgw8&#10;VpX0v7ZAWorui2VX4gweAzoG62MAVvHVSgYppvA6TLO6dWQ2LSNPvlu8YucakzQ9sTgQ5lFJUg9j&#10;HWfx+T5VPX2+1R8AAAD//wMAUEsDBBQABgAIAAAAIQCg7mib4AAAAAwBAAAPAAAAZHJzL2Rvd25y&#10;ZXYueG1sTI/BTsMwDIbvSLxDZCRuLCmwrpS604TghIToyoFj2mRttMYpTbaVtyc7jdtv+dPvz8V6&#10;tgM76skbRwjJQgDT1DplqEP4qt/uMmA+SFJycKQRfrWHdXl9VchcuRNV+rgNHYsl5HOJ0Icw5pz7&#10;ttdW+oUbNcXdzk1WhjhOHVeTPMVyO/B7IVJupaF4oZejful1u98eLMLmm6pX8/PRfFa7ytT1k6D3&#10;dI94ezNvnoEFPYcLDGf9qA5ldGrcgZRnA0K6zNKIIiwfRAxnQjwmMTUIq1WSAS8L/v+J8g8AAP//&#10;AwBQSwECLQAUAAYACAAAACEAtoM4kv4AAADhAQAAEwAAAAAAAAAAAAAAAAAAAAAAW0NvbnRlbnRf&#10;VHlwZXNdLnhtbFBLAQItABQABgAIAAAAIQA4/SH/1gAAAJQBAAALAAAAAAAAAAAAAAAAAC8BAABf&#10;cmVscy8ucmVsc1BLAQItABQABgAIAAAAIQDT8yLX8wEAAMQDAAAOAAAAAAAAAAAAAAAAAC4CAABk&#10;cnMvZTJvRG9jLnhtbFBLAQItABQABgAIAAAAIQCg7mib4AAAAAwBAAAPAAAAAAAAAAAAAAAAAE0E&#10;AABkcnMvZG93bnJldi54bWxQSwUGAAAAAAQABADzAAAAWgUAAAAA&#10;" filled="f" stroked="f">
                <v:textbox inset="0,0,0,0">
                  <w:txbxContent>
                    <w:p w14:paraId="478420AE" w14:textId="77777777" w:rsidR="00490F33" w:rsidRDefault="00490F33">
                      <w:pPr>
                        <w:spacing w:before="12" w:line="238" w:lineRule="exact"/>
                        <w:textAlignment w:val="baseline"/>
                        <w:rPr>
                          <w:rFonts w:ascii="Tahoma" w:eastAsia="Tahoma" w:hAnsi="Tahoma"/>
                          <w:color w:val="4B423B"/>
                          <w:spacing w:val="6"/>
                          <w:sz w:val="18"/>
                        </w:rPr>
                      </w:pPr>
                      <w:r>
                        <w:rPr>
                          <w:rFonts w:ascii="Tahoma" w:eastAsia="Tahoma" w:hAnsi="Tahoma"/>
                          <w:color w:val="4B423B"/>
                          <w:spacing w:val="6"/>
                          <w:sz w:val="18"/>
                        </w:rPr>
                        <w:t>Between</w:t>
                      </w:r>
                      <w:r>
                        <w:rPr>
                          <w:rFonts w:ascii="Tahoma" w:eastAsia="Tahoma" w:hAnsi="Tahoma"/>
                          <w:color w:val="404042"/>
                          <w:spacing w:val="6"/>
                          <w:sz w:val="18"/>
                        </w:rPr>
                        <w:t xml:space="preserve"> 2019 and 2022, the hub will continue to run the two-way tertiary preparation program and is working towards delivering certificate- and bachelor-level subjects through Batchelor Institute and Macquarie University. In the longer term, the hub hopes to create pathways to other degrees at Macquarie and other universities, and open up to other communities in the Northern Territory.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89472" behindDoc="1" locked="0" layoutInCell="1" allowOverlap="1" wp14:anchorId="122DB1C4" wp14:editId="7E0979E6">
                <wp:simplePos x="0" y="0"/>
                <wp:positionH relativeFrom="page">
                  <wp:posOffset>4182110</wp:posOffset>
                </wp:positionH>
                <wp:positionV relativeFrom="page">
                  <wp:posOffset>5010785</wp:posOffset>
                </wp:positionV>
                <wp:extent cx="2444115" cy="762000"/>
                <wp:effectExtent l="0" t="0" r="0" b="0"/>
                <wp:wrapSquare wrapText="bothSides"/>
                <wp:docPr id="42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E4E43" w14:textId="77777777" w:rsidR="00490F33" w:rsidRDefault="00490F33">
                            <w:pPr>
                              <w:spacing w:line="239" w:lineRule="exact"/>
                              <w:textAlignment w:val="baseline"/>
                              <w:rPr>
                                <w:rFonts w:ascii="Tahoma" w:eastAsia="Tahoma" w:hAnsi="Tahoma"/>
                                <w:color w:val="404042"/>
                                <w:spacing w:val="5"/>
                                <w:sz w:val="18"/>
                              </w:rPr>
                            </w:pPr>
                            <w:r>
                              <w:rPr>
                                <w:rFonts w:ascii="Tahoma" w:eastAsia="Tahoma" w:hAnsi="Tahoma"/>
                                <w:color w:val="404042"/>
                                <w:spacing w:val="5"/>
                                <w:sz w:val="18"/>
                              </w:rPr>
                              <w:t>‘Glamping’-style tents have been constructed and are used for classrooms, student dorms and staff accommodation. All students and staff live together at Wuyagiba while participating in the courses.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DB1C4" id="Text Box 149" o:spid="_x0000_s1354" type="#_x0000_t202" style="position:absolute;margin-left:329.3pt;margin-top:394.55pt;width:192.45pt;height:60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Yc8QEAAMMDAAAOAAAAZHJzL2Uyb0RvYy54bWysU9tu2zAMfR+wfxD0vjjOvG4z4hRdiw4D&#10;ugvQ7gMYWbaF2aJGKbGzrx8lJ1m7vg17EShejg4PqfXlNPRir8kbtJXMF0sptFVYG9tW8vvD7at3&#10;UvgAtoYera7kQXt5uXn5Yj26Uq+ww77WJBjE+nJ0lexCcGWWedXpAfwCnbYcbJAGCHylNqsJRkYf&#10;+my1XF5kI1LtCJX2nr03c1BuEn7TaBW+No3XQfSVZG4hnZTObTyzzRrKlsB1Rh1pwD+wGMBYfvQM&#10;dQMBxI7MM6jBKEKPTVgoHDJsGqN06oG7yZd/dXPfgdOpFxbHu7NM/v/Bqi/7byRMXclixaOyMPCQ&#10;HvQUxAecRF68jwqNzpeceO84NUwc4Emnbr27Q/XDC4vXHdhWXxHh2GmomWEeK7NHpTOOjyDb8TPW&#10;/BDsAiagqaEhyseCCEbnSR3O04lkFDtXRVHk+RspFMfeXvD00/gyKE/Vjnz4qHEQ0agk8fQTOuzv&#10;fIhsoDylxMcs3pq+TxvQ2ycOToyexD4SnqmHaTslqV6zVEdZtlgfuCHCebP4J7DRIf2SYuStqqT/&#10;uQPSUvSfLIsSV/Bk0MnYngywiksrGaSYzeswr+rOkWk7Rp5lt3jFwjUm9RQVnlkcCfOmpFaPWx1X&#10;8fE9Zf35e5vfAAAA//8DAFBLAwQUAAYACAAAACEAAl3vpOEAAAAMAQAADwAAAGRycy9kb3ducmV2&#10;LnhtbEyPwU7DMAyG70i8Q2QkbiwZsNKWutOE4ISE1pUDx7TJ2miNU5psK29PdoKj7U+/v79Yz3Zg&#10;Jz154whhuRDANLVOGeoQPuu3uxSYD5KUHBxphB/tYV1eXxUyV+5MlT7tQsdiCPlcIvQhjDnnvu21&#10;lX7hRk3xtneTlSGOU8fVJM8x3A78XoiEW2kofujlqF963R52R4uw+aLq1Xx/NNtqX5m6zgS9JwfE&#10;25t58wws6Dn8wXDRj+pQRqfGHUl5NiAkqzSJKMJTmi2BXQjx+LAC1iBkIq54WfD/JcpfAAAA//8D&#10;AFBLAQItABQABgAIAAAAIQC2gziS/gAAAOEBAAATAAAAAAAAAAAAAAAAAAAAAABbQ29udGVudF9U&#10;eXBlc10ueG1sUEsBAi0AFAAGAAgAAAAhADj9If/WAAAAlAEAAAsAAAAAAAAAAAAAAAAALwEAAF9y&#10;ZWxzLy5yZWxzUEsBAi0AFAAGAAgAAAAhANXbJhzxAQAAwwMAAA4AAAAAAAAAAAAAAAAALgIAAGRy&#10;cy9lMm9Eb2MueG1sUEsBAi0AFAAGAAgAAAAhAAJd76ThAAAADAEAAA8AAAAAAAAAAAAAAAAASwQA&#10;AGRycy9kb3ducmV2LnhtbFBLBQYAAAAABAAEAPMAAABZBQAAAAA=&#10;" filled="f" stroked="f">
                <v:textbox inset="0,0,0,0">
                  <w:txbxContent>
                    <w:p w14:paraId="530E4E43" w14:textId="77777777" w:rsidR="00490F33" w:rsidRDefault="00490F33">
                      <w:pPr>
                        <w:spacing w:line="239" w:lineRule="exact"/>
                        <w:textAlignment w:val="baseline"/>
                        <w:rPr>
                          <w:rFonts w:ascii="Tahoma" w:eastAsia="Tahoma" w:hAnsi="Tahoma"/>
                          <w:color w:val="404042"/>
                          <w:spacing w:val="5"/>
                          <w:sz w:val="18"/>
                        </w:rPr>
                      </w:pPr>
                      <w:r>
                        <w:rPr>
                          <w:rFonts w:ascii="Tahoma" w:eastAsia="Tahoma" w:hAnsi="Tahoma"/>
                          <w:color w:val="404042"/>
                          <w:spacing w:val="5"/>
                          <w:sz w:val="18"/>
                        </w:rPr>
                        <w:t>‘Glamping’-style tents have been constructed and are used for classrooms, student dorms and staff accommodation. All students and staff live together at Wuyagiba while participating in the courses.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90496" behindDoc="1" locked="0" layoutInCell="1" allowOverlap="1" wp14:anchorId="4C967A9E" wp14:editId="43EAE839">
                <wp:simplePos x="0" y="0"/>
                <wp:positionH relativeFrom="page">
                  <wp:posOffset>914400</wp:posOffset>
                </wp:positionH>
                <wp:positionV relativeFrom="page">
                  <wp:posOffset>6235065</wp:posOffset>
                </wp:positionV>
                <wp:extent cx="2764790" cy="1205230"/>
                <wp:effectExtent l="0" t="0" r="0" b="0"/>
                <wp:wrapSquare wrapText="bothSides"/>
                <wp:docPr id="42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7CC94" w14:textId="77777777" w:rsidR="00490F33" w:rsidRDefault="00490F33">
                            <w:pPr>
                              <w:numPr>
                                <w:ilvl w:val="0"/>
                                <w:numId w:val="6"/>
                              </w:numPr>
                              <w:spacing w:before="50" w:line="240" w:lineRule="exact"/>
                              <w:ind w:left="216" w:hanging="216"/>
                              <w:jc w:val="both"/>
                              <w:textAlignment w:val="baseline"/>
                              <w:rPr>
                                <w:rFonts w:ascii="Tahoma" w:eastAsia="Tahoma" w:hAnsi="Tahoma"/>
                                <w:color w:val="404042"/>
                                <w:sz w:val="18"/>
                              </w:rPr>
                            </w:pPr>
                            <w:r>
                              <w:rPr>
                                <w:rFonts w:ascii="Tahoma" w:eastAsia="Tahoma" w:hAnsi="Tahoma"/>
                                <w:color w:val="404042"/>
                                <w:sz w:val="18"/>
                              </w:rPr>
                              <w:t>increase the opportunities for remote Aboriginal people to access university education</w:t>
                            </w:r>
                          </w:p>
                          <w:p w14:paraId="58F01F7B" w14:textId="77777777" w:rsidR="00490F33" w:rsidRDefault="00490F33">
                            <w:pPr>
                              <w:numPr>
                                <w:ilvl w:val="0"/>
                                <w:numId w:val="6"/>
                              </w:numPr>
                              <w:spacing w:before="86" w:line="240" w:lineRule="exact"/>
                              <w:ind w:left="216" w:right="216" w:hanging="216"/>
                              <w:textAlignment w:val="baseline"/>
                              <w:rPr>
                                <w:rFonts w:ascii="Tahoma" w:eastAsia="Tahoma" w:hAnsi="Tahoma"/>
                                <w:color w:val="404042"/>
                                <w:sz w:val="18"/>
                              </w:rPr>
                            </w:pPr>
                            <w:r>
                              <w:rPr>
                                <w:rFonts w:ascii="Tahoma" w:eastAsia="Tahoma" w:hAnsi="Tahoma"/>
                                <w:color w:val="404042"/>
                                <w:sz w:val="18"/>
                              </w:rPr>
                              <w:t>create an opportunity for elders to maintain a high level of Aboriginal culture, on country</w:t>
                            </w:r>
                          </w:p>
                          <w:p w14:paraId="0EF4AA19" w14:textId="77777777" w:rsidR="00490F33" w:rsidRDefault="00490F33">
                            <w:pPr>
                              <w:numPr>
                                <w:ilvl w:val="0"/>
                                <w:numId w:val="6"/>
                              </w:numPr>
                              <w:spacing w:before="82" w:line="236" w:lineRule="exact"/>
                              <w:ind w:left="216" w:hanging="216"/>
                              <w:textAlignment w:val="baseline"/>
                              <w:rPr>
                                <w:rFonts w:ascii="Tahoma" w:eastAsia="Tahoma" w:hAnsi="Tahoma"/>
                                <w:color w:val="404042"/>
                                <w:sz w:val="18"/>
                              </w:rPr>
                            </w:pPr>
                            <w:r>
                              <w:rPr>
                                <w:rFonts w:ascii="Tahoma" w:eastAsia="Tahoma" w:hAnsi="Tahoma"/>
                                <w:color w:val="404042"/>
                                <w:sz w:val="18"/>
                              </w:rPr>
                              <w:t>open up, in the future, opportunities for non-Aboriginal people to learn about Aboriginal culture from elders, on country.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67A9E" id="Text Box 148" o:spid="_x0000_s1355" type="#_x0000_t202" style="position:absolute;margin-left:1in;margin-top:490.95pt;width:217.7pt;height:94.9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Sv8gEAAMQDAAAOAAAAZHJzL2Uyb0RvYy54bWysU9tu2zAMfR+wfxD0vjhxs6Y14hRdiw4D&#10;ugvQ7gMYWY6F2aJGKbGzrx8lx1m3vQ17EShejg4PqfXN0LXioMkbtKVczOZSaKuwMnZXyq/PD2+u&#10;pPABbAUtWl3Ko/byZvP61bp3hc6xwbbSJBjE+qJ3pWxCcEWWedXoDvwMnbYcrJE6CHylXVYR9Ize&#10;tVk+n19mPVLlCJX2nr33Y1BuEn5daxU+17XXQbSlZG4hnZTObTyzzRqKHYFrjDrRgH9g0YGx/OgZ&#10;6h4CiD2Zv6A6owg91mGmsMuwro3SqQfuZjH/o5unBpxOvbA43p1l8v8PVn06fCFhqlIu85UUFjoe&#10;0rMegniHg1gsr6JCvfMFJz45Tg0DB3jSqVvvHlF988LiXQN2p2+JsG80VMxwESuzF6Ujjo8g2/4j&#10;VvwQ7AMmoKGmLsrHgghG50kdz9OJZBQ789XlcnXNIcWxRT5/m1+k+WVQTOWOfHivsRPRKCXx+BM8&#10;HB59iHSgmFLiaxYfTNumFWjtbw5OjJ5EPzIeuYdhOyStLvLrSZctVkfuiHBcLf4KbDRIP6Toea1K&#10;6b/vgbQU7QfLqsQdnAyajO1kgFVcWsogxWjehXFX947MrmHkUXeLt6xcbVJPUeKRxYkwr0pq9bTW&#10;cRdf3lPWr8+3+QkAAP//AwBQSwMEFAAGAAgAAAAhAK4gh4TgAAAADAEAAA8AAABkcnMvZG93bnJl&#10;di54bWxMj0FPg0AUhO8m/ofNM/FmFwyWgixNY/RkYqR48LjAK2zKvkV22+K/93nS42QmM98U28WO&#10;4oyzN44UxKsIBFLrOkO9go/65W4DwgdNnR4doYJv9LAtr68KnXfuQhWe96EXXEI+1wqGEKZcSt8O&#10;aLVfuQmJvYObrQ4s5152s75wuR3lfRStpdWGeGHQEz4N2B73J6tg90nVs/l6a96rQ2XqOovodX1U&#10;6vZm2T2CCLiEvzD84jM6lMzUuBN1Xoysk4S/BAXZJs5AcOIhzRIQDVtxGqcgy0L+P1H+AAAA//8D&#10;AFBLAQItABQABgAIAAAAIQC2gziS/gAAAOEBAAATAAAAAAAAAAAAAAAAAAAAAABbQ29udGVudF9U&#10;eXBlc10ueG1sUEsBAi0AFAAGAAgAAAAhADj9If/WAAAAlAEAAAsAAAAAAAAAAAAAAAAALwEAAF9y&#10;ZWxzLy5yZWxzUEsBAi0AFAAGAAgAAAAhAISmxK/yAQAAxAMAAA4AAAAAAAAAAAAAAAAALgIAAGRy&#10;cy9lMm9Eb2MueG1sUEsBAi0AFAAGAAgAAAAhAK4gh4TgAAAADAEAAA8AAAAAAAAAAAAAAAAATAQA&#10;AGRycy9kb3ducmV2LnhtbFBLBQYAAAAABAAEAPMAAABZBQAAAAA=&#10;" filled="f" stroked="f">
                <v:textbox inset="0,0,0,0">
                  <w:txbxContent>
                    <w:p w14:paraId="5277CC94" w14:textId="77777777" w:rsidR="00490F33" w:rsidRDefault="00490F33">
                      <w:pPr>
                        <w:numPr>
                          <w:ilvl w:val="0"/>
                          <w:numId w:val="6"/>
                        </w:numPr>
                        <w:spacing w:before="50" w:line="240" w:lineRule="exact"/>
                        <w:ind w:left="216" w:hanging="216"/>
                        <w:jc w:val="both"/>
                        <w:textAlignment w:val="baseline"/>
                        <w:rPr>
                          <w:rFonts w:ascii="Tahoma" w:eastAsia="Tahoma" w:hAnsi="Tahoma"/>
                          <w:color w:val="404042"/>
                          <w:sz w:val="18"/>
                        </w:rPr>
                      </w:pPr>
                      <w:r>
                        <w:rPr>
                          <w:rFonts w:ascii="Tahoma" w:eastAsia="Tahoma" w:hAnsi="Tahoma"/>
                          <w:color w:val="404042"/>
                          <w:sz w:val="18"/>
                        </w:rPr>
                        <w:t>increase the opportunities for remote Aboriginal people to access university education</w:t>
                      </w:r>
                    </w:p>
                    <w:p w14:paraId="58F01F7B" w14:textId="77777777" w:rsidR="00490F33" w:rsidRDefault="00490F33">
                      <w:pPr>
                        <w:numPr>
                          <w:ilvl w:val="0"/>
                          <w:numId w:val="6"/>
                        </w:numPr>
                        <w:spacing w:before="86" w:line="240" w:lineRule="exact"/>
                        <w:ind w:left="216" w:right="216" w:hanging="216"/>
                        <w:textAlignment w:val="baseline"/>
                        <w:rPr>
                          <w:rFonts w:ascii="Tahoma" w:eastAsia="Tahoma" w:hAnsi="Tahoma"/>
                          <w:color w:val="404042"/>
                          <w:sz w:val="18"/>
                        </w:rPr>
                      </w:pPr>
                      <w:r>
                        <w:rPr>
                          <w:rFonts w:ascii="Tahoma" w:eastAsia="Tahoma" w:hAnsi="Tahoma"/>
                          <w:color w:val="404042"/>
                          <w:sz w:val="18"/>
                        </w:rPr>
                        <w:t>create an opportunity for elders to maintain a high level of Aboriginal culture, on country</w:t>
                      </w:r>
                    </w:p>
                    <w:p w14:paraId="0EF4AA19" w14:textId="77777777" w:rsidR="00490F33" w:rsidRDefault="00490F33">
                      <w:pPr>
                        <w:numPr>
                          <w:ilvl w:val="0"/>
                          <w:numId w:val="6"/>
                        </w:numPr>
                        <w:spacing w:before="82" w:line="236" w:lineRule="exact"/>
                        <w:ind w:left="216" w:hanging="216"/>
                        <w:textAlignment w:val="baseline"/>
                        <w:rPr>
                          <w:rFonts w:ascii="Tahoma" w:eastAsia="Tahoma" w:hAnsi="Tahoma"/>
                          <w:color w:val="404042"/>
                          <w:sz w:val="18"/>
                        </w:rPr>
                      </w:pPr>
                      <w:r>
                        <w:rPr>
                          <w:rFonts w:ascii="Tahoma" w:eastAsia="Tahoma" w:hAnsi="Tahoma"/>
                          <w:color w:val="404042"/>
                          <w:sz w:val="18"/>
                        </w:rPr>
                        <w:t>open up, in the future, opportunities for non-Aboriginal people to learn about Aboriginal culture from elders, on country.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91520" behindDoc="1" locked="0" layoutInCell="1" allowOverlap="1" wp14:anchorId="25DBB0F8" wp14:editId="7820E0E6">
                <wp:simplePos x="0" y="0"/>
                <wp:positionH relativeFrom="page">
                  <wp:posOffset>4182110</wp:posOffset>
                </wp:positionH>
                <wp:positionV relativeFrom="page">
                  <wp:posOffset>5879465</wp:posOffset>
                </wp:positionV>
                <wp:extent cx="2484120" cy="1524000"/>
                <wp:effectExtent l="0" t="0" r="0" b="0"/>
                <wp:wrapSquare wrapText="bothSides"/>
                <wp:docPr id="42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ACA7A" w14:textId="77777777" w:rsidR="00490F33" w:rsidRDefault="00490F33">
                            <w:pPr>
                              <w:spacing w:line="239" w:lineRule="exact"/>
                              <w:textAlignment w:val="baseline"/>
                              <w:rPr>
                                <w:rFonts w:ascii="Tahoma" w:eastAsia="Tahoma" w:hAnsi="Tahoma"/>
                                <w:color w:val="404042"/>
                                <w:spacing w:val="5"/>
                                <w:sz w:val="18"/>
                              </w:rPr>
                            </w:pPr>
                            <w:r>
                              <w:rPr>
                                <w:rFonts w:ascii="Tahoma" w:eastAsia="Tahoma" w:hAnsi="Tahoma"/>
                                <w:color w:val="404042"/>
                                <w:spacing w:val="5"/>
                                <w:sz w:val="18"/>
                              </w:rPr>
                              <w:t>In 2019, 23 students participated in the expanded two-way pre-university preparation course. The course ran for two five-week sessions (July and September) and was delivered by local elders and Macquarie University staff. Nine students successfully completed the 10-week course. Following interviews at Macquarie University, five students were offered places at the university and four offered places at Batchelor Institute.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BB0F8" id="Text Box 147" o:spid="_x0000_s1356" type="#_x0000_t202" style="position:absolute;margin-left:329.3pt;margin-top:462.95pt;width:195.6pt;height:120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xR8QEAAMQDAAAOAAAAZHJzL2Uyb0RvYy54bWysU9tu2zAMfR+wfxD0vvjSrCuMOEXXosOA&#10;7gK0+wBGlmNhtqhRSuzs60fJSdptb8NeBEqkjs45pFbX09CLvSZv0NayWORSaKuwMXZby29P92+u&#10;pPABbAM9Wl3Lg/byev361Wp0lS6xw77RJBjE+mp0texCcFWWedXpAfwCnbacbJEGCLylbdYQjIw+&#10;9FmZ55fZiNQ4QqW959O7OSnXCb9ttQpf2tbrIPpaMreQVkrrJq7ZegXVlsB1Rh1pwD+wGMBYfvQM&#10;dQcBxI7MX1CDUYQe27BQOGTYtkbppIHVFPkfah47cDppYXO8O9vk/x+s+rz/SsI0tVyWl1JYGLhJ&#10;T3oK4j1Ooli+iw6Nzldc+Oi4NEyc4E4ntd49oPruhcXbDuxW3xDh2GlomGERb2Yvrs44PoJsxk/Y&#10;8EOwC5iAppaGaB8bIhidO3U4dyeSUXxYLq+WRckpxbnibbnM89S/DKrTdUc+fNA4iBjUkrj9CR72&#10;Dz5EOlCdSuJrFu9N36cR6O1vB1wYTxL9yHjmHqbNlLy6uEgvR3EbbA6siHAeLf4KHHRIP6UYeaxq&#10;6X/sgLQU/UfLrsQZPAV0CjanAKziq7UMUszhbZhndefIbDtGnn23eMPOtSZpemZxJMyjkqQexzrO&#10;4st9qnr+fOtfAAAA//8DAFBLAwQUAAYACAAAACEADAg+C+EAAAANAQAADwAAAGRycy9kb3ducmV2&#10;LnhtbEyPwU7DMBBE70j8g7VI3KjdilpNiFNVCE5IiDQcODqxm1iN1yF22/D3bE9w290Zzb4ptrMf&#10;2NlO0QVUsFwIYBbbYBx2Cj7r14cNsJg0Gj0EtAp+bIRteXtT6NyEC1b2vE8doxCMuVbQpzTmnMe2&#10;t17HRRgtknYIk9eJ1qnjZtIXCvcDXwkhudcO6UOvR/vc2/a4P3kFuy+sXtz3e/NRHSpX15nAN3lU&#10;6v5u3j0BS3ZOf2a44hM6lMTUhBOayAYFcr2RZFWQrdYZsKtDPGbUpqFpKenGy4L/b1H+AgAA//8D&#10;AFBLAQItABQABgAIAAAAIQC2gziS/gAAAOEBAAATAAAAAAAAAAAAAAAAAAAAAABbQ29udGVudF9U&#10;eXBlc10ueG1sUEsBAi0AFAAGAAgAAAAhADj9If/WAAAAlAEAAAsAAAAAAAAAAAAAAAAALwEAAF9y&#10;ZWxzLy5yZWxzUEsBAi0AFAAGAAgAAAAhAHuvDFHxAQAAxAMAAA4AAAAAAAAAAAAAAAAALgIAAGRy&#10;cy9lMm9Eb2MueG1sUEsBAi0AFAAGAAgAAAAhAAwIPgvhAAAADQEAAA8AAAAAAAAAAAAAAAAASwQA&#10;AGRycy9kb3ducmV2LnhtbFBLBQYAAAAABAAEAPMAAABZBQAAAAA=&#10;" filled="f" stroked="f">
                <v:textbox inset="0,0,0,0">
                  <w:txbxContent>
                    <w:p w14:paraId="160ACA7A" w14:textId="77777777" w:rsidR="00490F33" w:rsidRDefault="00490F33">
                      <w:pPr>
                        <w:spacing w:line="239" w:lineRule="exact"/>
                        <w:textAlignment w:val="baseline"/>
                        <w:rPr>
                          <w:rFonts w:ascii="Tahoma" w:eastAsia="Tahoma" w:hAnsi="Tahoma"/>
                          <w:color w:val="404042"/>
                          <w:spacing w:val="5"/>
                          <w:sz w:val="18"/>
                        </w:rPr>
                      </w:pPr>
                      <w:r>
                        <w:rPr>
                          <w:rFonts w:ascii="Tahoma" w:eastAsia="Tahoma" w:hAnsi="Tahoma"/>
                          <w:color w:val="404042"/>
                          <w:spacing w:val="5"/>
                          <w:sz w:val="18"/>
                        </w:rPr>
                        <w:t>In 2019, 23 students participated in the expanded two-way pre-university preparation course. The course ran for two five-week sessions (July and September) and was delivered by local elders and Macquarie University staff. Nine students successfully completed the 10-week course. Following interviews at Macquarie University, five students were offered places at the university and four offered places at Batchelor Institute.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92544" behindDoc="1" locked="0" layoutInCell="1" allowOverlap="1" wp14:anchorId="2060CA59" wp14:editId="3C3F764C">
                <wp:simplePos x="0" y="0"/>
                <wp:positionH relativeFrom="page">
                  <wp:posOffset>4184650</wp:posOffset>
                </wp:positionH>
                <wp:positionV relativeFrom="page">
                  <wp:posOffset>7588885</wp:posOffset>
                </wp:positionV>
                <wp:extent cx="1917700" cy="238125"/>
                <wp:effectExtent l="0" t="0" r="0" b="0"/>
                <wp:wrapSquare wrapText="bothSides"/>
                <wp:docPr id="42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45FA6" w14:textId="77777777" w:rsidR="00490F33" w:rsidRDefault="00490F33">
                            <w:pPr>
                              <w:spacing w:line="180" w:lineRule="exact"/>
                              <w:jc w:val="both"/>
                              <w:textAlignment w:val="baseline"/>
                              <w:rPr>
                                <w:rFonts w:ascii="Tahoma" w:eastAsia="Tahoma" w:hAnsi="Tahoma"/>
                                <w:color w:val="000000"/>
                                <w:sz w:val="14"/>
                              </w:rPr>
                            </w:pPr>
                            <w:r>
                              <w:rPr>
                                <w:rFonts w:ascii="Tahoma" w:eastAsia="Tahoma" w:hAnsi="Tahoma"/>
                                <w:color w:val="000000"/>
                                <w:sz w:val="14"/>
                              </w:rPr>
                              <w:t xml:space="preserve">Source: Wuyagiba Regional Study Hub website, </w:t>
                            </w:r>
                            <w:hyperlink r:id="rId280">
                              <w:r>
                                <w:rPr>
                                  <w:rFonts w:ascii="Tahoma" w:eastAsia="Tahoma" w:hAnsi="Tahoma"/>
                                  <w:color w:val="0000FF"/>
                                  <w:sz w:val="14"/>
                                  <w:u w:val="single"/>
                                </w:rPr>
                                <w:t>https://www.wuyagibastudyhub.org</w:t>
                              </w:r>
                            </w:hyperlink>
                            <w:r>
                              <w:rPr>
                                <w:rFonts w:ascii="Tahoma" w:eastAsia="Tahoma" w:hAnsi="Tahoma"/>
                                <w:color w:val="00000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0CA59" id="Text Box 146" o:spid="_x0000_s1357" type="#_x0000_t202" style="position:absolute;margin-left:329.5pt;margin-top:597.55pt;width:151pt;height:18.7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k8AEAAMMDAAAOAAAAZHJzL2Uyb0RvYy54bWysU9tu2zAMfR+wfxD0vjhOurYz4hRdiw4D&#10;ugvQ7gMYWY6F2aJGKbGzrx8lx2m7vg17EWiROjznkF5dDV0r9pq8QVvKfDaXQluFlbHbUv54vHt3&#10;KYUPYCto0epSHrSXV+u3b1a9K/QCG2wrTYJBrC96V8omBFdkmVeN7sDP0GnLyRqpg8CftM0qgp7R&#10;uzZbzOfnWY9UOUKlvefb2zEp1wm/rrUK3+ra6yDaUjK3kE5K5yae2XoFxZbANUYdacA/sOjAWG56&#10;grqFAGJH5hVUZxShxzrMFHYZ1rVROmlgNfn8LzUPDTidtLA53p1s8v8PVn3dfydhqlKeLd5LYaHj&#10;IT3qIYiPOIj87Dw61DtfcOGD49IwcIInndR6d4/qpxcWbxqwW31NhH2joWKGeXyZPXs64vgIsum/&#10;YMWNYBcwAQ01ddE+NkQwOk/qcJpOJKNiyw/5xcWcU4pzi+VlzoRjCyim1458+KSxEzEoJfH0Ezrs&#10;730YS6eS2MzinWlbvoeitS8uGDPeJPaR8Eg9DJshWbVcJnFR2warAwsiHDeL/wQOGqTfUvS8VaX0&#10;v3ZAWor2s2VT4gpOAU3BZgrAKn5ayiDFGN6EcVV3jsy2YeTRdovXbFxtkqYnFkfCvCnJleNWx1V8&#10;/p2qnv699R8AAAD//wMAUEsDBBQABgAIAAAAIQBfiai14QAAAA0BAAAPAAAAZHJzL2Rvd25yZXYu&#10;eG1sTI/BTsMwEETvSPyDtUjcqJOgWiTEqaqqnJAQaThwdGI3sRqvQ+y24e9ZTnDcmdHsm3KzuJFd&#10;zBysRwnpKgFmsPPaYi/ho3l5eAIWokKtRo9GwrcJsKlub0pVaH/F2lwOsWdUgqFQEoYYp4Lz0A3G&#10;qbDyk0Hyjn52KtI591zP6krlbuRZkgjulEX6MKjJ7AbTnQ5nJ2H7ifXefr217/Wxtk2TJ/gqTlLe&#10;3y3bZ2DRLPEvDL/4hA4VMbX+jDqwUYJY57QlkpHm6xQYRXKRktSSlD1mAnhV8v8rqh8AAAD//wMA&#10;UEsBAi0AFAAGAAgAAAAhALaDOJL+AAAA4QEAABMAAAAAAAAAAAAAAAAAAAAAAFtDb250ZW50X1R5&#10;cGVzXS54bWxQSwECLQAUAAYACAAAACEAOP0h/9YAAACUAQAACwAAAAAAAAAAAAAAAAAvAQAAX3Jl&#10;bHMvLnJlbHNQSwECLQAUAAYACAAAACEAQFv+pPABAADDAwAADgAAAAAAAAAAAAAAAAAuAgAAZHJz&#10;L2Uyb0RvYy54bWxQSwECLQAUAAYACAAAACEAX4moteEAAAANAQAADwAAAAAAAAAAAAAAAABKBAAA&#10;ZHJzL2Rvd25yZXYueG1sUEsFBgAAAAAEAAQA8wAAAFgFAAAAAA==&#10;" filled="f" stroked="f">
                <v:textbox inset="0,0,0,0">
                  <w:txbxContent>
                    <w:p w14:paraId="0E345FA6" w14:textId="77777777" w:rsidR="00490F33" w:rsidRDefault="00490F33">
                      <w:pPr>
                        <w:spacing w:line="180" w:lineRule="exact"/>
                        <w:jc w:val="both"/>
                        <w:textAlignment w:val="baseline"/>
                        <w:rPr>
                          <w:rFonts w:ascii="Tahoma" w:eastAsia="Tahoma" w:hAnsi="Tahoma"/>
                          <w:color w:val="000000"/>
                          <w:sz w:val="14"/>
                        </w:rPr>
                      </w:pPr>
                      <w:r>
                        <w:rPr>
                          <w:rFonts w:ascii="Tahoma" w:eastAsia="Tahoma" w:hAnsi="Tahoma"/>
                          <w:color w:val="000000"/>
                          <w:sz w:val="14"/>
                        </w:rPr>
                        <w:t xml:space="preserve">Source: Wuyagiba Regional Study Hub website, </w:t>
                      </w:r>
                      <w:hyperlink r:id="rId281">
                        <w:r>
                          <w:rPr>
                            <w:rFonts w:ascii="Tahoma" w:eastAsia="Tahoma" w:hAnsi="Tahoma"/>
                            <w:color w:val="0000FF"/>
                            <w:sz w:val="14"/>
                            <w:u w:val="single"/>
                          </w:rPr>
                          <w:t>https://www.wuyagibastudyhub.org</w:t>
                        </w:r>
                      </w:hyperlink>
                      <w:r>
                        <w:rPr>
                          <w:rFonts w:ascii="Tahoma" w:eastAsia="Tahoma" w:hAnsi="Tahoma"/>
                          <w:color w:val="000000"/>
                          <w:sz w:val="14"/>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693568" behindDoc="1" locked="0" layoutInCell="1" allowOverlap="1" wp14:anchorId="69AA23C3" wp14:editId="3F2AEE18">
                <wp:simplePos x="0" y="0"/>
                <wp:positionH relativeFrom="page">
                  <wp:posOffset>545465</wp:posOffset>
                </wp:positionH>
                <wp:positionV relativeFrom="page">
                  <wp:posOffset>9692640</wp:posOffset>
                </wp:positionV>
                <wp:extent cx="1219200" cy="144780"/>
                <wp:effectExtent l="0" t="0" r="0" b="0"/>
                <wp:wrapSquare wrapText="bothSides"/>
                <wp:docPr id="42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1C75A"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126</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23C3" id="Text Box 145" o:spid="_x0000_s1358" type="#_x0000_t202" style="position:absolute;margin-left:42.95pt;margin-top:763.2pt;width:96pt;height:11.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F08AEAAMMDAAAOAAAAZHJzL2Uyb0RvYy54bWysU1Fv0zAQfkfiP1h+p2m6AiNqOo1NQ0hj&#10;IG38gIvjNBaJz5zdJuXXc3aaMuAN8WKdfXfffffdeXM19p04aPIGbSnzxVIKbRXWxu5K+fXp7tWl&#10;FD6AraFDq0t51F5ebV++2Ayu0Ctssas1CQaxvhhcKdsQXJFlXrW6B79Apy07G6QeAl9pl9UEA6P3&#10;XbZaLt9kA1LtCJX2nl9vJ6fcJvym0Sp8bhqvg+hKydxCOimdVTyz7QaKHYFrjTrRgH9g0YOxXPQM&#10;dQsBxJ7MX1C9UYQem7BQ2GfYNEbp1AN3ky//6OaxBadTLyyOd2eZ/P+DVQ+HLyRMXcr1ai2FhZ6H&#10;9KTHIN7jKPL166jQ4HzBgY+OQ8PIDp506ta7e1TfvLB404Ld6WsiHFoNNTPMY2b2LHXC8RGkGj5h&#10;zYVgHzABjQ31UT4WRDA6T+p4nk4ko2LJVf6ORy6FYl++Xr+9TOPLoJizHfnwQWMvolFK4ukndDjc&#10;+xDZQDGHxGIW70zXpQ3o7G8PHBhfEvtIeKIexmpMUl1crGZZKqyP3BDhtFn8E9hokX5IMfBWldJ/&#10;3wNpKbqPlkWJKzgbNBvVbIBVnFrKIMVk3oRpVfeOzK5l5El2i9csXGNST1HhicWJMG9KavW01XEV&#10;n99T1K+/t/0JAAD//wMAUEsDBBQABgAIAAAAIQCdEjHJ4AAAAAwBAAAPAAAAZHJzL2Rvd25yZXYu&#10;eG1sTI/BToNAEIbvJr7DZky82UXS0oIsTWP0ZGKkePC4sFMgZWeR3bb49k5Pepxv/vzzTb6d7SDO&#10;OPnekYLHRQQCqXGmp1bBZ/X6sAHhgyajB0eo4Ac9bIvbm1xnxl2oxPM+tIJLyGdaQRfCmEnpmw6t&#10;9gs3IvHu4CarA49TK82kL1xuBxlHUSKt7okvdHrE5w6b4/5kFey+qHzpv9/rj/JQ9lWVRvSWHJW6&#10;v5t3TyACzuEvDFd9VoeCnWp3IuPFoGCzSjnJfBUnSxCciNdrRvUVLdMYZJHL/08UvwAAAP//AwBQ&#10;SwECLQAUAAYACAAAACEAtoM4kv4AAADhAQAAEwAAAAAAAAAAAAAAAAAAAAAAW0NvbnRlbnRfVHlw&#10;ZXNdLnhtbFBLAQItABQABgAIAAAAIQA4/SH/1gAAAJQBAAALAAAAAAAAAAAAAAAAAC8BAABfcmVs&#10;cy8ucmVsc1BLAQItABQABgAIAAAAIQChsBF08AEAAMMDAAAOAAAAAAAAAAAAAAAAAC4CAABkcnMv&#10;ZTJvRG9jLnhtbFBLAQItABQABgAIAAAAIQCdEjHJ4AAAAAwBAAAPAAAAAAAAAAAAAAAAAEoEAABk&#10;cnMvZG93bnJldi54bWxQSwUGAAAAAAQABADzAAAAVwUAAAAA&#10;" filled="f" stroked="f">
                <v:textbox inset="0,0,0,0">
                  <w:txbxContent>
                    <w:p w14:paraId="40C1C75A"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126</w:t>
                      </w:r>
                      <w:r>
                        <w:rPr>
                          <w:rFonts w:ascii="Tahoma" w:eastAsia="Tahoma" w:hAnsi="Tahoma"/>
                          <w:color w:val="404042"/>
                          <w:sz w:val="14"/>
                        </w:rPr>
                        <w:tab/>
                        <w:t>Looking to the future</w:t>
                      </w:r>
                    </w:p>
                  </w:txbxContent>
                </v:textbox>
                <w10:wrap type="square" anchorx="page" anchory="page"/>
              </v:shape>
            </w:pict>
          </mc:Fallback>
        </mc:AlternateContent>
      </w:r>
    </w:p>
    <w:p w14:paraId="6A881F09" w14:textId="77777777" w:rsidR="009757A9" w:rsidRDefault="009757A9">
      <w:pPr>
        <w:sectPr w:rsidR="009757A9">
          <w:pgSz w:w="11909" w:h="16838"/>
          <w:pgMar w:top="0" w:right="1440" w:bottom="0" w:left="1440" w:header="720" w:footer="720" w:gutter="0"/>
          <w:cols w:space="720"/>
        </w:sectPr>
      </w:pPr>
    </w:p>
    <w:p w14:paraId="031B7B96" w14:textId="501B65DC" w:rsidR="009757A9" w:rsidRDefault="00083242">
      <w:pPr>
        <w:spacing w:after="504" w:line="239"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lastRenderedPageBreak/>
        <w:t>However, while more Aboriginal and Torres Strait Islander students now succeed at school and beyond, we cannot become complacent. As the Alice Springs (Mparntwe) Education Declaration notes, more needs to be done to incorporate local, regional and national cultural knowledge and the experiences of Aboriginal and Torres Strait Islander people into schooling and in building partnerships with local communities. Cultural competencies need to be fully accepted as a key learning attribute and their value recognised not just by teachers but also by fellow students.</w:t>
      </w:r>
    </w:p>
    <w:p w14:paraId="5060CF68" w14:textId="7EC2627C" w:rsidR="009757A9" w:rsidRDefault="000D2E34">
      <w:pPr>
        <w:spacing w:before="2" w:line="211" w:lineRule="exact"/>
        <w:ind w:left="864"/>
        <w:textAlignment w:val="baseline"/>
        <w:rPr>
          <w:rFonts w:ascii="Arial" w:eastAsia="Arial" w:hAnsi="Arial"/>
          <w:i/>
          <w:color w:val="007896"/>
          <w:spacing w:val="1"/>
          <w:sz w:val="18"/>
        </w:rPr>
      </w:pPr>
      <w:r>
        <w:rPr>
          <w:noProof/>
          <w:lang w:val="en-AU" w:eastAsia="en-AU"/>
        </w:rPr>
        <mc:AlternateContent>
          <mc:Choice Requires="wps">
            <w:drawing>
              <wp:anchor distT="0" distB="316865" distL="545465" distR="536575" simplePos="0" relativeHeight="251694592" behindDoc="1" locked="0" layoutInCell="1" allowOverlap="1" wp14:anchorId="6CFCEB07" wp14:editId="4B1CADCA">
                <wp:simplePos x="0" y="0"/>
                <wp:positionH relativeFrom="page">
                  <wp:posOffset>545465</wp:posOffset>
                </wp:positionH>
                <wp:positionV relativeFrom="page">
                  <wp:posOffset>1771015</wp:posOffset>
                </wp:positionV>
                <wp:extent cx="6480175" cy="1105535"/>
                <wp:effectExtent l="0" t="0" r="15875" b="18415"/>
                <wp:wrapSquare wrapText="bothSides"/>
                <wp:docPr id="42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105535"/>
                        </a:xfrm>
                        <a:prstGeom prst="rect">
                          <a:avLst/>
                        </a:prstGeom>
                        <a:solidFill>
                          <a:srgbClr val="DFE6EB"/>
                        </a:solidFill>
                        <a:ln w="9525">
                          <a:solidFill>
                            <a:srgbClr val="000000"/>
                          </a:solidFill>
                          <a:miter lim="800000"/>
                          <a:headEnd/>
                          <a:tailEnd/>
                        </a:ln>
                      </wps:spPr>
                      <wps:txbx>
                        <w:txbxContent>
                          <w:p w14:paraId="3B33D136"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CEB07" id="Text Box 144" o:spid="_x0000_s1359" type="#_x0000_t202" style="position:absolute;left:0;text-align:left;margin-left:42.95pt;margin-top:139.45pt;width:510.25pt;height:87.05pt;z-index:-251621888;visibility:visible;mso-wrap-style:square;mso-width-percent:0;mso-height-percent:0;mso-wrap-distance-left:42.95pt;mso-wrap-distance-top:0;mso-wrap-distance-right:42.25pt;mso-wrap-distance-bottom:24.9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kdLQIAAE4EAAAOAAAAZHJzL2Uyb0RvYy54bWysVNuO2yAQfa/Uf0C8N7Zza2rFWe3mUlXa&#10;XqTdfgDGOEbFDAUSO/36HXCS3d5eqvoBDTCcOXNmxsubvlXkKKyToAuajVJKhOZQSb0v6NfH3ZsF&#10;Jc4zXTEFWhT0JBy9Wb1+texMLsbQgKqEJQiiXd6ZgjbemzxJHG9Ey9wIjNB4WYNtmcet3SeVZR2i&#10;tyoZp+k86cBWxgIXzuHpZrikq4hf14L7z3XthCeqoMjNx9XGtQxrslqyfG+ZaSQ/02D/wKJlUmPQ&#10;K9SGeUYOVv4G1UpuwUHtRxzaBOpachFzwGyy9JdsHhpmRMwFxXHmKpP7f7D80/GLJbIq6HQ8oUSz&#10;Fov0KHpP7qAn2XQaFOqMy9HxwaCr7/ECKx2zdeYe+DdHNKwbpvfi1lroGsEqZJiFl8mLpwOOCyBl&#10;9xEqDMQOHiJQX9s2yIeCEETHSp2u1QlkOB7Op4s0ezujhONdlqWz2WQWY7D88txY598LaEkwCmqx&#10;/BGeHe+dD3RYfnEJ0RwoWe2kUnFj9+VaWXJk2Cqb3Xa+vTuj/+SmNOkK+m42ng0K/BUijd+fIFrp&#10;seeVbAu6uDqxPOi21VXsSM+kGmykrPRZyKDdoKLvyz5WbTKZhBBB5hKqE2prYWhyHEo0GrA/KOmw&#10;wQvqvh+YFZSoDxrrE6bhYtiLUV4Mpjk+LainZDDXfpiag7Fy3yDy0AEabrGGtYzqPrM4E8amjaKf&#10;ByxMxct99Hr+DayeAAAA//8DAFBLAwQUAAYACAAAACEAmZBmjeAAAAALAQAADwAAAGRycy9kb3du&#10;cmV2LnhtbEyPwU7DMAyG70i8Q2QkbixpWUspTacJgQTixIADt7Tx2mhNUjVZV94e7wQ3W/78+3O1&#10;WezAZpyC8U5CshLA0LVeG9dJ+Px4vimAhaicVoN3KOEHA2zqy4tKldqf3DvOu9gxCnGhVBL6GMeS&#10;89D2aFVY+REdzfZ+sipSO3VcT+pE4XbgqRA5t8o4utCrER97bA+7oyWNdN4/dYetenvJ8mR8/TJN&#10;8W2kvL5atg/AIi7xD4azPu1ATU6NPzod2CChyO6JlJDeFVScgUTka2CNhHV2K4DXFf//Q/0LAAD/&#10;/wMAUEsBAi0AFAAGAAgAAAAhALaDOJL+AAAA4QEAABMAAAAAAAAAAAAAAAAAAAAAAFtDb250ZW50&#10;X1R5cGVzXS54bWxQSwECLQAUAAYACAAAACEAOP0h/9YAAACUAQAACwAAAAAAAAAAAAAAAAAvAQAA&#10;X3JlbHMvLnJlbHNQSwECLQAUAAYACAAAACEA2d4JHS0CAABOBAAADgAAAAAAAAAAAAAAAAAuAgAA&#10;ZHJzL2Uyb0RvYy54bWxQSwECLQAUAAYACAAAACEAmZBmjeAAAAALAQAADwAAAAAAAAAAAAAAAACH&#10;BAAAZHJzL2Rvd25yZXYueG1sUEsFBgAAAAAEAAQA8wAAAJQFAAAAAA==&#10;" fillcolor="#dfe6eb">
                <v:textbox inset="0,0,0,0">
                  <w:txbxContent>
                    <w:p w14:paraId="3B33D136"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696640" behindDoc="1" locked="0" layoutInCell="1" allowOverlap="1" wp14:anchorId="66C1E182" wp14:editId="19A2B6F2">
                <wp:simplePos x="0" y="0"/>
                <wp:positionH relativeFrom="page">
                  <wp:posOffset>597535</wp:posOffset>
                </wp:positionH>
                <wp:positionV relativeFrom="page">
                  <wp:posOffset>2011680</wp:posOffset>
                </wp:positionV>
                <wp:extent cx="6428105" cy="719455"/>
                <wp:effectExtent l="0" t="0" r="0" b="0"/>
                <wp:wrapSquare wrapText="bothSides"/>
                <wp:docPr id="42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50335"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16</w:t>
                            </w:r>
                          </w:p>
                          <w:p w14:paraId="6F68BEB9" w14:textId="77777777" w:rsidR="00490F33" w:rsidRDefault="00490F33">
                            <w:pPr>
                              <w:spacing w:before="150" w:after="206" w:line="240" w:lineRule="exact"/>
                              <w:ind w:left="504" w:right="648"/>
                              <w:textAlignment w:val="baseline"/>
                              <w:rPr>
                                <w:rFonts w:ascii="Tahoma" w:eastAsia="Tahoma" w:hAnsi="Tahoma"/>
                                <w:color w:val="404042"/>
                                <w:sz w:val="18"/>
                              </w:rPr>
                            </w:pPr>
                            <w:r>
                              <w:rPr>
                                <w:rFonts w:ascii="Tahoma" w:eastAsia="Tahoma" w:hAnsi="Tahoma"/>
                                <w:color w:val="404042"/>
                                <w:sz w:val="18"/>
                              </w:rPr>
                              <w:t xml:space="preserve">Education Council should ensure that the cultural competencies and experiences of Aboriginal and Torres </w:t>
                            </w:r>
                            <w:r>
                              <w:rPr>
                                <w:rFonts w:ascii="Verdana" w:eastAsia="Verdana" w:hAnsi="Verdana"/>
                                <w:color w:val="404042"/>
                                <w:sz w:val="18"/>
                              </w:rPr>
                              <w:t>Strait Islander students can be recognised as a key part of their Learner Profiles.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1E182" id="Text Box 142" o:spid="_x0000_s1360" type="#_x0000_t202" style="position:absolute;left:0;text-align:left;margin-left:47.05pt;margin-top:158.4pt;width:506.15pt;height:56.6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di8gEAAMMDAAAOAAAAZHJzL2Uyb0RvYy54bWysU8Fu2zAMvQ/YPwi6L47TpOuMOEXXosOA&#10;rhvQ7gMYWY6F2aJGKbGzrx8lx1m33YZdBIqkHh8fqfX10LXioMkbtKXMZ3MptFVYGbsr5dfn+zdX&#10;UvgAtoIWrS7lUXt5vXn9at27Qi+wwbbSJBjE+qJ3pWxCcEWWedXoDvwMnbYcrJE6CHylXVYR9Ize&#10;tdliPr/MeqTKESrtPXvvxqDcJPy61ip8rmuvg2hLydxCOimd23hmmzUUOwLXGHWiAf/AogNjuegZ&#10;6g4CiD2Zv6A6owg91mGmsMuwro3SqQfuJp//0c1TA06nXlgc784y+f8Hqx4PX0iYqpTLRS6FhY6H&#10;9KyHIN7jIPLlIirUO19w4pPj1DBwgCeduvXuAdU3LyzeNmB3+oYI+0ZDxQzz+DJ78XTE8RFk23/C&#10;igvBPmACGmrqonwsiGB0ntTxPJ1IRrHzcrm4yucrKRTH3ubvlqtVKgHF9NqRDx80diIapSSefkKH&#10;w4MPkQ0UU0osZvHetG3agNb+5uDE6EnsI+GRehi2Q5Lq4mI5ybLF6sgNEY6bxT+BjQbphxQ9b1Up&#10;/fc9kJai/WhZlLiCk0GTsZ0MsIqfljJIMZq3YVzVvSOzaxh5lN3iDQtXm9RTVHhkcSLMm5JaPW11&#10;XMWX95T16+9tfgIAAP//AwBQSwMEFAAGAAgAAAAhAO20UwPgAAAACwEAAA8AAABkcnMvZG93bnJl&#10;di54bWxMj8FOwzAQRO9I/QdrK3GjdmgU0RCnqhCckBBpOHB04m1iNV6H2G3D3+Oe6HG1TzNviu1s&#10;B3bGyRtHEpKVAIbUOm2ok/BVvz08AfNBkVaDI5Twix625eKuULl2F6rwvA8diyHkcyWhD2HMOfdt&#10;j1b5lRuR4u/gJqtCPKeO60ldYrgd+KMQGbfKUGzo1YgvPbbH/clK2H1T9Wp+PprP6lCZut4Ies+O&#10;Ut4v590zsIBz+Ifhqh/VoYxOjTuR9myQsEmTSEpYJ1mccAUSkaXAGgnpWiTAy4Lfbij/AAAA//8D&#10;AFBLAQItABQABgAIAAAAIQC2gziS/gAAAOEBAAATAAAAAAAAAAAAAAAAAAAAAABbQ29udGVudF9U&#10;eXBlc10ueG1sUEsBAi0AFAAGAAgAAAAhADj9If/WAAAAlAEAAAsAAAAAAAAAAAAAAAAALwEAAF9y&#10;ZWxzLy5yZWxzUEsBAi0AFAAGAAgAAAAhANJ052LyAQAAwwMAAA4AAAAAAAAAAAAAAAAALgIAAGRy&#10;cy9lMm9Eb2MueG1sUEsBAi0AFAAGAAgAAAAhAO20UwPgAAAACwEAAA8AAAAAAAAAAAAAAAAATAQA&#10;AGRycy9kb3ducmV2LnhtbFBLBQYAAAAABAAEAPMAAABZBQAAAAA=&#10;" filled="f" stroked="f">
                <v:textbox inset="0,0,0,0">
                  <w:txbxContent>
                    <w:p w14:paraId="03550335"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16</w:t>
                      </w:r>
                    </w:p>
                    <w:p w14:paraId="6F68BEB9" w14:textId="77777777" w:rsidR="00490F33" w:rsidRDefault="00490F33">
                      <w:pPr>
                        <w:spacing w:before="150" w:after="206" w:line="240" w:lineRule="exact"/>
                        <w:ind w:left="504" w:right="648"/>
                        <w:textAlignment w:val="baseline"/>
                        <w:rPr>
                          <w:rFonts w:ascii="Tahoma" w:eastAsia="Tahoma" w:hAnsi="Tahoma"/>
                          <w:color w:val="404042"/>
                          <w:sz w:val="18"/>
                        </w:rPr>
                      </w:pPr>
                      <w:r>
                        <w:rPr>
                          <w:rFonts w:ascii="Tahoma" w:eastAsia="Tahoma" w:hAnsi="Tahoma"/>
                          <w:color w:val="404042"/>
                          <w:sz w:val="18"/>
                        </w:rPr>
                        <w:t xml:space="preserve">Education Council should ensure that the cultural competencies and experiences of Aboriginal and Torres </w:t>
                      </w:r>
                      <w:r>
                        <w:rPr>
                          <w:rFonts w:ascii="Verdana" w:eastAsia="Verdana" w:hAnsi="Verdana"/>
                          <w:color w:val="404042"/>
                          <w:sz w:val="18"/>
                        </w:rPr>
                        <w:t>Strait Islander students can be recognised as a key part of their Learner Profiles.</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977216" behindDoc="0" locked="0" layoutInCell="1" allowOverlap="1" wp14:anchorId="27170DFE" wp14:editId="45574B55">
                <wp:simplePos x="0" y="0"/>
                <wp:positionH relativeFrom="page">
                  <wp:posOffset>545465</wp:posOffset>
                </wp:positionH>
                <wp:positionV relativeFrom="page">
                  <wp:posOffset>1771015</wp:posOffset>
                </wp:positionV>
                <wp:extent cx="6480175" cy="0"/>
                <wp:effectExtent l="0" t="0" r="0" b="0"/>
                <wp:wrapNone/>
                <wp:docPr id="419"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5F74B" id="Line 140" o:spid="_x0000_s1026" style="position:absolute;z-index:25197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139.45pt" to="553.2pt,1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Ts0QEAAIYDAAAOAAAAZHJzL2Uyb0RvYy54bWysU01v2zAMvQ/YfxB0X2x3aZsacXpI2l2y&#10;LUC7H8BIcixMFgVJiZ1/P0r5WLfdil0ESiQfHx+p+ePYG3ZQPmi0Da8mJWfKCpTa7hr+4/X504yz&#10;EMFKMGhVw48q8MfFxw/zwdXqBjs0UnlGIDbUg2t4F6OriyKITvUQJuiUJWeLvodIV78rpIeB0HtT&#10;3JTlXTGgl86jUCHQ6+rk5IuM37ZKxO9tG1RkpuHELebT53ObzmIxh3rnwXVanGnAO1j0oC0VvUKt&#10;IALbe/0PVK+Fx4BtnAjsC2xbLVTugbqpyr+6eenAqdwLiRPcVabw/2DFt8PGMy0bPq0eOLPQ05DW&#10;2ipWTbM6gws1BS3txqf+xGhf3BrFz8AsLjuwO5VZvh4dJVZJz+KPlHQJjmpsh68oKQb2EbNUY+v7&#10;BEkisDFP5HidiBojE/R4N52V1f0tZ+LiK6C+JDof4heFPUtGww2xzsBwWIeYiEB9CUl1LD5rY/LA&#10;jWUDgX++LXNCQKNlcqaw4HfbpfHsAGllyvty9pS7Is/bsIS8gtCd4rLrtEwe91bmKp0C+XS2I2hz&#10;somVsWeVkjBpVUO9RXnc+It6NOxM/7yYaZve3nP27++z+AUAAP//AwBQSwMEFAAGAAgAAAAhAJxC&#10;QG7fAAAACwEAAA8AAABkcnMvZG93bnJldi54bWxMj11LwzAUhu8F/0M4gncuXdFZa9MhBXU4hH0o&#10;eJk1x6aYnJQk2+q/NwNB787Hw3ueU81Ha9gBfegdCZhOMmBIrVM9dQLeto9XBbAQJSlpHKGAbwww&#10;r8/PKlkqd6Q1HjaxYymEQikF6BiHkvPQarQyTNyAlHafzlsZU+s7rrw8pnBreJ5lM25lT+mClgM2&#10;Gtuvzd4KUM1i8fLaxGc9mif/vlrm/GNthbi8GB/ugUUc4x8MJ/2kDnVy2rk9qcCMgOLmLpEC8tsi&#10;FSdgms2uge1+R7yu+P8f6h8AAAD//wMAUEsBAi0AFAAGAAgAAAAhALaDOJL+AAAA4QEAABMAAAAA&#10;AAAAAAAAAAAAAAAAAFtDb250ZW50X1R5cGVzXS54bWxQSwECLQAUAAYACAAAACEAOP0h/9YAAACU&#10;AQAACwAAAAAAAAAAAAAAAAAvAQAAX3JlbHMvLnJlbHNQSwECLQAUAAYACAAAACEAi66E7NEBAACG&#10;AwAADgAAAAAAAAAAAAAAAAAuAgAAZHJzL2Uyb0RvYy54bWxQSwECLQAUAAYACAAAACEAnEJAbt8A&#10;AAALAQAADwAAAAAAAAAAAAAAAAArBAAAZHJzL2Rvd25yZXYueG1sUEsFBgAAAAAEAAQA8wAAADcF&#10;AAA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1978240" behindDoc="0" locked="0" layoutInCell="1" allowOverlap="1" wp14:anchorId="71917D24" wp14:editId="757AAF42">
                <wp:simplePos x="0" y="0"/>
                <wp:positionH relativeFrom="page">
                  <wp:posOffset>545465</wp:posOffset>
                </wp:positionH>
                <wp:positionV relativeFrom="page">
                  <wp:posOffset>1771015</wp:posOffset>
                </wp:positionV>
                <wp:extent cx="0" cy="1105535"/>
                <wp:effectExtent l="0" t="0" r="0" b="0"/>
                <wp:wrapNone/>
                <wp:docPr id="418"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5535"/>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B7A0C" id="Line 139" o:spid="_x0000_s1026" style="position:absolute;z-index:25197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139.45pt" to="42.9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vqF0AEAAIYDAAAOAAAAZHJzL2Uyb0RvYy54bWysU8Fy2yAQvXem/8BwryXFdZpqLOdgJ724&#10;rWeSfsAakMQUWAawJf99ASlO0946vTALvH379i2s70etyFk4L9E0tFqUlAjDkEvTNfTH8+OHO0p8&#10;AMNBoRENvQhP7zfv360HW4sb7FFx4UgkMb4ebEP7EGxdFJ71QoNfoBUmXrboNIS4dV3BHQyRXavi&#10;pixviwEdtw6Z8D6e7qZLusn8bStY+N62XgSiGhq1hby6vB7TWmzWUHcObC/ZLAP+QYUGaWLRK9UO&#10;ApCTk39RackcemzDgqEusG0lE7mH2E1V/tHNUw9W5F6iOd5ebfL/j5Z9Ox8ckbyhH6s4KgM6Dmkv&#10;jSDV8nNyZ7C+jqCtObjUHxvNk90j++mJwW0PphNZ5fPFxsQqZRRvUtLG21jjOHxFHjFwCpitGlun&#10;E2U0gYx5IpfrRMQYCJsOWTytqnK1Wq4yO9Qvidb58EWgJiloqIqqMzGc9z4kIVC/QFIdg49SqTxw&#10;ZcjQ0NvlqswJHpXk6TLBvOuOW+XIGdKTKT+Vdw9z3TewxLwD30+4fJVgUDs8GZ6jXgB/mOMAUk1x&#10;VKXM7FIyZrL4iPxycEl0MiwOO8ufH2Z6Tb/vM+r1+2x+AQAA//8DAFBLAwQUAAYACAAAACEAK+VQ&#10;298AAAAJAQAADwAAAGRycy9kb3ducmV2LnhtbEyPTUvEMBCG74L/IYzgzU2trtbadJGCuiiCuyp4&#10;zDZjW0wmJcnu1n/v6EVv8/HwzjPVYnJW7DDEwZOC01kGAqn1ZqBOwevL7UkBIiZNRltPqOALIyzq&#10;w4NKl8bvaYW7deoEh1AstYI+pbGUMrY9Oh1nfkTi3YcPTiduQydN0HsOd1bmWXYhnR6IL/R6xKbH&#10;9nO9dQpMs1w+PDXpvp/sXXh7fszl+8opdXw03VyDSDilPxh+9Fkdanba+C2ZKKyCYn7FpIL8suCC&#10;gd/BRsH5/CwDWVfy/wf1NwAAAP//AwBQSwECLQAUAAYACAAAACEAtoM4kv4AAADhAQAAEwAAAAAA&#10;AAAAAAAAAAAAAAAAW0NvbnRlbnRfVHlwZXNdLnhtbFBLAQItABQABgAIAAAAIQA4/SH/1gAAAJQB&#10;AAALAAAAAAAAAAAAAAAAAC8BAABfcmVscy8ucmVsc1BLAQItABQABgAIAAAAIQA14vqF0AEAAIYD&#10;AAAOAAAAAAAAAAAAAAAAAC4CAABkcnMvZTJvRG9jLnhtbFBLAQItABQABgAIAAAAIQAr5VDb3wAA&#10;AAkBAAAPAAAAAAAAAAAAAAAAACoEAABkcnMvZG93bnJldi54bWxQSwUGAAAAAAQABADzAAAANgUA&#10;AAAA&#10;" strokecolor="#00708e" strokeweight=".5pt">
                <w10:wrap anchorx="page" anchory="page"/>
              </v:line>
            </w:pict>
          </mc:Fallback>
        </mc:AlternateContent>
      </w:r>
      <w:r w:rsidR="00083242">
        <w:rPr>
          <w:rFonts w:ascii="Arial" w:eastAsia="Arial" w:hAnsi="Arial"/>
          <w:i/>
          <w:color w:val="007896"/>
          <w:spacing w:val="1"/>
          <w:sz w:val="18"/>
        </w:rPr>
        <w:t>Implementation guidance</w:t>
      </w:r>
    </w:p>
    <w:p w14:paraId="2D019F2D" w14:textId="183CD538" w:rsidR="009757A9" w:rsidRDefault="00083242">
      <w:pPr>
        <w:spacing w:before="162" w:line="240" w:lineRule="exact"/>
        <w:ind w:left="864" w:right="864"/>
        <w:textAlignment w:val="baseline"/>
        <w:rPr>
          <w:rFonts w:ascii="Verdana" w:eastAsia="Verdana" w:hAnsi="Verdana"/>
          <w:color w:val="404042"/>
          <w:sz w:val="18"/>
        </w:rPr>
      </w:pPr>
      <w:r>
        <w:rPr>
          <w:rFonts w:ascii="Verdana" w:eastAsia="Verdana" w:hAnsi="Verdana"/>
          <w:color w:val="404042"/>
          <w:sz w:val="18"/>
        </w:rPr>
        <w:t xml:space="preserve">In participating in significant cultural events and ceremonies, young Aboriginal and Torres Strait Islander students gain </w:t>
      </w:r>
      <w:r>
        <w:rPr>
          <w:rFonts w:ascii="Tahoma" w:eastAsia="Tahoma" w:hAnsi="Tahoma"/>
          <w:color w:val="404042"/>
          <w:sz w:val="18"/>
        </w:rPr>
        <w:t xml:space="preserve">many essential skills. While much of this appropriately remains ‘secret business’, it is clear that the events that mark transition into adulthood involve resilience, problem-solving, teamwork and other generic capabilities. Students should </w:t>
      </w:r>
      <w:r>
        <w:rPr>
          <w:rFonts w:ascii="Verdana" w:eastAsia="Verdana" w:hAnsi="Verdana"/>
          <w:color w:val="404042"/>
          <w:sz w:val="18"/>
        </w:rPr>
        <w:t>be encouraged to articulate these culturally specific manifestations as important forms of learning.</w:t>
      </w:r>
    </w:p>
    <w:p w14:paraId="32445C63" w14:textId="6D941E97" w:rsidR="009757A9" w:rsidRDefault="00083242">
      <w:pPr>
        <w:spacing w:before="172"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Education authorities – particularly in Western Australia, South Australia, the Northern Territory and Queensland – should continue to work with Aboriginal and Torres Strait Islander communities to support young people to recognise their cultural competencies. At a local level, continued engagement with community elders will be critical to ensure </w:t>
      </w:r>
      <w:r>
        <w:rPr>
          <w:rFonts w:ascii="Verdana" w:eastAsia="Verdana" w:hAnsi="Verdana"/>
          <w:color w:val="404042"/>
          <w:sz w:val="18"/>
        </w:rPr>
        <w:t>these skills are identified, validated and celebrated through their Learner Profile.</w:t>
      </w:r>
    </w:p>
    <w:p w14:paraId="0399100B" w14:textId="4FBE85A4" w:rsidR="009757A9" w:rsidRDefault="00083242">
      <w:pPr>
        <w:spacing w:before="274" w:line="230" w:lineRule="exact"/>
        <w:ind w:left="864"/>
        <w:textAlignment w:val="baseline"/>
        <w:rPr>
          <w:rFonts w:ascii="Arial" w:eastAsia="Arial" w:hAnsi="Arial"/>
          <w:b/>
          <w:color w:val="000000"/>
          <w:spacing w:val="1"/>
          <w:sz w:val="21"/>
        </w:rPr>
      </w:pPr>
      <w:r>
        <w:rPr>
          <w:rFonts w:ascii="Arial" w:eastAsia="Arial" w:hAnsi="Arial"/>
          <w:b/>
          <w:color w:val="000000"/>
          <w:spacing w:val="1"/>
          <w:sz w:val="21"/>
        </w:rPr>
        <w:t>Students from rural, regional and remote areas</w:t>
      </w:r>
    </w:p>
    <w:p w14:paraId="220933D0" w14:textId="53C0B85B" w:rsidR="009757A9" w:rsidRDefault="00083242">
      <w:pPr>
        <w:spacing w:before="166" w:line="240" w:lineRule="exact"/>
        <w:ind w:left="864" w:right="1008"/>
        <w:textAlignment w:val="baseline"/>
        <w:rPr>
          <w:rFonts w:ascii="Tahoma" w:eastAsia="Tahoma" w:hAnsi="Tahoma"/>
          <w:color w:val="404042"/>
          <w:spacing w:val="3"/>
          <w:sz w:val="18"/>
        </w:rPr>
      </w:pPr>
      <w:r>
        <w:rPr>
          <w:rFonts w:ascii="Tahoma" w:eastAsia="Tahoma" w:hAnsi="Tahoma"/>
          <w:color w:val="404042"/>
          <w:spacing w:val="3"/>
          <w:sz w:val="18"/>
        </w:rPr>
        <w:t>Some 30 per cent of Australia’s population live outside of our major cities. Approximately 35 per cent of young people aged 15 to 24 years reside in regional, rural or remote Australia.</w:t>
      </w:r>
      <w:r>
        <w:rPr>
          <w:rFonts w:ascii="Tahoma" w:eastAsia="Tahoma" w:hAnsi="Tahoma"/>
          <w:color w:val="404042"/>
          <w:spacing w:val="3"/>
          <w:sz w:val="18"/>
          <w:vertAlign w:val="superscript"/>
        </w:rPr>
        <w:t>191</w:t>
      </w:r>
      <w:r>
        <w:rPr>
          <w:rFonts w:ascii="Tahoma" w:eastAsia="Tahoma" w:hAnsi="Tahoma"/>
          <w:color w:val="404042"/>
          <w:spacing w:val="3"/>
          <w:sz w:val="18"/>
        </w:rPr>
        <w:t xml:space="preserve"> These young people face additional challenges in </w:t>
      </w:r>
      <w:r>
        <w:rPr>
          <w:rFonts w:ascii="Verdana" w:eastAsia="Verdana" w:hAnsi="Verdana"/>
          <w:color w:val="404042"/>
          <w:spacing w:val="3"/>
          <w:sz w:val="18"/>
        </w:rPr>
        <w:t xml:space="preserve">education. Students from regional, rural and remote areas are less likely to attain a Year 12 or equivalent qualification </w:t>
      </w:r>
      <w:r>
        <w:rPr>
          <w:rFonts w:ascii="Tahoma" w:eastAsia="Tahoma" w:hAnsi="Tahoma"/>
          <w:color w:val="404042"/>
          <w:spacing w:val="3"/>
          <w:sz w:val="18"/>
        </w:rPr>
        <w:t>than students in major cities. The Year 12 or equivalent attainment rates for 20- to 24-year-olds by location in 2017 were:</w:t>
      </w:r>
    </w:p>
    <w:p w14:paraId="561586C8" w14:textId="673453FF" w:rsidR="009757A9" w:rsidRDefault="00083242">
      <w:pPr>
        <w:numPr>
          <w:ilvl w:val="0"/>
          <w:numId w:val="6"/>
        </w:numPr>
        <w:tabs>
          <w:tab w:val="clear" w:pos="216"/>
          <w:tab w:val="left" w:pos="1080"/>
        </w:tabs>
        <w:spacing w:before="113" w:line="216" w:lineRule="exact"/>
        <w:ind w:left="864"/>
        <w:textAlignment w:val="baseline"/>
        <w:rPr>
          <w:rFonts w:ascii="Tahoma" w:eastAsia="Tahoma" w:hAnsi="Tahoma"/>
          <w:color w:val="404042"/>
          <w:spacing w:val="4"/>
          <w:sz w:val="18"/>
        </w:rPr>
      </w:pPr>
      <w:r>
        <w:rPr>
          <w:rFonts w:ascii="Tahoma" w:eastAsia="Tahoma" w:hAnsi="Tahoma"/>
          <w:color w:val="404042"/>
          <w:spacing w:val="4"/>
          <w:sz w:val="18"/>
        </w:rPr>
        <w:t>91.7 per cent for students in major cities</w:t>
      </w:r>
    </w:p>
    <w:p w14:paraId="12E086CB" w14:textId="735532F8" w:rsidR="009757A9" w:rsidRDefault="00083242">
      <w:pPr>
        <w:numPr>
          <w:ilvl w:val="0"/>
          <w:numId w:val="6"/>
        </w:numPr>
        <w:tabs>
          <w:tab w:val="clear" w:pos="216"/>
          <w:tab w:val="left" w:pos="1080"/>
        </w:tabs>
        <w:spacing w:before="105" w:line="216" w:lineRule="exact"/>
        <w:ind w:left="864"/>
        <w:textAlignment w:val="baseline"/>
        <w:rPr>
          <w:rFonts w:ascii="Tahoma" w:eastAsia="Tahoma" w:hAnsi="Tahoma"/>
          <w:color w:val="404042"/>
          <w:spacing w:val="5"/>
          <w:sz w:val="18"/>
        </w:rPr>
      </w:pPr>
      <w:r>
        <w:rPr>
          <w:rFonts w:ascii="Tahoma" w:eastAsia="Tahoma" w:hAnsi="Tahoma"/>
          <w:color w:val="404042"/>
          <w:spacing w:val="5"/>
          <w:sz w:val="18"/>
        </w:rPr>
        <w:t>84.0 per cent for students in inner and outer regional areas</w:t>
      </w:r>
    </w:p>
    <w:p w14:paraId="4A9FCEF2" w14:textId="6C38FADC" w:rsidR="009757A9" w:rsidRDefault="00083242">
      <w:pPr>
        <w:numPr>
          <w:ilvl w:val="0"/>
          <w:numId w:val="6"/>
        </w:numPr>
        <w:tabs>
          <w:tab w:val="clear" w:pos="216"/>
          <w:tab w:val="left" w:pos="1080"/>
        </w:tabs>
        <w:spacing w:before="107" w:after="2975" w:line="240" w:lineRule="exact"/>
        <w:ind w:left="864"/>
        <w:textAlignment w:val="baseline"/>
        <w:rPr>
          <w:rFonts w:ascii="Tahoma" w:eastAsia="Tahoma" w:hAnsi="Tahoma"/>
          <w:color w:val="404042"/>
          <w:spacing w:val="2"/>
          <w:sz w:val="18"/>
        </w:rPr>
      </w:pPr>
      <w:r>
        <w:rPr>
          <w:rFonts w:ascii="Tahoma" w:eastAsia="Tahoma" w:hAnsi="Tahoma"/>
          <w:color w:val="404042"/>
          <w:spacing w:val="2"/>
          <w:sz w:val="18"/>
        </w:rPr>
        <w:t>71.4 per cent for students in remote and very remote areas.</w:t>
      </w:r>
      <w:r>
        <w:rPr>
          <w:rFonts w:ascii="Tahoma" w:eastAsia="Tahoma" w:hAnsi="Tahoma"/>
          <w:color w:val="404042"/>
          <w:spacing w:val="2"/>
          <w:sz w:val="18"/>
          <w:vertAlign w:val="superscript"/>
        </w:rPr>
        <w:t>192</w:t>
      </w:r>
      <w:r>
        <w:rPr>
          <w:rFonts w:ascii="Tahoma" w:eastAsia="Tahoma" w:hAnsi="Tahoma"/>
          <w:color w:val="404042"/>
          <w:spacing w:val="2"/>
          <w:sz w:val="10"/>
        </w:rPr>
        <w:t xml:space="preserve"> </w:t>
      </w:r>
    </w:p>
    <w:p w14:paraId="6FD2F267" w14:textId="77777777" w:rsidR="009757A9" w:rsidRDefault="009757A9">
      <w:pPr>
        <w:spacing w:before="107" w:after="2975" w:line="240" w:lineRule="exact"/>
        <w:sectPr w:rsidR="009757A9">
          <w:pgSz w:w="11909" w:h="16838"/>
          <w:pgMar w:top="1080" w:right="0" w:bottom="0" w:left="0" w:header="720" w:footer="720" w:gutter="0"/>
          <w:cols w:space="720"/>
        </w:sectPr>
      </w:pPr>
    </w:p>
    <w:p w14:paraId="0AAA471E" w14:textId="54FFF235" w:rsidR="009757A9" w:rsidRDefault="000D2E34">
      <w:pPr>
        <w:spacing w:before="46" w:line="201" w:lineRule="exact"/>
        <w:ind w:left="1080" w:right="1152"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79264" behindDoc="0" locked="0" layoutInCell="1" allowOverlap="1" wp14:anchorId="7EA26771" wp14:editId="493F614E">
                <wp:simplePos x="0" y="0"/>
                <wp:positionH relativeFrom="page">
                  <wp:posOffset>539750</wp:posOffset>
                </wp:positionH>
                <wp:positionV relativeFrom="page">
                  <wp:posOffset>8470265</wp:posOffset>
                </wp:positionV>
                <wp:extent cx="917575" cy="0"/>
                <wp:effectExtent l="0" t="0" r="0" b="0"/>
                <wp:wrapNone/>
                <wp:docPr id="417"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3A4DD" id="Line 138" o:spid="_x0000_s1026" style="position:absolute;z-index:25197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66.95pt" to="114.75pt,6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HE7zgEAAIYDAAAOAAAAZHJzL2Uyb0RvYy54bWysU8Fu2zAMvQ/YPwi6L46zpWmNOD0k6y7Z&#10;FqDdBzCSHAuTRUFSYufvR8lJ1m23Yj4Iokg+Pj7Sy8ehM+ykfNBoa15OppwpK1Bqe6j5j5enD/ec&#10;hQhWgkGran5WgT+u3r9b9q5SM2zRSOUZgdhQ9a7mbYyuKoogWtVBmKBTlpwN+g4imf5QSA89oXem&#10;mE2nd0WPXjqPQoVAr5vRyVcZv2mUiN+bJqjITM2JW8ynz+c+ncVqCdXBg2u1uNCAN7DoQFsqeoPa&#10;QAR29PofqE4LjwGbOBHYFdg0WqjcA3VTTv/q5rkFp3IvJE5wN5nC/4MV3047z7Ss+adywZmFjoa0&#10;1Vax8uN9Uqd3oaKgtd351J8Y7LPbovgZmMV1C/agMsuXs6PEMmUUf6QkIziqse+/oqQYOEbMUg2N&#10;7xIkicCGPJHzbSJqiEzQ40O5mC/mnImrq4Dqmud8iF8Udixdam6IdMaF0zbExAOqa0gqY/FJG5Pn&#10;bSzriexsejfPGQGNlsmb4oI/7NfGsxOklclf7oo8r8MS9AZCO8Zl17hMHo9W5jKtAvn5co+gzXgn&#10;WsZeVErCjBLvUZ53/qoeDTvzvyxm2qbXds7+/fusfgEAAP//AwBQSwMEFAAGAAgAAAAhAF3bP8jg&#10;AAAADAEAAA8AAABkcnMvZG93bnJldi54bWxMj8FOwzAQRO9I/QdrK3FBrUPSojSNU6FKcANBKaJH&#10;N94mEfE6it0m/D3LAcFxZ0czb/LNaFtxwd43jhTcziMQSKUzDVUK9m8PsxSED5qMbh2hgi/0sCkm&#10;V7nOjBvoFS+7UAkOIZ9pBXUIXSalL2u02s9dh8S/k+utDnz2lTS9HjjctjKOojtpdUPcUOsOtzWW&#10;n7uzVSBllC7G94/haXHj0+awrQ6Pzy9KXU/H+zWIgGP4M8MPPqNDwUxHdybjRasgXfKUwHqSJCsQ&#10;7Ijj1RLE8VeSRS7/jyi+AQAA//8DAFBLAQItABQABgAIAAAAIQC2gziS/gAAAOEBAAATAAAAAAAA&#10;AAAAAAAAAAAAAABbQ29udGVudF9UeXBlc10ueG1sUEsBAi0AFAAGAAgAAAAhADj9If/WAAAAlAEA&#10;AAsAAAAAAAAAAAAAAAAALwEAAF9yZWxzLy5yZWxzUEsBAi0AFAAGAAgAAAAhADjscTvOAQAAhgMA&#10;AA4AAAAAAAAAAAAAAAAALgIAAGRycy9lMm9Eb2MueG1sUEsBAi0AFAAGAAgAAAAhAF3bP8jgAAAA&#10;DAEAAA8AAAAAAAAAAAAAAAAAKAQAAGRycy9kb3ducmV2LnhtbFBLBQYAAAAABAAEAPMAAAA1BQAA&#10;AAA=&#10;" strokeweight=".95pt">
                <w10:wrap anchorx="page" anchory="page"/>
              </v:line>
            </w:pict>
          </mc:Fallback>
        </mc:AlternateContent>
      </w:r>
      <w:r w:rsidR="00083242">
        <w:rPr>
          <w:rFonts w:ascii="Tahoma" w:eastAsia="Tahoma" w:hAnsi="Tahoma"/>
          <w:color w:val="404042"/>
          <w:sz w:val="14"/>
        </w:rPr>
        <w:t xml:space="preserve">191 Australian Bureau of Statistics (2016), </w:t>
      </w:r>
      <w:r w:rsidR="00083242">
        <w:rPr>
          <w:rFonts w:ascii="Verdana" w:eastAsia="Verdana" w:hAnsi="Verdana"/>
          <w:i/>
          <w:color w:val="404042"/>
          <w:sz w:val="14"/>
        </w:rPr>
        <w:t>Census of Population and Housing: Reflecting Australia – Stories from the Census, 2016</w:t>
      </w:r>
      <w:r w:rsidR="00083242">
        <w:rPr>
          <w:rFonts w:ascii="Verdana" w:eastAsia="Verdana" w:hAnsi="Verdana"/>
          <w:color w:val="404042"/>
          <w:sz w:val="14"/>
        </w:rPr>
        <w:t xml:space="preserve">, cat. no. 2071.0, ‘Small </w:t>
      </w:r>
      <w:r w:rsidR="00083242">
        <w:rPr>
          <w:rFonts w:ascii="Tahoma" w:eastAsia="Tahoma" w:hAnsi="Tahoma"/>
          <w:color w:val="404042"/>
          <w:sz w:val="14"/>
        </w:rPr>
        <w:t xml:space="preserve">towns’, </w:t>
      </w:r>
      <w:hyperlink r:id="rId282">
        <w:r w:rsidR="00083242">
          <w:rPr>
            <w:rFonts w:ascii="Tahoma" w:eastAsia="Tahoma" w:hAnsi="Tahoma"/>
            <w:color w:val="0000FF"/>
            <w:sz w:val="14"/>
            <w:u w:val="single"/>
          </w:rPr>
          <w:t>https://www.abs.gov.au/ausstats/abs@.nsf/Lookup/by%20Subject/2071.0~2016~Main%20Features~Small%20Towns~113</w:t>
        </w:r>
      </w:hyperlink>
      <w:r w:rsidR="00083242">
        <w:rPr>
          <w:rFonts w:ascii="Tahoma" w:eastAsia="Tahoma" w:hAnsi="Tahoma"/>
          <w:color w:val="404042"/>
          <w:sz w:val="14"/>
        </w:rPr>
        <w:t>.</w:t>
      </w:r>
    </w:p>
    <w:p w14:paraId="4176FA61" w14:textId="33BED1F6" w:rsidR="009757A9" w:rsidRDefault="00083242">
      <w:pPr>
        <w:spacing w:line="199" w:lineRule="exact"/>
        <w:ind w:left="1080" w:right="936" w:hanging="216"/>
        <w:textAlignment w:val="baseline"/>
        <w:rPr>
          <w:rFonts w:ascii="Tahoma" w:eastAsia="Tahoma" w:hAnsi="Tahoma"/>
          <w:color w:val="404042"/>
          <w:spacing w:val="-3"/>
          <w:sz w:val="14"/>
        </w:rPr>
      </w:pPr>
      <w:r>
        <w:rPr>
          <w:rFonts w:ascii="Tahoma" w:eastAsia="Tahoma" w:hAnsi="Tahoma"/>
          <w:color w:val="404042"/>
          <w:spacing w:val="-3"/>
          <w:sz w:val="14"/>
        </w:rPr>
        <w:t xml:space="preserve">192 Australian Bureau of Statistics (2018), </w:t>
      </w:r>
      <w:r>
        <w:rPr>
          <w:rFonts w:ascii="Arial" w:eastAsia="Arial" w:hAnsi="Arial"/>
          <w:i/>
          <w:color w:val="404042"/>
          <w:spacing w:val="-3"/>
          <w:sz w:val="14"/>
        </w:rPr>
        <w:t>Education and Work, Australia, May 2018</w:t>
      </w:r>
      <w:r>
        <w:rPr>
          <w:rFonts w:ascii="Verdana" w:eastAsia="Verdana" w:hAnsi="Verdana"/>
          <w:color w:val="404042"/>
          <w:spacing w:val="-3"/>
          <w:sz w:val="14"/>
        </w:rPr>
        <w:t xml:space="preserve">, cat. no. 6227.0, Table 30, </w:t>
      </w:r>
      <w:hyperlink r:id="rId283">
        <w:r>
          <w:rPr>
            <w:rFonts w:ascii="Tahoma" w:eastAsia="Tahoma" w:hAnsi="Tahoma"/>
            <w:color w:val="0000FF"/>
            <w:spacing w:val="-3"/>
            <w:sz w:val="14"/>
            <w:u w:val="single"/>
          </w:rPr>
          <w:t>https://www.abs.gov.au/AUSSTATS/abs@. nsf/Lookup/6227.0Main+Features1May%202018?OpenDocument</w:t>
        </w:r>
      </w:hyperlink>
      <w:r>
        <w:rPr>
          <w:rFonts w:ascii="Verdana" w:eastAsia="Verdana" w:hAnsi="Verdana"/>
          <w:color w:val="404042"/>
          <w:spacing w:val="-3"/>
          <w:sz w:val="14"/>
        </w:rPr>
        <w:t>. The ABS Survey of Education and Work classifies residential location as ‘major cities’, ‘inner regional’, ‘outer regional’ and ‘remote and very remote’, as determined by the ABS Remoteness Structure. Attainment of a qualification at Australian Qualifications Framework Certificate II level or higher is considered equivalent to Year 12 by the Council of Australian Governments.</w:t>
      </w:r>
    </w:p>
    <w:p w14:paraId="0C7022B9" w14:textId="60FCB13F" w:rsidR="009757A9" w:rsidRDefault="00A71681">
      <w:pPr>
        <w:spacing w:before="686" w:after="639" w:line="201" w:lineRule="exact"/>
        <w:ind w:left="6192"/>
        <w:textAlignment w:val="baseline"/>
        <w:rPr>
          <w:rFonts w:ascii="Tahoma" w:eastAsia="Tahoma" w:hAnsi="Tahoma"/>
          <w:color w:val="404042"/>
          <w:spacing w:val="6"/>
          <w:sz w:val="14"/>
        </w:rPr>
      </w:pPr>
      <w:r>
        <w:rPr>
          <w:noProof/>
          <w:lang w:val="en-AU" w:eastAsia="en-AU"/>
        </w:rPr>
        <w:drawing>
          <wp:anchor distT="0" distB="0" distL="114300" distR="114300" simplePos="0" relativeHeight="252096000" behindDoc="1" locked="0" layoutInCell="1" allowOverlap="1" wp14:anchorId="10F318E7" wp14:editId="5928AA4F">
            <wp:simplePos x="0" y="0"/>
            <wp:positionH relativeFrom="margin">
              <wp:align>right</wp:align>
            </wp:positionH>
            <wp:positionV relativeFrom="paragraph">
              <wp:posOffset>932815</wp:posOffset>
            </wp:positionV>
            <wp:extent cx="7562215" cy="462915"/>
            <wp:effectExtent l="0" t="0" r="635" b="0"/>
            <wp:wrapNone/>
            <wp:docPr id="211" name="Picture"/>
            <wp:cNvGraphicFramePr/>
            <a:graphic xmlns:a="http://schemas.openxmlformats.org/drawingml/2006/main">
              <a:graphicData uri="http://schemas.openxmlformats.org/drawingml/2006/picture">
                <pic:pic xmlns:pic="http://schemas.openxmlformats.org/drawingml/2006/picture">
                  <pic:nvPicPr>
                    <pic:cNvPr id="211" name="Picture"/>
                    <pic:cNvPicPr preferRelativeResize="0"/>
                  </pic:nvPicPr>
                  <pic:blipFill>
                    <a:blip r:embed="rId116">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Tahoma" w:eastAsia="Tahoma" w:hAnsi="Tahoma"/>
          <w:color w:val="404042"/>
          <w:spacing w:val="6"/>
          <w:sz w:val="14"/>
        </w:rPr>
        <w:t>Chapter 6: Ensuring all students have an equal chance of success</w:t>
      </w:r>
      <w:r w:rsidR="00083242">
        <w:rPr>
          <w:rFonts w:ascii="Arial" w:eastAsia="Arial" w:hAnsi="Arial"/>
          <w:b/>
          <w:color w:val="5556A1"/>
          <w:spacing w:val="6"/>
          <w:sz w:val="19"/>
        </w:rPr>
        <w:t xml:space="preserve"> 127</w:t>
      </w:r>
    </w:p>
    <w:p w14:paraId="44F0D19F" w14:textId="588B9CC2" w:rsidR="009757A9" w:rsidRDefault="009757A9">
      <w:pPr>
        <w:textAlignment w:val="baseline"/>
      </w:pPr>
    </w:p>
    <w:p w14:paraId="65A6A65D" w14:textId="77777777" w:rsidR="009757A9" w:rsidRDefault="009757A9">
      <w:pPr>
        <w:sectPr w:rsidR="009757A9">
          <w:type w:val="continuous"/>
          <w:pgSz w:w="11909" w:h="16838"/>
          <w:pgMar w:top="1080" w:right="0" w:bottom="0" w:left="0" w:header="720" w:footer="720" w:gutter="0"/>
          <w:cols w:space="720"/>
        </w:sectPr>
      </w:pPr>
    </w:p>
    <w:p w14:paraId="45492350" w14:textId="77777777" w:rsidR="009757A9" w:rsidRDefault="00083242">
      <w:pPr>
        <w:spacing w:after="600" w:line="240" w:lineRule="exact"/>
        <w:ind w:left="792" w:right="864"/>
        <w:textAlignment w:val="baseline"/>
        <w:rPr>
          <w:rFonts w:ascii="Tahoma" w:eastAsia="Tahoma" w:hAnsi="Tahoma"/>
          <w:color w:val="404042"/>
          <w:spacing w:val="4"/>
          <w:sz w:val="18"/>
        </w:rPr>
      </w:pPr>
      <w:r>
        <w:rPr>
          <w:rFonts w:ascii="Tahoma" w:eastAsia="Tahoma" w:hAnsi="Tahoma"/>
          <w:color w:val="404042"/>
          <w:spacing w:val="4"/>
          <w:sz w:val="18"/>
        </w:rPr>
        <w:lastRenderedPageBreak/>
        <w:t>Both the Independent Review into Regional, Rural and Remote Education, and the Regional Education Expert Advisory Group, found there is a significant city–country divide when it comes to accessing, participating in and attaining tertiary education.</w:t>
      </w:r>
      <w:r>
        <w:rPr>
          <w:rFonts w:ascii="Tahoma" w:eastAsia="Tahoma" w:hAnsi="Tahoma"/>
          <w:color w:val="404042"/>
          <w:spacing w:val="4"/>
          <w:sz w:val="18"/>
          <w:vertAlign w:val="superscript"/>
        </w:rPr>
        <w:t>193</w:t>
      </w:r>
      <w:r>
        <w:rPr>
          <w:rFonts w:ascii="Tahoma" w:eastAsia="Tahoma" w:hAnsi="Tahoma"/>
          <w:color w:val="404042"/>
          <w:spacing w:val="4"/>
          <w:sz w:val="18"/>
        </w:rPr>
        <w:t xml:space="preserve"> Young people from regional, rural and remote areas who do complete schooling are far less likely to go on to higher education. Even when controlling for differences in ATAR scores, regional students are less likely to attend university than those from metropolitan areas.</w:t>
      </w:r>
      <w:r>
        <w:rPr>
          <w:rFonts w:ascii="Tahoma" w:eastAsia="Tahoma" w:hAnsi="Tahoma"/>
          <w:color w:val="404042"/>
          <w:spacing w:val="4"/>
          <w:sz w:val="18"/>
          <w:vertAlign w:val="superscript"/>
        </w:rPr>
        <w:t>194</w:t>
      </w:r>
      <w:r>
        <w:rPr>
          <w:rFonts w:ascii="Tahoma" w:eastAsia="Tahoma" w:hAnsi="Tahoma"/>
          <w:color w:val="404042"/>
          <w:spacing w:val="4"/>
          <w:sz w:val="10"/>
        </w:rPr>
        <w:t xml:space="preserve"> </w:t>
      </w:r>
    </w:p>
    <w:p w14:paraId="21DC92A0" w14:textId="77777777" w:rsidR="009757A9" w:rsidRDefault="000D2E34">
      <w:pPr>
        <w:spacing w:before="99" w:line="300" w:lineRule="exact"/>
        <w:ind w:left="1296" w:right="1440"/>
        <w:textAlignment w:val="baseline"/>
        <w:rPr>
          <w:rFonts w:ascii="Verdana" w:eastAsia="Verdana" w:hAnsi="Verdana"/>
          <w:i/>
          <w:color w:val="007994"/>
          <w:sz w:val="19"/>
        </w:rPr>
      </w:pPr>
      <w:r>
        <w:rPr>
          <w:noProof/>
          <w:lang w:val="en-AU" w:eastAsia="en-AU"/>
        </w:rPr>
        <mc:AlternateContent>
          <mc:Choice Requires="wps">
            <w:drawing>
              <wp:anchor distT="0" distB="0" distL="114300" distR="114300" simplePos="0" relativeHeight="251980288" behindDoc="0" locked="0" layoutInCell="1" allowOverlap="1" wp14:anchorId="2F4D2BDC" wp14:editId="3E9857CF">
                <wp:simplePos x="0" y="0"/>
                <wp:positionH relativeFrom="page">
                  <wp:posOffset>826135</wp:posOffset>
                </wp:positionH>
                <wp:positionV relativeFrom="page">
                  <wp:posOffset>1835150</wp:posOffset>
                </wp:positionV>
                <wp:extent cx="5907405" cy="0"/>
                <wp:effectExtent l="0" t="0" r="0" b="0"/>
                <wp:wrapNone/>
                <wp:docPr id="416"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AE5F6" id="Line 137" o:spid="_x0000_s1026" style="position:absolute;z-index:25198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44.5pt" to="530.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6I50QEAAIYDAAAOAAAAZHJzL2Uyb0RvYy54bWysU02P2yAQvVfqf0DcG9u7+WisOHtIur2k&#10;baTd/oAJYBsVGAQkdv59gXx0296qXtDAzLx582ZYPY1akZNwXqJpaDUpKRGGIZema+j31+cPHynx&#10;AQwHhUY09Cw8fVq/f7cabC0esEfFhSMRxPh6sA3tQ7B1UXjWCw1+glaY6GzRaQjx6rqCOxgiulbF&#10;Q1nOiwEdtw6Z8D6+bi9Ous74bStY+Na2XgSiGhq5hXy6fB7SWaxXUHcObC/ZlQb8AwsN0sSid6gt&#10;BCBHJ/+C0pI59NiGCUNdYNtKJnIPsZuq/KOblx6syL1Ecby9y+T/Hyz7eto7InlDp9WcEgM6Dmkn&#10;jSDV4yKpM1hfx6CN2bvUHxvNi90h++GJwU0PphOZ5evZxsQqZRS/paSLt7HGYfiCPMbAMWCWamyd&#10;TpBRBDLmiZzvExFjICw+zpblYlrOKGE3XwH1LdE6Hz4L1CQZDVWRdQaG086HRATqW0iqY/BZKpUH&#10;rgwZGjp/nJU5waOSPDlTmHfdYaMcOUFamXKxXE5zV9HzNiwhb8H3l7jsuiyTw6PhuUovgH+62gGk&#10;utiRlTJXlZIwF4kPyM97d1MvDjvTvy5m2qa395z96/usfwIAAP//AwBQSwMEFAAGAAgAAAAhAEjX&#10;XYHcAAAADAEAAA8AAABkcnMvZG93bnJldi54bWxMj8FOwzAQRO9I/IO1SNyo3QJVCXEqVNRTL9Ai&#10;cd3GSxKI11Hspunfs5WQynFmn2Zn8uXoWzVQH5vAFqYTA4q4DK7hysLHbn23ABUTssM2MFk4UYRl&#10;cX2VY+bCkd9p2KZKSQjHDC3UKXWZ1rGsyWOchI5Ybl+h95hE9pV2PR4l3Ld6Zsxce2xYPtTY0aqm&#10;8md78BbWaHZvbrMJ3/Hz8bTCpN0rDdbe3owvz6ASjekCw7m+VIdCOu3DgV1Ureh7MxXUwmzxJKPO&#10;hJmbB1D7P0sXuf4/ovgFAAD//wMAUEsBAi0AFAAGAAgAAAAhALaDOJL+AAAA4QEAABMAAAAAAAAA&#10;AAAAAAAAAAAAAFtDb250ZW50X1R5cGVzXS54bWxQSwECLQAUAAYACAAAACEAOP0h/9YAAACUAQAA&#10;CwAAAAAAAAAAAAAAAAAvAQAAX3JlbHMvLnJlbHNQSwECLQAUAAYACAAAACEAUTOiOdEBAACGAwAA&#10;DgAAAAAAAAAAAAAAAAAuAgAAZHJzL2Uyb0RvYy54bWxQSwECLQAUAAYACAAAACEASNddgdwAAAAM&#10;AQAADwAAAAAAAAAAAAAAAAArBAAAZHJzL2Rvd25yZXYueG1sUEsFBgAAAAAEAAQA8wAAADQFAAAA&#10;AA==&#10;" strokecolor="#007994" strokeweight=".5pt">
                <w10:wrap anchorx="page" anchory="page"/>
              </v:line>
            </w:pict>
          </mc:Fallback>
        </mc:AlternateContent>
      </w:r>
      <w:r w:rsidR="00083242">
        <w:rPr>
          <w:rFonts w:ascii="Verdana" w:eastAsia="Verdana" w:hAnsi="Verdana"/>
          <w:i/>
          <w:color w:val="007994"/>
          <w:sz w:val="19"/>
        </w:rPr>
        <w:t xml:space="preserve">“In rural and remote areas the difficulty we most experience is access to work experience outside </w:t>
      </w:r>
      <w:r w:rsidR="00083242">
        <w:rPr>
          <w:rFonts w:ascii="Tahoma" w:eastAsia="Tahoma" w:hAnsi="Tahoma"/>
          <w:i/>
          <w:color w:val="007994"/>
          <w:sz w:val="21"/>
        </w:rPr>
        <w:t xml:space="preserve">of the town and access to experiences related to vocational education, such as VET courses </w:t>
      </w:r>
      <w:r w:rsidR="00083242">
        <w:rPr>
          <w:rFonts w:ascii="Verdana" w:eastAsia="Verdana" w:hAnsi="Verdana"/>
          <w:i/>
          <w:color w:val="007994"/>
          <w:sz w:val="19"/>
        </w:rPr>
        <w:t>delivered by TAFE, opportunities to visit work places and different work places.”</w:t>
      </w:r>
    </w:p>
    <w:p w14:paraId="25F1C072" w14:textId="77777777" w:rsidR="009757A9" w:rsidRDefault="00083242">
      <w:pPr>
        <w:spacing w:before="56" w:after="220" w:line="247" w:lineRule="exact"/>
        <w:ind w:left="7560"/>
        <w:textAlignment w:val="baseline"/>
        <w:rPr>
          <w:rFonts w:ascii="Tahoma" w:eastAsia="Tahoma" w:hAnsi="Tahoma"/>
          <w:i/>
          <w:color w:val="007994"/>
          <w:sz w:val="21"/>
        </w:rPr>
      </w:pPr>
      <w:r>
        <w:rPr>
          <w:rFonts w:ascii="Tahoma" w:eastAsia="Tahoma" w:hAnsi="Tahoma"/>
          <w:i/>
          <w:color w:val="007994"/>
          <w:sz w:val="21"/>
        </w:rPr>
        <w:t>Helen Bray, teacher, submission</w:t>
      </w:r>
    </w:p>
    <w:p w14:paraId="4670915B" w14:textId="77777777" w:rsidR="009757A9" w:rsidRDefault="000D2E34">
      <w:pPr>
        <w:spacing w:before="414" w:line="240" w:lineRule="exact"/>
        <w:ind w:left="792" w:right="1008"/>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1981312" behindDoc="0" locked="0" layoutInCell="1" allowOverlap="1" wp14:anchorId="756D8593" wp14:editId="05AA4F64">
                <wp:simplePos x="0" y="0"/>
                <wp:positionH relativeFrom="page">
                  <wp:posOffset>826135</wp:posOffset>
                </wp:positionH>
                <wp:positionV relativeFrom="page">
                  <wp:posOffset>2807335</wp:posOffset>
                </wp:positionV>
                <wp:extent cx="5907405" cy="0"/>
                <wp:effectExtent l="0" t="0" r="0" b="0"/>
                <wp:wrapNone/>
                <wp:docPr id="415"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C7375" id="Line 136" o:spid="_x0000_s1026" style="position:absolute;z-index:25198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21.05pt" to="530.2pt,2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rk0QEAAIYDAAAOAAAAZHJzL2Uyb0RvYy54bWysU01v2zAMvQ/YfxB0X2y3SboYcXpI1l2y&#10;LUDbH8BIcixMFgVJiZN/P0r5WLfehl0ESiQfHx+p+eOxN+ygfNBoG16NSs6UFSi13TX89eXp02fO&#10;QgQrwaBVDT+pwB8XHz/MB1erO+zQSOUZgdhQD67hXYyuLoogOtVDGKFTlpwt+h4iXf2ukB4GQu9N&#10;cVeW02JAL51HoUKg19XZyRcZv22ViD/aNqjITMOJW8ynz+c2ncViDvXOg+u0uNCAf2DRg7ZU9Aa1&#10;gghs7/U7qF4LjwHbOBLYF9i2WqjcA3VTlX9189yBU7kXEie4m0zh/8GK74eNZ1o2fFxNOLPQ05DW&#10;2ipW3U+TOoMLNQUt7can/sTRPrs1ip+BWVx2YHcqs3w5OUqsUkbxR0q6BEc1tsM3lBQD+4hZqmPr&#10;+wRJIrBjnsjpNhF1jEzQ42RWPoxLIiauvgLqa6LzIX5V2LNkNNwQ6wwMh3WIiQjU15BUx+KTNiYP&#10;3Fg2NHx6PylzQkCjZXKmsOB326Xx7ABpZcqH2WycuyLP27CEvILQneOy67xMHvdW5iqdAvnlYkfQ&#10;5mwTK2MvKiVhzhJvUZ42/qoeDTvTvyxm2qa395z9+/ssfgEAAP//AwBQSwMEFAAGAAgAAAAhAJKG&#10;79HcAAAADAEAAA8AAABkcnMvZG93bnJldi54bWxMj0FPwzAMhe9I/IfISNxYslEmVJpOaGinXWBD&#10;4uo1pi00TtVkXffv8SQkuPnZT8/fK1aT79RIQ2wDW5jPDCjiKriWawvv+83dI6iYkB12gcnCmSKs&#10;yuurAnMXTvxG4y7VSkI45mihSanPtY5VQx7jLPTEcvsMg8ckcqi1G/Ak4b7TC2OW2mPL8qHBntYN&#10;Vd+7o7ewQbN/ddtt+IofD+c1Ju1eaLT29mZ6fgKVaEp/ZrjgCzqUwnQIR3ZRdaLvzVysFrJsIcPF&#10;YZYmA3X4Xemy0P9LlD8AAAD//wMAUEsBAi0AFAAGAAgAAAAhALaDOJL+AAAA4QEAABMAAAAAAAAA&#10;AAAAAAAAAAAAAFtDb250ZW50X1R5cGVzXS54bWxQSwECLQAUAAYACAAAACEAOP0h/9YAAACUAQAA&#10;CwAAAAAAAAAAAAAAAAAvAQAAX3JlbHMvLnJlbHNQSwECLQAUAAYACAAAACEA90za5NEBAACGAwAA&#10;DgAAAAAAAAAAAAAAAAAuAgAAZHJzL2Uyb0RvYy54bWxQSwECLQAUAAYACAAAACEAkobv0d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z w:val="18"/>
        </w:rPr>
        <w:t>Only 70 per cent of students in regional, rural and remote areas accept their university offer, compared to 77 per cent of metropolitan students.</w:t>
      </w:r>
      <w:r w:rsidR="00083242">
        <w:rPr>
          <w:rFonts w:ascii="Tahoma" w:eastAsia="Tahoma" w:hAnsi="Tahoma"/>
          <w:color w:val="404042"/>
          <w:sz w:val="18"/>
          <w:vertAlign w:val="superscript"/>
        </w:rPr>
        <w:t>195</w:t>
      </w:r>
      <w:r w:rsidR="00083242">
        <w:rPr>
          <w:rFonts w:ascii="Tahoma" w:eastAsia="Tahoma" w:hAnsi="Tahoma"/>
          <w:color w:val="404042"/>
          <w:sz w:val="18"/>
        </w:rPr>
        <w:t xml:space="preserve"> They are more likely to defer offers, and less likely to complete tertiary education</w:t>
      </w:r>
    </w:p>
    <w:p w14:paraId="678535E2" w14:textId="77777777" w:rsidR="009757A9" w:rsidRDefault="00083242">
      <w:pPr>
        <w:spacing w:after="599" w:line="240" w:lineRule="exact"/>
        <w:ind w:left="792" w:right="864"/>
        <w:textAlignment w:val="baseline"/>
        <w:rPr>
          <w:rFonts w:ascii="Tahoma" w:eastAsia="Tahoma" w:hAnsi="Tahoma"/>
          <w:color w:val="404042"/>
          <w:sz w:val="18"/>
        </w:rPr>
      </w:pPr>
      <w:r>
        <w:rPr>
          <w:rFonts w:ascii="Tahoma" w:eastAsia="Tahoma" w:hAnsi="Tahoma"/>
          <w:color w:val="404042"/>
          <w:sz w:val="18"/>
        </w:rPr>
        <w:t>(65.5 per cent of students in metropolitan areas, compared to 61.4 per cent in inner regional, 58.5 per cent in outer regional and 48.7 per cent in remote areas).</w:t>
      </w:r>
      <w:r>
        <w:rPr>
          <w:rFonts w:ascii="Tahoma" w:eastAsia="Tahoma" w:hAnsi="Tahoma"/>
          <w:color w:val="404042"/>
          <w:sz w:val="18"/>
          <w:vertAlign w:val="superscript"/>
        </w:rPr>
        <w:t>196</w:t>
      </w:r>
      <w:r>
        <w:rPr>
          <w:rFonts w:ascii="Tahoma" w:eastAsia="Tahoma" w:hAnsi="Tahoma"/>
          <w:color w:val="404042"/>
          <w:sz w:val="18"/>
        </w:rPr>
        <w:t xml:space="preserve"> They also have lower VET completion rates.</w:t>
      </w:r>
      <w:r>
        <w:rPr>
          <w:rFonts w:ascii="Tahoma" w:eastAsia="Tahoma" w:hAnsi="Tahoma"/>
          <w:color w:val="404042"/>
          <w:sz w:val="18"/>
          <w:vertAlign w:val="superscript"/>
        </w:rPr>
        <w:t>197</w:t>
      </w:r>
      <w:r>
        <w:rPr>
          <w:rFonts w:ascii="Tahoma" w:eastAsia="Tahoma" w:hAnsi="Tahoma"/>
          <w:color w:val="404042"/>
          <w:sz w:val="18"/>
        </w:rPr>
        <w:t xml:space="preserve"> These statistics accord with a survey conducted for the Panel by Year13, which indicated that the more remote a respondent’s hometown, the more likely they were to express a need to move away from home for education or employment.</w:t>
      </w:r>
      <w:r>
        <w:rPr>
          <w:rFonts w:ascii="Tahoma" w:eastAsia="Tahoma" w:hAnsi="Tahoma"/>
          <w:color w:val="404042"/>
          <w:sz w:val="18"/>
          <w:vertAlign w:val="superscript"/>
        </w:rPr>
        <w:t>198</w:t>
      </w:r>
      <w:r>
        <w:rPr>
          <w:rFonts w:ascii="Tahoma" w:eastAsia="Tahoma" w:hAnsi="Tahoma"/>
          <w:color w:val="404042"/>
          <w:sz w:val="10"/>
        </w:rPr>
        <w:t xml:space="preserve"> </w:t>
      </w:r>
    </w:p>
    <w:p w14:paraId="7C711988" w14:textId="77777777" w:rsidR="009757A9" w:rsidRDefault="000D2E34">
      <w:pPr>
        <w:spacing w:before="93" w:line="300" w:lineRule="exact"/>
        <w:ind w:left="1296" w:right="1440"/>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82336" behindDoc="0" locked="0" layoutInCell="1" allowOverlap="1" wp14:anchorId="71B473E3" wp14:editId="32CEAD06">
                <wp:simplePos x="0" y="0"/>
                <wp:positionH relativeFrom="page">
                  <wp:posOffset>826135</wp:posOffset>
                </wp:positionH>
                <wp:positionV relativeFrom="page">
                  <wp:posOffset>4367530</wp:posOffset>
                </wp:positionV>
                <wp:extent cx="5907405" cy="0"/>
                <wp:effectExtent l="0" t="0" r="0" b="0"/>
                <wp:wrapNone/>
                <wp:docPr id="41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5D571" id="Line 135" o:spid="_x0000_s1026" style="position:absolute;z-index:25198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43.9pt" to="530.2pt,3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BZb0QEAAIYDAAAOAAAAZHJzL2Uyb0RvYy54bWysU8GO2yAQvVfqPyDuje3dZLex4uwh6faS&#10;tpF2+wETwDYqMAhI7Px9ASfptr1VvaCBmXnz5s2wehq1IifhvETT0GpWUiIMQy5N19Dvr88fPlLi&#10;AxgOCo1o6Fl4+rR+/2412FrcYY+KC0ciiPH1YBvah2DrovCsFxr8DK0w0dmi0xDi1XUFdzBEdK2K&#10;u7J8KAZ03Dpkwvv4up2cdJ3x21aw8K1tvQhENTRyC/l0+Tyks1ivoO4c2F6yCw34BxYapIlFb1Bb&#10;CECOTv4FpSVz6LENM4a6wLaVTOQeYjdV+Uc3Lz1YkXuJ4nh7k8n/P1j29bR3RPKGzqs5JQZ0HNJO&#10;GkGq+0VSZ7C+jkEbs3epPzaaF7tD9sMTg5seTCcyy9ezjYlVyih+S0kXb2ONw/AFeYyBY8As1dg6&#10;nSCjCGTMEznfJiLGQFh8XCzLx3m5oIRdfQXU10TrfPgsUJNkNFRF1hkYTjsfEhGoryGpjsFnqVQe&#10;uDJkaOjD/aLMCR6V5MmZwrzrDhvlyAnSypSPy+U8dxU9b8MS8hZ8P8Vl17RMDo+G5yq9AP7pYgeQ&#10;arIjK2UuKiVhJokPyM97d1UvDjvTvyxm2qa395z96/usfwIAAP//AwBQSwMEFAAGAAgAAAAhAAbO&#10;5AncAAAADAEAAA8AAABkcnMvZG93bnJldi54bWxMj81OwzAQhO9IvIO1SNyoXX5CFeJUqKinXqBF&#10;4rqNlyQQr6PYTdO3ZyshwXFmP83OFMvJd2qkIbaBLcxnBhRxFVzLtYX33fpmASomZIddYLJwogjL&#10;8vKiwNyFI7/RuE21khCOOVpoUupzrWPVkMc4Cz2x3D7D4DGJHGrtBjxKuO/0rTGZ9tiyfGiwp1VD&#10;1ff24C2s0exe3WYTvuLHw2mFSbsXGq29vpqen0AlmtIfDOf6Uh1K6bQPB3ZRdaLvzFxQC9niUTac&#10;CZOZe1D7X0uXhf4/ovwBAAD//wMAUEsBAi0AFAAGAAgAAAAhALaDOJL+AAAA4QEAABMAAAAAAAAA&#10;AAAAAAAAAAAAAFtDb250ZW50X1R5cGVzXS54bWxQSwECLQAUAAYACAAAACEAOP0h/9YAAACUAQAA&#10;CwAAAAAAAAAAAAAAAAAvAQAAX3JlbHMvLnJlbHNQSwECLQAUAAYACAAAACEANVAWW9EBAACGAwAA&#10;DgAAAAAAAAAAAAAAAAAuAgAAZHJzL2Uyb0RvYy54bWxQSwECLQAUAAYACAAAACEABs7kC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 xml:space="preserve">“In ACYP’s [NSW Advocate for Children and Young People] consultations with children and young people on education, one of the issues raised was having limited options for electives and extra-curricular activities. This prevented some students from pursuing their ambitions or feeling </w:t>
      </w:r>
      <w:r w:rsidR="00083242">
        <w:rPr>
          <w:rFonts w:ascii="Verdana" w:eastAsia="Verdana" w:hAnsi="Verdana"/>
          <w:i/>
          <w:color w:val="007994"/>
          <w:sz w:val="19"/>
        </w:rPr>
        <w:t xml:space="preserve">like they belong or fit in with the designated school curriculum. Students from regional or rural </w:t>
      </w:r>
      <w:r w:rsidR="00083242">
        <w:rPr>
          <w:rFonts w:ascii="Tahoma" w:eastAsia="Tahoma" w:hAnsi="Tahoma"/>
          <w:i/>
          <w:color w:val="007994"/>
          <w:sz w:val="21"/>
        </w:rPr>
        <w:t>areas in particular spoke about missing out on electives that they were passionate about due to lack of resources, teachers or fellow students who were also interested.”</w:t>
      </w:r>
    </w:p>
    <w:p w14:paraId="19ED6EF8" w14:textId="77777777" w:rsidR="009757A9" w:rsidRDefault="00083242">
      <w:pPr>
        <w:spacing w:before="65" w:after="225" w:line="247" w:lineRule="exact"/>
        <w:ind w:left="3312"/>
        <w:textAlignment w:val="baseline"/>
        <w:rPr>
          <w:rFonts w:ascii="Tahoma" w:eastAsia="Tahoma" w:hAnsi="Tahoma"/>
          <w:i/>
          <w:color w:val="007994"/>
          <w:spacing w:val="1"/>
          <w:sz w:val="21"/>
        </w:rPr>
      </w:pPr>
      <w:r>
        <w:rPr>
          <w:rFonts w:ascii="Tahoma" w:eastAsia="Tahoma" w:hAnsi="Tahoma"/>
          <w:i/>
          <w:color w:val="007994"/>
          <w:spacing w:val="1"/>
          <w:sz w:val="21"/>
        </w:rPr>
        <w:t>Christopher Stone, NSW Advocate for Children and Young People, submission</w:t>
      </w:r>
    </w:p>
    <w:p w14:paraId="44C6DD9C" w14:textId="77777777" w:rsidR="009757A9" w:rsidRDefault="000D2E34">
      <w:pPr>
        <w:spacing w:before="347" w:after="1310" w:line="240" w:lineRule="exact"/>
        <w:ind w:left="792" w:right="1008"/>
        <w:textAlignment w:val="baseline"/>
        <w:rPr>
          <w:rFonts w:ascii="Tahoma" w:eastAsia="Tahoma" w:hAnsi="Tahoma"/>
          <w:color w:val="404042"/>
          <w:spacing w:val="6"/>
          <w:sz w:val="18"/>
        </w:rPr>
      </w:pPr>
      <w:r>
        <w:rPr>
          <w:noProof/>
          <w:lang w:val="en-AU" w:eastAsia="en-AU"/>
        </w:rPr>
        <mc:AlternateContent>
          <mc:Choice Requires="wps">
            <w:drawing>
              <wp:anchor distT="0" distB="0" distL="114300" distR="114300" simplePos="0" relativeHeight="251983360" behindDoc="0" locked="0" layoutInCell="1" allowOverlap="1" wp14:anchorId="3DD085D6" wp14:editId="03AB479A">
                <wp:simplePos x="0" y="0"/>
                <wp:positionH relativeFrom="page">
                  <wp:posOffset>826135</wp:posOffset>
                </wp:positionH>
                <wp:positionV relativeFrom="page">
                  <wp:posOffset>5913120</wp:posOffset>
                </wp:positionV>
                <wp:extent cx="5907405" cy="0"/>
                <wp:effectExtent l="0" t="0" r="0" b="0"/>
                <wp:wrapNone/>
                <wp:docPr id="413"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8F2ED" id="Line 134" o:spid="_x0000_s1026" style="position:absolute;z-index:25198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65.6pt" to="530.2pt,4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VuF0QEAAIYDAAAOAAAAZHJzL2Uyb0RvYy54bWysU01v2zAMvQ/YfxB0X2w3SbsYcXpI1l2y&#10;LUDbH8BIsi1MEgVJiZ1/P0n52Lrehl0ESiQfHx+p5eOoFTkK5yWahlaTkhJhGHJpuoa+vjx9+kyJ&#10;D2A4KDSioSfh6ePq44flYGtxhz0qLhyJIMbXg21oH4Kti8KzXmjwE7TCRGeLTkOIV9cV3MEQ0bUq&#10;7sryvhjQceuQCe/j6+bspKuM37aChR9t60UgqqGRW8iny+c+ncVqCXXnwPaSXWjAP7DQIE0seoPa&#10;QABycPIdlJbMocc2TBjqAttWMpF7iN1U5V/dPPdgRe4liuPtTSb//2DZ9+POEckbOqumlBjQcUhb&#10;aQSpprOkzmB9HYPWZudSf2w0z3aL7KcnBtc9mE5kli8nGxOrlFG8SUkXb2ON/fANeYyBQ8As1dg6&#10;nSCjCGTMEzndJiLGQFh8nC/Kh1k5p4RdfQXU10TrfPgqUJNkNFRF1hkYjlsfEhGoryGpjsEnqVQe&#10;uDJkaOj9dF7mBI9K8uRMYd51+7Vy5AhpZcqHxSLrEMHehCXkDfj+HJdd52VyeDA8V+kF8C8XO4BU&#10;ZzsCKXNRKQlzlniP/LRzV/XisDP9y2KmbfrznrN/f5/VLwAAAP//AwBQSwMEFAAGAAgAAAAhAAm3&#10;oPHcAAAADAEAAA8AAABkcnMvZG93bnJldi54bWxMj8FuwjAMhu+T9g6RkXYbSWFDo2uKJiZOXDZA&#10;2tU0pu1onKoJpbz9gjQJjr/96ffnbDHYRvTU+dqxhmSsQBAXztRcathtV89vIHxANtg4Jg0X8rDI&#10;Hx8yTI078zf1m1CKWMI+RQ1VCG0qpS8qsujHriWOu4PrLIYYu1KaDs+x3DZyotRMWqw5XqiwpWVF&#10;xXFzshpWqLZfZr12v/7n9bLEIM0n9Vo/jYaPdxCBhnCD4aof1SGPTnt3YuNFE/NUJRHVMJ8mExBX&#10;Qs3UC4j9/0jmmbx/Iv8DAAD//wMAUEsBAi0AFAAGAAgAAAAhALaDOJL+AAAA4QEAABMAAAAAAAAA&#10;AAAAAAAAAAAAAFtDb250ZW50X1R5cGVzXS54bWxQSwECLQAUAAYACAAAACEAOP0h/9YAAACUAQAA&#10;CwAAAAAAAAAAAAAAAAAvAQAAX3JlbHMvLnJlbHNQSwECLQAUAAYACAAAACEA+rVbhdEBAACGAwAA&#10;DgAAAAAAAAAAAAAAAAAuAgAAZHJzL2Uyb0RvYy54bWxQSwECLQAUAAYACAAAACEACbeg8d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6"/>
          <w:sz w:val="18"/>
        </w:rPr>
        <w:t>In consultations and submissions, the Panel found strong support for the recommendations within the National Regional, Rural and Remote Tertiary Education Strategy final report,</w:t>
      </w:r>
      <w:r w:rsidR="00083242">
        <w:rPr>
          <w:rFonts w:ascii="Tahoma" w:eastAsia="Tahoma" w:hAnsi="Tahoma"/>
          <w:color w:val="404042"/>
          <w:spacing w:val="6"/>
          <w:sz w:val="18"/>
          <w:vertAlign w:val="superscript"/>
        </w:rPr>
        <w:t>199</w:t>
      </w:r>
      <w:r w:rsidR="00083242">
        <w:rPr>
          <w:rFonts w:ascii="Tahoma" w:eastAsia="Tahoma" w:hAnsi="Tahoma"/>
          <w:color w:val="404042"/>
          <w:spacing w:val="6"/>
          <w:sz w:val="18"/>
        </w:rPr>
        <w:t xml:space="preserve"> particularly around the provision of effective career advice. Those views influenced our recommendation to establish a network of career hubs, with an initial focus on regional areas.</w:t>
      </w:r>
    </w:p>
    <w:p w14:paraId="1C308862" w14:textId="77777777" w:rsidR="009757A9" w:rsidRDefault="000D2E34">
      <w:pPr>
        <w:spacing w:before="54" w:line="199" w:lineRule="exact"/>
        <w:ind w:left="1080" w:right="1080" w:hanging="288"/>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84384" behindDoc="0" locked="0" layoutInCell="1" allowOverlap="1" wp14:anchorId="5CE67ECA" wp14:editId="119AECCB">
                <wp:simplePos x="0" y="0"/>
                <wp:positionH relativeFrom="page">
                  <wp:posOffset>539750</wp:posOffset>
                </wp:positionH>
                <wp:positionV relativeFrom="page">
                  <wp:posOffset>7580630</wp:posOffset>
                </wp:positionV>
                <wp:extent cx="917575" cy="0"/>
                <wp:effectExtent l="0" t="0" r="0" b="0"/>
                <wp:wrapNone/>
                <wp:docPr id="412"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8AC12" id="Line 133" o:spid="_x0000_s1026" style="position:absolute;z-index:25198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96.9pt" to="114.75pt,5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PQzgEAAIYDAAAOAAAAZHJzL2Uyb0RvYy54bWysU02T0zAMvTPDf/D4TpN06S5kmu6hZbkU&#10;6MwuP0C1ncSDY3lst0n/PbL7wQI3hhw8liU9PT0py8dpMOyofNBoG17NSs6UFSi17Rr+/eXp3QfO&#10;QgQrwaBVDT+pwB9Xb98sR1erOfZopPKMQGyoR9fwPkZXF0UQvRogzNApS84W/QCRTN8V0sNI6IMp&#10;5mV5X4zopfMoVAj0ujk7+Srjt60S8VvbBhWZaThxi/n0+dyns1gtoe48uF6LCw34BxYDaEtFb1Ab&#10;iMAOXv8FNWjhMWAbZwKHAttWC5V7oG6q8o9unntwKvdC4gR3kyn8P1jx9bjzTMuGv6/mnFkYaEhb&#10;bRWr7u6SOqMLNQWt7c6n/sRkn90WxY/ALK57sJ3KLF9OjhKrlFH8lpKM4KjGfvyCkmLgEDFLNbV+&#10;SJAkApvyRE63iagpMkGPH6uHxcOCM3F1FVBf85wP8bPCgaVLww2Rzrhw3IaYeEB9DUllLD5pY/K8&#10;jWUjkZ2X94ucEdBombwpLvhuvzaeHSGtTP5yV+R5HZagNxD6c1x2nZfJ48HKXKZXID9d7hG0Od+J&#10;lrEXlZIwZ4n3KE87f1WPhp35XxYzbdNrO2f/+n1WPwEAAP//AwBQSwMEFAAGAAgAAAAhAF/j5onf&#10;AAAADAEAAA8AAABkcnMvZG93bnJldi54bWxMj0FLw0AQhe+C/2EZwYvYSWMracymSEFvilbFHrfZ&#10;MQlmZ0N228R/73gQPc6bx3vvK9aT69SRhtB61jCfJaCIK29brjW8vtxdZqBCNGxN55k0fFGAdXl6&#10;Upjc+pGf6biNtZIQDrnR0MTY54ihasiZMPM9sfw+/OBMlHOo0Q5mlHDXYZok1+hMy9LQmJ42DVWf&#10;24PTgJhki+ntfXxYXISs3W3q3f3jk9bnZ9PtDahIU/wzw898mQ6lbNr7A9ugOg3ZUlCi6PPVlTCI&#10;I01XS1D7XwnLAv9DlN8AAAD//wMAUEsBAi0AFAAGAAgAAAAhALaDOJL+AAAA4QEAABMAAAAAAAAA&#10;AAAAAAAAAAAAAFtDb250ZW50X1R5cGVzXS54bWxQSwECLQAUAAYACAAAACEAOP0h/9YAAACUAQAA&#10;CwAAAAAAAAAAAAAAAAAvAQAAX3JlbHMvLnJlbHNQSwECLQAUAAYACAAAACEAkNVD0M4BAACGAwAA&#10;DgAAAAAAAAAAAAAAAAAuAgAAZHJzL2Uyb0RvYy54bWxQSwECLQAUAAYACAAAACEAX+Pmid8AAAAM&#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 xml:space="preserve">193 Halsey, J. (2018), </w:t>
      </w:r>
      <w:r w:rsidR="00083242">
        <w:rPr>
          <w:rFonts w:ascii="Arial" w:eastAsia="Arial" w:hAnsi="Arial"/>
          <w:i/>
          <w:color w:val="404042"/>
          <w:sz w:val="14"/>
        </w:rPr>
        <w:t xml:space="preserve">Independent Review into Regional, Rural and Remote Education: Final report, </w:t>
      </w:r>
      <w:r w:rsidR="00083242">
        <w:rPr>
          <w:rFonts w:ascii="Tahoma" w:eastAsia="Tahoma" w:hAnsi="Tahoma"/>
          <w:color w:val="404042"/>
          <w:sz w:val="14"/>
        </w:rPr>
        <w:t xml:space="preserve">January 2018, </w:t>
      </w:r>
      <w:hyperlink r:id="rId284">
        <w:r w:rsidR="00083242">
          <w:rPr>
            <w:rFonts w:ascii="Tahoma" w:eastAsia="Tahoma" w:hAnsi="Tahoma"/>
            <w:color w:val="0000FF"/>
            <w:sz w:val="14"/>
            <w:u w:val="single"/>
          </w:rPr>
          <w:t xml:space="preserve">https://docs.education.gov.au/system/ </w:t>
        </w:r>
      </w:hyperlink>
      <w:r w:rsidR="00083242">
        <w:rPr>
          <w:rFonts w:ascii="Tahoma" w:eastAsia="Tahoma" w:hAnsi="Tahoma"/>
          <w:color w:val="0000FF"/>
          <w:sz w:val="14"/>
          <w:u w:val="single"/>
        </w:rPr>
        <w:t>files/doc/other/01218_independent_review_accessible.pdf</w:t>
      </w:r>
      <w:r w:rsidR="00083242">
        <w:rPr>
          <w:rFonts w:ascii="Tahoma" w:eastAsia="Tahoma" w:hAnsi="Tahoma"/>
          <w:color w:val="404042"/>
          <w:sz w:val="14"/>
        </w:rPr>
        <w:t>; and Regional Education Expert Advisory Group (2019).</w:t>
      </w:r>
    </w:p>
    <w:p w14:paraId="0CECE1DC" w14:textId="77777777" w:rsidR="009757A9" w:rsidRDefault="00083242">
      <w:pPr>
        <w:spacing w:before="26" w:line="171" w:lineRule="exact"/>
        <w:ind w:left="792"/>
        <w:textAlignment w:val="baseline"/>
        <w:rPr>
          <w:rFonts w:ascii="Tahoma" w:eastAsia="Tahoma" w:hAnsi="Tahoma"/>
          <w:color w:val="404042"/>
          <w:spacing w:val="1"/>
          <w:sz w:val="14"/>
        </w:rPr>
      </w:pPr>
      <w:r>
        <w:rPr>
          <w:rFonts w:ascii="Tahoma" w:eastAsia="Tahoma" w:hAnsi="Tahoma"/>
          <w:color w:val="404042"/>
          <w:spacing w:val="1"/>
          <w:sz w:val="14"/>
        </w:rPr>
        <w:t>194 Cardak et al. (2017), p. v.</w:t>
      </w:r>
    </w:p>
    <w:p w14:paraId="76A1689F" w14:textId="77777777" w:rsidR="009757A9" w:rsidRDefault="00083242">
      <w:pPr>
        <w:spacing w:line="202" w:lineRule="exact"/>
        <w:ind w:left="1080" w:right="1440" w:hanging="288"/>
        <w:textAlignment w:val="baseline"/>
        <w:rPr>
          <w:rFonts w:ascii="Tahoma" w:eastAsia="Tahoma" w:hAnsi="Tahoma"/>
          <w:color w:val="404042"/>
          <w:sz w:val="14"/>
        </w:rPr>
      </w:pPr>
      <w:r>
        <w:rPr>
          <w:rFonts w:ascii="Tahoma" w:eastAsia="Tahoma" w:hAnsi="Tahoma"/>
          <w:color w:val="404042"/>
          <w:sz w:val="14"/>
        </w:rPr>
        <w:t xml:space="preserve">195 Commonwealth Department of Education and Training (2018b), </w:t>
      </w:r>
      <w:r>
        <w:rPr>
          <w:rFonts w:ascii="Tahoma" w:eastAsia="Tahoma" w:hAnsi="Tahoma"/>
          <w:i/>
          <w:color w:val="404042"/>
          <w:sz w:val="14"/>
        </w:rPr>
        <w:t>Undergraduate Applications, Offers and Acceptances 2018</w:t>
      </w:r>
      <w:r>
        <w:rPr>
          <w:rFonts w:ascii="Tahoma" w:eastAsia="Tahoma" w:hAnsi="Tahoma"/>
          <w:color w:val="404042"/>
          <w:sz w:val="14"/>
        </w:rPr>
        <w:t xml:space="preserve">, p. 34, </w:t>
      </w:r>
      <w:hyperlink r:id="rId285">
        <w:r>
          <w:rPr>
            <w:rFonts w:ascii="Tahoma" w:eastAsia="Tahoma" w:hAnsi="Tahoma"/>
            <w:color w:val="0000FF"/>
            <w:sz w:val="14"/>
            <w:u w:val="single"/>
          </w:rPr>
          <w:t xml:space="preserve">https://docs. </w:t>
        </w:r>
      </w:hyperlink>
      <w:r>
        <w:rPr>
          <w:rFonts w:ascii="Tahoma" w:eastAsia="Tahoma" w:hAnsi="Tahoma"/>
          <w:color w:val="0000FF"/>
          <w:sz w:val="14"/>
          <w:u w:val="single"/>
        </w:rPr>
        <w:t>education.gov.au/system/files/doc/other/undergraduate_applications_offers_and_acceptances_2018.pdf</w:t>
      </w:r>
      <w:r>
        <w:rPr>
          <w:rFonts w:ascii="Tahoma" w:eastAsia="Tahoma" w:hAnsi="Tahoma"/>
          <w:color w:val="404042"/>
          <w:sz w:val="14"/>
        </w:rPr>
        <w:t>.</w:t>
      </w:r>
    </w:p>
    <w:p w14:paraId="29378257" w14:textId="77777777" w:rsidR="009757A9" w:rsidRDefault="00083242">
      <w:pPr>
        <w:spacing w:line="199" w:lineRule="exact"/>
        <w:ind w:left="1080" w:right="936" w:hanging="288"/>
        <w:textAlignment w:val="baseline"/>
        <w:rPr>
          <w:rFonts w:ascii="Tahoma" w:eastAsia="Tahoma" w:hAnsi="Tahoma"/>
          <w:color w:val="404042"/>
          <w:sz w:val="14"/>
        </w:rPr>
      </w:pPr>
      <w:r>
        <w:rPr>
          <w:rFonts w:ascii="Tahoma" w:eastAsia="Tahoma" w:hAnsi="Tahoma"/>
          <w:color w:val="404042"/>
          <w:sz w:val="14"/>
        </w:rPr>
        <w:t xml:space="preserve">196 Commonwealth Department of Education and Training (2018a), Selected Higher Education Statistics – 2018 student data, </w:t>
      </w:r>
      <w:hyperlink r:id="rId286">
        <w:r>
          <w:rPr>
            <w:rFonts w:ascii="Tahoma" w:eastAsia="Tahoma" w:hAnsi="Tahoma"/>
            <w:color w:val="0000FF"/>
            <w:sz w:val="14"/>
            <w:u w:val="single"/>
          </w:rPr>
          <w:t>https://www.education. gov.au/selected-higher-education-statistics-2018-student-data</w:t>
        </w:r>
      </w:hyperlink>
      <w:r>
        <w:rPr>
          <w:rFonts w:ascii="Tahoma" w:eastAsia="Tahoma" w:hAnsi="Tahoma"/>
          <w:color w:val="404042"/>
          <w:sz w:val="14"/>
        </w:rPr>
        <w:t>.</w:t>
      </w:r>
    </w:p>
    <w:p w14:paraId="519010B5" w14:textId="77777777" w:rsidR="009757A9" w:rsidRDefault="00083242">
      <w:pPr>
        <w:spacing w:before="1" w:line="199" w:lineRule="exact"/>
        <w:ind w:left="1080" w:right="864" w:hanging="288"/>
        <w:textAlignment w:val="baseline"/>
        <w:rPr>
          <w:rFonts w:ascii="Tahoma" w:eastAsia="Tahoma" w:hAnsi="Tahoma"/>
          <w:color w:val="404042"/>
          <w:sz w:val="14"/>
        </w:rPr>
      </w:pPr>
      <w:r>
        <w:rPr>
          <w:rFonts w:ascii="Tahoma" w:eastAsia="Tahoma" w:hAnsi="Tahoma"/>
          <w:color w:val="404042"/>
          <w:sz w:val="14"/>
        </w:rPr>
        <w:t xml:space="preserve">197 For VET programs at Certificate I level and above commenced in 2016, the projected completion rates were 41.7 per cent for inner regional, 41.1 per cent for outer regional, 37.6 per cent for remote, and 32.4 per cent for very remote, compared to 47.8 per cent in major cities. National Centre for Vocational Education Research, ‘Total VET students and courses’ statistical collection, </w:t>
      </w:r>
      <w:hyperlink r:id="rId287">
        <w:r>
          <w:rPr>
            <w:rFonts w:ascii="Tahoma" w:eastAsia="Tahoma" w:hAnsi="Tahoma"/>
            <w:color w:val="0000FF"/>
            <w:sz w:val="14"/>
            <w:u w:val="single"/>
          </w:rPr>
          <w:t>https://www.ncver.edu.au/research-and-statistics/collections/ students-and-courses-collection/total-vet-students-and-courses</w:t>
        </w:r>
      </w:hyperlink>
      <w:r>
        <w:rPr>
          <w:rFonts w:ascii="Tahoma" w:eastAsia="Tahoma" w:hAnsi="Tahoma"/>
          <w:color w:val="404042"/>
          <w:sz w:val="14"/>
        </w:rPr>
        <w:t>.</w:t>
      </w:r>
    </w:p>
    <w:p w14:paraId="1EDDC613" w14:textId="77777777" w:rsidR="009757A9" w:rsidRDefault="00083242">
      <w:pPr>
        <w:spacing w:before="30" w:line="171" w:lineRule="exact"/>
        <w:ind w:left="792"/>
        <w:textAlignment w:val="baseline"/>
        <w:rPr>
          <w:rFonts w:ascii="Tahoma" w:eastAsia="Tahoma" w:hAnsi="Tahoma"/>
          <w:color w:val="404042"/>
          <w:spacing w:val="2"/>
          <w:sz w:val="14"/>
        </w:rPr>
      </w:pPr>
      <w:r>
        <w:rPr>
          <w:rFonts w:ascii="Tahoma" w:eastAsia="Tahoma" w:hAnsi="Tahoma"/>
          <w:color w:val="404042"/>
          <w:spacing w:val="2"/>
          <w:sz w:val="14"/>
        </w:rPr>
        <w:t xml:space="preserve">198 Yea r13 (2020), </w:t>
      </w:r>
      <w:r>
        <w:rPr>
          <w:rFonts w:ascii="Tahoma" w:eastAsia="Tahoma" w:hAnsi="Tahoma"/>
          <w:i/>
          <w:color w:val="404042"/>
          <w:spacing w:val="2"/>
          <w:sz w:val="14"/>
        </w:rPr>
        <w:t>Regional and Rural Living Survey: Research results, findings and conclusions</w:t>
      </w:r>
      <w:r>
        <w:rPr>
          <w:rFonts w:ascii="Tahoma" w:eastAsia="Tahoma" w:hAnsi="Tahoma"/>
          <w:color w:val="404042"/>
          <w:spacing w:val="2"/>
          <w:sz w:val="14"/>
        </w:rPr>
        <w:t>, unpublished, p. 3.</w:t>
      </w:r>
    </w:p>
    <w:p w14:paraId="3D0483F8" w14:textId="77777777" w:rsidR="009757A9" w:rsidRDefault="00083242">
      <w:pPr>
        <w:spacing w:before="30" w:line="172" w:lineRule="exact"/>
        <w:ind w:left="792"/>
        <w:textAlignment w:val="baseline"/>
        <w:rPr>
          <w:rFonts w:ascii="Tahoma" w:eastAsia="Tahoma" w:hAnsi="Tahoma"/>
          <w:color w:val="404042"/>
          <w:spacing w:val="5"/>
          <w:sz w:val="14"/>
        </w:rPr>
      </w:pPr>
      <w:r>
        <w:rPr>
          <w:rFonts w:ascii="Tahoma" w:eastAsia="Tahoma" w:hAnsi="Tahoma"/>
          <w:color w:val="404042"/>
          <w:spacing w:val="5"/>
          <w:sz w:val="14"/>
        </w:rPr>
        <w:t>199 Regional Education Expert Advisory Group (2019).</w:t>
      </w:r>
    </w:p>
    <w:p w14:paraId="71479C5B" w14:textId="77777777" w:rsidR="009757A9" w:rsidRDefault="00083242">
      <w:pPr>
        <w:tabs>
          <w:tab w:val="left" w:pos="1368"/>
        </w:tabs>
        <w:spacing w:before="688" w:after="634" w:line="199" w:lineRule="exact"/>
        <w:ind w:left="792"/>
        <w:textAlignment w:val="baseline"/>
        <w:rPr>
          <w:rFonts w:ascii="Arial" w:eastAsia="Arial" w:hAnsi="Arial"/>
          <w:b/>
          <w:color w:val="5556A1"/>
          <w:spacing w:val="1"/>
          <w:sz w:val="19"/>
        </w:rPr>
      </w:pPr>
      <w:r>
        <w:rPr>
          <w:rFonts w:ascii="Arial" w:eastAsia="Arial" w:hAnsi="Arial"/>
          <w:b/>
          <w:color w:val="5556A1"/>
          <w:spacing w:val="1"/>
          <w:sz w:val="19"/>
        </w:rPr>
        <w:t>128</w:t>
      </w:r>
      <w:r>
        <w:rPr>
          <w:rFonts w:ascii="Tahoma" w:eastAsia="Tahoma" w:hAnsi="Tahoma"/>
          <w:color w:val="404042"/>
          <w:spacing w:val="1"/>
          <w:sz w:val="14"/>
        </w:rPr>
        <w:tab/>
        <w:t>Looking to the future</w:t>
      </w:r>
    </w:p>
    <w:p w14:paraId="63463209" w14:textId="77777777" w:rsidR="009757A9" w:rsidRDefault="00083242">
      <w:pPr>
        <w:textAlignment w:val="baseline"/>
      </w:pPr>
      <w:r>
        <w:rPr>
          <w:noProof/>
          <w:lang w:val="en-AU" w:eastAsia="en-AU"/>
        </w:rPr>
        <w:drawing>
          <wp:inline distT="0" distB="0" distL="0" distR="0" wp14:anchorId="7F7AE050" wp14:editId="27FC6296">
            <wp:extent cx="7562215" cy="462915"/>
            <wp:effectExtent l="0" t="0" r="0" b="0"/>
            <wp:docPr id="212" name="Picture"/>
            <wp:cNvGraphicFramePr/>
            <a:graphic xmlns:a="http://schemas.openxmlformats.org/drawingml/2006/main">
              <a:graphicData uri="http://schemas.openxmlformats.org/drawingml/2006/picture">
                <pic:pic xmlns:pic="http://schemas.openxmlformats.org/drawingml/2006/picture">
                  <pic:nvPicPr>
                    <pic:cNvPr id="212" name="Picture"/>
                    <pic:cNvPicPr preferRelativeResize="0"/>
                  </pic:nvPicPr>
                  <pic:blipFill>
                    <a:blip r:embed="rId72"/>
                    <a:stretch>
                      <a:fillRect/>
                    </a:stretch>
                  </pic:blipFill>
                  <pic:spPr>
                    <a:xfrm>
                      <a:off x="0" y="0"/>
                      <a:ext cx="7562215" cy="462915"/>
                    </a:xfrm>
                    <a:prstGeom prst="rect">
                      <a:avLst/>
                    </a:prstGeom>
                  </pic:spPr>
                </pic:pic>
              </a:graphicData>
            </a:graphic>
          </wp:inline>
        </w:drawing>
      </w:r>
    </w:p>
    <w:p w14:paraId="16FA8187" w14:textId="77777777" w:rsidR="009757A9" w:rsidRDefault="009757A9">
      <w:pPr>
        <w:sectPr w:rsidR="009757A9">
          <w:pgSz w:w="11909" w:h="16838"/>
          <w:pgMar w:top="1080" w:right="0" w:bottom="0" w:left="0" w:header="720" w:footer="720" w:gutter="0"/>
          <w:cols w:space="720"/>
        </w:sectPr>
      </w:pPr>
    </w:p>
    <w:p w14:paraId="2347CDFE" w14:textId="77777777" w:rsidR="009757A9" w:rsidRDefault="00083242">
      <w:pPr>
        <w:spacing w:before="24" w:line="242" w:lineRule="exact"/>
        <w:ind w:left="864"/>
        <w:textAlignment w:val="baseline"/>
        <w:rPr>
          <w:rFonts w:ascii="Arial" w:eastAsia="Arial" w:hAnsi="Arial"/>
          <w:b/>
          <w:color w:val="000000"/>
          <w:spacing w:val="1"/>
          <w:sz w:val="21"/>
        </w:rPr>
      </w:pPr>
      <w:r>
        <w:rPr>
          <w:rFonts w:ascii="Arial" w:eastAsia="Arial" w:hAnsi="Arial"/>
          <w:b/>
          <w:color w:val="000000"/>
          <w:spacing w:val="1"/>
          <w:sz w:val="21"/>
        </w:rPr>
        <w:lastRenderedPageBreak/>
        <w:t>Students with disability</w:t>
      </w:r>
    </w:p>
    <w:p w14:paraId="14B65AB9" w14:textId="77777777" w:rsidR="009757A9" w:rsidRDefault="00083242">
      <w:pPr>
        <w:spacing w:before="161" w:line="240" w:lineRule="exact"/>
        <w:ind w:left="864" w:right="1008"/>
        <w:textAlignment w:val="baseline"/>
        <w:rPr>
          <w:rFonts w:ascii="Tahoma" w:eastAsia="Tahoma" w:hAnsi="Tahoma"/>
          <w:color w:val="404042"/>
          <w:sz w:val="18"/>
        </w:rPr>
      </w:pPr>
      <w:r>
        <w:rPr>
          <w:rFonts w:ascii="Tahoma" w:eastAsia="Tahoma" w:hAnsi="Tahoma"/>
          <w:color w:val="404042"/>
          <w:sz w:val="18"/>
        </w:rPr>
        <w:t>Systemic and structural factors can inhibit the participation of young people with disability in senior secondary schooling. People with disability have a higher probability of leaving school early, and experience fewer opportunities to engage in education overall:</w:t>
      </w:r>
    </w:p>
    <w:p w14:paraId="32C32FB1" w14:textId="77777777" w:rsidR="009757A9" w:rsidRDefault="00083242">
      <w:pPr>
        <w:numPr>
          <w:ilvl w:val="0"/>
          <w:numId w:val="6"/>
        </w:numPr>
        <w:tabs>
          <w:tab w:val="clear" w:pos="216"/>
          <w:tab w:val="left" w:pos="1080"/>
        </w:tabs>
        <w:spacing w:before="92" w:line="235" w:lineRule="exact"/>
        <w:ind w:left="1080" w:right="1152" w:hanging="216"/>
        <w:textAlignment w:val="baseline"/>
        <w:rPr>
          <w:rFonts w:ascii="Tahoma" w:eastAsia="Tahoma" w:hAnsi="Tahoma"/>
          <w:color w:val="404042"/>
          <w:sz w:val="18"/>
        </w:rPr>
      </w:pPr>
      <w:r>
        <w:rPr>
          <w:rFonts w:ascii="Tahoma" w:eastAsia="Tahoma" w:hAnsi="Tahoma"/>
          <w:color w:val="404042"/>
          <w:sz w:val="18"/>
        </w:rPr>
        <w:t>Among people aged 20 to 24, 64 per cent of people with disability had completed Year 12 or equivalent, compared with 81 per cent of those without disability.</w:t>
      </w:r>
      <w:r>
        <w:rPr>
          <w:rFonts w:ascii="Tahoma" w:eastAsia="Tahoma" w:hAnsi="Tahoma"/>
          <w:color w:val="404042"/>
          <w:sz w:val="18"/>
          <w:vertAlign w:val="superscript"/>
        </w:rPr>
        <w:t>200</w:t>
      </w:r>
      <w:r>
        <w:rPr>
          <w:rFonts w:ascii="Tahoma" w:eastAsia="Tahoma" w:hAnsi="Tahoma"/>
          <w:color w:val="404042"/>
          <w:sz w:val="10"/>
        </w:rPr>
        <w:t xml:space="preserve"> </w:t>
      </w:r>
    </w:p>
    <w:p w14:paraId="050973E5" w14:textId="77777777" w:rsidR="009757A9" w:rsidRDefault="00083242">
      <w:pPr>
        <w:numPr>
          <w:ilvl w:val="0"/>
          <w:numId w:val="6"/>
        </w:numPr>
        <w:tabs>
          <w:tab w:val="clear" w:pos="216"/>
          <w:tab w:val="left" w:pos="1080"/>
        </w:tabs>
        <w:spacing w:before="86" w:line="240" w:lineRule="exact"/>
        <w:ind w:left="1080" w:right="1152" w:hanging="216"/>
        <w:textAlignment w:val="baseline"/>
        <w:rPr>
          <w:rFonts w:ascii="Tahoma" w:eastAsia="Tahoma" w:hAnsi="Tahoma"/>
          <w:color w:val="404042"/>
          <w:sz w:val="18"/>
        </w:rPr>
      </w:pPr>
      <w:r>
        <w:rPr>
          <w:rFonts w:ascii="Tahoma" w:eastAsia="Tahoma" w:hAnsi="Tahoma"/>
          <w:color w:val="404042"/>
          <w:sz w:val="18"/>
        </w:rPr>
        <w:t>19 per cent of people with disability aged 15 to 64 left school before 16 years of age, compared with 11 per cent of people without disability.</w:t>
      </w:r>
    </w:p>
    <w:p w14:paraId="56AFBC75" w14:textId="77777777" w:rsidR="009757A9" w:rsidRDefault="00083242">
      <w:pPr>
        <w:numPr>
          <w:ilvl w:val="0"/>
          <w:numId w:val="6"/>
        </w:numPr>
        <w:tabs>
          <w:tab w:val="clear" w:pos="216"/>
          <w:tab w:val="left" w:pos="1080"/>
        </w:tabs>
        <w:spacing w:before="101" w:line="233" w:lineRule="exact"/>
        <w:ind w:left="1080" w:right="1008" w:hanging="216"/>
        <w:textAlignment w:val="baseline"/>
        <w:rPr>
          <w:rFonts w:ascii="Tahoma" w:eastAsia="Tahoma" w:hAnsi="Tahoma"/>
          <w:color w:val="404042"/>
          <w:sz w:val="18"/>
        </w:rPr>
      </w:pPr>
      <w:r>
        <w:rPr>
          <w:rFonts w:ascii="Tahoma" w:eastAsia="Tahoma" w:hAnsi="Tahoma"/>
          <w:color w:val="404042"/>
          <w:sz w:val="18"/>
        </w:rPr>
        <w:t>15 per cent of people with disability aged 20 and over have a bachelor degree or higher, compared with 31 per cent of people without disability.</w:t>
      </w:r>
      <w:r>
        <w:rPr>
          <w:rFonts w:ascii="Tahoma" w:eastAsia="Tahoma" w:hAnsi="Tahoma"/>
          <w:color w:val="404042"/>
          <w:sz w:val="18"/>
          <w:vertAlign w:val="superscript"/>
        </w:rPr>
        <w:t>201</w:t>
      </w:r>
      <w:r>
        <w:rPr>
          <w:rFonts w:ascii="Tahoma" w:eastAsia="Tahoma" w:hAnsi="Tahoma"/>
          <w:color w:val="404042"/>
          <w:sz w:val="10"/>
        </w:rPr>
        <w:t xml:space="preserve"> </w:t>
      </w:r>
    </w:p>
    <w:p w14:paraId="2EDDAB0C" w14:textId="77777777" w:rsidR="009757A9" w:rsidRDefault="00083242">
      <w:pPr>
        <w:spacing w:before="188"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This has a profound detrimental effect on the proportion of students with disability who can succeed in the labour</w:t>
      </w:r>
    </w:p>
    <w:p w14:paraId="08F7BD56" w14:textId="77777777" w:rsidR="009757A9" w:rsidRDefault="00083242">
      <w:pPr>
        <w:spacing w:line="240" w:lineRule="exact"/>
        <w:ind w:left="864" w:right="936"/>
        <w:textAlignment w:val="baseline"/>
        <w:rPr>
          <w:rFonts w:ascii="Tahoma" w:eastAsia="Tahoma" w:hAnsi="Tahoma"/>
          <w:color w:val="404042"/>
          <w:sz w:val="18"/>
        </w:rPr>
      </w:pPr>
      <w:r>
        <w:rPr>
          <w:rFonts w:ascii="Tahoma" w:eastAsia="Tahoma" w:hAnsi="Tahoma"/>
          <w:color w:val="404042"/>
          <w:sz w:val="18"/>
        </w:rPr>
        <w:t>market. The Australian Bureau of Statistics reported in 2018 that, of the working age population (people aged between 15 and 64 years):</w:t>
      </w:r>
    </w:p>
    <w:p w14:paraId="232734C8" w14:textId="77777777" w:rsidR="009757A9" w:rsidRDefault="00083242">
      <w:pPr>
        <w:numPr>
          <w:ilvl w:val="0"/>
          <w:numId w:val="6"/>
        </w:numPr>
        <w:tabs>
          <w:tab w:val="clear" w:pos="216"/>
          <w:tab w:val="left" w:pos="1080"/>
        </w:tabs>
        <w:spacing w:before="86" w:line="240" w:lineRule="exact"/>
        <w:ind w:left="1080" w:right="864" w:hanging="216"/>
        <w:textAlignment w:val="baseline"/>
        <w:rPr>
          <w:rFonts w:ascii="Tahoma" w:eastAsia="Tahoma" w:hAnsi="Tahoma"/>
          <w:color w:val="404042"/>
          <w:spacing w:val="5"/>
          <w:sz w:val="18"/>
        </w:rPr>
      </w:pPr>
      <w:r>
        <w:rPr>
          <w:rFonts w:ascii="Tahoma" w:eastAsia="Tahoma" w:hAnsi="Tahoma"/>
          <w:color w:val="404042"/>
          <w:spacing w:val="5"/>
          <w:sz w:val="18"/>
        </w:rPr>
        <w:t>just 53 per cent of people with disability participated in the labour force, compared with 84 per cent of those without disability</w:t>
      </w:r>
    </w:p>
    <w:p w14:paraId="32209A66" w14:textId="77777777" w:rsidR="009757A9" w:rsidRDefault="00083242">
      <w:pPr>
        <w:numPr>
          <w:ilvl w:val="0"/>
          <w:numId w:val="6"/>
        </w:numPr>
        <w:tabs>
          <w:tab w:val="clear" w:pos="216"/>
          <w:tab w:val="left" w:pos="1080"/>
        </w:tabs>
        <w:spacing w:before="86" w:line="240" w:lineRule="exact"/>
        <w:ind w:left="1080" w:right="1296" w:hanging="216"/>
        <w:textAlignment w:val="baseline"/>
        <w:rPr>
          <w:rFonts w:ascii="Tahoma" w:eastAsia="Tahoma" w:hAnsi="Tahoma"/>
          <w:color w:val="404042"/>
          <w:sz w:val="18"/>
        </w:rPr>
      </w:pPr>
      <w:r>
        <w:rPr>
          <w:rFonts w:ascii="Tahoma" w:eastAsia="Tahoma" w:hAnsi="Tahoma"/>
          <w:color w:val="404042"/>
          <w:sz w:val="18"/>
        </w:rPr>
        <w:t>the unemployment rate for people with disability was 10 per cent, compared with a rate of 5 per cent for people without disability</w:t>
      </w:r>
    </w:p>
    <w:p w14:paraId="27D0084F" w14:textId="77777777" w:rsidR="009757A9" w:rsidRDefault="00083242">
      <w:pPr>
        <w:numPr>
          <w:ilvl w:val="0"/>
          <w:numId w:val="6"/>
        </w:numPr>
        <w:tabs>
          <w:tab w:val="clear" w:pos="216"/>
          <w:tab w:val="left" w:pos="1080"/>
        </w:tabs>
        <w:spacing w:before="99" w:line="223" w:lineRule="exact"/>
        <w:ind w:left="1080" w:hanging="216"/>
        <w:textAlignment w:val="baseline"/>
        <w:rPr>
          <w:rFonts w:ascii="Tahoma" w:eastAsia="Tahoma" w:hAnsi="Tahoma"/>
          <w:color w:val="404042"/>
          <w:spacing w:val="4"/>
          <w:sz w:val="18"/>
        </w:rPr>
      </w:pPr>
      <w:r>
        <w:rPr>
          <w:rFonts w:ascii="Tahoma" w:eastAsia="Tahoma" w:hAnsi="Tahoma"/>
          <w:color w:val="404042"/>
          <w:spacing w:val="4"/>
          <w:sz w:val="18"/>
        </w:rPr>
        <w:t>only 24 per cent of people with disability worked full time, compared with 55 per cent of those without disability.</w:t>
      </w:r>
      <w:r>
        <w:rPr>
          <w:rFonts w:ascii="Tahoma" w:eastAsia="Tahoma" w:hAnsi="Tahoma"/>
          <w:color w:val="404042"/>
          <w:spacing w:val="4"/>
          <w:sz w:val="18"/>
          <w:vertAlign w:val="superscript"/>
        </w:rPr>
        <w:t>202</w:t>
      </w:r>
      <w:r>
        <w:rPr>
          <w:rFonts w:ascii="Tahoma" w:eastAsia="Tahoma" w:hAnsi="Tahoma"/>
          <w:color w:val="404042"/>
          <w:spacing w:val="4"/>
          <w:sz w:val="10"/>
        </w:rPr>
        <w:t xml:space="preserve"> </w:t>
      </w:r>
    </w:p>
    <w:p w14:paraId="72DB7C96" w14:textId="77777777" w:rsidR="009757A9" w:rsidRDefault="00083242">
      <w:pPr>
        <w:spacing w:before="181" w:after="537" w:line="238"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Interventions to support senior secondary students with disability are essential not only at school, but beyond the classroom. An analysis of longitudinal data collected on 12,000 students with disability found that the most important elements predicting employment outcomes for students with disability were employment experiences in high school, and parental expectations of post–high school employment.</w:t>
      </w:r>
      <w:r>
        <w:rPr>
          <w:rFonts w:ascii="Tahoma" w:eastAsia="Tahoma" w:hAnsi="Tahoma"/>
          <w:color w:val="404042"/>
          <w:spacing w:val="5"/>
          <w:sz w:val="18"/>
          <w:vertAlign w:val="superscript"/>
        </w:rPr>
        <w:t>203</w:t>
      </w:r>
      <w:r>
        <w:rPr>
          <w:rFonts w:ascii="Tahoma" w:eastAsia="Tahoma" w:hAnsi="Tahoma"/>
          <w:color w:val="404042"/>
          <w:spacing w:val="5"/>
          <w:sz w:val="10"/>
        </w:rPr>
        <w:t xml:space="preserve"> </w:t>
      </w:r>
    </w:p>
    <w:p w14:paraId="6947880A" w14:textId="77777777" w:rsidR="009757A9" w:rsidRDefault="000D2E34">
      <w:pPr>
        <w:spacing w:before="104" w:line="300" w:lineRule="exact"/>
        <w:ind w:left="1296" w:right="1800"/>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85408" behindDoc="0" locked="0" layoutInCell="1" allowOverlap="1" wp14:anchorId="185EE258" wp14:editId="0B1E193F">
                <wp:simplePos x="0" y="0"/>
                <wp:positionH relativeFrom="page">
                  <wp:posOffset>826135</wp:posOffset>
                </wp:positionH>
                <wp:positionV relativeFrom="page">
                  <wp:posOffset>5050790</wp:posOffset>
                </wp:positionV>
                <wp:extent cx="5907405" cy="0"/>
                <wp:effectExtent l="0" t="0" r="0" b="0"/>
                <wp:wrapNone/>
                <wp:docPr id="411"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C0C5C" id="Line 132" o:spid="_x0000_s1026" style="position:absolute;z-index:25198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97.7pt" to="530.2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h0QEAAIYDAAAOAAAAZHJzL2Uyb0RvYy54bWysU01v2zAMvQ/YfxB0X2ynSbsYcXpI1l2y&#10;LUDbH8BIsi1MEgVJiZ1/P0n5WLfehl0ESiQfHx+p5eOoFTkK5yWahlaTkhJhGHJpuoa+vjx9+kyJ&#10;D2A4KDSioSfh6ePq44flYGsxxR4VF45EEOPrwTa0D8HWReFZLzT4CVphorNFpyHEq+sK7mCI6FoV&#10;07K8LwZ03Dpkwvv4ujk76Srjt61g4UfbehGIamjkFvLp8rlPZ7FaQt05sL1kFxrwDyw0SBOL3qA2&#10;EIAcnHwHpSVz6LENE4a6wLaVTOQeYjdV+Vc3zz1YkXuJ4nh7k8n/P1j2/bhzRPKGzqqKEgM6Dmkr&#10;jSDV3TSpM1hfx6C12bnUHxvNs90i++mJwXUPphOZ5cvJxsQqZRR/pKSLt7HGfviGPMbAIWCWamyd&#10;TpBRBDLmiZxuExFjICw+zhflw6ycU8KuvgLqa6J1PnwVqEkyGqoi6wwMx60PiQjU15BUx+CTVCoP&#10;XBkyNPT+bl7mBI9K8uRMYd51+7Vy5AhpZcqHxWKWu4qet2EJeQO+P8dl13mZHB4Mz1V6AfzLxQ4g&#10;1dmOrJS5qJSEOUu8R37auat6cdiZ/mUx0za9vefs399n9QsAAP//AwBQSwMEFAAGAAgAAAAhANpd&#10;gZ3cAAAADAEAAA8AAABkcnMvZG93bnJldi54bWxMj0FPwzAMhe9I/IfISNxYMmADStMJDe20C9uQ&#10;uHqNaQuNUzVZ1/17PAkJbn720/P38sXoWzVQH5vAFqYTA4q4DK7hysL7bnXzCComZIdtYLJwogiL&#10;4vIix8yFI29o2KZKSQjHDC3UKXWZ1rGsyWOchI5Ybp+h95hE9pV2PR4l3Lf61pi59tiwfKixo2VN&#10;5ff24C2s0Oze3HodvuLH7LTEpN0rDdZeX40vz6ASjenPDGd8QYdCmPbhwC6qVvSdmYrVwsPT7B7U&#10;2WHmRqb970oXuf5fovgBAAD//wMAUEsBAi0AFAAGAAgAAAAhALaDOJL+AAAA4QEAABMAAAAAAAAA&#10;AAAAAAAAAAAAAFtDb250ZW50X1R5cGVzXS54bWxQSwECLQAUAAYACAAAACEAOP0h/9YAAACUAQAA&#10;CwAAAAAAAAAAAAAAAAAvAQAAX3JlbHMvLnJlbHNQSwECLQAUAAYACAAAACEAP4qyIdEBAACGAwAA&#10;DgAAAAAAAAAAAAAAAAAuAgAAZHJzL2Uyb0RvYy54bWxQSwECLQAUAAYACAAAACEA2l2Bnd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sz w:val="21"/>
        </w:rPr>
        <w:t xml:space="preserve">“Interventions at the tail end of high school may be too late for those who need support the </w:t>
      </w:r>
      <w:r w:rsidR="00083242">
        <w:rPr>
          <w:rFonts w:ascii="Arial" w:eastAsia="Arial" w:hAnsi="Arial"/>
          <w:i/>
          <w:color w:val="007994"/>
          <w:sz w:val="21"/>
        </w:rPr>
        <w:t xml:space="preserve">most... These students may not have sufficient access to resources, networks and supports to </w:t>
      </w:r>
      <w:r w:rsidR="00083242">
        <w:rPr>
          <w:rFonts w:ascii="Tahoma" w:eastAsia="Tahoma" w:hAnsi="Tahoma"/>
          <w:i/>
          <w:color w:val="007994"/>
          <w:sz w:val="21"/>
        </w:rPr>
        <w:t>draw upon to successfully navigate pathways into and through school and post-school.”</w:t>
      </w:r>
    </w:p>
    <w:p w14:paraId="783AEA14" w14:textId="77777777" w:rsidR="009757A9" w:rsidRDefault="00083242">
      <w:pPr>
        <w:spacing w:before="51" w:after="225" w:line="247" w:lineRule="exact"/>
        <w:ind w:left="6264"/>
        <w:textAlignment w:val="baseline"/>
        <w:rPr>
          <w:rFonts w:ascii="Tahoma" w:eastAsia="Tahoma" w:hAnsi="Tahoma"/>
          <w:i/>
          <w:color w:val="007994"/>
          <w:spacing w:val="1"/>
          <w:sz w:val="21"/>
        </w:rPr>
      </w:pPr>
      <w:r>
        <w:rPr>
          <w:rFonts w:ascii="Tahoma" w:eastAsia="Tahoma" w:hAnsi="Tahoma"/>
          <w:i/>
          <w:color w:val="007994"/>
          <w:spacing w:val="1"/>
          <w:sz w:val="21"/>
        </w:rPr>
        <w:t>Victorian Council of Social Service submission</w:t>
      </w:r>
    </w:p>
    <w:p w14:paraId="07330A8A" w14:textId="77777777" w:rsidR="009757A9" w:rsidRDefault="000D2E34">
      <w:pPr>
        <w:spacing w:before="419" w:line="240" w:lineRule="exact"/>
        <w:ind w:left="864" w:right="1080"/>
        <w:textAlignment w:val="baseline"/>
        <w:rPr>
          <w:rFonts w:ascii="Tahoma" w:eastAsia="Tahoma" w:hAnsi="Tahoma"/>
          <w:color w:val="404042"/>
          <w:spacing w:val="6"/>
          <w:sz w:val="18"/>
        </w:rPr>
      </w:pPr>
      <w:r>
        <w:rPr>
          <w:noProof/>
          <w:lang w:val="en-AU" w:eastAsia="en-AU"/>
        </w:rPr>
        <mc:AlternateContent>
          <mc:Choice Requires="wps">
            <w:drawing>
              <wp:anchor distT="0" distB="0" distL="114300" distR="114300" simplePos="0" relativeHeight="251986432" behindDoc="0" locked="0" layoutInCell="1" allowOverlap="1" wp14:anchorId="1CBB401C" wp14:editId="56972AD1">
                <wp:simplePos x="0" y="0"/>
                <wp:positionH relativeFrom="page">
                  <wp:posOffset>826135</wp:posOffset>
                </wp:positionH>
                <wp:positionV relativeFrom="page">
                  <wp:posOffset>6022975</wp:posOffset>
                </wp:positionV>
                <wp:extent cx="5907405" cy="0"/>
                <wp:effectExtent l="0" t="0" r="0" b="0"/>
                <wp:wrapNone/>
                <wp:docPr id="41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C548D" id="Line 131" o:spid="_x0000_s1026" style="position:absolute;z-index:25198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74.25pt" to="530.2pt,4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6e0QEAAIYDAAAOAAAAZHJzL2Uyb0RvYy54bWysU8Fu2zAMvQ/YPwi6L3bapF2MOD0k6y7Z&#10;FqDdBzCSHAuTRUFSYufvR8lJtm63YRdBIh8fyUdq+TR0hp2UDxptzaeTkjNlBUptDzX//vr84SNn&#10;IYKVYNCqmp9V4E+r9++WvavUHbZopPKMSGyoelfzNkZXFUUQreogTNApS84GfQeRnv5QSA89sXem&#10;uCvLh6JHL51HoUIg62Z08lXmbxol4remCSoyU3OqLebT53OfzmK1hOrgwbVaXMqAf6iiA20p6Y1q&#10;AxHY0eu/qDotPAZs4kRgV2DTaKFyD9TNtPyjm5cWnMq9kDjB3WQK/49WfD3tPNOy5rMp6WOhoyFt&#10;tVVsej9N6vQuVARa251P/YnBvrgtih+BWVy3YA8qV/l6dhSYI4o3IekRHOXY919QEgaOEbNUQ+O7&#10;REkisCFP5HybiBoiE2ScL8rHWTnnTFx9BVTXQOdD/KywY+lSc0NVZ2I4bUOk0gl6haQ8Fp+1MXng&#10;xrK+5g/38zIHBDRaJmeCBX/Yr41nJ0grUz4uFrOkA5G9gSXmDYR2xGXXuEwej1bmLK0C+elyj6DN&#10;eCciY4nvKswo8R7leedTnmSnYeeMl8VM2/T7O6N+fZ/VTwAAAP//AwBQSwMEFAAGAAgAAAAhALcF&#10;8pHcAAAADAEAAA8AAABkcnMvZG93bnJldi54bWxMj8FOwzAMhu9IvENkJG4sGWzTKE0nNLTTLrAh&#10;cfUa0xYap2qyrnt7PAkJjr/96ffnfDX6Vg3UxyawhenEgCIug2u4svC+39wtQcWE7LANTBbOFGFV&#10;XF/lmLlw4jcadqlSUsIxQwt1Sl2mdSxr8hgnoSOW3WfoPSaJfaVdjycp962+N2ahPTYsF2rsaF1T&#10;+b07egsbNPtXt92Gr/gxP68xafdCg7W3N+PzE6hEY/qD4aIv6lCI0yEc2UXVSn4wU0EtPM6Wc1AX&#10;wizMDNThd6SLXP9/ovgBAAD//wMAUEsBAi0AFAAGAAgAAAAhALaDOJL+AAAA4QEAABMAAAAAAAAA&#10;AAAAAAAAAAAAAFtDb250ZW50X1R5cGVzXS54bWxQSwECLQAUAAYACAAAACEAOP0h/9YAAACUAQAA&#10;CwAAAAAAAAAAAAAAAAAvAQAAX3JlbHMvLnJlbHNQSwECLQAUAAYACAAAACEA/ZZ+ntEBAACGAwAA&#10;DgAAAAAAAAAAAAAAAAAuAgAAZHJzL2Uyb0RvYy54bWxQSwECLQAUAAYACAAAACEAtwXykd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pacing w:val="6"/>
          <w:sz w:val="18"/>
        </w:rPr>
        <w:t>Submissions to the Panel also emphasised the importance of successful post-school transition support. This includes student-focused planning, student development, interagency and interdisciplinary collaboration, and family involvement. There was strong support for individual postschool transition plans for students with disability.</w:t>
      </w:r>
    </w:p>
    <w:p w14:paraId="4C27FA9E" w14:textId="77777777" w:rsidR="009757A9" w:rsidRDefault="00083242">
      <w:pPr>
        <w:spacing w:before="173" w:after="686" w:line="239" w:lineRule="exact"/>
        <w:ind w:left="864" w:right="1224"/>
        <w:textAlignment w:val="baseline"/>
        <w:rPr>
          <w:rFonts w:ascii="Tahoma" w:eastAsia="Tahoma" w:hAnsi="Tahoma"/>
          <w:color w:val="404042"/>
          <w:spacing w:val="5"/>
          <w:sz w:val="18"/>
        </w:rPr>
      </w:pPr>
      <w:r>
        <w:rPr>
          <w:rFonts w:ascii="Tahoma" w:eastAsia="Tahoma" w:hAnsi="Tahoma"/>
          <w:color w:val="404042"/>
          <w:spacing w:val="5"/>
          <w:sz w:val="18"/>
        </w:rPr>
        <w:t>There are already a number of existing programs providing support for post-school transition for students with disability. The National Disability Coordination Officer Program builds links and coordinates services to smooth the post-school transition for students with disability into work, further education or training. It funds provider organisations to employ a network of coordination officers, who work with stakeholders at the local level to reduce systemic barriers to participation in education and employment for people with disability.</w:t>
      </w:r>
      <w:r>
        <w:rPr>
          <w:rFonts w:ascii="Tahoma" w:eastAsia="Tahoma" w:hAnsi="Tahoma"/>
          <w:color w:val="404042"/>
          <w:spacing w:val="5"/>
          <w:sz w:val="18"/>
          <w:vertAlign w:val="superscript"/>
        </w:rPr>
        <w:t>204</w:t>
      </w:r>
      <w:r>
        <w:rPr>
          <w:rFonts w:ascii="Tahoma" w:eastAsia="Tahoma" w:hAnsi="Tahoma"/>
          <w:color w:val="404042"/>
          <w:spacing w:val="5"/>
          <w:sz w:val="10"/>
        </w:rPr>
        <w:t xml:space="preserve"> </w:t>
      </w:r>
    </w:p>
    <w:p w14:paraId="34C658DD" w14:textId="77777777" w:rsidR="009757A9" w:rsidRDefault="000D2E34">
      <w:pPr>
        <w:spacing w:before="54" w:line="197" w:lineRule="exact"/>
        <w:ind w:left="1080" w:right="936"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87456" behindDoc="0" locked="0" layoutInCell="1" allowOverlap="1" wp14:anchorId="00527A0F" wp14:editId="772134AA">
                <wp:simplePos x="0" y="0"/>
                <wp:positionH relativeFrom="page">
                  <wp:posOffset>539750</wp:posOffset>
                </wp:positionH>
                <wp:positionV relativeFrom="page">
                  <wp:posOffset>8055610</wp:posOffset>
                </wp:positionV>
                <wp:extent cx="917575" cy="0"/>
                <wp:effectExtent l="0" t="0" r="0" b="0"/>
                <wp:wrapNone/>
                <wp:docPr id="40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E2719" id="Line 130" o:spid="_x0000_s1026" style="position:absolute;z-index:25198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34.3pt" to="114.75pt,6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VlzwEAAIYDAAAOAAAAZHJzL2Uyb0RvYy54bWysU02T0zAMvTPDf/D4TpMUustmmu6hZbkU&#10;6MwuP0C1ncSDY3lst0n/PbL7wQI3hhw8liU9PT0py8dpMOyofNBoG17NSs6UFSi17Rr+/eXp3UfO&#10;QgQrwaBVDT+pwB9Xb98sR1erOfZopPKMQGyoR9fwPkZXF0UQvRogzNApS84W/QCRTN8V0sNI6IMp&#10;5mV5V4zopfMoVAj0ujk7+Srjt60S8VvbBhWZaThxi/n0+dyns1gtoe48uF6LCw34BxYDaEtFb1Ab&#10;iMAOXv8FNWjhMWAbZwKHAttWC5V7oG6q8o9unntwKvdC4gR3kyn8P1jx9bjzTMuGfygfOLMw0JC2&#10;2ipWvc/qjC7UFLS2O5/6E5N9dlsUPwKzuO7BdiqzfDk5SqySnsVvKckIjmrsxy8oKQYOEbNUU+uH&#10;BEkisClP5HSbiJoiE/T4UN0v7heciaurgPqa53yInxUOLF0aboh0xoXjNsTEA+prSCpj8Ukbk+dt&#10;LBuJ7Ly8W+SMgEbL5E1xwXf7tfHsCGll8pe7Is/rsAS9gdCf47LrvEweD1bmMr0C+elyj6DN+U60&#10;jL2olIRJqxrqPcrTzl/Vo2Fn/pfFTNv02s7Zv36f1U8AAAD//wMAUEsDBBQABgAIAAAAIQD9OHLf&#10;3wAAAAwBAAAPAAAAZHJzL2Rvd25yZXYueG1sTI/BTsMwEETvSPyDtZW4IOoQtZEJcSpUCW4gaEH0&#10;6MbbJCJeR7HbhL9nOSB63NnRzJtiNblOnHAIrScNt/MEBFLlbUu1hvft440CEaIhazpPqOEbA6zK&#10;y4vC5NaP9IanTawFh1DIjYYmxj6XMlQNOhPmvkfi38EPzkQ+h1rawYwc7jqZJkkmnWmJGxrT47rB&#10;6mtzdBqkTNRi+vgcnxfXQbW7db17ennV+mo2PdyDiDjFfzP84jM6lMy090eyQXQa1JKnRNbTTGUg&#10;2JGmd0sQ+z9JloU8H1H+AAAA//8DAFBLAQItABQABgAIAAAAIQC2gziS/gAAAOEBAAATAAAAAAAA&#10;AAAAAAAAAAAAAABbQ29udGVudF9UeXBlc10ueG1sUEsBAi0AFAAGAAgAAAAhADj9If/WAAAAlAEA&#10;AAsAAAAAAAAAAAAAAAAALwEAAF9yZWxzLy5yZWxzUEsBAi0AFAAGAAgAAAAhAK1LZWXPAQAAhgMA&#10;AA4AAAAAAAAAAAAAAAAALgIAAGRycy9lMm9Eb2MueG1sUEsBAi0AFAAGAAgAAAAhAP04ct/fAAAA&#10;DAEAAA8AAAAAAAAAAAAAAAAAKQQAAGRycy9kb3ducmV2LnhtbFBLBQYAAAAABAAEAPMAAAA1BQAA&#10;AAA=&#10;" strokeweight=".95pt">
                <w10:wrap anchorx="page" anchory="page"/>
              </v:line>
            </w:pict>
          </mc:Fallback>
        </mc:AlternateContent>
      </w:r>
      <w:r w:rsidR="00083242">
        <w:rPr>
          <w:rFonts w:ascii="Tahoma" w:eastAsia="Tahoma" w:hAnsi="Tahoma"/>
          <w:color w:val="404042"/>
          <w:sz w:val="14"/>
        </w:rPr>
        <w:t xml:space="preserve">200 Australian Institute of Health and Welfare (2017), ‘Disability in Australia: Changes over time in inclusion and participation in education’, fact sheet, cat. no. DIS 69, p. 4, </w:t>
      </w:r>
      <w:hyperlink r:id="rId288">
        <w:r w:rsidR="00083242">
          <w:rPr>
            <w:rFonts w:ascii="Tahoma" w:eastAsia="Tahoma" w:hAnsi="Tahoma"/>
            <w:color w:val="0000FF"/>
            <w:sz w:val="14"/>
            <w:u w:val="single"/>
          </w:rPr>
          <w:t>https://www.aihw.gov.au/getmedia/34f09557-0acf-4adf-837d-eada7b74d466/Education-20905.pdf.aspx</w:t>
        </w:r>
      </w:hyperlink>
      <w:r w:rsidR="00083242">
        <w:rPr>
          <w:rFonts w:ascii="Tahoma" w:eastAsia="Tahoma" w:hAnsi="Tahoma"/>
          <w:color w:val="404042"/>
          <w:sz w:val="14"/>
        </w:rPr>
        <w:t>.</w:t>
      </w:r>
    </w:p>
    <w:p w14:paraId="384BEB7B" w14:textId="77777777" w:rsidR="009757A9" w:rsidRDefault="00083242">
      <w:pPr>
        <w:spacing w:before="30" w:line="172" w:lineRule="exact"/>
        <w:ind w:left="864"/>
        <w:textAlignment w:val="baseline"/>
        <w:rPr>
          <w:rFonts w:ascii="Tahoma" w:eastAsia="Tahoma" w:hAnsi="Tahoma"/>
          <w:color w:val="404042"/>
          <w:spacing w:val="4"/>
          <w:sz w:val="14"/>
        </w:rPr>
      </w:pPr>
      <w:r>
        <w:rPr>
          <w:rFonts w:ascii="Tahoma" w:eastAsia="Tahoma" w:hAnsi="Tahoma"/>
          <w:color w:val="404042"/>
          <w:spacing w:val="4"/>
          <w:sz w:val="14"/>
        </w:rPr>
        <w:t>201 Australian Institute of Health and Welfare (2019a), p. 16.</w:t>
      </w:r>
    </w:p>
    <w:p w14:paraId="53959550" w14:textId="77777777" w:rsidR="009757A9" w:rsidRDefault="00083242">
      <w:pPr>
        <w:spacing w:before="1" w:line="197" w:lineRule="exact"/>
        <w:ind w:left="1080" w:right="1008" w:hanging="216"/>
        <w:jc w:val="both"/>
        <w:textAlignment w:val="baseline"/>
        <w:rPr>
          <w:rFonts w:ascii="Tahoma" w:eastAsia="Tahoma" w:hAnsi="Tahoma"/>
          <w:color w:val="404042"/>
          <w:sz w:val="14"/>
        </w:rPr>
      </w:pPr>
      <w:r>
        <w:rPr>
          <w:rFonts w:ascii="Tahoma" w:eastAsia="Tahoma" w:hAnsi="Tahoma"/>
          <w:color w:val="404042"/>
          <w:sz w:val="14"/>
        </w:rPr>
        <w:t xml:space="preserve">202 Australian Bureau of Statistics (2019a), </w:t>
      </w:r>
      <w:r>
        <w:rPr>
          <w:rFonts w:ascii="Arial" w:eastAsia="Arial" w:hAnsi="Arial"/>
          <w:i/>
          <w:color w:val="404042"/>
          <w:sz w:val="15"/>
        </w:rPr>
        <w:t>Disability, Ageing and Carers, Australia: Summary of findings, 2018</w:t>
      </w:r>
      <w:r>
        <w:rPr>
          <w:rFonts w:ascii="Tahoma" w:eastAsia="Tahoma" w:hAnsi="Tahoma"/>
          <w:color w:val="404042"/>
          <w:sz w:val="14"/>
        </w:rPr>
        <w:t xml:space="preserve">, cat. no. 4430.0, </w:t>
      </w:r>
      <w:hyperlink r:id="rId289">
        <w:r>
          <w:rPr>
            <w:rFonts w:ascii="Tahoma" w:eastAsia="Tahoma" w:hAnsi="Tahoma"/>
            <w:color w:val="0000FF"/>
            <w:sz w:val="14"/>
            <w:u w:val="single"/>
          </w:rPr>
          <w:t>https://www.abs.gov.au/ ausstats/abs@.nsf/mf/4430.0</w:t>
        </w:r>
      </w:hyperlink>
      <w:r>
        <w:rPr>
          <w:rFonts w:ascii="Tahoma" w:eastAsia="Tahoma" w:hAnsi="Tahoma"/>
          <w:color w:val="404042"/>
          <w:sz w:val="14"/>
        </w:rPr>
        <w:t>.</w:t>
      </w:r>
    </w:p>
    <w:p w14:paraId="2C8E10C7" w14:textId="77777777" w:rsidR="009757A9" w:rsidRDefault="00083242">
      <w:pPr>
        <w:spacing w:before="5" w:line="202" w:lineRule="exact"/>
        <w:ind w:left="1080" w:right="1440" w:hanging="216"/>
        <w:textAlignment w:val="baseline"/>
        <w:rPr>
          <w:rFonts w:ascii="Tahoma" w:eastAsia="Tahoma" w:hAnsi="Tahoma"/>
          <w:color w:val="404042"/>
          <w:sz w:val="14"/>
        </w:rPr>
      </w:pPr>
      <w:r>
        <w:rPr>
          <w:rFonts w:ascii="Tahoma" w:eastAsia="Tahoma" w:hAnsi="Tahoma"/>
          <w:color w:val="404042"/>
          <w:sz w:val="14"/>
        </w:rPr>
        <w:t xml:space="preserve">203 Wehman, P. et al. (2014), ‘Predictors of successful transition from school to employment for youth with disabilities’, </w:t>
      </w:r>
      <w:r>
        <w:rPr>
          <w:rFonts w:ascii="Arial" w:eastAsia="Arial" w:hAnsi="Arial"/>
          <w:i/>
          <w:color w:val="404042"/>
          <w:sz w:val="14"/>
        </w:rPr>
        <w:t>Journal of Occupational Rehabilitation</w:t>
      </w:r>
      <w:r>
        <w:rPr>
          <w:rFonts w:ascii="Tahoma" w:eastAsia="Tahoma" w:hAnsi="Tahoma"/>
          <w:color w:val="404042"/>
          <w:sz w:val="14"/>
        </w:rPr>
        <w:t xml:space="preserve">, vol. 25, no. 2, p. 10, </w:t>
      </w:r>
      <w:hyperlink r:id="rId290">
        <w:r>
          <w:rPr>
            <w:rFonts w:ascii="Tahoma" w:eastAsia="Tahoma" w:hAnsi="Tahoma"/>
            <w:color w:val="0000FF"/>
            <w:sz w:val="14"/>
            <w:u w:val="single"/>
          </w:rPr>
          <w:t>https://link.springer.com/article/10.1007/s10926-014-9541-6</w:t>
        </w:r>
      </w:hyperlink>
      <w:r>
        <w:rPr>
          <w:rFonts w:ascii="Tahoma" w:eastAsia="Tahoma" w:hAnsi="Tahoma"/>
          <w:color w:val="404042"/>
          <w:sz w:val="14"/>
        </w:rPr>
        <w:t>.</w:t>
      </w:r>
    </w:p>
    <w:p w14:paraId="61267FA7" w14:textId="77777777" w:rsidR="009757A9" w:rsidRDefault="00083242">
      <w:pPr>
        <w:spacing w:line="198" w:lineRule="exact"/>
        <w:ind w:left="1080" w:right="1008" w:hanging="216"/>
        <w:jc w:val="both"/>
        <w:textAlignment w:val="baseline"/>
        <w:rPr>
          <w:rFonts w:ascii="Tahoma" w:eastAsia="Tahoma" w:hAnsi="Tahoma"/>
          <w:color w:val="404042"/>
          <w:sz w:val="14"/>
        </w:rPr>
      </w:pPr>
      <w:r>
        <w:rPr>
          <w:rFonts w:ascii="Tahoma" w:eastAsia="Tahoma" w:hAnsi="Tahoma"/>
          <w:color w:val="404042"/>
          <w:sz w:val="14"/>
        </w:rPr>
        <w:t xml:space="preserve">204 ACIL Allen Consulting (2017), </w:t>
      </w:r>
      <w:r>
        <w:rPr>
          <w:rFonts w:ascii="Arial" w:eastAsia="Arial" w:hAnsi="Arial"/>
          <w:i/>
          <w:color w:val="404042"/>
          <w:sz w:val="15"/>
        </w:rPr>
        <w:t>National Disability Coordination Officer Program: Evaluation</w:t>
      </w:r>
      <w:r>
        <w:rPr>
          <w:rFonts w:ascii="Tahoma" w:eastAsia="Tahoma" w:hAnsi="Tahoma"/>
          <w:color w:val="404042"/>
          <w:sz w:val="14"/>
        </w:rPr>
        <w:t xml:space="preserve">, January 2017, p. i, </w:t>
      </w:r>
      <w:hyperlink r:id="rId291">
        <w:r>
          <w:rPr>
            <w:rFonts w:ascii="Tahoma" w:eastAsia="Tahoma" w:hAnsi="Tahoma"/>
            <w:color w:val="0000FF"/>
            <w:sz w:val="14"/>
            <w:u w:val="single"/>
          </w:rPr>
          <w:t xml:space="preserve">https://docs.education.gov.au/system/ </w:t>
        </w:r>
      </w:hyperlink>
      <w:r>
        <w:rPr>
          <w:rFonts w:ascii="Tahoma" w:eastAsia="Tahoma" w:hAnsi="Tahoma"/>
          <w:color w:val="0000FF"/>
          <w:sz w:val="14"/>
          <w:u w:val="single"/>
        </w:rPr>
        <w:t>files/doc/other/ndco_evaluation_final_report.pdf</w:t>
      </w:r>
      <w:r>
        <w:rPr>
          <w:rFonts w:ascii="Tahoma" w:eastAsia="Tahoma" w:hAnsi="Tahoma"/>
          <w:color w:val="404042"/>
          <w:sz w:val="14"/>
        </w:rPr>
        <w:t>.</w:t>
      </w:r>
    </w:p>
    <w:p w14:paraId="1CFC0FF3" w14:textId="77777777" w:rsidR="009757A9" w:rsidRDefault="00083242">
      <w:pPr>
        <w:spacing w:before="726" w:after="639" w:line="209"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9"/>
        </w:rPr>
        <w:t xml:space="preserve"> 129</w:t>
      </w:r>
    </w:p>
    <w:p w14:paraId="0CFC8E6F" w14:textId="77777777" w:rsidR="009757A9" w:rsidRDefault="00083242">
      <w:pPr>
        <w:textAlignment w:val="baseline"/>
      </w:pPr>
      <w:r>
        <w:rPr>
          <w:noProof/>
          <w:lang w:val="en-AU" w:eastAsia="en-AU"/>
        </w:rPr>
        <w:drawing>
          <wp:inline distT="0" distB="0" distL="0" distR="0" wp14:anchorId="4FEE45D6" wp14:editId="02F9F026">
            <wp:extent cx="7562215" cy="462915"/>
            <wp:effectExtent l="0" t="0" r="0" b="0"/>
            <wp:docPr id="213" name="Picture"/>
            <wp:cNvGraphicFramePr/>
            <a:graphic xmlns:a="http://schemas.openxmlformats.org/drawingml/2006/main">
              <a:graphicData uri="http://schemas.openxmlformats.org/drawingml/2006/picture">
                <pic:pic xmlns:pic="http://schemas.openxmlformats.org/drawingml/2006/picture">
                  <pic:nvPicPr>
                    <pic:cNvPr id="213" name="Picture"/>
                    <pic:cNvPicPr preferRelativeResize="0"/>
                  </pic:nvPicPr>
                  <pic:blipFill>
                    <a:blip r:embed="rId107"/>
                    <a:stretch>
                      <a:fillRect/>
                    </a:stretch>
                  </pic:blipFill>
                  <pic:spPr>
                    <a:xfrm>
                      <a:off x="0" y="0"/>
                      <a:ext cx="7562215" cy="462915"/>
                    </a:xfrm>
                    <a:prstGeom prst="rect">
                      <a:avLst/>
                    </a:prstGeom>
                  </pic:spPr>
                </pic:pic>
              </a:graphicData>
            </a:graphic>
          </wp:inline>
        </w:drawing>
      </w:r>
    </w:p>
    <w:p w14:paraId="4FF0F1CB" w14:textId="77777777" w:rsidR="009757A9" w:rsidRDefault="009757A9">
      <w:pPr>
        <w:sectPr w:rsidR="009757A9">
          <w:pgSz w:w="11909" w:h="16838"/>
          <w:pgMar w:top="1080" w:right="0" w:bottom="0" w:left="0" w:header="720" w:footer="720" w:gutter="0"/>
          <w:cols w:space="720"/>
        </w:sectPr>
      </w:pPr>
    </w:p>
    <w:p w14:paraId="6978DECC" w14:textId="7177549C" w:rsidR="009757A9" w:rsidRDefault="00083242">
      <w:pPr>
        <w:spacing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lastRenderedPageBreak/>
        <w:t>The National Disability Insurance Scheme provides funding to assist people to prepare for and take part in work. Supports include the School Leaver Employment Support (SLES) program, which helps give young people the skills and confidence to move from school to employment. It offers individualised support for up to two years after Year 12 to help young people get ready for work and plan their pathway to employment.</w:t>
      </w:r>
      <w:r>
        <w:rPr>
          <w:rFonts w:ascii="Tahoma" w:eastAsia="Tahoma" w:hAnsi="Tahoma"/>
          <w:color w:val="404042"/>
          <w:spacing w:val="5"/>
          <w:sz w:val="18"/>
          <w:vertAlign w:val="superscript"/>
        </w:rPr>
        <w:t>205</w:t>
      </w:r>
      <w:r>
        <w:rPr>
          <w:rFonts w:ascii="Tahoma" w:eastAsia="Tahoma" w:hAnsi="Tahoma"/>
          <w:color w:val="404042"/>
          <w:spacing w:val="5"/>
          <w:sz w:val="18"/>
        </w:rPr>
        <w:t xml:space="preserve"> The National Disability Insurance Agency works with education authorities to support students with disability to make a smooth transition into the SLES or other employment supports. These programs are important and should continue to be supported.</w:t>
      </w:r>
    </w:p>
    <w:p w14:paraId="5D082115" w14:textId="1D9CF764" w:rsidR="009757A9" w:rsidRDefault="00083242">
      <w:pPr>
        <w:spacing w:before="168" w:line="240" w:lineRule="exact"/>
        <w:ind w:left="864" w:right="1368"/>
        <w:textAlignment w:val="baseline"/>
        <w:rPr>
          <w:rFonts w:ascii="Tahoma" w:eastAsia="Tahoma" w:hAnsi="Tahoma"/>
          <w:color w:val="404042"/>
          <w:sz w:val="18"/>
        </w:rPr>
      </w:pPr>
      <w:r>
        <w:rPr>
          <w:rFonts w:ascii="Tahoma" w:eastAsia="Tahoma" w:hAnsi="Tahoma"/>
          <w:color w:val="404042"/>
          <w:sz w:val="18"/>
        </w:rPr>
        <w:t>A 2015 report by Children and Young People with Disability Australia provides a clear overview of what we need to continue to improve. The report made seven national recommendations. It placed particular attention on the first recommendation for a quality post-school transition process that must include:</w:t>
      </w:r>
    </w:p>
    <w:p w14:paraId="1BEA0ED4" w14:textId="66C080A0"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4"/>
          <w:sz w:val="18"/>
        </w:rPr>
      </w:pPr>
      <w:r>
        <w:rPr>
          <w:rFonts w:ascii="Tahoma" w:eastAsia="Tahoma" w:hAnsi="Tahoma"/>
          <w:color w:val="404042"/>
          <w:spacing w:val="4"/>
          <w:sz w:val="18"/>
        </w:rPr>
        <w:t>transition planning to begin by Year 9</w:t>
      </w:r>
    </w:p>
    <w:p w14:paraId="7D479994" w14:textId="4A855596"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planning to be person-centred</w:t>
      </w:r>
    </w:p>
    <w:p w14:paraId="3EDBB64E" w14:textId="4CD401B9"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7"/>
          <w:sz w:val="18"/>
        </w:rPr>
      </w:pPr>
      <w:r>
        <w:rPr>
          <w:rFonts w:ascii="Tahoma" w:eastAsia="Tahoma" w:hAnsi="Tahoma"/>
          <w:color w:val="404042"/>
          <w:spacing w:val="7"/>
          <w:sz w:val="18"/>
        </w:rPr>
        <w:t>high expectations embedded throughout the process</w:t>
      </w:r>
    </w:p>
    <w:p w14:paraId="0DEDABC6" w14:textId="2085A782" w:rsidR="009757A9" w:rsidRDefault="00083242">
      <w:pPr>
        <w:numPr>
          <w:ilvl w:val="0"/>
          <w:numId w:val="6"/>
        </w:numPr>
        <w:tabs>
          <w:tab w:val="clear" w:pos="216"/>
          <w:tab w:val="left" w:pos="1080"/>
        </w:tabs>
        <w:spacing w:before="82" w:line="240" w:lineRule="exact"/>
        <w:ind w:left="1080" w:right="1800" w:hanging="216"/>
        <w:textAlignment w:val="baseline"/>
        <w:rPr>
          <w:rFonts w:ascii="Tahoma" w:eastAsia="Tahoma" w:hAnsi="Tahoma"/>
          <w:color w:val="404042"/>
          <w:sz w:val="18"/>
        </w:rPr>
      </w:pPr>
      <w:r>
        <w:rPr>
          <w:rFonts w:ascii="Tahoma" w:eastAsia="Tahoma" w:hAnsi="Tahoma"/>
          <w:color w:val="404042"/>
          <w:sz w:val="18"/>
        </w:rPr>
        <w:t>work experience opportunities and the facilitation of part-time work, incorporating connections with local businesses and employers</w:t>
      </w:r>
    </w:p>
    <w:p w14:paraId="71E391CF" w14:textId="786CE8BF"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foundational skills</w:t>
      </w:r>
    </w:p>
    <w:p w14:paraId="425DABF5" w14:textId="71934622"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7"/>
          <w:sz w:val="18"/>
        </w:rPr>
      </w:pPr>
      <w:r>
        <w:rPr>
          <w:rFonts w:ascii="Tahoma" w:eastAsia="Tahoma" w:hAnsi="Tahoma"/>
          <w:color w:val="404042"/>
          <w:spacing w:val="7"/>
          <w:sz w:val="18"/>
        </w:rPr>
        <w:t>career development planning</w:t>
      </w:r>
    </w:p>
    <w:p w14:paraId="1E9AB64A" w14:textId="13FD7B63" w:rsidR="009757A9" w:rsidRDefault="00083242">
      <w:pPr>
        <w:numPr>
          <w:ilvl w:val="0"/>
          <w:numId w:val="6"/>
        </w:numPr>
        <w:tabs>
          <w:tab w:val="clear" w:pos="216"/>
          <w:tab w:val="left" w:pos="1080"/>
        </w:tabs>
        <w:spacing w:before="96" w:after="369" w:line="225" w:lineRule="exact"/>
        <w:ind w:left="1080" w:hanging="216"/>
        <w:textAlignment w:val="baseline"/>
        <w:rPr>
          <w:rFonts w:ascii="Tahoma" w:eastAsia="Tahoma" w:hAnsi="Tahoma"/>
          <w:color w:val="404042"/>
          <w:spacing w:val="3"/>
          <w:sz w:val="18"/>
        </w:rPr>
      </w:pPr>
      <w:r>
        <w:rPr>
          <w:rFonts w:ascii="Tahoma" w:eastAsia="Tahoma" w:hAnsi="Tahoma"/>
          <w:color w:val="404042"/>
          <w:spacing w:val="3"/>
          <w:sz w:val="18"/>
        </w:rPr>
        <w:t>follow-up with young people once they have left school.</w:t>
      </w:r>
      <w:r>
        <w:rPr>
          <w:rFonts w:ascii="Tahoma" w:eastAsia="Tahoma" w:hAnsi="Tahoma"/>
          <w:color w:val="404042"/>
          <w:spacing w:val="3"/>
          <w:sz w:val="18"/>
          <w:vertAlign w:val="superscript"/>
        </w:rPr>
        <w:t>206</w:t>
      </w:r>
      <w:r>
        <w:rPr>
          <w:rFonts w:ascii="Tahoma" w:eastAsia="Tahoma" w:hAnsi="Tahoma"/>
          <w:color w:val="404042"/>
          <w:spacing w:val="3"/>
          <w:sz w:val="10"/>
        </w:rPr>
        <w:t xml:space="preserve"> </w:t>
      </w:r>
    </w:p>
    <w:p w14:paraId="304FF805" w14:textId="27C5621D"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mc:AlternateContent>
          <mc:Choice Requires="wps">
            <w:drawing>
              <wp:anchor distT="0" distB="317500" distL="545465" distR="536575" simplePos="0" relativeHeight="251698688" behindDoc="1" locked="0" layoutInCell="1" allowOverlap="1" wp14:anchorId="497E8745" wp14:editId="0F2B8FC6">
                <wp:simplePos x="0" y="0"/>
                <wp:positionH relativeFrom="page">
                  <wp:posOffset>545465</wp:posOffset>
                </wp:positionH>
                <wp:positionV relativeFrom="page">
                  <wp:posOffset>3996055</wp:posOffset>
                </wp:positionV>
                <wp:extent cx="6480175" cy="1239520"/>
                <wp:effectExtent l="0" t="0" r="15875" b="17780"/>
                <wp:wrapSquare wrapText="bothSides"/>
                <wp:docPr id="40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239520"/>
                        </a:xfrm>
                        <a:prstGeom prst="rect">
                          <a:avLst/>
                        </a:prstGeom>
                        <a:solidFill>
                          <a:srgbClr val="DFE6EB"/>
                        </a:solidFill>
                        <a:ln w="9525">
                          <a:solidFill>
                            <a:srgbClr val="000000"/>
                          </a:solidFill>
                          <a:miter lim="800000"/>
                          <a:headEnd/>
                          <a:tailEnd/>
                        </a:ln>
                      </wps:spPr>
                      <wps:txbx>
                        <w:txbxContent>
                          <w:p w14:paraId="4B16DC73"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E8745" id="Text Box 129" o:spid="_x0000_s1361" type="#_x0000_t202" style="position:absolute;left:0;text-align:left;margin-left:42.95pt;margin-top:314.65pt;width:510.25pt;height:97.6pt;z-index:-251617792;visibility:visible;mso-wrap-style:square;mso-width-percent:0;mso-height-percent:0;mso-wrap-distance-left:42.95pt;mso-wrap-distance-top:0;mso-wrap-distance-right:42.25pt;mso-wrap-distance-bottom: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lLQIAAE4EAAAOAAAAZHJzL2Uyb0RvYy54bWysVMtu2zAQvBfoPxC815Lt2HUEy0HiR1Eg&#10;fQBJP4CiKIkoxWVJ2lL69VlSlhuk7aWoD8RSXA5nZ3a9vulbRU7COgk6p9NJSonQHEqp65x+ezy8&#10;W1HiPNMlU6BFTp+Eozebt2/WncnEDBpQpbAEQbTLOpPTxnuTJYnjjWiZm4ARGg8rsC3zuLV1UlrW&#10;IXqrklmaLpMObGkscOEcft0Nh3QT8atKcP+lqpzwROUUufm42rgWYU02a5bVlplG8jMN9g8sWiY1&#10;PnqB2jHPyNHK36BayS04qPyEQ5tAVUkuYg1YzTR9Vc1Dw4yItaA4zlxkcv8Pln8+fbVEljm9StEq&#10;zVo06VH0ntxBT6az66BQZ1yGiQ8GU32PB+h0rNaZe+DfHdGwbZiuxa210DWClchwGm4mL64OOC6A&#10;FN0nKPEhdvQQgfrKtkE+FIQgOjr1dHEnkOH4cXm1SqfvF5RwPJvO5teLWfQvYdl43VjnPwhoSQhy&#10;atH+CM9O984HOiwbU8JrDpQsD1KpuLF1sVWWnBi2yu6wX+7vYgWv0pQmXU7x7cWgwF8h0vj7E0Qr&#10;Pfa8km1OV5cklgXd9rqMHemZVEOMlJU+Cxm0G1T0fdFH1+bzxehQAeUTamthaHIcSgwasD8p6bDB&#10;c+p+HJkVlKiPGv0J0zAGdgyKMWCa49WcekqGcOuHqTkaK+sGkYcO0HCLHlYyqhvMHlicCWPTRtHP&#10;Axam4uU+Zv36G9g8AwAA//8DAFBLAwQUAAYACAAAACEAzBtcjuAAAAALAQAADwAAAGRycy9kb3du&#10;cmV2LnhtbEyPwU6DQBCG7ya+w2ZMvNkFLIQiS9MYTTSerHrwNrBTIGVnCbul+PZuT3qc/N/88025&#10;XcwgZppcb1lBvIpAEDdW99wq+Px4vstBOI+scbBMCn7Iwba6viqx0PbM7zTvfStCCbsCFXTej4WU&#10;runIoFvZkThkBzsZ9GGcWqknPIdyM8gkijJpsOdwocORHjtqjvuTCRrJfHhqjzt8e0mzeHz96uv8&#10;u1fq9mbZPYDwtPg/GC76YQeq4FTbE2snBgV5ugmkgizZ3IO4AHGUrUHUIUrWKciqlP9/qH4BAAD/&#10;/wMAUEsBAi0AFAAGAAgAAAAhALaDOJL+AAAA4QEAABMAAAAAAAAAAAAAAAAAAAAAAFtDb250ZW50&#10;X1R5cGVzXS54bWxQSwECLQAUAAYACAAAACEAOP0h/9YAAACUAQAACwAAAAAAAAAAAAAAAAAvAQAA&#10;X3JlbHMvLnJlbHNQSwECLQAUAAYACAAAACEAv8mIZS0CAABOBAAADgAAAAAAAAAAAAAAAAAuAgAA&#10;ZHJzL2Uyb0RvYy54bWxQSwECLQAUAAYACAAAACEAzBtcjuAAAAALAQAADwAAAAAAAAAAAAAAAACH&#10;BAAAZHJzL2Rvd25yZXYueG1sUEsFBgAAAAAEAAQA8wAAAJQFAAAAAA==&#10;" fillcolor="#dfe6eb">
                <v:textbox inset="0,0,0,0">
                  <w:txbxContent>
                    <w:p w14:paraId="4B16DC73"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700736" behindDoc="1" locked="0" layoutInCell="1" allowOverlap="1" wp14:anchorId="02AFD0EA" wp14:editId="2570DC60">
                <wp:simplePos x="0" y="0"/>
                <wp:positionH relativeFrom="page">
                  <wp:posOffset>597535</wp:posOffset>
                </wp:positionH>
                <wp:positionV relativeFrom="page">
                  <wp:posOffset>4233545</wp:posOffset>
                </wp:positionV>
                <wp:extent cx="6428105" cy="814070"/>
                <wp:effectExtent l="0" t="0" r="0" b="0"/>
                <wp:wrapSquare wrapText="bothSides"/>
                <wp:docPr id="40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81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CB484"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17</w:t>
                            </w:r>
                          </w:p>
                          <w:p w14:paraId="2D360665" w14:textId="77777777" w:rsidR="00490F33" w:rsidRDefault="00490F33">
                            <w:pPr>
                              <w:spacing w:before="160" w:after="114" w:line="240" w:lineRule="exact"/>
                              <w:ind w:left="504" w:right="864"/>
                              <w:textAlignment w:val="baseline"/>
                              <w:rPr>
                                <w:rFonts w:ascii="Tahoma" w:eastAsia="Tahoma" w:hAnsi="Tahoma"/>
                                <w:color w:val="404042"/>
                                <w:sz w:val="18"/>
                              </w:rPr>
                            </w:pPr>
                            <w:r>
                              <w:rPr>
                                <w:rFonts w:ascii="Tahoma" w:eastAsia="Tahoma" w:hAnsi="Tahoma"/>
                                <w:color w:val="404042"/>
                                <w:sz w:val="18"/>
                              </w:rPr>
                              <w:t>All senior secondary students with disability should have access to work exploration in school and, in collaboration with disability support groups, have an individual post-school transition plan put in place prior to leaving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FD0EA" id="Text Box 127" o:spid="_x0000_s1362" type="#_x0000_t202" style="position:absolute;left:0;text-align:left;margin-left:47.05pt;margin-top:333.35pt;width:506.15pt;height:64.1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hK8gEAAMMDAAAOAAAAZHJzL2Uyb0RvYy54bWysU9tu2zAMfR+wfxD0vthOszQw4hRdiw4D&#10;ugvQ7gNkWYqF2aJGKbGzrx8lx1m3vQ17EShejg4Pqe3N2HfsqNAbsBUvFjlnykpojN1X/Ovzw5sN&#10;Zz4I24gOrKr4SXl+s3v9aju4Ui2hha5RyAjE+nJwFW9DcGWWedmqXvgFOGUpqAF7EeiK+6xBMRB6&#10;32XLPF9nA2DjEKTynrz3U5DvEr7WSobPWnsVWFdx4hbSiems45nttqLco3CtkWca4h9Y9MJYevQC&#10;dS+CYAc0f0H1RiJ40GEhoc9AayNV6oG6KfI/unlqhVOpFxLHu4tM/v/Byk/HL8hMU/FVvubMip6G&#10;9KzGwN7ByIrldVRocL6kxCdHqWGkAE06devdI8hvnlm4a4Xdq1tEGFolGmJYxMrsRemE4yNIPXyE&#10;hh4ShwAJaNTYR/lIEEboNKnTZTqRjCTnerXcFPlbziTFNsUqv07jy0Q5Vzv04b2CnkWj4kjTT+ji&#10;+OhDZCPKOSU+ZuHBdF3agM7+5qDE6EnsI+GJehjrMUl1dbWeZamhOVFDCNNm0U8gowX8wdlAW1Vx&#10;//0gUHHWfbAkSlzB2cDZqGdDWEmlFQ+cTeZdmFb14NDsW0KeZLdwS8Jpk3qKCk8szoRpU1Kr562O&#10;q/jynrJ+/b3dTwAAAP//AwBQSwMEFAAGAAgAAAAhADDN/hngAAAACwEAAA8AAABkcnMvZG93bnJl&#10;di54bWxMj8FOwzAQRO9I/IO1SNyoHRS5JMSpKgQnJEQaDhydeJtEjdchdtvw97gnelzN08zbYrPY&#10;kZ1w9oMjBclKAENqnRmoU/BVvz08AfNBk9GjI1Twix425e1NoXPjzlThaRc6FkvI51pBH8KUc+7b&#10;Hq32KzchxWzvZqtDPOeOm1mfY7kd+aMQkls9UFzo9YQvPbaH3dEq2H5T9Tr8fDSf1b4a6joT9C4P&#10;St3fLdtnYAGX8A/DRT+qQxmdGnck49moIEuTSCqQUq6BXYBEyBRYo2CdpRnwsuDXP5R/AAAA//8D&#10;AFBLAQItABQABgAIAAAAIQC2gziS/gAAAOEBAAATAAAAAAAAAAAAAAAAAAAAAABbQ29udGVudF9U&#10;eXBlc10ueG1sUEsBAi0AFAAGAAgAAAAhADj9If/WAAAAlAEAAAsAAAAAAAAAAAAAAAAALwEAAF9y&#10;ZWxzLy5yZWxzUEsBAi0AFAAGAAgAAAAhAIMfGEryAQAAwwMAAA4AAAAAAAAAAAAAAAAALgIAAGRy&#10;cy9lMm9Eb2MueG1sUEsBAi0AFAAGAAgAAAAhADDN/hngAAAACwEAAA8AAAAAAAAAAAAAAAAATAQA&#10;AGRycy9kb3ducmV2LnhtbFBLBQYAAAAABAAEAPMAAABZBQAAAAA=&#10;" filled="f" stroked="f">
                <v:textbox inset="0,0,0,0">
                  <w:txbxContent>
                    <w:p w14:paraId="29CCB484"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17</w:t>
                      </w:r>
                    </w:p>
                    <w:p w14:paraId="2D360665" w14:textId="77777777" w:rsidR="00490F33" w:rsidRDefault="00490F33">
                      <w:pPr>
                        <w:spacing w:before="160" w:after="114" w:line="240" w:lineRule="exact"/>
                        <w:ind w:left="504" w:right="864"/>
                        <w:textAlignment w:val="baseline"/>
                        <w:rPr>
                          <w:rFonts w:ascii="Tahoma" w:eastAsia="Tahoma" w:hAnsi="Tahoma"/>
                          <w:color w:val="404042"/>
                          <w:sz w:val="18"/>
                        </w:rPr>
                      </w:pPr>
                      <w:r>
                        <w:rPr>
                          <w:rFonts w:ascii="Tahoma" w:eastAsia="Tahoma" w:hAnsi="Tahoma"/>
                          <w:color w:val="404042"/>
                          <w:sz w:val="18"/>
                        </w:rPr>
                        <w:t>All senior secondary students with disability should have access to work exploration in school and, in collaboration with disability support groups, have an individual post-school transition plan put in place prior to leaving school.</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1988480" behindDoc="0" locked="0" layoutInCell="1" allowOverlap="1" wp14:anchorId="641C723A" wp14:editId="1CF87DDB">
                <wp:simplePos x="0" y="0"/>
                <wp:positionH relativeFrom="page">
                  <wp:posOffset>545465</wp:posOffset>
                </wp:positionH>
                <wp:positionV relativeFrom="page">
                  <wp:posOffset>3996055</wp:posOffset>
                </wp:positionV>
                <wp:extent cx="0" cy="1239520"/>
                <wp:effectExtent l="0" t="0" r="0" b="0"/>
                <wp:wrapNone/>
                <wp:docPr id="40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952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25006" id="Line 125" o:spid="_x0000_s1026" style="position:absolute;z-index:25198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314.65pt" to="42.95pt,4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R0QEAAIYDAAAOAAAAZHJzL2Uyb0RvYy54bWysU01vGyEQvVfqf0Dc6/1InCYrr3Owk17c&#10;1lLSHzAGdhcVGATYa//7Amu7aXuLekEwH2/evBkWj0etyEE4L9G0tJqVlAjDkEvTt/TH6/One0p8&#10;AMNBoREtPQlPH5cfPyxG24gaB1RcOBJBjG9G29IhBNsUhWeD0OBnaIWJzg6dhhCfri+4gzGia1XU&#10;ZXlXjOi4dciE99G6npx0mfG7TrDwveu8CES1NHIL+XT53KWzWC6g6R3YQbIzDXgHCw3SxKJXqDUE&#10;IHsn/4HSkjn02IUZQ11g10kmcg+xm6r8q5uXAazIvURxvL3K5P8fLPt22DoieUtvy1tKDOg4pI00&#10;glT1PKkzWt/EoJXZutQfO5oXu0H20xODqwFMLzLL15ONiVXKKP5ISQ9vY43d+BV5jIF9wCzVsXM6&#10;QUYRyDFP5HSdiDgGwiYji9aqvnmY13laBTSXROt8+CJQk3RpqYqsMzAcNj4kItBcQlIdg89SqTxw&#10;ZcjY0rubeZkTPCrJkzOFedfvVsqRA6SVKT+X90+5q+h5G5aQ1+CHKS67pmVyuDc8VxkE8KfzPYBU&#10;0z2yUuasUhJmkniH/LR1F/XisDP982KmbXr7ztm/v8/yFwAAAP//AwBQSwMEFAAGAAgAAAAhAEzc&#10;Nr7fAAAACQEAAA8AAABkcnMvZG93bnJldi54bWxMj8FOwzAMhu9IvENkJG4spbBpK00nVAmYmJDY&#10;AIlj1pi2InGqJNvK22O4wMmy/en353I5OisOGGLvScHlJAOB1HjTU6vg9eXuYg4iJk1GW0+o4Asj&#10;LKvTk1IXxh9pg4dtagWHUCy0gi6loZAyNh06HSd+QOLdhw9OJ25DK03QRw53VuZZNpNO98QXOj1g&#10;3WHzud07BaZerR6f6vTQjfY+vD2vc/m+cUqdn423NyASjukPhh99VoeKnXZ+TyYKq2A+XTCpYJYv&#10;rkAw8DvYcc2vpyCrUv7/oPoGAAD//wMAUEsBAi0AFAAGAAgAAAAhALaDOJL+AAAA4QEAABMAAAAA&#10;AAAAAAAAAAAAAAAAAFtDb250ZW50X1R5cGVzXS54bWxQSwECLQAUAAYACAAAACEAOP0h/9YAAACU&#10;AQAACwAAAAAAAAAAAAAAAAAvAQAAX3JlbHMvLnJlbHNQSwECLQAUAAYACAAAACEAffgnUdEBAACG&#10;AwAADgAAAAAAAAAAAAAAAAAuAgAAZHJzL2Uyb0RvYy54bWxQSwECLQAUAAYACAAAACEATNw2vt8A&#10;AAAJAQAADwAAAAAAAAAAAAAAAAArBAAAZHJzL2Rvd25yZXYueG1sUEsFBgAAAAAEAAQA8wAAADcF&#10;AAAAAA==&#10;" strokecolor="#00708e" strokeweight=".5pt">
                <w10:wrap anchorx="page" anchory="page"/>
              </v:line>
            </w:pict>
          </mc:Fallback>
        </mc:AlternateContent>
      </w:r>
      <w:r w:rsidR="00083242">
        <w:rPr>
          <w:rFonts w:ascii="Arial" w:eastAsia="Arial" w:hAnsi="Arial"/>
          <w:i/>
          <w:color w:val="007896"/>
          <w:spacing w:val="1"/>
          <w:sz w:val="18"/>
        </w:rPr>
        <w:t>Implementation guidance</w:t>
      </w:r>
    </w:p>
    <w:p w14:paraId="06EAA812" w14:textId="15075DEB" w:rsidR="009757A9" w:rsidRDefault="00083242">
      <w:pPr>
        <w:spacing w:before="162" w:line="240" w:lineRule="exact"/>
        <w:ind w:left="864" w:right="1440"/>
        <w:textAlignment w:val="baseline"/>
        <w:rPr>
          <w:rFonts w:ascii="Tahoma" w:eastAsia="Tahoma" w:hAnsi="Tahoma"/>
          <w:color w:val="404042"/>
          <w:sz w:val="18"/>
        </w:rPr>
      </w:pPr>
      <w:r>
        <w:rPr>
          <w:rFonts w:ascii="Tahoma" w:eastAsia="Tahoma" w:hAnsi="Tahoma"/>
          <w:color w:val="404042"/>
          <w:sz w:val="18"/>
        </w:rPr>
        <w:t>Planning and support for post-school transition for students with disability should start early. All students with disability should have an individual post-school transition plan. This plan should be part of a carefully structured career transition planning process for students with disability that:</w:t>
      </w:r>
    </w:p>
    <w:p w14:paraId="733E5C41" w14:textId="7C4237BE"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5"/>
          <w:sz w:val="18"/>
        </w:rPr>
      </w:pPr>
      <w:r>
        <w:rPr>
          <w:rFonts w:ascii="Tahoma" w:eastAsia="Tahoma" w:hAnsi="Tahoma"/>
          <w:color w:val="404042"/>
          <w:spacing w:val="5"/>
          <w:sz w:val="18"/>
        </w:rPr>
        <w:t>involves the student in their own goal setting</w:t>
      </w:r>
    </w:p>
    <w:p w14:paraId="3A661FC7" w14:textId="7EBA8998" w:rsidR="009757A9" w:rsidRDefault="00083242">
      <w:pPr>
        <w:numPr>
          <w:ilvl w:val="0"/>
          <w:numId w:val="6"/>
        </w:numPr>
        <w:tabs>
          <w:tab w:val="clear" w:pos="216"/>
          <w:tab w:val="left" w:pos="1080"/>
        </w:tabs>
        <w:spacing w:before="105" w:line="221" w:lineRule="exact"/>
        <w:ind w:left="864"/>
        <w:textAlignment w:val="baseline"/>
        <w:rPr>
          <w:rFonts w:ascii="Tahoma" w:eastAsia="Tahoma" w:hAnsi="Tahoma"/>
          <w:color w:val="404042"/>
          <w:spacing w:val="7"/>
          <w:sz w:val="18"/>
        </w:rPr>
      </w:pPr>
      <w:r>
        <w:rPr>
          <w:rFonts w:ascii="Tahoma" w:eastAsia="Tahoma" w:hAnsi="Tahoma"/>
          <w:color w:val="404042"/>
          <w:spacing w:val="7"/>
          <w:sz w:val="18"/>
        </w:rPr>
        <w:t>includes both school-based and work-based learning experiences</w:t>
      </w:r>
    </w:p>
    <w:p w14:paraId="7ADDDA00" w14:textId="537A8FAF" w:rsidR="009757A9" w:rsidRDefault="00083242">
      <w:pPr>
        <w:numPr>
          <w:ilvl w:val="0"/>
          <w:numId w:val="6"/>
        </w:numPr>
        <w:tabs>
          <w:tab w:val="clear" w:pos="216"/>
          <w:tab w:val="left" w:pos="1080"/>
        </w:tabs>
        <w:spacing w:before="101" w:line="221" w:lineRule="exact"/>
        <w:ind w:left="864"/>
        <w:textAlignment w:val="baseline"/>
        <w:rPr>
          <w:rFonts w:ascii="Tahoma" w:eastAsia="Tahoma" w:hAnsi="Tahoma"/>
          <w:color w:val="404042"/>
          <w:spacing w:val="6"/>
          <w:sz w:val="18"/>
        </w:rPr>
      </w:pPr>
      <w:r>
        <w:rPr>
          <w:rFonts w:ascii="Tahoma" w:eastAsia="Tahoma" w:hAnsi="Tahoma"/>
          <w:color w:val="404042"/>
          <w:spacing w:val="6"/>
          <w:sz w:val="18"/>
        </w:rPr>
        <w:t>is supported by effective interagency and interdisciplinary collaboration</w:t>
      </w:r>
    </w:p>
    <w:p w14:paraId="2C01217F" w14:textId="0C16B690" w:rsidR="009757A9" w:rsidRDefault="00083242">
      <w:pPr>
        <w:numPr>
          <w:ilvl w:val="0"/>
          <w:numId w:val="6"/>
        </w:numPr>
        <w:tabs>
          <w:tab w:val="clear" w:pos="216"/>
          <w:tab w:val="left" w:pos="1080"/>
        </w:tabs>
        <w:spacing w:before="105" w:after="2597" w:line="221" w:lineRule="exact"/>
        <w:ind w:left="864"/>
        <w:textAlignment w:val="baseline"/>
        <w:rPr>
          <w:rFonts w:ascii="Tahoma" w:eastAsia="Tahoma" w:hAnsi="Tahoma"/>
          <w:color w:val="404042"/>
          <w:spacing w:val="5"/>
          <w:sz w:val="18"/>
        </w:rPr>
      </w:pPr>
      <w:r>
        <w:rPr>
          <w:rFonts w:ascii="Tahoma" w:eastAsia="Tahoma" w:hAnsi="Tahoma"/>
          <w:color w:val="404042"/>
          <w:spacing w:val="5"/>
          <w:sz w:val="18"/>
        </w:rPr>
        <w:t>involves and includes families.</w:t>
      </w:r>
    </w:p>
    <w:p w14:paraId="426EC367" w14:textId="4D487E56" w:rsidR="009757A9" w:rsidRDefault="000D2E34">
      <w:pPr>
        <w:spacing w:before="52" w:line="200" w:lineRule="exact"/>
        <w:ind w:left="1080" w:right="1080"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89504" behindDoc="0" locked="0" layoutInCell="1" allowOverlap="1" wp14:anchorId="4D6B9B67" wp14:editId="7C067BAD">
                <wp:simplePos x="0" y="0"/>
                <wp:positionH relativeFrom="page">
                  <wp:posOffset>539750</wp:posOffset>
                </wp:positionH>
                <wp:positionV relativeFrom="page">
                  <wp:posOffset>8723630</wp:posOffset>
                </wp:positionV>
                <wp:extent cx="917575" cy="0"/>
                <wp:effectExtent l="0" t="0" r="0" b="0"/>
                <wp:wrapNone/>
                <wp:docPr id="40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93B67" id="Line 124" o:spid="_x0000_s1026" style="position:absolute;z-index:25198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86.9pt" to="114.75pt,6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yMzgEAAIYDAAAOAAAAZHJzL2Uyb0RvYy54bWysU02T0zAMvTPDf/D4TpOU7S5kmu6hZbkU&#10;6MwuP0C1ncSDY3lst0n/PbL7wQI3hhw8liU9PT0py8dpMOyofNBoG17NSs6UFSi17Rr+/eXp3QfO&#10;QgQrwaBVDT+pwB9Xb98sR1erOfZopPKMQGyoR9fwPkZXF0UQvRogzNApS84W/QCRTN8V0sNI6IMp&#10;5mV5X4zopfMoVAj0ujk7+Srjt60S8VvbBhWZaThxi/n0+dyns1gtoe48uF6LCw34BxYDaEtFb1Ab&#10;iMAOXv8FNWjhMWAbZwKHAttWC5V7oG6q8o9unntwKvdC4gR3kyn8P1jx9bjzTMuG35XvObMw0JC2&#10;2ipWze+SOqMLNQWt7c6n/sRkn90WxY/ALK57sJ3KLF9OjhKrlFH8lpKM4KjGfvyCkmLgEDFLNbV+&#10;SJAkApvyRE63iagpMkGPH6uHxcOCM3F1FVBf85wP8bPCgaVLww2Rzrhw3IaYeEB9DUllLD5pY/K8&#10;jWUjkZ2X94ucEdBombwpLvhuvzaeHSGtTP5yV+R5HZagNxD6c1x2nZfJ48HKXKZXID9d7hG0Od+J&#10;lrEXlZIwZ4n3KE87f1WPhp35XxYzbdNrO2f/+n1WPwEAAP//AwBQSwMEFAAGAAgAAAAhAIPhLVDf&#10;AAAADAEAAA8AAABkcnMvZG93bnJldi54bWxMj8FOwzAQRO9I/IO1SFwQ3ZC2EEKcClWCGwgKiB7d&#10;eEki4nUUu034e5YDguPOjmbmFavJdepAQ2g9a7iYJaCIK29brjW8vtydZ6BCNGxN55k0fFGAVXl8&#10;VJjc+pGf6bCJtZIQDrnR0MTY54ihasiZMPM9sfw+/OBMlHOo0Q5mlHDXYZokl+hMy9LQmJ7WDVWf&#10;m73TgJhki+ntfXxYnIWs3a7r7f3jk9anJ9PtDahIU/wzw898mQ6lbNr5PdugOg3ZUlCi6POruTCI&#10;I02vl6B2vxKWBf6HKL8BAAD//wMAUEsBAi0AFAAGAAgAAAAhALaDOJL+AAAA4QEAABMAAAAAAAAA&#10;AAAAAAAAAAAAAFtDb250ZW50X1R5cGVzXS54bWxQSwECLQAUAAYACAAAACEAOP0h/9YAAACUAQAA&#10;CwAAAAAAAAAAAAAAAAAvAQAAX3JlbHMvLnJlbHNQSwECLQAUAAYACAAAACEAYh2MjM4BAACGAwAA&#10;DgAAAAAAAAAAAAAAAAAuAgAAZHJzL2Uyb0RvYy54bWxQSwECLQAUAAYACAAAACEAg+EtUN8AAAAM&#10;AQAADwAAAAAAAAAAAAAAAAAoBAAAZHJzL2Rvd25yZXYueG1sUEsFBgAAAAAEAAQA8wAAADQFAAAA&#10;AA==&#10;" strokeweight=".95pt">
                <w10:wrap anchorx="page" anchory="page"/>
              </v:line>
            </w:pict>
          </mc:Fallback>
        </mc:AlternateContent>
      </w:r>
      <w:r w:rsidR="00083242">
        <w:rPr>
          <w:rFonts w:ascii="Tahoma" w:eastAsia="Tahoma" w:hAnsi="Tahoma"/>
          <w:color w:val="404042"/>
          <w:sz w:val="14"/>
        </w:rPr>
        <w:t xml:space="preserve">205 National Disability Insurance Scheme, ‘Leaving school’, webpage (accessed 7 May 2020), </w:t>
      </w:r>
      <w:hyperlink r:id="rId292">
        <w:r w:rsidR="00083242">
          <w:rPr>
            <w:rFonts w:ascii="Tahoma" w:eastAsia="Tahoma" w:hAnsi="Tahoma"/>
            <w:color w:val="0000FF"/>
            <w:sz w:val="14"/>
            <w:u w:val="single"/>
          </w:rPr>
          <w:t>https://www.ndis.gov.au/participants/finding</w:t>
        </w:r>
      </w:hyperlink>
      <w:r w:rsidR="00083242">
        <w:rPr>
          <w:rFonts w:ascii="Tahoma" w:eastAsia="Tahoma" w:hAnsi="Tahoma"/>
          <w:color w:val="0000FF"/>
          <w:sz w:val="14"/>
          <w:u w:val="single"/>
        </w:rPr>
        <w:t>-keeping-a nd-changing-jobs/leaving-school</w:t>
      </w:r>
      <w:r w:rsidR="00083242">
        <w:rPr>
          <w:rFonts w:ascii="Tahoma" w:eastAsia="Tahoma" w:hAnsi="Tahoma"/>
          <w:color w:val="404042"/>
          <w:sz w:val="14"/>
        </w:rPr>
        <w:t>.</w:t>
      </w:r>
    </w:p>
    <w:p w14:paraId="2E4B1E16" w14:textId="0C360091" w:rsidR="009757A9" w:rsidRDefault="00083242">
      <w:pPr>
        <w:spacing w:line="199" w:lineRule="exact"/>
        <w:ind w:left="1080" w:right="936" w:hanging="216"/>
        <w:textAlignment w:val="baseline"/>
        <w:rPr>
          <w:rFonts w:ascii="Tahoma" w:eastAsia="Tahoma" w:hAnsi="Tahoma"/>
          <w:color w:val="404042"/>
          <w:sz w:val="14"/>
        </w:rPr>
      </w:pPr>
      <w:r>
        <w:rPr>
          <w:rFonts w:ascii="Tahoma" w:eastAsia="Tahoma" w:hAnsi="Tahoma"/>
          <w:color w:val="404042"/>
          <w:sz w:val="14"/>
        </w:rPr>
        <w:t xml:space="preserve">206 Children with Disability Australia (2015), </w:t>
      </w:r>
      <w:r>
        <w:rPr>
          <w:rFonts w:ascii="Arial" w:eastAsia="Arial" w:hAnsi="Arial"/>
          <w:i/>
          <w:color w:val="404042"/>
          <w:sz w:val="14"/>
        </w:rPr>
        <w:t>Post School Transition: The experiences of students with disability</w:t>
      </w:r>
      <w:r>
        <w:rPr>
          <w:rFonts w:ascii="Tahoma" w:eastAsia="Tahoma" w:hAnsi="Tahoma"/>
          <w:color w:val="404042"/>
          <w:sz w:val="14"/>
        </w:rPr>
        <w:t xml:space="preserve">, p. 49, </w:t>
      </w:r>
      <w:hyperlink r:id="rId293">
        <w:r>
          <w:rPr>
            <w:rFonts w:ascii="Tahoma" w:eastAsia="Tahoma" w:hAnsi="Tahoma"/>
            <w:color w:val="0000FF"/>
            <w:sz w:val="14"/>
            <w:u w:val="single"/>
          </w:rPr>
          <w:t>https://www.cyda.org.au/resources/ details/85/post-school-transition-the-experiences-of-students-with-disability</w:t>
        </w:r>
      </w:hyperlink>
      <w:r>
        <w:rPr>
          <w:rFonts w:ascii="Tahoma" w:eastAsia="Tahoma" w:hAnsi="Tahoma"/>
          <w:color w:val="404042"/>
          <w:sz w:val="14"/>
        </w:rPr>
        <w:t>.</w:t>
      </w:r>
    </w:p>
    <w:p w14:paraId="12CDF967" w14:textId="1FE70D89" w:rsidR="009757A9" w:rsidRDefault="00AD0DF6">
      <w:pPr>
        <w:tabs>
          <w:tab w:val="left" w:pos="1368"/>
        </w:tabs>
        <w:spacing w:before="687" w:after="634" w:line="200" w:lineRule="exact"/>
        <w:ind w:left="864"/>
        <w:textAlignment w:val="baseline"/>
        <w:rPr>
          <w:rFonts w:ascii="Arial" w:eastAsia="Arial" w:hAnsi="Arial"/>
          <w:b/>
          <w:color w:val="5556A1"/>
          <w:spacing w:val="4"/>
          <w:sz w:val="19"/>
        </w:rPr>
      </w:pPr>
      <w:r>
        <w:rPr>
          <w:noProof/>
          <w:lang w:val="en-AU" w:eastAsia="en-AU"/>
        </w:rPr>
        <w:drawing>
          <wp:anchor distT="0" distB="0" distL="114300" distR="114300" simplePos="0" relativeHeight="252097024" behindDoc="1" locked="0" layoutInCell="1" allowOverlap="1" wp14:anchorId="0694F3DC" wp14:editId="7DFEF5E4">
            <wp:simplePos x="0" y="0"/>
            <wp:positionH relativeFrom="page">
              <wp:align>right</wp:align>
            </wp:positionH>
            <wp:positionV relativeFrom="paragraph">
              <wp:posOffset>927735</wp:posOffset>
            </wp:positionV>
            <wp:extent cx="7562215" cy="462915"/>
            <wp:effectExtent l="0" t="0" r="635" b="0"/>
            <wp:wrapNone/>
            <wp:docPr id="216" name="Picture"/>
            <wp:cNvGraphicFramePr/>
            <a:graphic xmlns:a="http://schemas.openxmlformats.org/drawingml/2006/main">
              <a:graphicData uri="http://schemas.openxmlformats.org/drawingml/2006/picture">
                <pic:pic xmlns:pic="http://schemas.openxmlformats.org/drawingml/2006/picture">
                  <pic:nvPicPr>
                    <pic:cNvPr id="216" name="Picture"/>
                    <pic:cNvPicPr preferRelativeResize="0"/>
                  </pic:nvPicPr>
                  <pic:blipFill>
                    <a:blip r:embed="rId15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9"/>
        </w:rPr>
        <w:t>130</w:t>
      </w:r>
      <w:r w:rsidR="00083242">
        <w:rPr>
          <w:rFonts w:ascii="Tahoma" w:eastAsia="Tahoma" w:hAnsi="Tahoma"/>
          <w:color w:val="404042"/>
          <w:spacing w:val="4"/>
          <w:sz w:val="14"/>
        </w:rPr>
        <w:tab/>
        <w:t>Looking to the future</w:t>
      </w:r>
    </w:p>
    <w:p w14:paraId="02E59BDE" w14:textId="54ABB372" w:rsidR="009757A9" w:rsidRDefault="009757A9">
      <w:pPr>
        <w:textAlignment w:val="baseline"/>
      </w:pPr>
    </w:p>
    <w:p w14:paraId="3D995702" w14:textId="77777777" w:rsidR="009757A9" w:rsidRDefault="009757A9">
      <w:pPr>
        <w:sectPr w:rsidR="009757A9">
          <w:pgSz w:w="11909" w:h="16838"/>
          <w:pgMar w:top="1080" w:right="0" w:bottom="0" w:left="0" w:header="720" w:footer="720" w:gutter="0"/>
          <w:cols w:space="720"/>
        </w:sectPr>
      </w:pPr>
    </w:p>
    <w:p w14:paraId="3EABCCE2" w14:textId="74934439" w:rsidR="009757A9" w:rsidRDefault="00083242">
      <w:pPr>
        <w:spacing w:before="24" w:line="242" w:lineRule="exact"/>
        <w:ind w:left="864"/>
        <w:textAlignment w:val="baseline"/>
        <w:rPr>
          <w:rFonts w:ascii="Arial" w:eastAsia="Arial" w:hAnsi="Arial"/>
          <w:b/>
          <w:color w:val="000000"/>
          <w:sz w:val="21"/>
        </w:rPr>
      </w:pPr>
      <w:r>
        <w:rPr>
          <w:rFonts w:ascii="Arial" w:eastAsia="Arial" w:hAnsi="Arial"/>
          <w:b/>
          <w:color w:val="000000"/>
          <w:sz w:val="21"/>
        </w:rPr>
        <w:lastRenderedPageBreak/>
        <w:t>Refugees and migrants</w:t>
      </w:r>
    </w:p>
    <w:p w14:paraId="5FDFCCD2" w14:textId="77777777" w:rsidR="009757A9" w:rsidRDefault="00083242">
      <w:pPr>
        <w:spacing w:before="161"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Migrants and refugees make a positive contribution to Australian society and provide some of our most inspiring success stories. However, their early days in Australia can be challenging. Upon making their new home in Australia, both refugee and migrant young people may face challenges in learning English, recommencing school after a disrupted education, finding employment, securing stable affordable housing, adjusting to unfamiliar systems and a new culture, and being separated from extended family, friends and social networks.</w:t>
      </w:r>
      <w:r>
        <w:rPr>
          <w:rFonts w:ascii="Tahoma" w:eastAsia="Tahoma" w:hAnsi="Tahoma"/>
          <w:color w:val="404042"/>
          <w:spacing w:val="4"/>
          <w:sz w:val="18"/>
          <w:vertAlign w:val="superscript"/>
        </w:rPr>
        <w:t>207</w:t>
      </w:r>
      <w:r>
        <w:rPr>
          <w:rFonts w:ascii="Tahoma" w:eastAsia="Tahoma" w:hAnsi="Tahoma"/>
          <w:color w:val="404042"/>
          <w:spacing w:val="4"/>
          <w:sz w:val="10"/>
        </w:rPr>
        <w:t xml:space="preserve"> </w:t>
      </w:r>
    </w:p>
    <w:p w14:paraId="27C18283" w14:textId="77777777" w:rsidR="009757A9" w:rsidRDefault="00083242">
      <w:pPr>
        <w:spacing w:before="168" w:line="240" w:lineRule="exact"/>
        <w:ind w:left="864" w:right="864"/>
        <w:textAlignment w:val="baseline"/>
        <w:rPr>
          <w:rFonts w:ascii="Tahoma" w:eastAsia="Tahoma" w:hAnsi="Tahoma"/>
          <w:color w:val="404042"/>
          <w:spacing w:val="4"/>
          <w:sz w:val="18"/>
        </w:rPr>
      </w:pPr>
      <w:r>
        <w:rPr>
          <w:rFonts w:ascii="Tahoma" w:eastAsia="Tahoma" w:hAnsi="Tahoma"/>
          <w:color w:val="404042"/>
          <w:spacing w:val="4"/>
          <w:sz w:val="18"/>
        </w:rPr>
        <w:t>They can also encounter additional risk factors due to their particular migration or refugee experience, including a history of violence and trauma. Many young newcomers experience intergenerational conflict; face incidents of racism and discrimination; exhibit a distrust of authorities due to negative experiences overseas; and suffer stress and trauma associated with leaving familiar homes and cultures and settling into a new country.</w:t>
      </w:r>
      <w:r>
        <w:rPr>
          <w:rFonts w:ascii="Tahoma" w:eastAsia="Tahoma" w:hAnsi="Tahoma"/>
          <w:color w:val="404042"/>
          <w:spacing w:val="4"/>
          <w:sz w:val="18"/>
          <w:vertAlign w:val="superscript"/>
        </w:rPr>
        <w:t>208</w:t>
      </w:r>
      <w:r>
        <w:rPr>
          <w:rFonts w:ascii="Tahoma" w:eastAsia="Tahoma" w:hAnsi="Tahoma"/>
          <w:color w:val="404042"/>
          <w:spacing w:val="4"/>
          <w:sz w:val="10"/>
        </w:rPr>
        <w:t xml:space="preserve"> </w:t>
      </w:r>
    </w:p>
    <w:p w14:paraId="45B8967C"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The </w:t>
      </w:r>
      <w:r>
        <w:rPr>
          <w:rFonts w:ascii="Arial" w:eastAsia="Arial" w:hAnsi="Arial"/>
          <w:i/>
          <w:color w:val="404042"/>
          <w:sz w:val="18"/>
        </w:rPr>
        <w:t xml:space="preserve">Refugee Status Report </w:t>
      </w:r>
      <w:r>
        <w:rPr>
          <w:rFonts w:ascii="Tahoma" w:eastAsia="Tahoma" w:hAnsi="Tahoma"/>
          <w:color w:val="404042"/>
          <w:sz w:val="18"/>
        </w:rPr>
        <w:t>(2011), produced by the Victorian Department of Education and Early Childhood Development, examined the largest pooled analysis of mental health problems in people of a refugee background. It found the prevalence of post-traumatic stress disorder was 11 per cent in children, and that unaccompanied minors and people with uncertain visa status were at higher risk of suffering mental health problems.</w:t>
      </w:r>
      <w:r>
        <w:rPr>
          <w:rFonts w:ascii="Tahoma" w:eastAsia="Tahoma" w:hAnsi="Tahoma"/>
          <w:color w:val="404042"/>
          <w:sz w:val="18"/>
          <w:vertAlign w:val="superscript"/>
        </w:rPr>
        <w:t>209</w:t>
      </w:r>
      <w:r>
        <w:rPr>
          <w:rFonts w:ascii="Tahoma" w:eastAsia="Tahoma" w:hAnsi="Tahoma"/>
          <w:color w:val="404042"/>
          <w:sz w:val="10"/>
        </w:rPr>
        <w:t xml:space="preserve"> </w:t>
      </w:r>
    </w:p>
    <w:p w14:paraId="5571E40B" w14:textId="77777777" w:rsidR="009757A9" w:rsidRDefault="00083242">
      <w:pPr>
        <w:spacing w:before="168"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Yet we also know that most migrants and refugees are driven to succeed. Parents typically place a strong emphasis on the education of their children, and can place pressure on them to excel academically as a key indicator of success.</w:t>
      </w:r>
      <w:r>
        <w:rPr>
          <w:rFonts w:ascii="Tahoma" w:eastAsia="Tahoma" w:hAnsi="Tahoma"/>
          <w:color w:val="404042"/>
          <w:spacing w:val="5"/>
          <w:sz w:val="18"/>
          <w:vertAlign w:val="superscript"/>
        </w:rPr>
        <w:t>210</w:t>
      </w:r>
      <w:r>
        <w:rPr>
          <w:rFonts w:ascii="Tahoma" w:eastAsia="Tahoma" w:hAnsi="Tahoma"/>
          <w:color w:val="404042"/>
          <w:spacing w:val="5"/>
          <w:sz w:val="10"/>
        </w:rPr>
        <w:t xml:space="preserve"> </w:t>
      </w:r>
      <w:r>
        <w:rPr>
          <w:rFonts w:ascii="Tahoma" w:eastAsia="Tahoma" w:hAnsi="Tahoma"/>
          <w:color w:val="404042"/>
          <w:spacing w:val="5"/>
          <w:sz w:val="18"/>
        </w:rPr>
        <w:t>They tend to be supportive of schools, respectful of teachers and demanding as parents. The Panel believes that interventions aimed at supporting young refugees and culturally and linguistically diverse migrants will lead to improvements in terms of educational and employer outcomes.</w:t>
      </w:r>
    </w:p>
    <w:p w14:paraId="0D466167"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Young parents and pregnant students</w:t>
      </w:r>
    </w:p>
    <w:p w14:paraId="60135301" w14:textId="77777777" w:rsidR="009757A9" w:rsidRDefault="00083242">
      <w:pPr>
        <w:spacing w:before="156" w:line="240" w:lineRule="exact"/>
        <w:ind w:left="864" w:right="1080"/>
        <w:textAlignment w:val="baseline"/>
        <w:rPr>
          <w:rFonts w:ascii="Tahoma" w:eastAsia="Tahoma" w:hAnsi="Tahoma"/>
          <w:color w:val="404042"/>
          <w:sz w:val="18"/>
        </w:rPr>
      </w:pPr>
      <w:r>
        <w:rPr>
          <w:rFonts w:ascii="Tahoma" w:eastAsia="Tahoma" w:hAnsi="Tahoma"/>
          <w:color w:val="404042"/>
          <w:sz w:val="18"/>
        </w:rPr>
        <w:t>In 2015, 8,268 babies were born to 8,203 teenage mothers aged under 20 (accounting for 3 per cent of all mothers). Of these, 42 per cent of all teenage mothers were from low socioeconomic status backgrounds and 24 per cent were Aboriginal or Torres Strait Islander people. The number of young mothers increased with remoteness and their age decreased the further they lived from a major city.</w:t>
      </w:r>
      <w:r>
        <w:rPr>
          <w:rFonts w:ascii="Tahoma" w:eastAsia="Tahoma" w:hAnsi="Tahoma"/>
          <w:color w:val="404042"/>
          <w:sz w:val="18"/>
          <w:vertAlign w:val="superscript"/>
        </w:rPr>
        <w:t>211</w:t>
      </w:r>
      <w:r>
        <w:rPr>
          <w:rFonts w:ascii="Tahoma" w:eastAsia="Tahoma" w:hAnsi="Tahoma"/>
          <w:color w:val="404042"/>
          <w:sz w:val="10"/>
        </w:rPr>
        <w:t xml:space="preserve"> </w:t>
      </w:r>
    </w:p>
    <w:p w14:paraId="60643C1B" w14:textId="77777777" w:rsidR="009757A9" w:rsidRDefault="00083242">
      <w:pPr>
        <w:spacing w:before="163" w:line="240" w:lineRule="exact"/>
        <w:ind w:left="864" w:right="1008"/>
        <w:textAlignment w:val="baseline"/>
        <w:rPr>
          <w:rFonts w:ascii="Tahoma" w:eastAsia="Tahoma" w:hAnsi="Tahoma"/>
          <w:color w:val="404042"/>
          <w:spacing w:val="4"/>
          <w:sz w:val="18"/>
        </w:rPr>
      </w:pPr>
      <w:r>
        <w:rPr>
          <w:rFonts w:ascii="Tahoma" w:eastAsia="Tahoma" w:hAnsi="Tahoma"/>
          <w:color w:val="404042"/>
          <w:spacing w:val="4"/>
          <w:sz w:val="18"/>
        </w:rPr>
        <w:t>Entrenched disadvantage can push young mothers into long-term unemployment or disengagement and social exclusion. Specific risk factors include low education attainment, early marriage or child-bearing, and a disadvantaged socioeconomic background.</w:t>
      </w:r>
      <w:r>
        <w:rPr>
          <w:rFonts w:ascii="Tahoma" w:eastAsia="Tahoma" w:hAnsi="Tahoma"/>
          <w:color w:val="404042"/>
          <w:spacing w:val="4"/>
          <w:sz w:val="18"/>
          <w:vertAlign w:val="superscript"/>
        </w:rPr>
        <w:t>212</w:t>
      </w:r>
      <w:r>
        <w:rPr>
          <w:rFonts w:ascii="Tahoma" w:eastAsia="Tahoma" w:hAnsi="Tahoma"/>
          <w:color w:val="404042"/>
          <w:spacing w:val="4"/>
          <w:sz w:val="18"/>
        </w:rPr>
        <w:t xml:space="preserve"> Postnatal depression adds an additional complication into the lives of young mothers. Over half of the cohort in one study of adolescent mothers reported having experienced depressive symptoms within the first three months of motherhood.</w:t>
      </w:r>
      <w:r>
        <w:rPr>
          <w:rFonts w:ascii="Tahoma" w:eastAsia="Tahoma" w:hAnsi="Tahoma"/>
          <w:color w:val="404042"/>
          <w:spacing w:val="4"/>
          <w:sz w:val="18"/>
          <w:vertAlign w:val="superscript"/>
        </w:rPr>
        <w:t>213</w:t>
      </w:r>
      <w:r>
        <w:rPr>
          <w:rFonts w:ascii="Tahoma" w:eastAsia="Tahoma" w:hAnsi="Tahoma"/>
          <w:color w:val="404042"/>
          <w:spacing w:val="4"/>
          <w:sz w:val="10"/>
        </w:rPr>
        <w:t xml:space="preserve"> </w:t>
      </w:r>
    </w:p>
    <w:p w14:paraId="0062C37C" w14:textId="77777777" w:rsidR="009757A9" w:rsidRDefault="00083242">
      <w:pPr>
        <w:spacing w:before="178" w:after="1291" w:line="240" w:lineRule="exact"/>
        <w:ind w:left="864" w:right="864"/>
        <w:textAlignment w:val="baseline"/>
        <w:rPr>
          <w:rFonts w:ascii="Tahoma" w:eastAsia="Tahoma" w:hAnsi="Tahoma"/>
          <w:color w:val="404042"/>
          <w:sz w:val="18"/>
        </w:rPr>
      </w:pPr>
      <w:r>
        <w:rPr>
          <w:rFonts w:ascii="Tahoma" w:eastAsia="Tahoma" w:hAnsi="Tahoma"/>
          <w:color w:val="404042"/>
          <w:sz w:val="18"/>
        </w:rPr>
        <w:t>We need to find ways to ensure that pregnancy and motherhood do not spell the end of secondary education for young women. The Panel was impressed by the efforts of some schools to provide them with alternative education programs. We strongly support such initiatives.</w:t>
      </w:r>
    </w:p>
    <w:p w14:paraId="67F22032" w14:textId="77777777" w:rsidR="009757A9" w:rsidRDefault="000D2E34">
      <w:pPr>
        <w:spacing w:before="48" w:line="200" w:lineRule="exact"/>
        <w:ind w:left="1080" w:right="1656" w:hanging="216"/>
        <w:jc w:val="both"/>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1990528" behindDoc="0" locked="0" layoutInCell="1" allowOverlap="1" wp14:anchorId="3243BB28" wp14:editId="6B6FC8DE">
                <wp:simplePos x="0" y="0"/>
                <wp:positionH relativeFrom="page">
                  <wp:posOffset>539750</wp:posOffset>
                </wp:positionH>
                <wp:positionV relativeFrom="page">
                  <wp:posOffset>7327265</wp:posOffset>
                </wp:positionV>
                <wp:extent cx="917575" cy="0"/>
                <wp:effectExtent l="0" t="0" r="0" b="0"/>
                <wp:wrapNone/>
                <wp:docPr id="40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A99F3" id="Line 123" o:spid="_x0000_s1026" style="position:absolute;z-index:25199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76.95pt" to="114.75pt,5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31zgEAAIYDAAAOAAAAZHJzL2Uyb0RvYy54bWysU8GS0zAMvTPDP3h8p0kK3YVM0z20LJcC&#10;ndnlA1TbaTw4lsd2m/TvkZ22u8CNIQePZUlPT0/K8mHsDTspHzTahlezkjNlBUptDw3/8fz47iNn&#10;IYKVYNCqhp9V4A+rt2+Wg6vVHDs0UnlGIDbUg2t4F6OriyKITvUQZuiUJWeLvodIpj8U0sNA6L0p&#10;5mV5VwzopfMoVAj0upmcfJXx21aJ+L1tg4rMNJy4xXz6fO7TWayWUB88uE6LCw34BxY9aEtFb1Ab&#10;iMCOXv8F1WvhMWAbZwL7AttWC5V7oG6q8o9unjpwKvdC4gR3kyn8P1jx7bTzTMuGfyjnnFnoaUhb&#10;bRWr5u+TOoMLNQWt7c6n/sRon9wWxc/ALK47sAeVWT6fHSVWKaP4LSUZwVGN/fAVJcXAMWKWamx9&#10;nyBJBDbmiZxvE1FjZIIeP1X3i/sFZ+LqKqC+5jkf4heFPUuXhhsinXHhtA0x8YD6GpLKWHzUxuR5&#10;G8sGIjsv7xY5I6DRMnlTXPCH/dp4doK0MvnLXZHndViC3kDoprjsmpbJ49HKXKZTID9f7hG0me5E&#10;y9iLSkmYSeI9yvPOX9WjYWf+l8VM2/Taztkvv8/qFwAAAP//AwBQSwMEFAAGAAgAAAAhAAhRdU7g&#10;AAAADAEAAA8AAABkcnMvZG93bnJldi54bWxMj8FOwzAQRO9I/IO1SFxQ6zQ0KE3jVKgS3EC0FNGj&#10;G2+TiHgdxW4T/p7lgOhxZ0czb/LVaFtxxt43jhTMphEIpNKZhioFu/enSQrCB01Gt45QwTd6WBXX&#10;V7nOjBtog+dtqASHkM+0gjqELpPSlzVa7aeuQ+Lf0fVWBz77SppeDxxuWxlH0YO0uiFuqHWH6xrL&#10;r+3JKpAySufjx+fwMr/zabNfV/vn1zelbm/GxyWIgGP4N8MvPqNDwUwHdyLjRasgTXhKYH2W3C9A&#10;sCOOFwmIw58ki1xejih+AAAA//8DAFBLAQItABQABgAIAAAAIQC2gziS/gAAAOEBAAATAAAAAAAA&#10;AAAAAAAAAAAAAABbQ29udGVudF9UeXBlc10ueG1sUEsBAi0AFAAGAAgAAAAhADj9If/WAAAAlAEA&#10;AAsAAAAAAAAAAAAAAAAALwEAAF9yZWxzLy5yZWxzUEsBAi0AFAAGAAgAAAAhAAFdHfXOAQAAhgMA&#10;AA4AAAAAAAAAAAAAAAAALgIAAGRycy9lMm9Eb2MueG1sUEsBAi0AFAAGAAgAAAAhAAhRdU7gAAAA&#10;DAEAAA8AAAAAAAAAAAAAAAAAKAQAAGRycy9kb3ducmV2LnhtbFBLBQYAAAAABAAEAPMAAAA1BQAA&#10;AAA=&#10;" strokeweight=".95pt">
                <w10:wrap anchorx="page" anchory="page"/>
              </v:line>
            </w:pict>
          </mc:Fallback>
        </mc:AlternateContent>
      </w:r>
      <w:r w:rsidR="00083242">
        <w:rPr>
          <w:rFonts w:ascii="Tahoma" w:eastAsia="Tahoma" w:hAnsi="Tahoma"/>
          <w:color w:val="404042"/>
          <w:sz w:val="14"/>
        </w:rPr>
        <w:t xml:space="preserve">207 Centre for Multicultural Youth (2014), </w:t>
      </w:r>
      <w:r w:rsidR="00083242">
        <w:rPr>
          <w:rFonts w:ascii="Arial" w:eastAsia="Arial" w:hAnsi="Arial"/>
          <w:i/>
          <w:color w:val="404042"/>
          <w:sz w:val="14"/>
        </w:rPr>
        <w:t>Fair and Accurate? Migrant and refugee young people, crime and the media</w:t>
      </w:r>
      <w:r w:rsidR="00083242">
        <w:rPr>
          <w:rFonts w:ascii="Tahoma" w:eastAsia="Tahoma" w:hAnsi="Tahoma"/>
          <w:color w:val="404042"/>
          <w:sz w:val="14"/>
        </w:rPr>
        <w:t xml:space="preserve">, </w:t>
      </w:r>
      <w:hyperlink r:id="rId294">
        <w:r w:rsidR="00083242">
          <w:rPr>
            <w:rFonts w:ascii="Tahoma" w:eastAsia="Tahoma" w:hAnsi="Tahoma"/>
            <w:color w:val="0000FF"/>
            <w:sz w:val="14"/>
            <w:u w:val="single"/>
          </w:rPr>
          <w:t>https://www.cmy.net.au/ knowledge-hub</w:t>
        </w:r>
      </w:hyperlink>
      <w:r w:rsidR="00083242">
        <w:rPr>
          <w:rFonts w:ascii="Tahoma" w:eastAsia="Tahoma" w:hAnsi="Tahoma"/>
          <w:color w:val="404042"/>
          <w:sz w:val="14"/>
        </w:rPr>
        <w:t>.</w:t>
      </w:r>
    </w:p>
    <w:p w14:paraId="4ECA0830" w14:textId="77777777" w:rsidR="009757A9" w:rsidRDefault="00083242">
      <w:pPr>
        <w:spacing w:before="3" w:line="200" w:lineRule="exact"/>
        <w:ind w:left="1080" w:right="1656" w:hanging="216"/>
        <w:jc w:val="both"/>
        <w:textAlignment w:val="baseline"/>
        <w:rPr>
          <w:rFonts w:ascii="Tahoma" w:eastAsia="Tahoma" w:hAnsi="Tahoma"/>
          <w:color w:val="404042"/>
          <w:sz w:val="14"/>
        </w:rPr>
      </w:pPr>
      <w:r>
        <w:rPr>
          <w:rFonts w:ascii="Tahoma" w:eastAsia="Tahoma" w:hAnsi="Tahoma"/>
          <w:color w:val="404042"/>
          <w:sz w:val="14"/>
        </w:rPr>
        <w:t xml:space="preserve">208 Centre for Multicultural Youth (2014), </w:t>
      </w:r>
      <w:r>
        <w:rPr>
          <w:rFonts w:ascii="Arial" w:eastAsia="Arial" w:hAnsi="Arial"/>
          <w:i/>
          <w:color w:val="404042"/>
          <w:sz w:val="14"/>
        </w:rPr>
        <w:t>Fair and Accurate? Migrant and refugee young people, crime and the media</w:t>
      </w:r>
      <w:r>
        <w:rPr>
          <w:rFonts w:ascii="Tahoma" w:eastAsia="Tahoma" w:hAnsi="Tahoma"/>
          <w:color w:val="404042"/>
          <w:sz w:val="14"/>
        </w:rPr>
        <w:t xml:space="preserve">, </w:t>
      </w:r>
      <w:hyperlink r:id="rId295">
        <w:r>
          <w:rPr>
            <w:rFonts w:ascii="Tahoma" w:eastAsia="Tahoma" w:hAnsi="Tahoma"/>
            <w:color w:val="0000FF"/>
            <w:sz w:val="14"/>
            <w:u w:val="single"/>
          </w:rPr>
          <w:t>https://www.cmy.net.au/ knowledge-hub</w:t>
        </w:r>
      </w:hyperlink>
      <w:r>
        <w:rPr>
          <w:rFonts w:ascii="Tahoma" w:eastAsia="Tahoma" w:hAnsi="Tahoma"/>
          <w:color w:val="404042"/>
          <w:sz w:val="14"/>
        </w:rPr>
        <w:t>.</w:t>
      </w:r>
    </w:p>
    <w:p w14:paraId="37A9027D" w14:textId="77777777" w:rsidR="009757A9" w:rsidRDefault="00083242">
      <w:pPr>
        <w:spacing w:line="200" w:lineRule="exact"/>
        <w:ind w:left="1080" w:right="1368" w:hanging="216"/>
        <w:textAlignment w:val="baseline"/>
        <w:rPr>
          <w:rFonts w:ascii="Tahoma" w:eastAsia="Tahoma" w:hAnsi="Tahoma"/>
          <w:color w:val="404042"/>
          <w:sz w:val="14"/>
        </w:rPr>
      </w:pPr>
      <w:r>
        <w:rPr>
          <w:rFonts w:ascii="Tahoma" w:eastAsia="Tahoma" w:hAnsi="Tahoma"/>
          <w:color w:val="404042"/>
          <w:sz w:val="14"/>
        </w:rPr>
        <w:t xml:space="preserve">209 Paxton, G., Smith, N., Ko Win, A., Mulholland, N. and Hood, S. (2011), </w:t>
      </w:r>
      <w:r>
        <w:rPr>
          <w:rFonts w:ascii="Arial" w:eastAsia="Arial" w:hAnsi="Arial"/>
          <w:i/>
          <w:color w:val="404042"/>
          <w:sz w:val="14"/>
        </w:rPr>
        <w:t>Refugee Status Report: A report on how refugee children and young people in Victoria are faring</w:t>
      </w:r>
      <w:r>
        <w:rPr>
          <w:rFonts w:ascii="Tahoma" w:eastAsia="Tahoma" w:hAnsi="Tahoma"/>
          <w:color w:val="404042"/>
          <w:sz w:val="14"/>
        </w:rPr>
        <w:t xml:space="preserve">, Victorian Department of Education and Early Childhood Development, July 2011, p. 4, </w:t>
      </w:r>
      <w:hyperlink r:id="rId296">
        <w:r>
          <w:rPr>
            <w:rFonts w:ascii="Tahoma" w:eastAsia="Tahoma" w:hAnsi="Tahoma"/>
            <w:color w:val="0000FF"/>
            <w:sz w:val="14"/>
            <w:u w:val="single"/>
          </w:rPr>
          <w:t>https://www.education.vic.gov.au/ Documents/about/research/refugeestatusreport.pdf</w:t>
        </w:r>
      </w:hyperlink>
      <w:r>
        <w:rPr>
          <w:rFonts w:ascii="Tahoma" w:eastAsia="Tahoma" w:hAnsi="Tahoma"/>
          <w:color w:val="404042"/>
          <w:sz w:val="14"/>
        </w:rPr>
        <w:t>.</w:t>
      </w:r>
    </w:p>
    <w:p w14:paraId="69D14236" w14:textId="77777777" w:rsidR="009757A9" w:rsidRDefault="00083242">
      <w:pPr>
        <w:spacing w:line="200" w:lineRule="exact"/>
        <w:ind w:left="1080" w:right="864" w:hanging="216"/>
        <w:textAlignment w:val="baseline"/>
        <w:rPr>
          <w:rFonts w:ascii="Tahoma" w:eastAsia="Tahoma" w:hAnsi="Tahoma"/>
          <w:color w:val="404042"/>
          <w:sz w:val="14"/>
        </w:rPr>
      </w:pPr>
      <w:r>
        <w:rPr>
          <w:rFonts w:ascii="Tahoma" w:eastAsia="Tahoma" w:hAnsi="Tahoma"/>
          <w:color w:val="404042"/>
          <w:sz w:val="14"/>
        </w:rPr>
        <w:t xml:space="preserve">210 VicHealth, Data61, CSIRO and Multicultural Youth Advocacy Network (2017), </w:t>
      </w:r>
      <w:r>
        <w:rPr>
          <w:rFonts w:ascii="Arial" w:eastAsia="Arial" w:hAnsi="Arial"/>
          <w:i/>
          <w:color w:val="404042"/>
          <w:sz w:val="14"/>
        </w:rPr>
        <w:t>Bright Futures: Spotlight on the wellbeing of young people from refugee and migrant backgrounds</w:t>
      </w:r>
      <w:r>
        <w:rPr>
          <w:rFonts w:ascii="Tahoma" w:eastAsia="Tahoma" w:hAnsi="Tahoma"/>
          <w:color w:val="404042"/>
          <w:sz w:val="14"/>
        </w:rPr>
        <w:t xml:space="preserve">, Victorian Health Promotion Foundation, p. 9, </w:t>
      </w:r>
      <w:hyperlink r:id="rId297">
        <w:r>
          <w:rPr>
            <w:rFonts w:ascii="Tahoma" w:eastAsia="Tahoma" w:hAnsi="Tahoma"/>
            <w:color w:val="0000FF"/>
            <w:sz w:val="14"/>
            <w:u w:val="single"/>
          </w:rPr>
          <w:t>https://www.vichealth.vic.gov.au/media-and-resources/publications/bright-f utures-spotlight-refugee-migrant-youth</w:t>
        </w:r>
      </w:hyperlink>
      <w:r>
        <w:rPr>
          <w:rFonts w:ascii="Tahoma" w:eastAsia="Tahoma" w:hAnsi="Tahoma"/>
          <w:color w:val="404042"/>
          <w:sz w:val="14"/>
        </w:rPr>
        <w:t>.</w:t>
      </w:r>
    </w:p>
    <w:p w14:paraId="1BE5F26D" w14:textId="77777777" w:rsidR="009757A9" w:rsidRDefault="00083242">
      <w:pPr>
        <w:spacing w:line="199" w:lineRule="exact"/>
        <w:ind w:left="1080" w:right="1872" w:hanging="216"/>
        <w:textAlignment w:val="baseline"/>
        <w:rPr>
          <w:rFonts w:ascii="Tahoma" w:eastAsia="Tahoma" w:hAnsi="Tahoma"/>
          <w:color w:val="404042"/>
          <w:sz w:val="14"/>
        </w:rPr>
      </w:pPr>
      <w:r>
        <w:rPr>
          <w:rFonts w:ascii="Tahoma" w:eastAsia="Tahoma" w:hAnsi="Tahoma"/>
          <w:color w:val="404042"/>
          <w:sz w:val="14"/>
        </w:rPr>
        <w:t xml:space="preserve">211 Australian Institute of Health and Welfare (2018), </w:t>
      </w:r>
      <w:r>
        <w:rPr>
          <w:rFonts w:ascii="Arial" w:eastAsia="Arial" w:hAnsi="Arial"/>
          <w:i/>
          <w:color w:val="404042"/>
          <w:sz w:val="14"/>
        </w:rPr>
        <w:t>Teenage Mothers in Australia 2015</w:t>
      </w:r>
      <w:r>
        <w:rPr>
          <w:rFonts w:ascii="Tahoma" w:eastAsia="Tahoma" w:hAnsi="Tahoma"/>
          <w:color w:val="404042"/>
          <w:sz w:val="14"/>
        </w:rPr>
        <w:t xml:space="preserve">, May 2018, pp. 2 and 7, </w:t>
      </w:r>
      <w:hyperlink r:id="rId298">
        <w:r>
          <w:rPr>
            <w:rFonts w:ascii="Tahoma" w:eastAsia="Tahoma" w:hAnsi="Tahoma"/>
            <w:color w:val="0000FF"/>
            <w:sz w:val="14"/>
            <w:u w:val="single"/>
          </w:rPr>
          <w:t xml:space="preserve">https://www.aihw.gov.au/ </w:t>
        </w:r>
      </w:hyperlink>
      <w:r>
        <w:rPr>
          <w:rFonts w:ascii="Tahoma" w:eastAsia="Tahoma" w:hAnsi="Tahoma"/>
          <w:color w:val="0000FF"/>
          <w:sz w:val="14"/>
          <w:u w:val="single"/>
        </w:rPr>
        <w:t>getmedia/6976ff0b-4649-4e3f-918f-849fc29d538f/aihw-per-93.pdf.aspx?inline=true</w:t>
      </w:r>
      <w:r>
        <w:rPr>
          <w:rFonts w:ascii="Tahoma" w:eastAsia="Tahoma" w:hAnsi="Tahoma"/>
          <w:color w:val="404042"/>
          <w:sz w:val="14"/>
        </w:rPr>
        <w:t>.</w:t>
      </w:r>
    </w:p>
    <w:p w14:paraId="5F920D26" w14:textId="77777777" w:rsidR="009757A9" w:rsidRDefault="00083242">
      <w:pPr>
        <w:spacing w:before="30" w:line="171" w:lineRule="exact"/>
        <w:ind w:left="864"/>
        <w:textAlignment w:val="baseline"/>
        <w:rPr>
          <w:rFonts w:ascii="Tahoma" w:eastAsia="Tahoma" w:hAnsi="Tahoma"/>
          <w:color w:val="404042"/>
          <w:spacing w:val="1"/>
          <w:sz w:val="14"/>
        </w:rPr>
      </w:pPr>
      <w:r>
        <w:rPr>
          <w:rFonts w:ascii="Tahoma" w:eastAsia="Tahoma" w:hAnsi="Tahoma"/>
          <w:color w:val="404042"/>
          <w:spacing w:val="1"/>
          <w:sz w:val="14"/>
        </w:rPr>
        <w:t>212 Ranasinghe et al. (2019), p. 11.</w:t>
      </w:r>
    </w:p>
    <w:p w14:paraId="010F4493" w14:textId="77777777" w:rsidR="009757A9" w:rsidRDefault="00083242">
      <w:pPr>
        <w:spacing w:before="3" w:line="200" w:lineRule="exact"/>
        <w:ind w:left="1080" w:right="1008" w:hanging="216"/>
        <w:textAlignment w:val="baseline"/>
        <w:rPr>
          <w:rFonts w:ascii="Tahoma" w:eastAsia="Tahoma" w:hAnsi="Tahoma"/>
          <w:color w:val="404042"/>
          <w:sz w:val="14"/>
        </w:rPr>
      </w:pPr>
      <w:r>
        <w:rPr>
          <w:rFonts w:ascii="Tahoma" w:eastAsia="Tahoma" w:hAnsi="Tahoma"/>
          <w:color w:val="404042"/>
          <w:sz w:val="14"/>
        </w:rPr>
        <w:t xml:space="preserve">213 Australian Human Rights Commission (2017), </w:t>
      </w:r>
      <w:r>
        <w:rPr>
          <w:rFonts w:ascii="Arial" w:eastAsia="Arial" w:hAnsi="Arial"/>
          <w:i/>
          <w:color w:val="404042"/>
          <w:sz w:val="14"/>
        </w:rPr>
        <w:t xml:space="preserve">The Rights and Needs of Young Parents and Their Children: A summary of key findings from the Children’s Rights Report 2017, </w:t>
      </w:r>
      <w:r>
        <w:rPr>
          <w:rFonts w:ascii="Tahoma" w:eastAsia="Tahoma" w:hAnsi="Tahoma"/>
          <w:color w:val="404042"/>
          <w:sz w:val="14"/>
        </w:rPr>
        <w:t xml:space="preserve">p. 4, </w:t>
      </w:r>
      <w:hyperlink r:id="rId299">
        <w:r>
          <w:rPr>
            <w:rFonts w:ascii="Tahoma" w:eastAsia="Tahoma" w:hAnsi="Tahoma"/>
            <w:color w:val="0000FF"/>
            <w:sz w:val="14"/>
            <w:u w:val="single"/>
          </w:rPr>
          <w:t>https://www.humanrights.gov.au/our-work/publications/summary-childrens-rights-report-2017</w:t>
        </w:r>
      </w:hyperlink>
      <w:r>
        <w:rPr>
          <w:rFonts w:ascii="Tahoma" w:eastAsia="Tahoma" w:hAnsi="Tahoma"/>
          <w:color w:val="404042"/>
          <w:sz w:val="14"/>
        </w:rPr>
        <w:t>.</w:t>
      </w:r>
    </w:p>
    <w:p w14:paraId="41C65FBE" w14:textId="77777777" w:rsidR="009757A9" w:rsidRDefault="00083242">
      <w:pPr>
        <w:spacing w:before="679" w:after="639" w:line="199"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9"/>
        </w:rPr>
        <w:t xml:space="preserve"> 131</w:t>
      </w:r>
    </w:p>
    <w:p w14:paraId="7253D988" w14:textId="77777777" w:rsidR="009757A9" w:rsidRDefault="00083242">
      <w:pPr>
        <w:textAlignment w:val="baseline"/>
      </w:pPr>
      <w:r>
        <w:rPr>
          <w:noProof/>
          <w:lang w:val="en-AU" w:eastAsia="en-AU"/>
        </w:rPr>
        <w:drawing>
          <wp:inline distT="0" distB="0" distL="0" distR="0" wp14:anchorId="3A79D699" wp14:editId="6F2A7F6D">
            <wp:extent cx="7562215" cy="462915"/>
            <wp:effectExtent l="0" t="0" r="0" b="0"/>
            <wp:docPr id="217" name="Picture"/>
            <wp:cNvGraphicFramePr/>
            <a:graphic xmlns:a="http://schemas.openxmlformats.org/drawingml/2006/main">
              <a:graphicData uri="http://schemas.openxmlformats.org/drawingml/2006/picture">
                <pic:pic xmlns:pic="http://schemas.openxmlformats.org/drawingml/2006/picture">
                  <pic:nvPicPr>
                    <pic:cNvPr id="217" name="Picture"/>
                    <pic:cNvPicPr preferRelativeResize="0"/>
                  </pic:nvPicPr>
                  <pic:blipFill>
                    <a:blip r:embed="rId27"/>
                    <a:stretch>
                      <a:fillRect/>
                    </a:stretch>
                  </pic:blipFill>
                  <pic:spPr>
                    <a:xfrm>
                      <a:off x="0" y="0"/>
                      <a:ext cx="7562215" cy="462915"/>
                    </a:xfrm>
                    <a:prstGeom prst="rect">
                      <a:avLst/>
                    </a:prstGeom>
                  </pic:spPr>
                </pic:pic>
              </a:graphicData>
            </a:graphic>
          </wp:inline>
        </w:drawing>
      </w:r>
    </w:p>
    <w:p w14:paraId="15CD3616" w14:textId="77777777" w:rsidR="009757A9" w:rsidRDefault="009757A9">
      <w:pPr>
        <w:sectPr w:rsidR="009757A9">
          <w:pgSz w:w="11909" w:h="16838"/>
          <w:pgMar w:top="1080" w:right="0" w:bottom="0" w:left="0" w:header="720" w:footer="720" w:gutter="0"/>
          <w:cols w:space="720"/>
        </w:sectPr>
      </w:pPr>
    </w:p>
    <w:p w14:paraId="7CA0B13F"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02784" behindDoc="1" locked="0" layoutInCell="1" allowOverlap="1" wp14:anchorId="4C675C40" wp14:editId="344AF392">
                <wp:simplePos x="0" y="0"/>
                <wp:positionH relativeFrom="page">
                  <wp:posOffset>539750</wp:posOffset>
                </wp:positionH>
                <wp:positionV relativeFrom="page">
                  <wp:posOffset>719455</wp:posOffset>
                </wp:positionV>
                <wp:extent cx="6492240" cy="8326755"/>
                <wp:effectExtent l="0" t="0" r="0" b="0"/>
                <wp:wrapSquare wrapText="bothSides"/>
                <wp:docPr id="40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8326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A7162" w14:textId="77777777" w:rsidR="00490F33" w:rsidRDefault="00490F33">
                            <w:pPr>
                              <w:textAlignment w:val="baseline"/>
                            </w:pPr>
                            <w:r>
                              <w:rPr>
                                <w:noProof/>
                                <w:lang w:val="en-AU" w:eastAsia="en-AU"/>
                              </w:rPr>
                              <w:drawing>
                                <wp:inline distT="0" distB="0" distL="0" distR="0" wp14:anchorId="60B29CF2" wp14:editId="27E08F13">
                                  <wp:extent cx="6492240" cy="8326755"/>
                                  <wp:effectExtent l="0" t="0" r="0" b="0"/>
                                  <wp:docPr id="218" name="Picture" descr="photos showing inside of the CCCares rooms"/>
                                  <wp:cNvGraphicFramePr/>
                                  <a:graphic xmlns:a="http://schemas.openxmlformats.org/drawingml/2006/main">
                                    <a:graphicData uri="http://schemas.openxmlformats.org/drawingml/2006/picture">
                                      <pic:pic xmlns:pic="http://schemas.openxmlformats.org/drawingml/2006/picture">
                                        <pic:nvPicPr>
                                          <pic:cNvPr id="218" name="Picture" descr="photos showing inside of the CCCares rooms"/>
                                          <pic:cNvPicPr preferRelativeResize="0"/>
                                        </pic:nvPicPr>
                                        <pic:blipFill>
                                          <a:blip r:embed="rId300"/>
                                          <a:stretch>
                                            <a:fillRect/>
                                          </a:stretch>
                                        </pic:blipFill>
                                        <pic:spPr>
                                          <a:xfrm>
                                            <a:off x="0" y="0"/>
                                            <a:ext cx="6492240" cy="83267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5C40" id="Text Box 122" o:spid="_x0000_s1363" type="#_x0000_t202" style="position:absolute;margin-left:42.5pt;margin-top:56.65pt;width:511.2pt;height:655.6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WM8wEAAMQDAAAOAAAAZHJzL2Uyb0RvYy54bWysU9tu2zAMfR+wfxD0vjhx0rQz4hRdiw4D&#10;ugvQ7gMYWY6F2aJGKbG7rx8lx1m3vQ17ESiSOjw8pDbXQ9eKoyZv0JZyMZtLoa3Cyth9Kb8+3b+5&#10;ksIHsBW0aHUpn7WX19vXrza9K3SODbaVJsEg1he9K2UTgiuyzKtGd+Bn6LTlYI3UQeAr7bOKoGf0&#10;rs3y+Xyd9UiVI1Tae/bejUG5Tfh1rVX4XNdeB9GWkrmFdFI6d/HMthso9gSuMepEA/6BRQfGctEz&#10;1B0EEAcyf0F1RhF6rMNMYZdhXRulUw/czWL+RzePDTidemFxvDvL5P8frPp0/ELCVKVczRdSWOh4&#10;SE96COIdDmKR51Gh3vmCEx8dp4aBAzzp1K13D6i+eWHxtgG71zdE2DcaKma4iC+zF09HHB9Bdv1H&#10;rLgQHAImoKGmLsrHgghG50k9n6cTySh2rldv83zFIcWxq2W+vry4SDWgmJ478uG9xk5Eo5TE40/w&#10;cHzwIdKBYkqJ1Szem7ZNK9Da3xycGD2JfmQ8cg/DbkhaLZeXky47rJ65I8JxtfgrsNEg/ZCi57Uq&#10;pf9+ANJStB8sqxJ3cDJoMnaTAVbx01IGKUbzNoy7enBk9g0jj7pbvGHlapN6ihKPLE6EeVVSq6e1&#10;jrv48p6yfn2+7U8AAAD//wMAUEsDBBQABgAIAAAAIQDGPLxM4QAAAAwBAAAPAAAAZHJzL2Rvd25y&#10;ZXYueG1sTI/BTsMwEETvSPyDtUjcqJ02hBLiVBWCExIiDQeOTuwmVuN1iN02/D3bE9x2d0azb4rN&#10;7AZ2MlOwHiUkCwHMYOu1xU7CZ/16twYWokKtBo9Gwo8JsCmvrwqVa3/Gypx2sWMUgiFXEvoYx5zz&#10;0PbGqbDwo0HS9n5yKtI6dVxP6kzhbuBLITLulEX60KvRPPemPeyOTsL2C6sX+/3efFT7ytb1o8C3&#10;7CDl7c28fQIWzRz/zHDBJ3QoianxR9SBDRLW91Ql0j1ZrYBdDIl4SIE1NKXLNANeFvx/ifIXAAD/&#10;/wMAUEsBAi0AFAAGAAgAAAAhALaDOJL+AAAA4QEAABMAAAAAAAAAAAAAAAAAAAAAAFtDb250ZW50&#10;X1R5cGVzXS54bWxQSwECLQAUAAYACAAAACEAOP0h/9YAAACUAQAACwAAAAAAAAAAAAAAAAAvAQAA&#10;X3JlbHMvLnJlbHNQSwECLQAUAAYACAAAACEAyIiFjPMBAADEAwAADgAAAAAAAAAAAAAAAAAuAgAA&#10;ZHJzL2Uyb0RvYy54bWxQSwECLQAUAAYACAAAACEAxjy8TOEAAAAMAQAADwAAAAAAAAAAAAAAAABN&#10;BAAAZHJzL2Rvd25yZXYueG1sUEsFBgAAAAAEAAQA8wAAAFsFAAAAAA==&#10;" filled="f" stroked="f">
                <v:textbox inset="0,0,0,0">
                  <w:txbxContent>
                    <w:p w14:paraId="21AA7162" w14:textId="77777777" w:rsidR="00490F33" w:rsidRDefault="00490F33">
                      <w:pPr>
                        <w:textAlignment w:val="baseline"/>
                      </w:pPr>
                      <w:r>
                        <w:rPr>
                          <w:noProof/>
                          <w:lang w:val="en-AU" w:eastAsia="en-AU"/>
                        </w:rPr>
                        <w:drawing>
                          <wp:inline distT="0" distB="0" distL="0" distR="0" wp14:anchorId="60B29CF2" wp14:editId="27E08F13">
                            <wp:extent cx="6492240" cy="8326755"/>
                            <wp:effectExtent l="0" t="0" r="0" b="0"/>
                            <wp:docPr id="218" name="Picture" descr="photos showing inside of the CCCares rooms"/>
                            <wp:cNvGraphicFramePr/>
                            <a:graphic xmlns:a="http://schemas.openxmlformats.org/drawingml/2006/main">
                              <a:graphicData uri="http://schemas.openxmlformats.org/drawingml/2006/picture">
                                <pic:pic xmlns:pic="http://schemas.openxmlformats.org/drawingml/2006/picture">
                                  <pic:nvPicPr>
                                    <pic:cNvPr id="218" name="Picture" descr="photos showing inside of the CCCares rooms"/>
                                    <pic:cNvPicPr preferRelativeResize="0"/>
                                  </pic:nvPicPr>
                                  <pic:blipFill>
                                    <a:blip r:embed="rId300"/>
                                    <a:stretch>
                                      <a:fillRect/>
                                    </a:stretch>
                                  </pic:blipFill>
                                  <pic:spPr>
                                    <a:xfrm>
                                      <a:off x="0" y="0"/>
                                      <a:ext cx="6492240" cy="832675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3808" behindDoc="1" locked="0" layoutInCell="1" allowOverlap="1" wp14:anchorId="3A6EE63B" wp14:editId="4B833622">
                <wp:simplePos x="0" y="0"/>
                <wp:positionH relativeFrom="page">
                  <wp:posOffset>4182110</wp:posOffset>
                </wp:positionH>
                <wp:positionV relativeFrom="page">
                  <wp:posOffset>953770</wp:posOffset>
                </wp:positionV>
                <wp:extent cx="2474595" cy="1217295"/>
                <wp:effectExtent l="0" t="0" r="0" b="0"/>
                <wp:wrapSquare wrapText="bothSides"/>
                <wp:docPr id="40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B8A4F" w14:textId="77777777" w:rsidR="00490F33" w:rsidRDefault="00490F33">
                            <w:pPr>
                              <w:spacing w:line="238" w:lineRule="exact"/>
                              <w:textAlignment w:val="baseline"/>
                              <w:rPr>
                                <w:rFonts w:ascii="Tahoma" w:eastAsia="Tahoma" w:hAnsi="Tahoma"/>
                                <w:color w:val="414042"/>
                                <w:spacing w:val="1"/>
                                <w:sz w:val="18"/>
                              </w:rPr>
                            </w:pPr>
                            <w:r>
                              <w:rPr>
                                <w:rFonts w:ascii="Tahoma" w:eastAsia="Tahoma" w:hAnsi="Tahoma"/>
                                <w:color w:val="414042"/>
                                <w:spacing w:val="1"/>
                                <w:sz w:val="18"/>
                              </w:rPr>
                              <w:t xml:space="preserve">Students and their children are provided with transport to and from the school, and children are cared for within the onsite childcare environment, which includes indoor and outdoor play spaces where children can </w:t>
                            </w:r>
                            <w:r>
                              <w:rPr>
                                <w:rFonts w:ascii="Verdana" w:eastAsia="Verdana" w:hAnsi="Verdana"/>
                                <w:color w:val="414042"/>
                                <w:spacing w:val="1"/>
                                <w:sz w:val="18"/>
                              </w:rPr>
                              <w:t xml:space="preserve">further develop fine and gross motor skills </w:t>
                            </w:r>
                            <w:r>
                              <w:rPr>
                                <w:rFonts w:ascii="Tahoma" w:eastAsia="Tahoma" w:hAnsi="Tahoma"/>
                                <w:color w:val="414042"/>
                                <w:spacing w:val="1"/>
                                <w:sz w:val="18"/>
                              </w:rPr>
                              <w:t>and learn how to play in an appropriate and safe manner.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EE63B" id="Text Box 121" o:spid="_x0000_s1364" type="#_x0000_t202" style="position:absolute;margin-left:329.3pt;margin-top:75.1pt;width:194.85pt;height:95.8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2ZI8AEAAMQDAAAOAAAAZHJzL2Uyb0RvYy54bWysU9tu1DAQfUfiHyy/s8mmW1qizValVRFS&#10;KUgtH+A4zsYi9pixd5Pl6xk7m6Wlb4gXazyX4zNnxuur0fRsr9BrsBVfLnLOlJXQaLut+Penu3eX&#10;nPkgbCN6sKriB+X51ebtm/XgSlVAB32jkBGI9eXgKt6F4Mos87JTRvgFOGUp2AIaEeiK26xBMRC6&#10;6bMiz99nA2DjEKTynry3U5BvEn7bKhm+tq1XgfUVJ24hnZjOOp7ZZi3KLQrXaXmkIf6BhRHa0qMn&#10;qFsRBNuhfgVltETw0IaFBJNB22qpUg/UzTL/q5vHTjiVeiFxvDvJ5P8frHzYf0Omm4qvctLHCkND&#10;elJjYB9hZMtiGRUanC8p8dFRahgpQJNO3Xp3D/KHZxZuOmG36hoRhk6JhhimyuxZ6YTjI0g9fIGG&#10;HhK7AAlobNFE+UgQRujE5HCaTiQjyVmsLlbnH845kxQjZhcFXYhdJsq53KEPnxQYFo2KI40/wYv9&#10;vQ9T6pwSX7Nwp/s+rUBvXzgIM3oS/ch44h7GekxanZ1dzrrU0ByoI4RptegrkNEB/uJsoLWquP+5&#10;E6g46z9bUiXu4GzgbNSzIayk0ooHzibzJky7unOotx0hT7pbuCblWp16ihJPLI6EaVWSKse1jrv4&#10;/J6y/ny+zW8AAAD//wMAUEsDBBQABgAIAAAAIQCpuPm54QAAAAwBAAAPAAAAZHJzL2Rvd25yZXYu&#10;eG1sTI/LTsMwEEX3SPyDNUjsqN1XlIY4VYVghYRIw4KlE08Tq/E4xG4b/h53VZaje3TvmXw72Z6d&#10;cfTGkYT5TABDapw21Er4qt6eUmA+KNKqd4QSftHDtri/y1Wm3YVKPO9Dy2IJ+UxJ6EIYMs5906FV&#10;fuYGpJgd3GhViOfYcj2qSyy3PV8IkXCrDMWFTg340mFz3J+shN03la/m56P+LA+lqaqNoPfkKOXj&#10;w7R7BhZwCjcYrvpRHYroVLsTac96Cck6TSIag7VYALsSYpUugdUSlqv5BniR8/9PFH8AAAD//wMA&#10;UEsBAi0AFAAGAAgAAAAhALaDOJL+AAAA4QEAABMAAAAAAAAAAAAAAAAAAAAAAFtDb250ZW50X1R5&#10;cGVzXS54bWxQSwECLQAUAAYACAAAACEAOP0h/9YAAACUAQAACwAAAAAAAAAAAAAAAAAvAQAAX3Jl&#10;bHMvLnJlbHNQSwECLQAUAAYACAAAACEA5MdmSPABAADEAwAADgAAAAAAAAAAAAAAAAAuAgAAZHJz&#10;L2Uyb0RvYy54bWxQSwECLQAUAAYACAAAACEAqbj5ueEAAAAMAQAADwAAAAAAAAAAAAAAAABKBAAA&#10;ZHJzL2Rvd25yZXYueG1sUEsFBgAAAAAEAAQA8wAAAFgFAAAAAA==&#10;" filled="f" stroked="f">
                <v:textbox inset="0,0,0,0">
                  <w:txbxContent>
                    <w:p w14:paraId="19EB8A4F" w14:textId="77777777" w:rsidR="00490F33" w:rsidRDefault="00490F33">
                      <w:pPr>
                        <w:spacing w:line="238" w:lineRule="exact"/>
                        <w:textAlignment w:val="baseline"/>
                        <w:rPr>
                          <w:rFonts w:ascii="Tahoma" w:eastAsia="Tahoma" w:hAnsi="Tahoma"/>
                          <w:color w:val="414042"/>
                          <w:spacing w:val="1"/>
                          <w:sz w:val="18"/>
                        </w:rPr>
                      </w:pPr>
                      <w:r>
                        <w:rPr>
                          <w:rFonts w:ascii="Tahoma" w:eastAsia="Tahoma" w:hAnsi="Tahoma"/>
                          <w:color w:val="414042"/>
                          <w:spacing w:val="1"/>
                          <w:sz w:val="18"/>
                        </w:rPr>
                        <w:t xml:space="preserve">Students and their children are provided with transport to and from the school, and children are cared for within the onsite childcare environment, which includes indoor and outdoor play spaces where children can </w:t>
                      </w:r>
                      <w:r>
                        <w:rPr>
                          <w:rFonts w:ascii="Verdana" w:eastAsia="Verdana" w:hAnsi="Verdana"/>
                          <w:color w:val="414042"/>
                          <w:spacing w:val="1"/>
                          <w:sz w:val="18"/>
                        </w:rPr>
                        <w:t xml:space="preserve">further develop fine and gross motor skills </w:t>
                      </w:r>
                      <w:r>
                        <w:rPr>
                          <w:rFonts w:ascii="Tahoma" w:eastAsia="Tahoma" w:hAnsi="Tahoma"/>
                          <w:color w:val="414042"/>
                          <w:spacing w:val="1"/>
                          <w:sz w:val="18"/>
                        </w:rPr>
                        <w:t>and learn how to play in an appropriate and safe manner.</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4832" behindDoc="1" locked="0" layoutInCell="1" allowOverlap="1" wp14:anchorId="03C081E2" wp14:editId="0B43722D">
                <wp:simplePos x="0" y="0"/>
                <wp:positionH relativeFrom="page">
                  <wp:posOffset>835025</wp:posOffset>
                </wp:positionH>
                <wp:positionV relativeFrom="page">
                  <wp:posOffset>982980</wp:posOffset>
                </wp:positionV>
                <wp:extent cx="2450465" cy="1428115"/>
                <wp:effectExtent l="0" t="0" r="0" b="0"/>
                <wp:wrapSquare wrapText="bothSides"/>
                <wp:docPr id="39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1DF79" w14:textId="77777777" w:rsidR="00490F33" w:rsidRDefault="00490F33">
                            <w:pPr>
                              <w:spacing w:line="442" w:lineRule="exact"/>
                              <w:textAlignment w:val="baseline"/>
                              <w:rPr>
                                <w:rFonts w:ascii="Arial" w:eastAsia="Arial" w:hAnsi="Arial"/>
                                <w:b/>
                                <w:color w:val="BF5B20"/>
                                <w:spacing w:val="7"/>
                                <w:w w:val="90"/>
                                <w:sz w:val="39"/>
                              </w:rPr>
                            </w:pPr>
                            <w:r>
                              <w:rPr>
                                <w:rFonts w:ascii="Arial" w:eastAsia="Arial" w:hAnsi="Arial"/>
                                <w:b/>
                                <w:color w:val="BF5B20"/>
                                <w:spacing w:val="7"/>
                                <w:w w:val="90"/>
                                <w:sz w:val="39"/>
                              </w:rPr>
                              <w:t>CASE STUDY:</w:t>
                            </w:r>
                          </w:p>
                          <w:p w14:paraId="3EC714AD" w14:textId="77777777" w:rsidR="00490F33" w:rsidRDefault="00490F33">
                            <w:pPr>
                              <w:spacing w:line="425" w:lineRule="exact"/>
                              <w:textAlignment w:val="baseline"/>
                              <w:rPr>
                                <w:rFonts w:ascii="Tahoma" w:eastAsia="Tahoma" w:hAnsi="Tahoma"/>
                                <w:color w:val="BF5B20"/>
                                <w:spacing w:val="10"/>
                                <w:w w:val="95"/>
                                <w:sz w:val="38"/>
                              </w:rPr>
                            </w:pPr>
                            <w:r>
                              <w:rPr>
                                <w:rFonts w:ascii="Tahoma" w:eastAsia="Tahoma" w:hAnsi="Tahoma"/>
                                <w:color w:val="BF5B20"/>
                                <w:spacing w:val="10"/>
                                <w:w w:val="95"/>
                                <w:sz w:val="38"/>
                              </w:rPr>
                              <w:t>CCCARES AT</w:t>
                            </w:r>
                          </w:p>
                          <w:p w14:paraId="76710404" w14:textId="77777777" w:rsidR="00490F33" w:rsidRDefault="00490F33">
                            <w:pPr>
                              <w:spacing w:line="460" w:lineRule="exact"/>
                              <w:textAlignment w:val="baseline"/>
                              <w:rPr>
                                <w:rFonts w:ascii="Tahoma" w:eastAsia="Tahoma" w:hAnsi="Tahoma"/>
                                <w:color w:val="BF5B20"/>
                                <w:spacing w:val="15"/>
                                <w:w w:val="95"/>
                                <w:sz w:val="38"/>
                              </w:rPr>
                            </w:pPr>
                            <w:r>
                              <w:rPr>
                                <w:rFonts w:ascii="Tahoma" w:eastAsia="Tahoma" w:hAnsi="Tahoma"/>
                                <w:color w:val="BF5B20"/>
                                <w:spacing w:val="15"/>
                                <w:w w:val="95"/>
                                <w:sz w:val="38"/>
                              </w:rPr>
                              <w:t>CANBERRA COLLEGE,</w:t>
                            </w:r>
                          </w:p>
                          <w:p w14:paraId="68B3FF1E" w14:textId="77777777" w:rsidR="00490F33" w:rsidRDefault="00490F33">
                            <w:pPr>
                              <w:spacing w:before="1" w:line="460" w:lineRule="exact"/>
                              <w:textAlignment w:val="baseline"/>
                              <w:rPr>
                                <w:rFonts w:ascii="Tahoma" w:eastAsia="Tahoma" w:hAnsi="Tahoma"/>
                                <w:color w:val="BF5B20"/>
                                <w:spacing w:val="9"/>
                                <w:w w:val="95"/>
                                <w:sz w:val="38"/>
                              </w:rPr>
                            </w:pPr>
                            <w:r>
                              <w:rPr>
                                <w:rFonts w:ascii="Tahoma" w:eastAsia="Tahoma" w:hAnsi="Tahoma"/>
                                <w:color w:val="BF5B20"/>
                                <w:spacing w:val="9"/>
                                <w:w w:val="95"/>
                                <w:sz w:val="38"/>
                              </w:rPr>
                              <w:t>AUSTRALIAN CAPITAL</w:t>
                            </w:r>
                          </w:p>
                          <w:p w14:paraId="5C4F10DE" w14:textId="77777777" w:rsidR="00490F33" w:rsidRDefault="00490F33">
                            <w:pPr>
                              <w:spacing w:before="1" w:line="450" w:lineRule="exact"/>
                              <w:textAlignment w:val="baseline"/>
                              <w:rPr>
                                <w:rFonts w:ascii="Tahoma" w:eastAsia="Tahoma" w:hAnsi="Tahoma"/>
                                <w:color w:val="BF5B20"/>
                                <w:spacing w:val="6"/>
                                <w:w w:val="95"/>
                                <w:sz w:val="38"/>
                              </w:rPr>
                            </w:pPr>
                            <w:r>
                              <w:rPr>
                                <w:rFonts w:ascii="Tahoma" w:eastAsia="Tahoma" w:hAnsi="Tahoma"/>
                                <w:color w:val="BF5B20"/>
                                <w:spacing w:val="6"/>
                                <w:w w:val="95"/>
                                <w:sz w:val="38"/>
                              </w:rPr>
                              <w:t>TERRITORY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081E2" id="Text Box 120" o:spid="_x0000_s1365" type="#_x0000_t202" style="position:absolute;margin-left:65.75pt;margin-top:77.4pt;width:192.95pt;height:112.4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e28wEAAMQDAAAOAAAAZHJzL2Uyb0RvYy54bWysU9tu2zAMfR+wfxD0vjhOk6Ix4hRdiw4D&#10;ugvQ7gMYWY6F2aJGKbGzrx8lJ2m3vRV9ESiJOjznkFpdD10r9pq8QVvKfDKVQluFlbHbUv54uv9w&#10;JYUPYCto0epSHrSX1+v371a9K/QMG2wrTYJBrC96V8omBFdkmVeN7sBP0GnLlzVSB4G3tM0qgp7R&#10;uzabTaeXWY9UOUKlvefTu/FSrhN+XWsVvtW110G0pWRuIa2U1k1cs/UKii2Ba4w60oBXsOjAWC56&#10;hrqDAGJH5j+ozihCj3WYKOwyrGujdNLAavLpP2oeG3A6aWFzvDvb5N8OVn3dfydhqlJeLJdSWOi4&#10;SU96COIjDiKfJYd65wtOfHScGga+4E4ntd49oPrphcXbBuxW3xBh32iomGEevc1ePI098YWPIJv+&#10;C1ZcCHYBE9BQUxftY0MEo3OnDufuRDKKD2fzxXR+uZBC8V0+n13l+SLVgOL03JEPnzR2IgalJG5/&#10;gof9gw+RDhSnlFjN4r1p2zQCrf3rgBPjSaIfGY/cw7AZRq8ulrFy1LPB6sCKCMfR4q/AQYP0W4qe&#10;x6qU/tcOSEvRfrbsSpzBU0CnYHMKwCp+WsogxRjehnFWd47MtmHk0XeLN+xcbZKmZxZHwjwqSepx&#10;rOMsvtynrOfPt/4DAAD//wMAUEsDBBQABgAIAAAAIQAt65e84AAAAAsBAAAPAAAAZHJzL2Rvd25y&#10;ZXYueG1sTI9NT4NAEIbvJv6HzZh4swu2FIssTWP0ZGKkePC4wBQ2ZWeR3bb47x1Peps38+T9yLez&#10;HcQZJ28cKYgXEQikxrWGOgUf1cvdAwgfNLV6cIQKvtHDtri+ynXWuguVeN6HTrAJ+Uwr6EMYMyl9&#10;06PVfuFGJP4d3GR1YDl1sp30hc3tIO+jaC2tNsQJvR7xqcfmuD9ZBbtPKp/N11v9Xh5KU1WbiF7X&#10;R6Vub+bdI4iAc/iD4bc+V4eCO9XuRK0XA+tlnDDKR7LiDUwkcboCUStYppsUZJHL/xuKHwAAAP//&#10;AwBQSwECLQAUAAYACAAAACEAtoM4kv4AAADhAQAAEwAAAAAAAAAAAAAAAAAAAAAAW0NvbnRlbnRf&#10;VHlwZXNdLnhtbFBLAQItABQABgAIAAAAIQA4/SH/1gAAAJQBAAALAAAAAAAAAAAAAAAAAC8BAABf&#10;cmVscy8ucmVsc1BLAQItABQABgAIAAAAIQAY0ce28wEAAMQDAAAOAAAAAAAAAAAAAAAAAC4CAABk&#10;cnMvZTJvRG9jLnhtbFBLAQItABQABgAIAAAAIQAt65e84AAAAAsBAAAPAAAAAAAAAAAAAAAAAE0E&#10;AABkcnMvZG93bnJldi54bWxQSwUGAAAAAAQABADzAAAAWgUAAAAA&#10;" filled="f" stroked="f">
                <v:textbox inset="0,0,0,0">
                  <w:txbxContent>
                    <w:p w14:paraId="4D61DF79" w14:textId="77777777" w:rsidR="00490F33" w:rsidRDefault="00490F33">
                      <w:pPr>
                        <w:spacing w:line="442" w:lineRule="exact"/>
                        <w:textAlignment w:val="baseline"/>
                        <w:rPr>
                          <w:rFonts w:ascii="Arial" w:eastAsia="Arial" w:hAnsi="Arial"/>
                          <w:b/>
                          <w:color w:val="BF5B20"/>
                          <w:spacing w:val="7"/>
                          <w:w w:val="90"/>
                          <w:sz w:val="39"/>
                        </w:rPr>
                      </w:pPr>
                      <w:r>
                        <w:rPr>
                          <w:rFonts w:ascii="Arial" w:eastAsia="Arial" w:hAnsi="Arial"/>
                          <w:b/>
                          <w:color w:val="BF5B20"/>
                          <w:spacing w:val="7"/>
                          <w:w w:val="90"/>
                          <w:sz w:val="39"/>
                        </w:rPr>
                        <w:t>CASE STUDY:</w:t>
                      </w:r>
                    </w:p>
                    <w:p w14:paraId="3EC714AD" w14:textId="77777777" w:rsidR="00490F33" w:rsidRDefault="00490F33">
                      <w:pPr>
                        <w:spacing w:line="425" w:lineRule="exact"/>
                        <w:textAlignment w:val="baseline"/>
                        <w:rPr>
                          <w:rFonts w:ascii="Tahoma" w:eastAsia="Tahoma" w:hAnsi="Tahoma"/>
                          <w:color w:val="BF5B20"/>
                          <w:spacing w:val="10"/>
                          <w:w w:val="95"/>
                          <w:sz w:val="38"/>
                        </w:rPr>
                      </w:pPr>
                      <w:r>
                        <w:rPr>
                          <w:rFonts w:ascii="Tahoma" w:eastAsia="Tahoma" w:hAnsi="Tahoma"/>
                          <w:color w:val="BF5B20"/>
                          <w:spacing w:val="10"/>
                          <w:w w:val="95"/>
                          <w:sz w:val="38"/>
                        </w:rPr>
                        <w:t>CCCARES AT</w:t>
                      </w:r>
                    </w:p>
                    <w:p w14:paraId="76710404" w14:textId="77777777" w:rsidR="00490F33" w:rsidRDefault="00490F33">
                      <w:pPr>
                        <w:spacing w:line="460" w:lineRule="exact"/>
                        <w:textAlignment w:val="baseline"/>
                        <w:rPr>
                          <w:rFonts w:ascii="Tahoma" w:eastAsia="Tahoma" w:hAnsi="Tahoma"/>
                          <w:color w:val="BF5B20"/>
                          <w:spacing w:val="15"/>
                          <w:w w:val="95"/>
                          <w:sz w:val="38"/>
                        </w:rPr>
                      </w:pPr>
                      <w:r>
                        <w:rPr>
                          <w:rFonts w:ascii="Tahoma" w:eastAsia="Tahoma" w:hAnsi="Tahoma"/>
                          <w:color w:val="BF5B20"/>
                          <w:spacing w:val="15"/>
                          <w:w w:val="95"/>
                          <w:sz w:val="38"/>
                        </w:rPr>
                        <w:t>CANBERRA COLLEGE,</w:t>
                      </w:r>
                    </w:p>
                    <w:p w14:paraId="68B3FF1E" w14:textId="77777777" w:rsidR="00490F33" w:rsidRDefault="00490F33">
                      <w:pPr>
                        <w:spacing w:before="1" w:line="460" w:lineRule="exact"/>
                        <w:textAlignment w:val="baseline"/>
                        <w:rPr>
                          <w:rFonts w:ascii="Tahoma" w:eastAsia="Tahoma" w:hAnsi="Tahoma"/>
                          <w:color w:val="BF5B20"/>
                          <w:spacing w:val="9"/>
                          <w:w w:val="95"/>
                          <w:sz w:val="38"/>
                        </w:rPr>
                      </w:pPr>
                      <w:r>
                        <w:rPr>
                          <w:rFonts w:ascii="Tahoma" w:eastAsia="Tahoma" w:hAnsi="Tahoma"/>
                          <w:color w:val="BF5B20"/>
                          <w:spacing w:val="9"/>
                          <w:w w:val="95"/>
                          <w:sz w:val="38"/>
                        </w:rPr>
                        <w:t>AUSTRALIAN CAPITAL</w:t>
                      </w:r>
                    </w:p>
                    <w:p w14:paraId="5C4F10DE" w14:textId="77777777" w:rsidR="00490F33" w:rsidRDefault="00490F33">
                      <w:pPr>
                        <w:spacing w:before="1" w:line="450" w:lineRule="exact"/>
                        <w:textAlignment w:val="baseline"/>
                        <w:rPr>
                          <w:rFonts w:ascii="Tahoma" w:eastAsia="Tahoma" w:hAnsi="Tahoma"/>
                          <w:color w:val="BF5B20"/>
                          <w:spacing w:val="6"/>
                          <w:w w:val="95"/>
                          <w:sz w:val="38"/>
                        </w:rPr>
                      </w:pPr>
                      <w:r>
                        <w:rPr>
                          <w:rFonts w:ascii="Tahoma" w:eastAsia="Tahoma" w:hAnsi="Tahoma"/>
                          <w:color w:val="BF5B20"/>
                          <w:spacing w:val="6"/>
                          <w:w w:val="95"/>
                          <w:sz w:val="38"/>
                        </w:rPr>
                        <w:t>TERRITORY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5856" behindDoc="1" locked="0" layoutInCell="1" allowOverlap="1" wp14:anchorId="357FEF3B" wp14:editId="08097DD5">
                <wp:simplePos x="0" y="0"/>
                <wp:positionH relativeFrom="page">
                  <wp:posOffset>4182110</wp:posOffset>
                </wp:positionH>
                <wp:positionV relativeFrom="page">
                  <wp:posOffset>2287270</wp:posOffset>
                </wp:positionV>
                <wp:extent cx="2468880" cy="1059180"/>
                <wp:effectExtent l="0" t="0" r="0" b="0"/>
                <wp:wrapSquare wrapText="bothSides"/>
                <wp:docPr id="39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05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66270" w14:textId="77777777" w:rsidR="00490F33" w:rsidRDefault="00490F33">
                            <w:pPr>
                              <w:spacing w:line="236" w:lineRule="exact"/>
                              <w:textAlignment w:val="baseline"/>
                              <w:rPr>
                                <w:rFonts w:ascii="Tahoma" w:eastAsia="Tahoma" w:hAnsi="Tahoma"/>
                                <w:color w:val="414042"/>
                                <w:spacing w:val="1"/>
                                <w:sz w:val="18"/>
                              </w:rPr>
                            </w:pPr>
                            <w:r>
                              <w:rPr>
                                <w:rFonts w:ascii="Tahoma" w:eastAsia="Tahoma" w:hAnsi="Tahoma"/>
                                <w:color w:val="414042"/>
                                <w:spacing w:val="1"/>
                                <w:sz w:val="18"/>
                              </w:rPr>
                              <w:t xml:space="preserve">Positive outcomes indicating the success of </w:t>
                            </w:r>
                            <w:r>
                              <w:rPr>
                                <w:rFonts w:ascii="Verdana" w:eastAsia="Verdana" w:hAnsi="Verdana"/>
                                <w:color w:val="414042"/>
                                <w:spacing w:val="1"/>
                                <w:sz w:val="18"/>
                              </w:rPr>
                              <w:t xml:space="preserve">CCCares include students finishing school, finding a job, feeling ready to leave the </w:t>
                            </w:r>
                            <w:r>
                              <w:rPr>
                                <w:rFonts w:ascii="Tahoma" w:eastAsia="Tahoma" w:hAnsi="Tahoma"/>
                                <w:color w:val="414042"/>
                                <w:spacing w:val="1"/>
                                <w:sz w:val="18"/>
                              </w:rPr>
                              <w:t>program, developing life skills and knowledge to help with bills or housing, developing a sense of belonging, and feeling they can contribute to their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FEF3B" id="Text Box 119" o:spid="_x0000_s1366" type="#_x0000_t202" style="position:absolute;margin-left:329.3pt;margin-top:180.1pt;width:194.4pt;height:83.4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197wEAAMQDAAAOAAAAZHJzL2Uyb0RvYy54bWysU9tu2zAMfR+wfxD0vtjOuiIx4hRdiw4D&#10;ugvQ7gMYWY6F2aJGKbGzrx8lJ2m3vRV9ESiSOjw8pFZXY9+JvSZv0FaymOVSaKuwNnZbyR+Pd+8W&#10;UvgAtoYOra7kQXt5tX77ZjW4Us+xxa7WJBjE+nJwlWxDcGWWedXqHvwMnbYcbJB6CHylbVYTDIze&#10;d9k8zy+zAal2hEp7z97bKSjXCb9ptArfmsbrILpKMreQTkrnJp7ZegXllsC1Rh1pwAtY9GAsFz1D&#10;3UIAsSPzH1RvFKHHJswU9hk2jVE69cDdFPk/3Ty04HTqhcXx7iyTfz1Y9XX/nYSpK/l+yaOy0POQ&#10;HvUYxEccRVEso0KD8yUnPjhODSMHeNKpW+/uUf30wuJNC3arr4lwaDXUzLCIL7NnTyccH0E2wxes&#10;uRDsAiagsaE+yseCCEbnSR3O04lkFDvnF5eLxYJDimNF/mFZ8CXWgPL03JEPnzT2IhqVJB5/gof9&#10;vQ9T6iklVrN4Z7qO/VB29i8HY0ZPoh8ZT9zDuBknrS5S5djcBusDd0Q4rRZ/BTZapN9SDLxWlfS/&#10;dkBaiu6zZVXiDp4MOhmbkwFW8dNKBikm8yZMu7pzZLYtI0+6W7xm5RqTenpicSTMq5JUOa513MXn&#10;95T19PnWfwAAAP//AwBQSwMEFAAGAAgAAAAhACBPBB7hAAAADAEAAA8AAABkcnMvZG93bnJldi54&#10;bWxMj8FOwzAQRO9I/IO1SNyoTWjTNsSpKgQnJEQaDj068TaxGq9D7Lbh73FPcFzN08zbfDPZnp1x&#10;9MaRhMeZAIbUOG2olfBVvT2sgPmgSKveEUr4QQ+b4vYmV5l2FyrxvAstiyXkMyWhC2HIOPdNh1b5&#10;mRuQYnZwo1UhnmPL9agusdz2PBEi5VYZigudGvClw+a4O1kJ2z2Vr+b7o/4sD6WpqrWg9/Qo5f3d&#10;tH0GFnAKfzBc9aM6FNGpdifSnvUS0sUqjaiEp1QkwK6EmC/nwGoJi2QpgBc5//9E8QsAAP//AwBQ&#10;SwECLQAUAAYACAAAACEAtoM4kv4AAADhAQAAEwAAAAAAAAAAAAAAAAAAAAAAW0NvbnRlbnRfVHlw&#10;ZXNdLnhtbFBLAQItABQABgAIAAAAIQA4/SH/1gAAAJQBAAALAAAAAAAAAAAAAAAAAC8BAABfcmVs&#10;cy8ucmVsc1BLAQItABQABgAIAAAAIQC7kl197wEAAMQDAAAOAAAAAAAAAAAAAAAAAC4CAABkcnMv&#10;ZTJvRG9jLnhtbFBLAQItABQABgAIAAAAIQAgTwQe4QAAAAwBAAAPAAAAAAAAAAAAAAAAAEkEAABk&#10;cnMvZG93bnJldi54bWxQSwUGAAAAAAQABADzAAAAVwUAAAAA&#10;" filled="f" stroked="f">
                <v:textbox inset="0,0,0,0">
                  <w:txbxContent>
                    <w:p w14:paraId="1C466270" w14:textId="77777777" w:rsidR="00490F33" w:rsidRDefault="00490F33">
                      <w:pPr>
                        <w:spacing w:line="236" w:lineRule="exact"/>
                        <w:textAlignment w:val="baseline"/>
                        <w:rPr>
                          <w:rFonts w:ascii="Tahoma" w:eastAsia="Tahoma" w:hAnsi="Tahoma"/>
                          <w:color w:val="414042"/>
                          <w:spacing w:val="1"/>
                          <w:sz w:val="18"/>
                        </w:rPr>
                      </w:pPr>
                      <w:r>
                        <w:rPr>
                          <w:rFonts w:ascii="Tahoma" w:eastAsia="Tahoma" w:hAnsi="Tahoma"/>
                          <w:color w:val="414042"/>
                          <w:spacing w:val="1"/>
                          <w:sz w:val="18"/>
                        </w:rPr>
                        <w:t xml:space="preserve">Positive outcomes indicating the success of </w:t>
                      </w:r>
                      <w:r>
                        <w:rPr>
                          <w:rFonts w:ascii="Verdana" w:eastAsia="Verdana" w:hAnsi="Verdana"/>
                          <w:color w:val="414042"/>
                          <w:spacing w:val="1"/>
                          <w:sz w:val="18"/>
                        </w:rPr>
                        <w:t xml:space="preserve">CCCares include students finishing school, finding a job, feeling ready to leave the </w:t>
                      </w:r>
                      <w:r>
                        <w:rPr>
                          <w:rFonts w:ascii="Tahoma" w:eastAsia="Tahoma" w:hAnsi="Tahoma"/>
                          <w:color w:val="414042"/>
                          <w:spacing w:val="1"/>
                          <w:sz w:val="18"/>
                        </w:rPr>
                        <w:t>program, developing life skills and knowledge to help with bills or housing, developing a sense of belonging, and feeling they can contribute to their community.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6880" behindDoc="1" locked="0" layoutInCell="1" allowOverlap="1" wp14:anchorId="6F2D0E39" wp14:editId="2E87833D">
                <wp:simplePos x="0" y="0"/>
                <wp:positionH relativeFrom="page">
                  <wp:posOffset>905510</wp:posOffset>
                </wp:positionH>
                <wp:positionV relativeFrom="page">
                  <wp:posOffset>2585720</wp:posOffset>
                </wp:positionV>
                <wp:extent cx="2438400" cy="1221105"/>
                <wp:effectExtent l="0" t="0" r="0" b="0"/>
                <wp:wrapSquare wrapText="bothSides"/>
                <wp:docPr id="39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61D0F" w14:textId="77777777" w:rsidR="00490F33" w:rsidRDefault="00490F33">
                            <w:pPr>
                              <w:spacing w:before="3" w:line="239" w:lineRule="exact"/>
                              <w:textAlignment w:val="baseline"/>
                              <w:rPr>
                                <w:rFonts w:ascii="Tahoma" w:eastAsia="Tahoma" w:hAnsi="Tahoma"/>
                                <w:color w:val="414042"/>
                                <w:sz w:val="18"/>
                              </w:rPr>
                            </w:pPr>
                            <w:r>
                              <w:rPr>
                                <w:rFonts w:ascii="Tahoma" w:eastAsia="Tahoma" w:hAnsi="Tahoma"/>
                                <w:color w:val="414042"/>
                                <w:sz w:val="18"/>
                              </w:rPr>
                              <w:t xml:space="preserve">Established in 2005, CCCares at Canberra College is an alternative education program for pregnant and parenting students from the ACT and surrounding region to complete </w:t>
                            </w:r>
                            <w:r>
                              <w:rPr>
                                <w:rFonts w:ascii="Verdana" w:eastAsia="Verdana" w:hAnsi="Verdana"/>
                                <w:color w:val="414042"/>
                                <w:sz w:val="18"/>
                              </w:rPr>
                              <w:t xml:space="preserve">their Year 12 certificate and gain vocational qualifications. In 2019, the program </w:t>
                            </w:r>
                            <w:r>
                              <w:rPr>
                                <w:rFonts w:ascii="Tahoma" w:eastAsia="Tahoma" w:hAnsi="Tahoma"/>
                                <w:color w:val="414042"/>
                                <w:sz w:val="18"/>
                              </w:rPr>
                              <w:t>supported around 154 students aged in their early teens to late twenties.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D0E39" id="Text Box 118" o:spid="_x0000_s1367" type="#_x0000_t202" style="position:absolute;margin-left:71.3pt;margin-top:203.6pt;width:192pt;height:96.1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On8AEAAMQDAAAOAAAAZHJzL2Uyb0RvYy54bWysU9tu2zAMfR+wfxD0vthOsy0z4hRdiw4D&#10;ugvQ7gMYWY6F2aJGKbGzrx8lJ2m7vg17ESiROjrnkFpdjn0n9pq8QVvJYpZLoa3C2thtJX883L5Z&#10;SuED2Bo6tLqSB+3l5fr1q9XgSj3HFrtak2AQ68vBVbINwZVZ5lWre/AzdNpyskHqIfCWtllNMDB6&#10;32XzPH+XDUi1I1Taez69mZJynfCbRqvwrWm8DqKrJHMLaaW0buKarVdQbglca9SRBvwDix6M5UfP&#10;UDcQQOzIvIDqjSL02ISZwj7DpjFKJw2spsj/UnPfgtNJC5vj3dkm//9g1df9dxKmruTFh/dSWOi5&#10;SQ96DOIjjqIoltGhwfmSC+8dl4aRE9zppNa7O1Q/vbB43YLd6isiHFoNNTMs4s3sydUJx0eQzfAF&#10;a34IdgET0NhQH+1jQwSjc6cO5+5EMooP54uL5SLnlOJcMZ8XRf42vQHl6bojHz5p7EUMKknc/gQP&#10;+zsfIh0oTyXxNYu3puvSCHT22QEXxpNEPzKeuIdxM05eLZK6KG6D9YEVEU6jxV+BgxbptxQDj1Ul&#10;/a8dkJai+2zZlTiDp4BOweYUgFV8tZJBiim8DtOs7hyZbcvIk+8Wr9i5xiRNjyyOhHlUktTjWMdZ&#10;fLpPVY+fb/0HAAD//wMAUEsDBBQABgAIAAAAIQBW/dJd4AAAAAsBAAAPAAAAZHJzL2Rvd25yZXYu&#10;eG1sTI/BTsMwEETvSPyDtUjcqN2oDSSNU1UITkiINBw4OrGbWI3XIXbb8PcsJ3rb2R3Nvim2sxvY&#10;2UzBepSwXAhgBluvLXYSPuvXhydgISrUavBoJPyYANvy9qZQufYXrMx5HztGIRhyJaGPccw5D21v&#10;nAoLPxqk28FPTkWSU8f1pC4U7gaeCJFypyzSh16N5rk37XF/chJ2X1i92O/35qM6VLauM4Fv6VHK&#10;+7t5twEWzRz/zfCHT+hQElPjT6gDG0ivkpSsElbiMQFGjnWS0qahIcvWwMuCX3cofwEAAP//AwBQ&#10;SwECLQAUAAYACAAAACEAtoM4kv4AAADhAQAAEwAAAAAAAAAAAAAAAAAAAAAAW0NvbnRlbnRfVHlw&#10;ZXNdLnhtbFBLAQItABQABgAIAAAAIQA4/SH/1gAAAJQBAAALAAAAAAAAAAAAAAAAAC8BAABfcmVs&#10;cy8ucmVsc1BLAQItABQABgAIAAAAIQDiD2On8AEAAMQDAAAOAAAAAAAAAAAAAAAAAC4CAABkcnMv&#10;ZTJvRG9jLnhtbFBLAQItABQABgAIAAAAIQBW/dJd4AAAAAsBAAAPAAAAAAAAAAAAAAAAAEoEAABk&#10;cnMvZG93bnJldi54bWxQSwUGAAAAAAQABADzAAAAVwUAAAAA&#10;" filled="f" stroked="f">
                <v:textbox inset="0,0,0,0">
                  <w:txbxContent>
                    <w:p w14:paraId="1F661D0F" w14:textId="77777777" w:rsidR="00490F33" w:rsidRDefault="00490F33">
                      <w:pPr>
                        <w:spacing w:before="3" w:line="239" w:lineRule="exact"/>
                        <w:textAlignment w:val="baseline"/>
                        <w:rPr>
                          <w:rFonts w:ascii="Tahoma" w:eastAsia="Tahoma" w:hAnsi="Tahoma"/>
                          <w:color w:val="414042"/>
                          <w:sz w:val="18"/>
                        </w:rPr>
                      </w:pPr>
                      <w:r>
                        <w:rPr>
                          <w:rFonts w:ascii="Tahoma" w:eastAsia="Tahoma" w:hAnsi="Tahoma"/>
                          <w:color w:val="414042"/>
                          <w:sz w:val="18"/>
                        </w:rPr>
                        <w:t xml:space="preserve">Established in 2005, CCCares at Canberra College is an alternative education program for pregnant and parenting students from the ACT and surrounding region to complete </w:t>
                      </w:r>
                      <w:r>
                        <w:rPr>
                          <w:rFonts w:ascii="Verdana" w:eastAsia="Verdana" w:hAnsi="Verdana"/>
                          <w:color w:val="414042"/>
                          <w:sz w:val="18"/>
                        </w:rPr>
                        <w:t xml:space="preserve">their Year 12 certificate and gain vocational qualifications. In 2019, the program </w:t>
                      </w:r>
                      <w:r>
                        <w:rPr>
                          <w:rFonts w:ascii="Tahoma" w:eastAsia="Tahoma" w:hAnsi="Tahoma"/>
                          <w:color w:val="414042"/>
                          <w:sz w:val="18"/>
                        </w:rPr>
                        <w:t>supported around 154 students aged in their early teens to late twenties.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7904" behindDoc="1" locked="0" layoutInCell="1" allowOverlap="1" wp14:anchorId="1FC28F9B" wp14:editId="060BFBFD">
                <wp:simplePos x="0" y="0"/>
                <wp:positionH relativeFrom="page">
                  <wp:posOffset>4182110</wp:posOffset>
                </wp:positionH>
                <wp:positionV relativeFrom="page">
                  <wp:posOffset>3637915</wp:posOffset>
                </wp:positionV>
                <wp:extent cx="2450465" cy="571500"/>
                <wp:effectExtent l="0" t="0" r="0" b="0"/>
                <wp:wrapSquare wrapText="bothSides"/>
                <wp:docPr id="39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FD942" w14:textId="77777777" w:rsidR="00490F33" w:rsidRDefault="00490F33">
                            <w:pPr>
                              <w:spacing w:line="179" w:lineRule="exact"/>
                              <w:textAlignment w:val="baseline"/>
                              <w:rPr>
                                <w:rFonts w:ascii="Tahoma" w:eastAsia="Tahoma" w:hAnsi="Tahoma"/>
                                <w:color w:val="000000"/>
                                <w:spacing w:val="7"/>
                                <w:sz w:val="13"/>
                              </w:rPr>
                            </w:pPr>
                            <w:r>
                              <w:rPr>
                                <w:rFonts w:ascii="Tahoma" w:eastAsia="Tahoma" w:hAnsi="Tahoma"/>
                                <w:color w:val="000000"/>
                                <w:spacing w:val="7"/>
                                <w:sz w:val="13"/>
                              </w:rPr>
                              <w:t xml:space="preserve">Source: CCCares at Canberra College website, </w:t>
                            </w:r>
                            <w:hyperlink r:id="rId301">
                              <w:r>
                                <w:rPr>
                                  <w:rFonts w:ascii="Tahoma" w:eastAsia="Tahoma" w:hAnsi="Tahoma"/>
                                  <w:color w:val="0000FF"/>
                                  <w:spacing w:val="7"/>
                                  <w:sz w:val="13"/>
                                  <w:u w:val="single"/>
                                </w:rPr>
                                <w:t>http://www. canberrac.act.edu.au/information/programs/cc_cares;</w:t>
                              </w:r>
                            </w:hyperlink>
                            <w:r>
                              <w:rPr>
                                <w:rFonts w:ascii="Tahoma" w:eastAsia="Tahoma" w:hAnsi="Tahoma"/>
                                <w:color w:val="000000"/>
                                <w:spacing w:val="7"/>
                                <w:sz w:val="13"/>
                              </w:rPr>
                              <w:t xml:space="preserve"> and Dusseldorp Forum, ‘Canberra College Cares (CCCares)’, webpage (accessed 1 May 2020), https://dusseldorp.org.au/ canberra-college-cares-cccares.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28F9B" id="Text Box 117" o:spid="_x0000_s1368" type="#_x0000_t202" style="position:absolute;margin-left:329.3pt;margin-top:286.45pt;width:192.95pt;height:4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O28QEAAMMDAAAOAAAAZHJzL2Uyb0RvYy54bWysU9uO0zAQfUfiHyy/0ySl7ULUdLXsahHS&#10;cpF2+QDHcRqL2GPGbpPy9YydpizwhnixxnM5PnNmvL0eTc+OCr0GW/FikXOmrIRG233Fvz7dv3rD&#10;mQ/CNqIHqyp+Up5f716+2A6uVEvooG8UMgKxvhxcxbsQXJllXnbKCL8ApywFW0AjAl1xnzUoBkI3&#10;fbbM8002ADYOQSrvyXs3Bfku4betkuFz23oVWF9x4hbSiems45nttqLco3Cdlmca4h9YGKEtPXqB&#10;uhNBsAPqv6CMlgge2rCQYDJoWy1V6oG6KfI/unnshFOpFxLHu4tM/v/Byk/HL8h0U/HXbzecWWFo&#10;SE9qDOwdjKworqJCg/MlJT46Sg0jBWjSqVvvHkB+88zCbSfsXt0gwtAp0RDDIlZmz0onHB9B6uEj&#10;NPSQOARIQGOLJspHgjBCp0mdLtOJZCQ5l6t1vtqsOZMUW18V6zyNLxPlXO3Qh/cKDItGxZGmn9DF&#10;8cGHyEaUc0p8zMK97vu0Ab39zUGJ0ZPYR8IT9TDW4yTVajnLUkNzooYQps2in0BGB/iDs4G2quL+&#10;+0Gg4qz/YEmUuIKzgbNRz4awkkorHjibzNswrerBod53hDzJbuGGhGt16ikqPLE4E6ZNSa2etzqu&#10;4vN7yvr193Y/AQAA//8DAFBLAwQUAAYACAAAACEAiSvMseEAAAAMAQAADwAAAGRycy9kb3ducmV2&#10;LnhtbEyPwU7DMAyG70i8Q+RJ3FiyaS1baTpNCE5IiK4cOKZN1kZrnNJkW3l7vBM72v+n35/z7eR6&#10;djZjsB4lLOYCmMHGa4uthK/q7XENLESFWvUejYRfE2Bb3N/lKtP+gqU572PLqARDpiR0MQ4Z56Hp&#10;jFNh7geDlB386FSkcWy5HtWFyl3Pl0Kk3CmLdKFTg3npTHPcn5yE3TeWr/bno/4sD6Wtqo3A9/Qo&#10;5cNs2j0Di2aK/zBc9UkdCnKq/Ql1YL2ENFmnhEpInpYbYFdCrFYJsJqylFa8yPntE8UfAAAA//8D&#10;AFBLAQItABQABgAIAAAAIQC2gziS/gAAAOEBAAATAAAAAAAAAAAAAAAAAAAAAABbQ29udGVudF9U&#10;eXBlc10ueG1sUEsBAi0AFAAGAAgAAAAhADj9If/WAAAAlAEAAAsAAAAAAAAAAAAAAAAALwEAAF9y&#10;ZWxzLy5yZWxzUEsBAi0AFAAGAAgAAAAhAAu5E7bxAQAAwwMAAA4AAAAAAAAAAAAAAAAALgIAAGRy&#10;cy9lMm9Eb2MueG1sUEsBAi0AFAAGAAgAAAAhAIkrzLHhAAAADAEAAA8AAAAAAAAAAAAAAAAASwQA&#10;AGRycy9kb3ducmV2LnhtbFBLBQYAAAAABAAEAPMAAABZBQAAAAA=&#10;" filled="f" stroked="f">
                <v:textbox inset="0,0,0,0">
                  <w:txbxContent>
                    <w:p w14:paraId="561FD942" w14:textId="77777777" w:rsidR="00490F33" w:rsidRDefault="00490F33">
                      <w:pPr>
                        <w:spacing w:line="179" w:lineRule="exact"/>
                        <w:textAlignment w:val="baseline"/>
                        <w:rPr>
                          <w:rFonts w:ascii="Tahoma" w:eastAsia="Tahoma" w:hAnsi="Tahoma"/>
                          <w:color w:val="000000"/>
                          <w:spacing w:val="7"/>
                          <w:sz w:val="13"/>
                        </w:rPr>
                      </w:pPr>
                      <w:r>
                        <w:rPr>
                          <w:rFonts w:ascii="Tahoma" w:eastAsia="Tahoma" w:hAnsi="Tahoma"/>
                          <w:color w:val="000000"/>
                          <w:spacing w:val="7"/>
                          <w:sz w:val="13"/>
                        </w:rPr>
                        <w:t xml:space="preserve">Source: CCCares at Canberra College website, </w:t>
                      </w:r>
                      <w:hyperlink r:id="rId302">
                        <w:r>
                          <w:rPr>
                            <w:rFonts w:ascii="Tahoma" w:eastAsia="Tahoma" w:hAnsi="Tahoma"/>
                            <w:color w:val="0000FF"/>
                            <w:spacing w:val="7"/>
                            <w:sz w:val="13"/>
                            <w:u w:val="single"/>
                          </w:rPr>
                          <w:t>http://www. canberrac.act.edu.au/information/programs/cc_cares;</w:t>
                        </w:r>
                      </w:hyperlink>
                      <w:r>
                        <w:rPr>
                          <w:rFonts w:ascii="Tahoma" w:eastAsia="Tahoma" w:hAnsi="Tahoma"/>
                          <w:color w:val="000000"/>
                          <w:spacing w:val="7"/>
                          <w:sz w:val="13"/>
                        </w:rPr>
                        <w:t xml:space="preserve"> and Dusseldorp Forum, ‘Canberra College Cares (CCCares)’, webpage (accessed 1 May 2020), https://dusseldorp.org.au/ canberra-college-cares-cccares.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8928" behindDoc="1" locked="0" layoutInCell="1" allowOverlap="1" wp14:anchorId="14CEC1C0" wp14:editId="5AEB9600">
                <wp:simplePos x="0" y="0"/>
                <wp:positionH relativeFrom="page">
                  <wp:posOffset>905510</wp:posOffset>
                </wp:positionH>
                <wp:positionV relativeFrom="page">
                  <wp:posOffset>3913505</wp:posOffset>
                </wp:positionV>
                <wp:extent cx="2440940" cy="1066800"/>
                <wp:effectExtent l="0" t="0" r="0" b="0"/>
                <wp:wrapSquare wrapText="bothSides"/>
                <wp:docPr id="39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8B146" w14:textId="77777777" w:rsidR="00490F33" w:rsidRDefault="00490F33">
                            <w:pPr>
                              <w:spacing w:line="238" w:lineRule="exact"/>
                              <w:textAlignment w:val="baseline"/>
                              <w:rPr>
                                <w:rFonts w:ascii="Tahoma" w:eastAsia="Tahoma" w:hAnsi="Tahoma"/>
                                <w:color w:val="414042"/>
                                <w:sz w:val="18"/>
                              </w:rPr>
                            </w:pPr>
                            <w:r>
                              <w:rPr>
                                <w:rFonts w:ascii="Tahoma" w:eastAsia="Tahoma" w:hAnsi="Tahoma"/>
                                <w:color w:val="414042"/>
                                <w:sz w:val="18"/>
                              </w:rPr>
                              <w:t xml:space="preserve">CCCares aims to provide a best practice model for pregnant and parenting students to access education. It adopts a blended and </w:t>
                            </w:r>
                            <w:r>
                              <w:rPr>
                                <w:rFonts w:ascii="Verdana" w:eastAsia="Verdana" w:hAnsi="Verdana"/>
                                <w:color w:val="414042"/>
                                <w:sz w:val="18"/>
                              </w:rPr>
                              <w:t xml:space="preserve">flexible delivery model, working with several </w:t>
                            </w:r>
                            <w:r>
                              <w:rPr>
                                <w:rFonts w:ascii="Tahoma" w:eastAsia="Tahoma" w:hAnsi="Tahoma"/>
                                <w:color w:val="414042"/>
                                <w:sz w:val="18"/>
                              </w:rPr>
                              <w:t>agencies to provide holistic health, education and welfare support, connection for young people and practical living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EC1C0" id="Text Box 116" o:spid="_x0000_s1369" type="#_x0000_t202" style="position:absolute;margin-left:71.3pt;margin-top:308.15pt;width:192.2pt;height:84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Mb8QEAAMQDAAAOAAAAZHJzL2Uyb0RvYy54bWysU9tu2zAMfR+wfxD0vthOs6A14hRdiw4D&#10;ugvQ7gMYWY6F2aJGKbG7rx8lx1m3vQ17EShejg4Pqc312HfiqMkbtJUsFrkU2iqsjd1X8uvT/ZtL&#10;KXwAW0OHVlfyWXt5vX39ajO4Ui+xxa7WJBjE+nJwlWxDcGWWedXqHvwCnbYcbJB6CHylfVYTDIze&#10;d9kyz9fZgFQ7QqW9Z+/dFJTbhN80WoXPTeN1EF0lmVtIJ6VzF89su4FyT+Bao0404B9Y9GAsP3qG&#10;uoMA4kDmL6jeKEKPTVgo7DNsGqN06oG7KfI/unlswenUC4vj3Vkm//9g1afjFxKmruTF1VspLPQ8&#10;pCc9BvEOR1EU66jQ4HzJiY+OU8PIAZ506ta7B1TfvLB424Ld6xsiHFoNNTMsYmX2onTC8RFkN3zE&#10;mh+CQ8AENDbUR/lYEMHoPKnn83QiGcXO5WqVX604pDhW5Ov1ZZ7ml0E5lzvy4b3GXkSjksTjT/Bw&#10;fPAh0oFyTomvWbw3XZdWoLO/OTgxehL9yHjiHsbdOGm1uph12WH9zB0RTqvFX4GNFumHFAOvVSX9&#10;9wOQlqL7YFmVuIOzQbOxmw2wiksrGaSYzNsw7erBkdm3jDzpbvGGlWtM6ilKPLE4EeZVSa2e1jru&#10;4st7yvr1+bY/AQAA//8DAFBLAwQUAAYACAAAACEAB65nZ+EAAAALAQAADwAAAGRycy9kb3ducmV2&#10;LnhtbEyPwU7DMBBE70j8g7VIvVGnaXFLiFNVFZyQEGk4cHRiN7Ear0PstuHvWU5wHO3T7Jt8O7me&#10;XcwYrEcJi3kCzGDjtcVWwkf1cr8BFqJCrXqPRsK3CbAtbm9ylWl/xdJcDrFlVIIhUxK6GIeM89B0&#10;xqkw94NBuh396FSkOLZcj+pK5a7naZII7pRF+tCpwew705wOZydh94nls/16q9/LY2mr6jHBV3GS&#10;cnY37Z6ARTPFPxh+9UkdCnKq/Rl1YD3lVSoIlSAWYgmMiId0TetqCevNagm8yPn/DcUPAAAA//8D&#10;AFBLAQItABQABgAIAAAAIQC2gziS/gAAAOEBAAATAAAAAAAAAAAAAAAAAAAAAABbQ29udGVudF9U&#10;eXBlc10ueG1sUEsBAi0AFAAGAAgAAAAhADj9If/WAAAAlAEAAAsAAAAAAAAAAAAAAAAALwEAAF9y&#10;ZWxzLy5yZWxzUEsBAi0AFAAGAAgAAAAhAM2nQxvxAQAAxAMAAA4AAAAAAAAAAAAAAAAALgIAAGRy&#10;cy9lMm9Eb2MueG1sUEsBAi0AFAAGAAgAAAAhAAeuZ2fhAAAACwEAAA8AAAAAAAAAAAAAAAAASwQA&#10;AGRycy9kb3ducmV2LnhtbFBLBQYAAAAABAAEAPMAAABZBQAAAAA=&#10;" filled="f" stroked="f">
                <v:textbox inset="0,0,0,0">
                  <w:txbxContent>
                    <w:p w14:paraId="5E28B146" w14:textId="77777777" w:rsidR="00490F33" w:rsidRDefault="00490F33">
                      <w:pPr>
                        <w:spacing w:line="238" w:lineRule="exact"/>
                        <w:textAlignment w:val="baseline"/>
                        <w:rPr>
                          <w:rFonts w:ascii="Tahoma" w:eastAsia="Tahoma" w:hAnsi="Tahoma"/>
                          <w:color w:val="414042"/>
                          <w:sz w:val="18"/>
                        </w:rPr>
                      </w:pPr>
                      <w:r>
                        <w:rPr>
                          <w:rFonts w:ascii="Tahoma" w:eastAsia="Tahoma" w:hAnsi="Tahoma"/>
                          <w:color w:val="414042"/>
                          <w:sz w:val="18"/>
                        </w:rPr>
                        <w:t xml:space="preserve">CCCares aims to provide a best practice model for pregnant and parenting students to access education. It adopts a blended and </w:t>
                      </w:r>
                      <w:r>
                        <w:rPr>
                          <w:rFonts w:ascii="Verdana" w:eastAsia="Verdana" w:hAnsi="Verdana"/>
                          <w:color w:val="414042"/>
                          <w:sz w:val="18"/>
                        </w:rPr>
                        <w:t xml:space="preserve">flexible delivery model, working with several </w:t>
                      </w:r>
                      <w:r>
                        <w:rPr>
                          <w:rFonts w:ascii="Tahoma" w:eastAsia="Tahoma" w:hAnsi="Tahoma"/>
                          <w:color w:val="414042"/>
                          <w:sz w:val="18"/>
                        </w:rPr>
                        <w:t>agencies to provide holistic health, education and welfare support, connection for young people and practical living supports.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09952" behindDoc="1" locked="0" layoutInCell="1" allowOverlap="1" wp14:anchorId="1AE66122" wp14:editId="132914BE">
                <wp:simplePos x="0" y="0"/>
                <wp:positionH relativeFrom="page">
                  <wp:posOffset>905510</wp:posOffset>
                </wp:positionH>
                <wp:positionV relativeFrom="page">
                  <wp:posOffset>5097145</wp:posOffset>
                </wp:positionV>
                <wp:extent cx="2419985" cy="1209040"/>
                <wp:effectExtent l="0" t="0" r="0" b="0"/>
                <wp:wrapSquare wrapText="bothSides"/>
                <wp:docPr id="39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1209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4FE16" w14:textId="77777777" w:rsidR="00490F33" w:rsidRDefault="00490F33">
                            <w:pPr>
                              <w:spacing w:line="224" w:lineRule="exact"/>
                              <w:textAlignment w:val="baseline"/>
                              <w:rPr>
                                <w:rFonts w:ascii="Verdana" w:eastAsia="Verdana" w:hAnsi="Verdana"/>
                                <w:color w:val="414042"/>
                                <w:spacing w:val="-6"/>
                                <w:sz w:val="18"/>
                              </w:rPr>
                            </w:pPr>
                            <w:r>
                              <w:rPr>
                                <w:rFonts w:ascii="Verdana" w:eastAsia="Verdana" w:hAnsi="Verdana"/>
                                <w:color w:val="414042"/>
                                <w:spacing w:val="-6"/>
                                <w:sz w:val="18"/>
                              </w:rPr>
                              <w:t>Students can spend up to five years</w:t>
                            </w:r>
                          </w:p>
                          <w:p w14:paraId="67548022" w14:textId="77777777" w:rsidR="00490F33" w:rsidRDefault="00490F33">
                            <w:pPr>
                              <w:spacing w:line="240" w:lineRule="exact"/>
                              <w:textAlignment w:val="baseline"/>
                              <w:rPr>
                                <w:rFonts w:ascii="Tahoma" w:eastAsia="Tahoma" w:hAnsi="Tahoma"/>
                                <w:color w:val="414042"/>
                                <w:spacing w:val="5"/>
                                <w:sz w:val="18"/>
                              </w:rPr>
                            </w:pPr>
                            <w:r>
                              <w:rPr>
                                <w:rFonts w:ascii="Tahoma" w:eastAsia="Tahoma" w:hAnsi="Tahoma"/>
                                <w:color w:val="414042"/>
                                <w:spacing w:val="5"/>
                                <w:sz w:val="18"/>
                              </w:rPr>
                              <w:t>working towards their ACT Senior</w:t>
                            </w:r>
                          </w:p>
                          <w:p w14:paraId="2FC49928" w14:textId="77777777" w:rsidR="00490F33" w:rsidRDefault="00490F33">
                            <w:pPr>
                              <w:spacing w:line="238" w:lineRule="exact"/>
                              <w:textAlignment w:val="baseline"/>
                              <w:rPr>
                                <w:rFonts w:ascii="Verdana" w:eastAsia="Verdana" w:hAnsi="Verdana"/>
                                <w:color w:val="414042"/>
                                <w:sz w:val="18"/>
                              </w:rPr>
                            </w:pPr>
                            <w:r>
                              <w:rPr>
                                <w:rFonts w:ascii="Verdana" w:eastAsia="Verdana" w:hAnsi="Verdana"/>
                                <w:color w:val="414042"/>
                                <w:sz w:val="18"/>
                              </w:rPr>
                              <w:t xml:space="preserve">Secondary Certificate, and/or undertaking </w:t>
                            </w:r>
                            <w:r>
                              <w:rPr>
                                <w:rFonts w:ascii="Tahoma" w:eastAsia="Tahoma" w:hAnsi="Tahoma"/>
                                <w:color w:val="414042"/>
                                <w:sz w:val="18"/>
                              </w:rPr>
                              <w:t>competency-based training courses in areas such as business administration, community services, hair and beauty, hospitality and children’s services in the specially designed learning spaces.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66122" id="Text Box 115" o:spid="_x0000_s1370" type="#_x0000_t202" style="position:absolute;margin-left:71.3pt;margin-top:401.35pt;width:190.55pt;height:95.2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448gEAAMQDAAAOAAAAZHJzL2Uyb0RvYy54bWysU21v0zAQ/o7Ef7D8nSYpHVqjptPYNIQ0&#10;GNLGD7g6TmOR+MzZbTJ+PWenKQO+Ib5Y53t5/Nxz583V2HfiqMkbtJUsFrkU2iqsjd1X8uvT3ZtL&#10;KXwAW0OHVlfyWXt5tX39ajO4Ui+xxa7WJBjE+nJwlWxDcGWWedXqHvwCnbYcbJB6CHylfVYTDIze&#10;d9kyz99lA1LtCJX2nr23U1BuE37TaBUemsbrILpKMreQTkrnLp7ZdgPlnsC1Rp1owD+w6MFYfvQM&#10;dQsBxIHMX1C9UYQem7BQ2GfYNEbp1AN3U+R/dPPYgtOpFxbHu7NM/v/Bqs/HLyRMXcm365UUFnoe&#10;0pMeg3iPoyiKi6jQ4HzJiY+OU8PIAZ506ta7e1TfvLB404Ld62siHFoNNTMsYmX2onTC8RFkN3zC&#10;mh+CQ8AENDbUR/lYEMHoPKnn83QiGcXO5apYry8vpFAcK5b5Ol+l+WVQzuWOfPigsRfRqCTx+BM8&#10;HO99iHSgnFPiaxbvTNelFejsbw5OjJ5EPzKeuIdxN05arVazLjusn7kjwmm1+Cuw0SL9kGLgtaqk&#10;/34A0lJ0Hy2rEndwNmg2drMBVnFpJYMUk3kTpl09ODL7lpEn3S1es3KNST1FiScWJ8K8KqnV01rH&#10;XXx5T1m/Pt/2JwAAAP//AwBQSwMEFAAGAAgAAAAhAEsg+KHgAAAACwEAAA8AAABkcnMvZG93bnJl&#10;di54bWxMj8FOwzAMhu9IvENkJG4sWQdlLU2nCcEJCa0rB45pk7XRGqc02VbeHnOCm3/50+/PxWZ2&#10;AzubKViPEpYLAcxg67XFTsJH/Xq3BhaiQq0Gj0bCtwmwKa+vCpVrf8HKnPexY1SCIVcS+hjHnPPQ&#10;9sapsPCjQdod/ORUpDh1XE/qQuVu4IkQKXfKIl3o1Wiee9Me9ycnYfuJ1Yv9em921aGydZ0JfEuP&#10;Ut7ezNsnYNHM8Q+GX31Sh5KcGn9CHdhA+T5JCZWwFskjMCIekhUNjYQsWy2BlwX//0P5AwAA//8D&#10;AFBLAQItABQABgAIAAAAIQC2gziS/gAAAOEBAAATAAAAAAAAAAAAAAAAAAAAAABbQ29udGVudF9U&#10;eXBlc10ueG1sUEsBAi0AFAAGAAgAAAAhADj9If/WAAAAlAEAAAsAAAAAAAAAAAAAAAAALwEAAF9y&#10;ZWxzLy5yZWxzUEsBAi0AFAAGAAgAAAAhAJwEvjjyAQAAxAMAAA4AAAAAAAAAAAAAAAAALgIAAGRy&#10;cy9lMm9Eb2MueG1sUEsBAi0AFAAGAAgAAAAhAEsg+KHgAAAACwEAAA8AAAAAAAAAAAAAAAAATAQA&#10;AGRycy9kb3ducmV2LnhtbFBLBQYAAAAABAAEAPMAAABZBQAAAAA=&#10;" filled="f" stroked="f">
                <v:textbox inset="0,0,0,0">
                  <w:txbxContent>
                    <w:p w14:paraId="73C4FE16" w14:textId="77777777" w:rsidR="00490F33" w:rsidRDefault="00490F33">
                      <w:pPr>
                        <w:spacing w:line="224" w:lineRule="exact"/>
                        <w:textAlignment w:val="baseline"/>
                        <w:rPr>
                          <w:rFonts w:ascii="Verdana" w:eastAsia="Verdana" w:hAnsi="Verdana"/>
                          <w:color w:val="414042"/>
                          <w:spacing w:val="-6"/>
                          <w:sz w:val="18"/>
                        </w:rPr>
                      </w:pPr>
                      <w:r>
                        <w:rPr>
                          <w:rFonts w:ascii="Verdana" w:eastAsia="Verdana" w:hAnsi="Verdana"/>
                          <w:color w:val="414042"/>
                          <w:spacing w:val="-6"/>
                          <w:sz w:val="18"/>
                        </w:rPr>
                        <w:t>Students can spend up to five years</w:t>
                      </w:r>
                    </w:p>
                    <w:p w14:paraId="67548022" w14:textId="77777777" w:rsidR="00490F33" w:rsidRDefault="00490F33">
                      <w:pPr>
                        <w:spacing w:line="240" w:lineRule="exact"/>
                        <w:textAlignment w:val="baseline"/>
                        <w:rPr>
                          <w:rFonts w:ascii="Tahoma" w:eastAsia="Tahoma" w:hAnsi="Tahoma"/>
                          <w:color w:val="414042"/>
                          <w:spacing w:val="5"/>
                          <w:sz w:val="18"/>
                        </w:rPr>
                      </w:pPr>
                      <w:r>
                        <w:rPr>
                          <w:rFonts w:ascii="Tahoma" w:eastAsia="Tahoma" w:hAnsi="Tahoma"/>
                          <w:color w:val="414042"/>
                          <w:spacing w:val="5"/>
                          <w:sz w:val="18"/>
                        </w:rPr>
                        <w:t>working towards their ACT Senior</w:t>
                      </w:r>
                    </w:p>
                    <w:p w14:paraId="2FC49928" w14:textId="77777777" w:rsidR="00490F33" w:rsidRDefault="00490F33">
                      <w:pPr>
                        <w:spacing w:line="238" w:lineRule="exact"/>
                        <w:textAlignment w:val="baseline"/>
                        <w:rPr>
                          <w:rFonts w:ascii="Verdana" w:eastAsia="Verdana" w:hAnsi="Verdana"/>
                          <w:color w:val="414042"/>
                          <w:sz w:val="18"/>
                        </w:rPr>
                      </w:pPr>
                      <w:r>
                        <w:rPr>
                          <w:rFonts w:ascii="Verdana" w:eastAsia="Verdana" w:hAnsi="Verdana"/>
                          <w:color w:val="414042"/>
                          <w:sz w:val="18"/>
                        </w:rPr>
                        <w:t xml:space="preserve">Secondary Certificate, and/or undertaking </w:t>
                      </w:r>
                      <w:r>
                        <w:rPr>
                          <w:rFonts w:ascii="Tahoma" w:eastAsia="Tahoma" w:hAnsi="Tahoma"/>
                          <w:color w:val="414042"/>
                          <w:sz w:val="18"/>
                        </w:rPr>
                        <w:t>competency-based training courses in areas such as business administration, community services, hair and beauty, hospitality and children’s services in the specially designed learning spaces.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0976" behindDoc="1" locked="0" layoutInCell="1" allowOverlap="1" wp14:anchorId="2A0D8A20" wp14:editId="6478C3F1">
                <wp:simplePos x="0" y="0"/>
                <wp:positionH relativeFrom="page">
                  <wp:posOffset>905510</wp:posOffset>
                </wp:positionH>
                <wp:positionV relativeFrom="page">
                  <wp:posOffset>6416040</wp:posOffset>
                </wp:positionV>
                <wp:extent cx="2462530" cy="1676400"/>
                <wp:effectExtent l="0" t="0" r="0" b="0"/>
                <wp:wrapSquare wrapText="bothSides"/>
                <wp:docPr id="39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6797F" w14:textId="77777777" w:rsidR="00490F33" w:rsidRDefault="00490F33">
                            <w:pPr>
                              <w:spacing w:line="240" w:lineRule="exact"/>
                              <w:textAlignment w:val="baseline"/>
                              <w:rPr>
                                <w:rFonts w:ascii="Tahoma" w:eastAsia="Tahoma" w:hAnsi="Tahoma"/>
                                <w:color w:val="414042"/>
                                <w:spacing w:val="5"/>
                                <w:sz w:val="18"/>
                              </w:rPr>
                            </w:pPr>
                            <w:r>
                              <w:rPr>
                                <w:rFonts w:ascii="Tahoma" w:eastAsia="Tahoma" w:hAnsi="Tahoma"/>
                                <w:color w:val="414042"/>
                                <w:spacing w:val="5"/>
                                <w:sz w:val="18"/>
                              </w:rPr>
                              <w:t>Personalised learning plans are developed for each student. The plans focus on core skills and knowledge such as life skills; social and emotional intelligence; connecting with the community; literacy, numeracy and digital literacy; and developing awareness of local and global issues. The program can help students look for traineeships, Australian School-based Apprenticeships (ASBAs) and work placements. Some ASBA and trainee positions are available onsite at CCCares.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D8A20" id="Text Box 114" o:spid="_x0000_s1371" type="#_x0000_t202" style="position:absolute;margin-left:71.3pt;margin-top:505.2pt;width:193.9pt;height:132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058QEAAMQDAAAOAAAAZHJzL2Uyb0RvYy54bWysU9uO0zAQfUfiHyy/0zRtt0DUdLXsahHS&#10;cpF2+YCp4zQWiceM3Sbl6xk7TVngDfFijedyfObMeHM9dK04avIGbSnz2VwKbRVWxu5L+fXp/tUb&#10;KXwAW0GLVpfypL283r58seldoRfYYFtpEgxifdG7UjYhuCLLvGp0B36GTlsO1kgdBL7SPqsIekbv&#10;2mwxn6+zHqlyhEp7z967MSi3Cb+utQqf69rrINpSMreQTkrnLp7ZdgPFnsA1Rp1pwD+w6MBYfvQC&#10;dQcBxIHMX1CdUYQe6zBT2GVY10bp1AN3k8//6OaxAadTLyyOdxeZ/P+DVZ+OX0iYqpTLt0spLHQ8&#10;pCc9BPEOB5Hnq6hQ73zBiY+OU8PAAZ506ta7B1TfvLB424Dd6xsi7BsNFTPMY2X2rHTE8RFk13/E&#10;ih+CQ8AENNTURflYEMHoPKnTZTqRjGLnYrVeXC05pDiWr1+vV/M0vwyKqdyRD+81diIapSQef4KH&#10;44MPkQ4UU0p8zeK9adu0Aq39zcGJ0ZPoR8Yj9zDshlGr1dWkyw6rE3dEOK4WfwU2GqQfUvS8VqX0&#10;3w9AWor2g2VV4g5OBk3GbjLAKi4tZZBiNG/DuKsHR2bfMPKou8UbVq42qaco8cjiTJhXJbV6Xuu4&#10;i8/vKevX59v+BAAA//8DAFBLAwQUAAYACAAAACEAIHluieAAAAANAQAADwAAAGRycy9kb3ducmV2&#10;LnhtbEyPwU7DMBBE70j8g7VI3KjdEAKEOFWF4IRUkYYDRyd2E6vxOsRuG/6+2xPcZnZHs2+L1ewG&#10;djRTsB4lLBcCmMHWa4udhK/6/e4JWIgKtRo8Ggm/JsCqvL4qVK79CStz3MaOUQmGXEnoYxxzzkPb&#10;G6fCwo8Gabfzk1OR7NRxPakTlbuBJ0Jk3CmLdKFXo3ntTbvfHpyE9TdWb/Zn03xWu8rW9bPAj2wv&#10;5e3NvH4BFs0c/8JwwSd0KImp8QfUgQ3k0ySjKAmxFCkwijzcX0RDo+QxTYGXBf//RXkGAAD//wMA&#10;UEsBAi0AFAAGAAgAAAAhALaDOJL+AAAA4QEAABMAAAAAAAAAAAAAAAAAAAAAAFtDb250ZW50X1R5&#10;cGVzXS54bWxQSwECLQAUAAYACAAAACEAOP0h/9YAAACUAQAACwAAAAAAAAAAAAAAAAAvAQAAX3Jl&#10;bHMvLnJlbHNQSwECLQAUAAYACAAAACEAnM29OfEBAADEAwAADgAAAAAAAAAAAAAAAAAuAgAAZHJz&#10;L2Uyb0RvYy54bWxQSwECLQAUAAYACAAAACEAIHluieAAAAANAQAADwAAAAAAAAAAAAAAAABLBAAA&#10;ZHJzL2Rvd25yZXYueG1sUEsFBgAAAAAEAAQA8wAAAFgFAAAAAA==&#10;" filled="f" stroked="f">
                <v:textbox inset="0,0,0,0">
                  <w:txbxContent>
                    <w:p w14:paraId="05F6797F" w14:textId="77777777" w:rsidR="00490F33" w:rsidRDefault="00490F33">
                      <w:pPr>
                        <w:spacing w:line="240" w:lineRule="exact"/>
                        <w:textAlignment w:val="baseline"/>
                        <w:rPr>
                          <w:rFonts w:ascii="Tahoma" w:eastAsia="Tahoma" w:hAnsi="Tahoma"/>
                          <w:color w:val="414042"/>
                          <w:spacing w:val="5"/>
                          <w:sz w:val="18"/>
                        </w:rPr>
                      </w:pPr>
                      <w:r>
                        <w:rPr>
                          <w:rFonts w:ascii="Tahoma" w:eastAsia="Tahoma" w:hAnsi="Tahoma"/>
                          <w:color w:val="414042"/>
                          <w:spacing w:val="5"/>
                          <w:sz w:val="18"/>
                        </w:rPr>
                        <w:t>Personalised learning plans are developed for each student. The plans focus on core skills and knowledge such as life skills; social and emotional intelligence; connecting with the community; literacy, numeracy and digital literacy; and developing awareness of local and global issues. The program can help students look for traineeships, Australian School-based Apprenticeships (ASBAs) and work placements. Some ASBA and trainee positions are available onsite at CCCares.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2000" behindDoc="1" locked="0" layoutInCell="1" allowOverlap="1" wp14:anchorId="0801D7FC" wp14:editId="49C79372">
                <wp:simplePos x="0" y="0"/>
                <wp:positionH relativeFrom="page">
                  <wp:posOffset>0</wp:posOffset>
                </wp:positionH>
                <wp:positionV relativeFrom="page">
                  <wp:posOffset>9692640</wp:posOffset>
                </wp:positionV>
                <wp:extent cx="7562215" cy="536575"/>
                <wp:effectExtent l="0" t="0" r="0" b="0"/>
                <wp:wrapSquare wrapText="bothSides"/>
                <wp:docPr id="39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CB795" w14:textId="77777777" w:rsidR="00490F33" w:rsidRDefault="00490F33">
                            <w:pPr>
                              <w:tabs>
                                <w:tab w:val="left" w:pos="1368"/>
                              </w:tabs>
                              <w:spacing w:before="21" w:after="634" w:line="180" w:lineRule="exact"/>
                              <w:ind w:left="864"/>
                              <w:textAlignment w:val="baseline"/>
                              <w:rPr>
                                <w:rFonts w:ascii="Arial" w:eastAsia="Arial" w:hAnsi="Arial"/>
                                <w:b/>
                                <w:color w:val="5556A1"/>
                                <w:spacing w:val="7"/>
                                <w:sz w:val="19"/>
                              </w:rPr>
                            </w:pPr>
                            <w:r>
                              <w:rPr>
                                <w:rFonts w:ascii="Arial" w:eastAsia="Arial" w:hAnsi="Arial"/>
                                <w:b/>
                                <w:color w:val="5556A1"/>
                                <w:spacing w:val="7"/>
                                <w:sz w:val="19"/>
                              </w:rPr>
                              <w:t>132</w:t>
                            </w:r>
                            <w:r>
                              <w:rPr>
                                <w:rFonts w:ascii="Tahoma" w:eastAsia="Tahoma" w:hAnsi="Tahoma"/>
                                <w:color w:val="414042"/>
                                <w:spacing w:val="7"/>
                                <w:sz w:val="13"/>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1D7FC" id="Text Box 113" o:spid="_x0000_s1372" type="#_x0000_t202" style="position:absolute;margin-left:0;margin-top:763.2pt;width:595.45pt;height:42.25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gv8gEAAMMDAAAOAAAAZHJzL2Uyb0RvYy54bWysU9tu2zAMfR+wfxD0vjhOlnQz4hRdiw4D&#10;ugvQ7gMYWY6F2aJGKbGzrx8lx1m3vQ17ESiSOjw8pDbXQ9eKoyZv0JYyn82l0FZhZey+lF+f7l+9&#10;kcIHsBW0aHUpT9rL6+3LF5veFXqBDbaVJsEg1he9K2UTgiuyzKtGd+Bn6LTlYI3UQeAr7bOKoGf0&#10;rs0W8/k665EqR6i09+y9G4Nym/DrWqvwua69DqItJXML6aR07uKZbTdQ7AlcY9SZBvwDiw6M5aIX&#10;qDsIIA5k/oLqjCL0WIeZwi7DujZKpx64m3z+RzePDTidemFxvLvI5P8frPp0/ELCVKVcvl1IYaHj&#10;IT3pIYh3OIg8X0aFeucLTnx0nBoGDvCkU7fePaD65oXF2wbsXt8QYd9oqJhhHl9mz56OOD6C7PqP&#10;WHEhOARMQENNXZSPBRGMzpM6XaYTySh2Xq3Wi0W+kkJxbLVcr65WqQQU02tHPrzX2IlolJJ4+gkd&#10;jg8+RDZQTCmxmMV707ZpA1r7m4MToyexj4RH6mHYDaNUr9eTLDusTtwQ4bhZ/BPYaJB+SNHzVpXS&#10;fz8AaSnaD5ZFiSs4GTQZu8kAq/hpKYMUo3kbxlU9ODL7hpFH2S3esHC1ST1FhUcWZ8K8KanV81bH&#10;VXx+T1m//t72JwAAAP//AwBQSwMEFAAGAAgAAAAhAEdohEXfAAAACwEAAA8AAABkcnMvZG93bnJl&#10;di54bWxMj0FPwzAMhe9I/IfISNxY0gkqWppOE4ITEqIrB45p67XRGqc02Vb+Pd4Jbs9+1vP3is3i&#10;RnHCOVhPGpKVAoHU+s5Sr+Gzfr17BBGioc6MnlDDDwbYlNdXhck7f6YKT7vYCw6hkBsNQ4xTLmVo&#10;B3QmrPyExN7ez85EHudedrM5c7gb5VqpVDpjiT8MZsLnAdvD7ug0bL+oerHf781Hta9sXWeK3tKD&#10;1rc3y/YJRMQl/h3DBZ/RoWSmxh+pC2LUwEUibx/W6T2Ii59kKgPRsEoTVrIs5P8O5S8AAAD//wMA&#10;UEsBAi0AFAAGAAgAAAAhALaDOJL+AAAA4QEAABMAAAAAAAAAAAAAAAAAAAAAAFtDb250ZW50X1R5&#10;cGVzXS54bWxQSwECLQAUAAYACAAAACEAOP0h/9YAAACUAQAACwAAAAAAAAAAAAAAAAAvAQAAX3Jl&#10;bHMvLnJlbHNQSwECLQAUAAYACAAAACEAwiGoL/IBAADDAwAADgAAAAAAAAAAAAAAAAAuAgAAZHJz&#10;L2Uyb0RvYy54bWxQSwECLQAUAAYACAAAACEAR2iERd8AAAALAQAADwAAAAAAAAAAAAAAAABMBAAA&#10;ZHJzL2Rvd25yZXYueG1sUEsFBgAAAAAEAAQA8wAAAFgFAAAAAA==&#10;" filled="f" stroked="f">
                <v:textbox inset="0,0,0,0">
                  <w:txbxContent>
                    <w:p w14:paraId="16FCB795" w14:textId="77777777" w:rsidR="00490F33" w:rsidRDefault="00490F33">
                      <w:pPr>
                        <w:tabs>
                          <w:tab w:val="left" w:pos="1368"/>
                        </w:tabs>
                        <w:spacing w:before="21" w:after="634" w:line="180" w:lineRule="exact"/>
                        <w:ind w:left="864"/>
                        <w:textAlignment w:val="baseline"/>
                        <w:rPr>
                          <w:rFonts w:ascii="Arial" w:eastAsia="Arial" w:hAnsi="Arial"/>
                          <w:b/>
                          <w:color w:val="5556A1"/>
                          <w:spacing w:val="7"/>
                          <w:sz w:val="19"/>
                        </w:rPr>
                      </w:pPr>
                      <w:r>
                        <w:rPr>
                          <w:rFonts w:ascii="Arial" w:eastAsia="Arial" w:hAnsi="Arial"/>
                          <w:b/>
                          <w:color w:val="5556A1"/>
                          <w:spacing w:val="7"/>
                          <w:sz w:val="19"/>
                        </w:rPr>
                        <w:t>132</w:t>
                      </w:r>
                      <w:r>
                        <w:rPr>
                          <w:rFonts w:ascii="Tahoma" w:eastAsia="Tahoma" w:hAnsi="Tahoma"/>
                          <w:color w:val="414042"/>
                          <w:spacing w:val="7"/>
                          <w:sz w:val="13"/>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3024" behindDoc="1" locked="0" layoutInCell="1" allowOverlap="1" wp14:anchorId="08705F66" wp14:editId="5A087D82">
                <wp:simplePos x="0" y="0"/>
                <wp:positionH relativeFrom="page">
                  <wp:posOffset>0</wp:posOffset>
                </wp:positionH>
                <wp:positionV relativeFrom="page">
                  <wp:posOffset>10229215</wp:posOffset>
                </wp:positionV>
                <wp:extent cx="7562215" cy="462915"/>
                <wp:effectExtent l="0" t="0" r="0" b="0"/>
                <wp:wrapSquare wrapText="bothSides"/>
                <wp:docPr id="39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54F59" w14:textId="77777777" w:rsidR="00490F33" w:rsidRDefault="00490F33">
                            <w:pPr>
                              <w:textAlignment w:val="baseline"/>
                            </w:pPr>
                            <w:r>
                              <w:rPr>
                                <w:noProof/>
                                <w:lang w:val="en-AU" w:eastAsia="en-AU"/>
                              </w:rPr>
                              <w:drawing>
                                <wp:inline distT="0" distB="0" distL="0" distR="0" wp14:anchorId="772D1AF3" wp14:editId="186FD8BC">
                                  <wp:extent cx="7562215" cy="462915"/>
                                  <wp:effectExtent l="0" t="0" r="0" b="0"/>
                                  <wp:docPr id="219" name="Picture"/>
                                  <wp:cNvGraphicFramePr/>
                                  <a:graphic xmlns:a="http://schemas.openxmlformats.org/drawingml/2006/main">
                                    <a:graphicData uri="http://schemas.openxmlformats.org/drawingml/2006/picture">
                                      <pic:pic xmlns:pic="http://schemas.openxmlformats.org/drawingml/2006/picture">
                                        <pic:nvPicPr>
                                          <pic:cNvPr id="219"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05F66" id="Text Box 112" o:spid="_x0000_s1373" type="#_x0000_t202" style="position:absolute;margin-left:0;margin-top:805.45pt;width:595.45pt;height:36.4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aH8AEAAMMDAAAOAAAAZHJzL2Uyb0RvYy54bWysU1Fv1DAMfkfiP0R553ot241V15vGpiGk&#10;MZA2foAvTa8RbRyc3LXj1+Ok12PAG+Ilcmzn8+fPzvpq7Dtx0OQN2krmi6UU2iqsjd1V8uvT3Zt3&#10;UvgAtoYOra7ks/byavP61XpwpS6wxa7WJBjE+nJwlWxDcGWWedXqHvwCnbYcbJB6CHylXVYTDIze&#10;d1mxXK6yAal2hEp7z97bKSg3Cb9ptAqfm8brILpKMreQTkrnNp7ZZg3ljsC1Rh1pwD+w6MFYLnqC&#10;uoUAYk/mL6jeKEKPTVgo7DNsGqN06oG7yZd/dPPYgtOpFxbHu5NM/v/BqofDFxKmruTby1wKCz0P&#10;6UmPQbzHUeR5ERUanC858dFxahg5wJNO3Xp3j+qbFxZvWrA7fU2EQ6uhZoZ5fJm9eDrh+AiyHT5h&#10;zYVgHzABjQ31UT4WRDA6T+r5NJ1IRrHz4nxVFPm5FIpjZ6viku1YAsr5tSMfPmjsRTQqSTz9hA6H&#10;ex+m1DklFrN4Z7qO/VB29jcHY0ZPYh8JT9TDuB0nqc4uZlm2WD9zQ4TTZvFPYKNF+iHFwFtVSf99&#10;D6Sl6D5aFiWu4GzQbGxnA6zip5UMUkzmTZhWde/I7FpGnmS3eM3CNSb1FBWeWBwJ86YkVY5bHVfx&#10;5T1l/fp7m58A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OHX2h/ABAADDAwAADgAAAAAAAAAAAAAAAAAuAgAAZHJzL2Uy&#10;b0RvYy54bWxQSwECLQAUAAYACAAAACEAOwbrv94AAAALAQAADwAAAAAAAAAAAAAAAABKBAAAZHJz&#10;L2Rvd25yZXYueG1sUEsFBgAAAAAEAAQA8wAAAFUFAAAAAA==&#10;" filled="f" stroked="f">
                <v:textbox inset="0,0,0,0">
                  <w:txbxContent>
                    <w:p w14:paraId="54654F59" w14:textId="77777777" w:rsidR="00490F33" w:rsidRDefault="00490F33">
                      <w:pPr>
                        <w:textAlignment w:val="baseline"/>
                      </w:pPr>
                      <w:r>
                        <w:rPr>
                          <w:noProof/>
                          <w:lang w:val="en-AU" w:eastAsia="en-AU"/>
                        </w:rPr>
                        <w:drawing>
                          <wp:inline distT="0" distB="0" distL="0" distR="0" wp14:anchorId="772D1AF3" wp14:editId="186FD8BC">
                            <wp:extent cx="7562215" cy="462915"/>
                            <wp:effectExtent l="0" t="0" r="0" b="0"/>
                            <wp:docPr id="219" name="Picture"/>
                            <wp:cNvGraphicFramePr/>
                            <a:graphic xmlns:a="http://schemas.openxmlformats.org/drawingml/2006/main">
                              <a:graphicData uri="http://schemas.openxmlformats.org/drawingml/2006/picture">
                                <pic:pic xmlns:pic="http://schemas.openxmlformats.org/drawingml/2006/picture">
                                  <pic:nvPicPr>
                                    <pic:cNvPr id="219"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3BBCB420" w14:textId="77777777" w:rsidR="009757A9" w:rsidRDefault="009757A9">
      <w:pPr>
        <w:sectPr w:rsidR="009757A9">
          <w:pgSz w:w="11909" w:h="16838"/>
          <w:pgMar w:top="832" w:right="0" w:bottom="0" w:left="0" w:header="720" w:footer="720" w:gutter="0"/>
          <w:cols w:space="720"/>
        </w:sectPr>
      </w:pPr>
    </w:p>
    <w:p w14:paraId="5156FB60" w14:textId="77777777" w:rsidR="009757A9" w:rsidRDefault="00083242">
      <w:pPr>
        <w:spacing w:before="24" w:line="286" w:lineRule="exact"/>
        <w:ind w:left="864"/>
        <w:textAlignment w:val="baseline"/>
        <w:rPr>
          <w:rFonts w:ascii="Arial" w:eastAsia="Arial" w:hAnsi="Arial"/>
          <w:b/>
          <w:color w:val="00708E"/>
          <w:spacing w:val="-2"/>
          <w:sz w:val="25"/>
        </w:rPr>
      </w:pPr>
      <w:r>
        <w:rPr>
          <w:rFonts w:ascii="Arial" w:eastAsia="Arial" w:hAnsi="Arial"/>
          <w:b/>
          <w:color w:val="00708E"/>
          <w:spacing w:val="-2"/>
          <w:sz w:val="25"/>
        </w:rPr>
        <w:lastRenderedPageBreak/>
        <w:t>Support beyond Year 12</w:t>
      </w:r>
    </w:p>
    <w:p w14:paraId="10F68438" w14:textId="77777777" w:rsidR="009757A9" w:rsidRDefault="00083242">
      <w:pPr>
        <w:spacing w:before="141"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National and international research consistently highlights the importance of young people’s school-to-work transitions for their future life opportunities. Transitioning from school to adulthood is particularly stressful for many young adults. This often results in a decrease in their satisfaction with life.</w:t>
      </w:r>
      <w:r>
        <w:rPr>
          <w:rFonts w:ascii="Tahoma" w:eastAsia="Tahoma" w:hAnsi="Tahoma"/>
          <w:color w:val="404042"/>
          <w:spacing w:val="6"/>
          <w:sz w:val="18"/>
          <w:vertAlign w:val="superscript"/>
        </w:rPr>
        <w:t>214</w:t>
      </w:r>
      <w:r>
        <w:rPr>
          <w:rFonts w:ascii="Tahoma" w:eastAsia="Tahoma" w:hAnsi="Tahoma"/>
          <w:color w:val="404042"/>
          <w:spacing w:val="6"/>
          <w:sz w:val="10"/>
        </w:rPr>
        <w:t xml:space="preserve"> </w:t>
      </w:r>
    </w:p>
    <w:p w14:paraId="5C3B12DD" w14:textId="77777777" w:rsidR="009757A9" w:rsidRDefault="00083242">
      <w:pPr>
        <w:spacing w:before="173" w:after="590" w:line="240" w:lineRule="exact"/>
        <w:ind w:left="864" w:right="1440"/>
        <w:textAlignment w:val="baseline"/>
        <w:rPr>
          <w:rFonts w:ascii="Tahoma" w:eastAsia="Tahoma" w:hAnsi="Tahoma"/>
          <w:color w:val="404042"/>
          <w:spacing w:val="2"/>
          <w:sz w:val="18"/>
        </w:rPr>
      </w:pPr>
      <w:r>
        <w:rPr>
          <w:rFonts w:ascii="Tahoma" w:eastAsia="Tahoma" w:hAnsi="Tahoma"/>
          <w:color w:val="404042"/>
          <w:spacing w:val="2"/>
          <w:sz w:val="18"/>
        </w:rPr>
        <w:t xml:space="preserve">The Panel heard about the lack of support for senior secondary students post-school, particularly in those circumstances in which students’ outcomes did not meet their expectations. Many students are distressed at not </w:t>
      </w:r>
      <w:r>
        <w:rPr>
          <w:rFonts w:ascii="Verdana" w:eastAsia="Verdana" w:hAnsi="Verdana"/>
          <w:color w:val="404042"/>
          <w:spacing w:val="2"/>
          <w:sz w:val="17"/>
        </w:rPr>
        <w:t xml:space="preserve">obtaining an ATAR score sufficient to access their preferred education or training course. Some quickly find other </w:t>
      </w:r>
      <w:r>
        <w:rPr>
          <w:rFonts w:ascii="Tahoma" w:eastAsia="Tahoma" w:hAnsi="Tahoma"/>
          <w:color w:val="404042"/>
          <w:spacing w:val="2"/>
          <w:sz w:val="18"/>
        </w:rPr>
        <w:t>options. Others do not. Without help, these students are often ‘lost’ for many years.</w:t>
      </w:r>
    </w:p>
    <w:p w14:paraId="614F7CCD" w14:textId="77777777" w:rsidR="009757A9" w:rsidRDefault="000D2E34">
      <w:pPr>
        <w:spacing w:before="107" w:line="299" w:lineRule="exact"/>
        <w:ind w:left="1296" w:right="1440"/>
        <w:textAlignment w:val="baseline"/>
        <w:rPr>
          <w:rFonts w:ascii="Tahoma" w:eastAsia="Tahoma" w:hAnsi="Tahoma"/>
          <w:i/>
          <w:color w:val="007994"/>
        </w:rPr>
      </w:pPr>
      <w:r>
        <w:rPr>
          <w:noProof/>
          <w:lang w:val="en-AU" w:eastAsia="en-AU"/>
        </w:rPr>
        <mc:AlternateContent>
          <mc:Choice Requires="wps">
            <w:drawing>
              <wp:anchor distT="0" distB="0" distL="114300" distR="114300" simplePos="0" relativeHeight="251991552" behindDoc="0" locked="0" layoutInCell="1" allowOverlap="1" wp14:anchorId="12C3B993" wp14:editId="79B2EB9B">
                <wp:simplePos x="0" y="0"/>
                <wp:positionH relativeFrom="page">
                  <wp:posOffset>826135</wp:posOffset>
                </wp:positionH>
                <wp:positionV relativeFrom="page">
                  <wp:posOffset>2536190</wp:posOffset>
                </wp:positionV>
                <wp:extent cx="5907405" cy="0"/>
                <wp:effectExtent l="0" t="0" r="0" b="0"/>
                <wp:wrapNone/>
                <wp:docPr id="390"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845C7" id="Line 111" o:spid="_x0000_s1026" style="position:absolute;z-index:2519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99.7pt" to="530.2pt,1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Ti0QEAAIYDAAAOAAAAZHJzL2Uyb0RvYy54bWysU8Fu2zAMvQ/YPwi6L3bapl2MOD0k6y7Z&#10;FqDtBzCSHAuTRUFSYufvR8lJtq63YRdBIh8fyUdq8Th0hh2VDxptzaeTkjNlBUpt9zV/fXn69Jmz&#10;EMFKMGhVzU8q8Mflxw+L3lXqBls0UnlGJDZUvat5G6OriiKIVnUQJuiUJWeDvoNIT78vpIee2DtT&#10;3JTlfdGjl86jUCGQdT06+TLzN40S8UfTBBWZqTnVFvPp87lLZ7FcQLX34FotzmXAP1TRgbaU9Eq1&#10;hgjs4PU7qk4LjwGbOBHYFdg0WqjcA3UzLf/q5rkFp3IvJE5wV5nC/6MV349bz7Ss+e2c9LHQ0ZA2&#10;2io2nU6TOr0LFYFWdutTf2Kwz26D4mdgFlct2L3KVb6cHAXmiOJNSHoERzl2/TeUhIFDxCzV0Pgu&#10;UZIIbMgTOV0noobIBBln8/LhrpxxJi6+AqpLoPMhflXYsXSpuaGqMzEcNyFS6QS9QFIei0/amDxw&#10;Y1lf8/vbWZkDAhotkzPBgt/vVsazI6SVKR/m87ukA5G9gSXmNYR2xGXXuEweD1bmLK0C+eV8j6DN&#10;eCciY4nvIswo8Q7laetTnmSnYeeM58VM2/TnO6N+f5/lLwAAAP//AwBQSwMEFAAGAAgAAAAhAFnC&#10;JPzcAAAADAEAAA8AAABkcnMvZG93bnJldi54bWxMj0FPwzAMhe9I/IfISNxYMgYTK00nNLTTLrAh&#10;cfUa0xYap2qyrvv3eBLSuPnZT8/fy5ejb9VAfWwCW5hODCjiMriGKwsfu/XdE6iYkB22gcnCiSIs&#10;i+urHDMXjvxOwzZVSkI4ZmihTqnLtI5lTR7jJHTEcvsKvccksq+06/Eo4b7V98bMtceG5UONHa1q&#10;Kn+2B29hjWb35jab8B0/H08rTNq90mDt7c348gwq0ZguZjjjCzoUwrQPB3ZRtaJnZipWC7PF4gHU&#10;2WHmRqb930oXuf5fovgFAAD//wMAUEsBAi0AFAAGAAgAAAAhALaDOJL+AAAA4QEAABMAAAAAAAAA&#10;AAAAAAAAAAAAAFtDb250ZW50X1R5cGVzXS54bWxQSwECLQAUAAYACAAAACEAOP0h/9YAAACUAQAA&#10;CwAAAAAAAAAAAAAAAAAvAQAAX3JlbHMvLnJlbHNQSwECLQAUAAYACAAAACEAsXzk4tEBAACGAwAA&#10;DgAAAAAAAAAAAAAAAAAuAgAAZHJzL2Uyb0RvYy54bWxQSwECLQAUAAYACAAAACEAWcIk/NwAAAAM&#10;AQAADwAAAAAAAAAAAAAAAAArBAAAZHJzL2Rvd25yZXYueG1sUEsFBgAAAAAEAAQA8wAAADQFAAAA&#10;AA==&#10;" strokecolor="#007994" strokeweight=".5pt">
                <w10:wrap anchorx="page" anchory="page"/>
              </v:line>
            </w:pict>
          </mc:Fallback>
        </mc:AlternateContent>
      </w:r>
      <w:r w:rsidR="00083242">
        <w:rPr>
          <w:rFonts w:ascii="Tahoma" w:eastAsia="Tahoma" w:hAnsi="Tahoma"/>
          <w:i/>
          <w:color w:val="007994"/>
        </w:rPr>
        <w:t>“Industry, the tertiary sector, government and other interested parties should look at the boundary between senior secondary education and Years 13 onwards to better understand their shared responsibility ...”</w:t>
      </w:r>
    </w:p>
    <w:p w14:paraId="4173C07B" w14:textId="77777777" w:rsidR="009757A9" w:rsidRDefault="00083242">
      <w:pPr>
        <w:spacing w:before="49" w:after="225" w:line="249" w:lineRule="exact"/>
        <w:ind w:left="4680"/>
        <w:textAlignment w:val="baseline"/>
        <w:rPr>
          <w:rFonts w:ascii="Tahoma" w:eastAsia="Tahoma" w:hAnsi="Tahoma"/>
          <w:i/>
          <w:color w:val="007994"/>
          <w:spacing w:val="-3"/>
        </w:rPr>
      </w:pPr>
      <w:r>
        <w:rPr>
          <w:rFonts w:ascii="Tahoma" w:eastAsia="Tahoma" w:hAnsi="Tahoma"/>
          <w:i/>
          <w:color w:val="007994"/>
          <w:spacing w:val="-3"/>
        </w:rPr>
        <w:t>Christine Cawsey, Principal, Rooty Hill High School, submission</w:t>
      </w:r>
    </w:p>
    <w:p w14:paraId="10ABF9C4" w14:textId="77777777" w:rsidR="009757A9" w:rsidRDefault="000D2E34">
      <w:pPr>
        <w:spacing w:before="467" w:line="240" w:lineRule="exact"/>
        <w:ind w:left="864"/>
        <w:textAlignment w:val="baseline"/>
        <w:rPr>
          <w:rFonts w:ascii="Tahoma" w:eastAsia="Tahoma" w:hAnsi="Tahoma"/>
          <w:color w:val="404042"/>
          <w:spacing w:val="5"/>
          <w:sz w:val="18"/>
        </w:rPr>
      </w:pPr>
      <w:r>
        <w:rPr>
          <w:noProof/>
          <w:lang w:val="en-AU" w:eastAsia="en-AU"/>
        </w:rPr>
        <mc:AlternateContent>
          <mc:Choice Requires="wps">
            <w:drawing>
              <wp:anchor distT="0" distB="0" distL="114300" distR="114300" simplePos="0" relativeHeight="251992576" behindDoc="0" locked="0" layoutInCell="1" allowOverlap="1" wp14:anchorId="600583C8" wp14:editId="4E9D6DD7">
                <wp:simplePos x="0" y="0"/>
                <wp:positionH relativeFrom="page">
                  <wp:posOffset>826135</wp:posOffset>
                </wp:positionH>
                <wp:positionV relativeFrom="page">
                  <wp:posOffset>3508375</wp:posOffset>
                </wp:positionV>
                <wp:extent cx="5907405" cy="0"/>
                <wp:effectExtent l="0" t="0" r="0" b="0"/>
                <wp:wrapNone/>
                <wp:docPr id="38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0FC0E" id="Line 110" o:spid="_x0000_s1026" style="position:absolute;z-index:25199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76.25pt" to="530.2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Y10gEAAIYDAAAOAAAAZHJzL2Uyb0RvYy54bWysU01v2zAMvQ/YfxB0X2y3TdsYcXpI1l2y&#10;LUC7H8BIcixMFgVRiZ1/P0n5aLfdhl0ESiQfHx+p+dPYG3ZQnjTahleTkjNlBUptdw3/8fr86ZEz&#10;CmAlGLSq4UdF/Gnx8cN8cLW6wQ6NVJ5FEEv14BreheDqoiDRqR5ogk7Z6GzR9xDi1e8K6WGI6L0p&#10;bsryvhjQS+dRKKL4ujo5+SLjt60S4XvbkgrMNDxyC/n0+dyms1jMod55cJ0WZxrwDyx60DYWvUKt&#10;IADbe/0XVK+FR8I2TAT2BbatFir3ELupyj+6eenAqdxLFIfcVSb6f7Di22HjmZYNv32ccWahj0Na&#10;a6tYVWV1Bkd1DFrajU/9idG+uDWKn8QsLjuwO5VZvh5dTKySnsVvKelCLtbYDl9RxhjYB8xSja3v&#10;E2QUgY15IsfrRNQYmIiP01n5cFdOORMXXwH1JdF5Cl8U9iwZDTeRdQaGw5pCIgL1JSTVsfisjckD&#10;N5YNDb+/nZY5gdBomZwpjPxuuzSeHSCtTPkwm93lrqLnfVhCXgF1p7jsOi2Tx72VuUqnQH4+2wG0&#10;OdmRlbFnlZIwaVWp3qI8bvxFvTjsTP+8mGmb3t9z9tv3WfwCAAD//wMAUEsDBBQABgAIAAAAIQCD&#10;k5as3AAAAAwBAAAPAAAAZHJzL2Rvd25yZXYueG1sTI/BTsMwDIbvSLxDZCRuLNmgEypNJzS00y6w&#10;IXH1GtMWGqdqsq57ezwJCY6//en352I1+U6NNMQ2sIX5zIAiroJrubbwvt/cPYKKCdlhF5gsnCnC&#10;qry+KjB34cRvNO5SraSEY44WmpT6XOtYNeQxzkJPLLvPMHhMEodauwFPUu47vTBmqT22LBca7Gnd&#10;UPW9O3oLGzT7V7fdhq/4kZ3XmLR7odHa25vp+QlUoin9wXDRF3UoxekQjuyi6iTfm7mgFrJskYG6&#10;EGZpHkAdfke6LPT/J8ofAAAA//8DAFBLAQItABQABgAIAAAAIQC2gziS/gAAAOEBAAATAAAAAAAA&#10;AAAAAAAAAAAAAABbQ29udGVudF9UeXBlc10ueG1sUEsBAi0AFAAGAAgAAAAhADj9If/WAAAAlAEA&#10;AAsAAAAAAAAAAAAAAAAALwEAAF9yZWxzLy5yZWxzUEsBAi0AFAAGAAgAAAAhAOiBdjXSAQAAhgMA&#10;AA4AAAAAAAAAAAAAAAAALgIAAGRycy9lMm9Eb2MueG1sUEsBAi0AFAAGAAgAAAAhAIOTlqzcAAAA&#10;DAEAAA8AAAAAAAAAAAAAAAAALAQAAGRycy9kb3ducmV2LnhtbFBLBQYAAAAABAAEAPMAAAA1BQAA&#10;AAA=&#10;" strokecolor="#007994" strokeweight=".5pt">
                <w10:wrap anchorx="page" anchory="page"/>
              </v:line>
            </w:pict>
          </mc:Fallback>
        </mc:AlternateContent>
      </w:r>
      <w:r w:rsidR="00083242">
        <w:rPr>
          <w:rFonts w:ascii="Tahoma" w:eastAsia="Tahoma" w:hAnsi="Tahoma"/>
          <w:color w:val="404042"/>
          <w:spacing w:val="5"/>
          <w:sz w:val="18"/>
        </w:rPr>
        <w:t>For those who have completed Year 12 and are not in further education or employment for whatever reason, further</w:t>
      </w:r>
    </w:p>
    <w:p w14:paraId="309987D4" w14:textId="77777777" w:rsidR="009757A9" w:rsidRDefault="00083242">
      <w:pPr>
        <w:spacing w:line="239" w:lineRule="exact"/>
        <w:ind w:left="864" w:right="936"/>
        <w:textAlignment w:val="baseline"/>
        <w:rPr>
          <w:rFonts w:ascii="Tahoma" w:eastAsia="Tahoma" w:hAnsi="Tahoma"/>
          <w:color w:val="404042"/>
          <w:sz w:val="18"/>
        </w:rPr>
      </w:pPr>
      <w:r>
        <w:rPr>
          <w:rFonts w:ascii="Tahoma" w:eastAsia="Tahoma" w:hAnsi="Tahoma"/>
          <w:color w:val="404042"/>
          <w:sz w:val="18"/>
        </w:rPr>
        <w:t>support is critical. Without such help, students may fall through the cracks as they transition from the highly structured environment of a school into adulthood.</w:t>
      </w:r>
    </w:p>
    <w:p w14:paraId="0CFCAFA1" w14:textId="77777777" w:rsidR="009757A9" w:rsidRDefault="00083242">
      <w:pPr>
        <w:spacing w:before="174" w:after="509" w:line="240" w:lineRule="exact"/>
        <w:ind w:left="864" w:right="936"/>
        <w:textAlignment w:val="baseline"/>
        <w:rPr>
          <w:rFonts w:ascii="Verdana" w:eastAsia="Verdana" w:hAnsi="Verdana"/>
          <w:color w:val="404042"/>
          <w:spacing w:val="3"/>
          <w:sz w:val="17"/>
        </w:rPr>
      </w:pPr>
      <w:r>
        <w:rPr>
          <w:rFonts w:ascii="Verdana" w:eastAsia="Verdana" w:hAnsi="Verdana"/>
          <w:color w:val="404042"/>
          <w:spacing w:val="3"/>
          <w:sz w:val="17"/>
        </w:rPr>
        <w:t xml:space="preserve">One important approach is based around the concept of ‘Year 13’. This is when students are provided with specific </w:t>
      </w:r>
      <w:r>
        <w:rPr>
          <w:rFonts w:ascii="Tahoma" w:eastAsia="Tahoma" w:hAnsi="Tahoma"/>
          <w:color w:val="404042"/>
          <w:spacing w:val="3"/>
          <w:sz w:val="18"/>
        </w:rPr>
        <w:t>transition support in the year after they leave school. During our consultations, students strongly supported the need for a ‘Year 13’ where schools stay in contact with Year 12 students after they leave, to ensure they adapt successfully to life after school. They expressed their view that the thought of life beyond Year 12 can be intimidating. The students consulted wanted the opportunity to be able to check back in with their former school if they needed help, particularly if a chosen pathway did not work out and they needed guidance to identify alternative options.</w:t>
      </w:r>
    </w:p>
    <w:p w14:paraId="54EA5E45" w14:textId="77777777" w:rsidR="009757A9" w:rsidRDefault="00083242">
      <w:pPr>
        <w:spacing w:after="882"/>
        <w:ind w:left="5995"/>
        <w:textAlignment w:val="baseline"/>
      </w:pPr>
      <w:r>
        <w:rPr>
          <w:noProof/>
          <w:lang w:val="en-AU" w:eastAsia="en-AU"/>
        </w:rPr>
        <w:drawing>
          <wp:inline distT="0" distB="0" distL="0" distR="0" wp14:anchorId="088BB750" wp14:editId="7304223F">
            <wp:extent cx="3755390" cy="2929255"/>
            <wp:effectExtent l="0" t="0" r="0" b="0"/>
            <wp:docPr id="220" name="Picture"/>
            <wp:cNvGraphicFramePr/>
            <a:graphic xmlns:a="http://schemas.openxmlformats.org/drawingml/2006/main">
              <a:graphicData uri="http://schemas.openxmlformats.org/drawingml/2006/picture">
                <pic:pic xmlns:pic="http://schemas.openxmlformats.org/drawingml/2006/picture">
                  <pic:nvPicPr>
                    <pic:cNvPr id="220" name="Picture"/>
                    <pic:cNvPicPr preferRelativeResize="0"/>
                  </pic:nvPicPr>
                  <pic:blipFill>
                    <a:blip r:embed="rId303"/>
                    <a:stretch>
                      <a:fillRect/>
                    </a:stretch>
                  </pic:blipFill>
                  <pic:spPr>
                    <a:xfrm>
                      <a:off x="0" y="0"/>
                      <a:ext cx="3755390" cy="2929255"/>
                    </a:xfrm>
                    <a:prstGeom prst="rect">
                      <a:avLst/>
                    </a:prstGeom>
                  </pic:spPr>
                </pic:pic>
              </a:graphicData>
            </a:graphic>
          </wp:inline>
        </w:drawing>
      </w:r>
    </w:p>
    <w:p w14:paraId="3E2F7268" w14:textId="77777777" w:rsidR="009757A9" w:rsidRDefault="000D2E34">
      <w:pPr>
        <w:spacing w:before="79" w:line="177" w:lineRule="exact"/>
        <w:ind w:left="864"/>
        <w:textAlignment w:val="baseline"/>
        <w:rPr>
          <w:rFonts w:ascii="Tahoma" w:eastAsia="Tahoma" w:hAnsi="Tahoma"/>
          <w:color w:val="404042"/>
          <w:spacing w:val="3"/>
          <w:sz w:val="14"/>
        </w:rPr>
      </w:pPr>
      <w:r>
        <w:rPr>
          <w:noProof/>
          <w:lang w:val="en-AU" w:eastAsia="en-AU"/>
        </w:rPr>
        <mc:AlternateContent>
          <mc:Choice Requires="wps">
            <w:drawing>
              <wp:anchor distT="0" distB="0" distL="114300" distR="114300" simplePos="0" relativeHeight="251993600" behindDoc="0" locked="0" layoutInCell="1" allowOverlap="1" wp14:anchorId="00A2AED8" wp14:editId="7C1A53EE">
                <wp:simplePos x="0" y="0"/>
                <wp:positionH relativeFrom="page">
                  <wp:posOffset>539750</wp:posOffset>
                </wp:positionH>
                <wp:positionV relativeFrom="page">
                  <wp:posOffset>9104630</wp:posOffset>
                </wp:positionV>
                <wp:extent cx="917575" cy="0"/>
                <wp:effectExtent l="0" t="0" r="0" b="0"/>
                <wp:wrapNone/>
                <wp:docPr id="38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52426" id="Line 109" o:spid="_x0000_s1026" style="position:absolute;z-index:2519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6.9pt" to="114.75pt,7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5O6zQEAAIYDAAAOAAAAZHJzL2Uyb0RvYy54bWysU8uO2zAMvBfoPwi6N7ZTZB9GnD0k3V7S&#10;NsBuP4CRZFuoLAqSEjt/X0p5dNveivogiCI5HA7p5dM0GHZUPmi0Da9mJWfKCpTadg3//vr84YGz&#10;EMFKMGhVw08q8KfV+3fL0dVqjj0aqTwjEBvq0TW8j9HVRRFErwYIM3TKkrNFP0Ak03eF9DAS+mCK&#10;eVneFSN66TwKFQK9bs5Ovsr4batE/Na2QUVmGk7cYj59PvfpLFZLqDsPrtfiQgP+gcUA2lLRG9QG&#10;IrCD139BDVp4DNjGmcChwLbVQuUeqJuq/KOblx6cyr2QOMHdZAr/D1Z8Pe4807LhHx9oVBYGGtJW&#10;W8Wq8jGpM7pQU9Da7nzqT0z2xW1R/AjM4roH26nM8vXkKLFKGcVvKckIjmrsxy8oKQYOEbNUU+uH&#10;BEkisClP5HSbiJoiE/T4WN0v7heciaurgPqa53yInxUOLF0aboh0xoXjNsTEA+prSCpj8Vkbk+dt&#10;LBuJ7Ly8W+SMgEbL5E1xwXf7tfHsCGll8pe7Is/bsAS9gdCf47LrvEweD1bmMr0C+elyj6DN+U60&#10;jL2olIQ5S7xHedr5q3o07Mz/sphpm97aOfvX77P6CQAA//8DAFBLAwQUAAYACAAAACEAA2F5AuAA&#10;AAAMAQAADwAAAGRycy9kb3ducmV2LnhtbEyPwU7DMBBE70j8g7VIXFDrkKZVSONUqBLcQKUF0aMb&#10;b5OIeB3FbhP+nuWA6HFnRzPz8tVoW3HG3jeOFNxPIxBIpTMNVQred0+TFIQPmoxuHaGCb/SwKq6v&#10;cp0ZN9AbnrehEhxCPtMK6hC6TEpf1mi1n7oOiX9H11sd+OwraXo9cLhtZRxFC2l1Q9xQ6w7XNZZf&#10;25NVIGWUJuPH5/CS3Pm02a+r/fPrRqnbm/FxCSLgGP7N8Dufp0PBmw7uRMaLVkE6Z5TAejKbMQM7&#10;4vhhDuLwJ8kil5cQxQ8AAAD//wMAUEsBAi0AFAAGAAgAAAAhALaDOJL+AAAA4QEAABMAAAAAAAAA&#10;AAAAAAAAAAAAAFtDb250ZW50X1R5cGVzXS54bWxQSwECLQAUAAYACAAAACEAOP0h/9YAAACUAQAA&#10;CwAAAAAAAAAAAAAAAAAvAQAAX3JlbHMvLnJlbHNQSwECLQAUAAYACAAAACEA+F+Tus0BAACGAwAA&#10;DgAAAAAAAAAAAAAAAAAuAgAAZHJzL2Uyb0RvYy54bWxQSwECLQAUAAYACAAAACEAA2F5AuAAAAAM&#10;AQAADwAAAAAAAAAAAAAAAAAnBAAAZHJzL2Rvd25yZXYueG1sUEsFBgAAAAAEAAQA8wAAADQFAAAA&#10;AA==&#10;" strokeweight=".95pt">
                <w10:wrap anchorx="page" anchory="page"/>
              </v:line>
            </w:pict>
          </mc:Fallback>
        </mc:AlternateContent>
      </w:r>
      <w:r w:rsidR="00083242">
        <w:rPr>
          <w:rFonts w:ascii="Tahoma" w:eastAsia="Tahoma" w:hAnsi="Tahoma"/>
          <w:color w:val="404042"/>
          <w:spacing w:val="3"/>
          <w:sz w:val="14"/>
        </w:rPr>
        <w:t xml:space="preserve">214 Skillsroad (2018), </w:t>
      </w:r>
      <w:r w:rsidR="00083242">
        <w:rPr>
          <w:rFonts w:ascii="Arial" w:eastAsia="Arial" w:hAnsi="Arial"/>
          <w:i/>
          <w:color w:val="404042"/>
          <w:spacing w:val="3"/>
          <w:sz w:val="14"/>
        </w:rPr>
        <w:t>Skillsroad Youth Census Report 2018</w:t>
      </w:r>
      <w:r w:rsidR="00083242">
        <w:rPr>
          <w:rFonts w:ascii="Tahoma" w:eastAsia="Tahoma" w:hAnsi="Tahoma"/>
          <w:color w:val="404042"/>
          <w:spacing w:val="3"/>
          <w:sz w:val="14"/>
        </w:rPr>
        <w:t xml:space="preserve">, p. 25, </w:t>
      </w:r>
      <w:hyperlink r:id="rId304">
        <w:r w:rsidR="00083242">
          <w:rPr>
            <w:rFonts w:ascii="Tahoma" w:eastAsia="Tahoma" w:hAnsi="Tahoma"/>
            <w:color w:val="0000FF"/>
            <w:spacing w:val="3"/>
            <w:sz w:val="14"/>
            <w:u w:val="single"/>
          </w:rPr>
          <w:t>https://www.skillsroad.com.au/youth-census-2018</w:t>
        </w:r>
      </w:hyperlink>
      <w:r w:rsidR="00083242">
        <w:rPr>
          <w:rFonts w:ascii="Tahoma" w:eastAsia="Tahoma" w:hAnsi="Tahoma"/>
          <w:color w:val="404042"/>
          <w:spacing w:val="3"/>
          <w:sz w:val="14"/>
        </w:rPr>
        <w:t>.</w:t>
      </w:r>
    </w:p>
    <w:p w14:paraId="3D44C47E" w14:textId="77777777" w:rsidR="009757A9" w:rsidRDefault="00083242">
      <w:pPr>
        <w:spacing w:before="670" w:after="641" w:line="205"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8"/>
        </w:rPr>
        <w:t xml:space="preserve"> 133</w:t>
      </w:r>
    </w:p>
    <w:p w14:paraId="1232DEE8" w14:textId="77777777" w:rsidR="009757A9" w:rsidRDefault="00083242">
      <w:pPr>
        <w:textAlignment w:val="baseline"/>
      </w:pPr>
      <w:r>
        <w:rPr>
          <w:noProof/>
          <w:lang w:val="en-AU" w:eastAsia="en-AU"/>
        </w:rPr>
        <w:drawing>
          <wp:inline distT="0" distB="0" distL="0" distR="0" wp14:anchorId="1912CBE6" wp14:editId="0124EDEE">
            <wp:extent cx="7562215" cy="462915"/>
            <wp:effectExtent l="0" t="0" r="0" b="0"/>
            <wp:docPr id="221" name="Picture"/>
            <wp:cNvGraphicFramePr/>
            <a:graphic xmlns:a="http://schemas.openxmlformats.org/drawingml/2006/main">
              <a:graphicData uri="http://schemas.openxmlformats.org/drawingml/2006/picture">
                <pic:pic xmlns:pic="http://schemas.openxmlformats.org/drawingml/2006/picture">
                  <pic:nvPicPr>
                    <pic:cNvPr id="221" name="Picture"/>
                    <pic:cNvPicPr preferRelativeResize="0"/>
                  </pic:nvPicPr>
                  <pic:blipFill>
                    <a:blip r:embed="rId155"/>
                    <a:stretch>
                      <a:fillRect/>
                    </a:stretch>
                  </pic:blipFill>
                  <pic:spPr>
                    <a:xfrm>
                      <a:off x="0" y="0"/>
                      <a:ext cx="7562215" cy="462915"/>
                    </a:xfrm>
                    <a:prstGeom prst="rect">
                      <a:avLst/>
                    </a:prstGeom>
                  </pic:spPr>
                </pic:pic>
              </a:graphicData>
            </a:graphic>
          </wp:inline>
        </w:drawing>
      </w:r>
    </w:p>
    <w:p w14:paraId="449E288C" w14:textId="77777777" w:rsidR="009757A9" w:rsidRDefault="009757A9">
      <w:pPr>
        <w:sectPr w:rsidR="009757A9">
          <w:pgSz w:w="11909" w:h="16838"/>
          <w:pgMar w:top="1080" w:right="0" w:bottom="0" w:left="0" w:header="720" w:footer="720" w:gutter="0"/>
          <w:cols w:space="720"/>
        </w:sectPr>
      </w:pPr>
    </w:p>
    <w:p w14:paraId="02865A88"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14048" behindDoc="1" locked="0" layoutInCell="1" allowOverlap="1" wp14:anchorId="00C87FDB" wp14:editId="26DDB779">
                <wp:simplePos x="0" y="0"/>
                <wp:positionH relativeFrom="page">
                  <wp:posOffset>0</wp:posOffset>
                </wp:positionH>
                <wp:positionV relativeFrom="page">
                  <wp:posOffset>0</wp:posOffset>
                </wp:positionV>
                <wp:extent cx="7562215" cy="10692130"/>
                <wp:effectExtent l="0" t="0" r="0" b="0"/>
                <wp:wrapSquare wrapText="bothSides"/>
                <wp:docPr id="38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E93FB" w14:textId="77777777" w:rsidR="00490F33" w:rsidRDefault="00490F33">
                            <w:pPr>
                              <w:textAlignment w:val="baseline"/>
                            </w:pPr>
                            <w:r>
                              <w:rPr>
                                <w:noProof/>
                                <w:lang w:val="en-AU" w:eastAsia="en-AU"/>
                              </w:rPr>
                              <w:drawing>
                                <wp:inline distT="0" distB="0" distL="0" distR="0" wp14:anchorId="15DA72E6" wp14:editId="40A6823A">
                                  <wp:extent cx="7562215" cy="10692130"/>
                                  <wp:effectExtent l="0" t="0" r="0" b="0"/>
                                  <wp:docPr id="222" name="Picture" descr="school logo and decorative photos showing inside of the classrooms."/>
                                  <wp:cNvGraphicFramePr/>
                                  <a:graphic xmlns:a="http://schemas.openxmlformats.org/drawingml/2006/main">
                                    <a:graphicData uri="http://schemas.openxmlformats.org/drawingml/2006/picture">
                                      <pic:pic xmlns:pic="http://schemas.openxmlformats.org/drawingml/2006/picture">
                                        <pic:nvPicPr>
                                          <pic:cNvPr id="222" name="Picture" descr="school logo and decorative photos showing inside of the classrooms."/>
                                          <pic:cNvPicPr preferRelativeResize="0"/>
                                        </pic:nvPicPr>
                                        <pic:blipFill>
                                          <a:blip r:embed="rId305"/>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87FDB" id="Text Box 108" o:spid="_x0000_s1374" type="#_x0000_t202" style="position:absolute;margin-left:0;margin-top:0;width:595.45pt;height:841.9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mR8gEAAMUDAAAOAAAAZHJzL2Uyb0RvYy54bWysU21v0zAQ/o7Ef7D8nSbpWFeiptPYNIQ0&#10;BtLGD7g6TmOR+MzZbVJ+PWenLQO+Ib5Y53t5/Nxz59X12Hdir8kbtJUsZrkU2iqsjd1W8uvz/Zul&#10;FD6AraFDqyt50F5er1+/Wg2u1HNssas1CQaxvhxcJdsQXJllXrW6Bz9Dpy0HG6QeAl9pm9UEA6P3&#10;XTbP80U2INWOUGnv2Xs3BeU64TeNVuFz03gdRFdJ5hbSSencxDNbr6DcErjWqCMN+AcWPRjLj56h&#10;7iCA2JH5C6o3itBjE2YK+wybxiideuBuivyPbp5acDr1wuJ4d5bJ/z9Y9bj/QsLUlbxYXklhoech&#10;PesxiPc4iiJfRoUG50tOfHKcGkYO8KRTt949oPrmhcXbFuxW3xDh0GqomWERK7MXpROOjyCb4RPW&#10;/BDsAiagsaE+yseCCEbnSR3O04lkFDuvLhfzeXEpheJYkS/ezYuLNMAMylO9Ix8+aOxFNCpJPP+E&#10;D/sHHyIfKE8p8TmL96br0g509jcHJ0ZP4h8pT+TDuBknsd6ehdlgfeCWCKfd4r/ARov0Q4qB96qS&#10;/vsOSEvRfbQsS1zCk0EnY3MywCourWSQYjJvw7SsO0dm2zLyJLzFG5auMamnqPHE4kiYdyW1etzr&#10;uIwv7ynr1+9b/wQ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NBsCZHyAQAAxQMAAA4AAAAAAAAAAAAAAAAALgIAAGRycy9l&#10;Mm9Eb2MueG1sUEsBAi0AFAAGAAgAAAAhAHsiySLdAAAABwEAAA8AAAAAAAAAAAAAAAAATAQAAGRy&#10;cy9kb3ducmV2LnhtbFBLBQYAAAAABAAEAPMAAABWBQAAAAA=&#10;" filled="f" stroked="f">
                <v:textbox inset="0,0,0,0">
                  <w:txbxContent>
                    <w:p w14:paraId="57AE93FB" w14:textId="77777777" w:rsidR="00490F33" w:rsidRDefault="00490F33">
                      <w:pPr>
                        <w:textAlignment w:val="baseline"/>
                      </w:pPr>
                      <w:r>
                        <w:rPr>
                          <w:noProof/>
                          <w:lang w:val="en-AU" w:eastAsia="en-AU"/>
                        </w:rPr>
                        <w:drawing>
                          <wp:inline distT="0" distB="0" distL="0" distR="0" wp14:anchorId="15DA72E6" wp14:editId="40A6823A">
                            <wp:extent cx="7562215" cy="10692130"/>
                            <wp:effectExtent l="0" t="0" r="0" b="0"/>
                            <wp:docPr id="222" name="Picture" descr="school logo and decorative photos showing inside of the classrooms."/>
                            <wp:cNvGraphicFramePr/>
                            <a:graphic xmlns:a="http://schemas.openxmlformats.org/drawingml/2006/main">
                              <a:graphicData uri="http://schemas.openxmlformats.org/drawingml/2006/picture">
                                <pic:pic xmlns:pic="http://schemas.openxmlformats.org/drawingml/2006/picture">
                                  <pic:nvPicPr>
                                    <pic:cNvPr id="222" name="Picture" descr="school logo and decorative photos showing inside of the classrooms."/>
                                    <pic:cNvPicPr preferRelativeResize="0"/>
                                  </pic:nvPicPr>
                                  <pic:blipFill>
                                    <a:blip r:embed="rId305"/>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5072" behindDoc="1" locked="0" layoutInCell="1" allowOverlap="1" wp14:anchorId="22D463CD" wp14:editId="49057B90">
                <wp:simplePos x="0" y="0"/>
                <wp:positionH relativeFrom="page">
                  <wp:posOffset>847090</wp:posOffset>
                </wp:positionH>
                <wp:positionV relativeFrom="page">
                  <wp:posOffset>830580</wp:posOffset>
                </wp:positionV>
                <wp:extent cx="1511935" cy="285115"/>
                <wp:effectExtent l="0" t="0" r="0" b="0"/>
                <wp:wrapSquare wrapText="bothSides"/>
                <wp:docPr id="38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BBF54" w14:textId="77777777" w:rsidR="00490F33" w:rsidRDefault="00490F33">
                            <w:pPr>
                              <w:spacing w:line="448"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463CD" id="Text Box 107" o:spid="_x0000_s1375" type="#_x0000_t202" style="position:absolute;margin-left:66.7pt;margin-top:65.4pt;width:119.05pt;height:22.4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B8AEAAMMDAAAOAAAAZHJzL2Uyb0RvYy54bWysU8Fu2zAMvQ/YPwi6L47TpUuNOEXXosOA&#10;rhvQ7gMYWY6F2aJGKbGzrx8lx1m33YZdBEokHx8fqfX10LXioMkbtKXMZ3MptFVYGbsr5dfn+zcr&#10;KXwAW0GLVpfyqL283rx+te5doRfYYFtpEgxifdG7UjYhuCLLvGp0B36GTlt21kgdBL7SLqsIekbv&#10;2mwxn19mPVLlCJX2nl/vRqfcJPy61ip8rmuvg2hLydxCOimd23hmmzUUOwLXGHWiAf/AogNjuegZ&#10;6g4CiD2Zv6A6owg91mGmsMuwro3SqQfuJp//0c1TA06nXlgc784y+f8Hqx4PX0iYqpQXq0spLHQ8&#10;pGc9BPEeB5HP30WFeucLDnxyHBoGdvCkU7fePaD65oXF2wbsTt8QYd9oqJhhHjOzF6kjjo8g2/4T&#10;VlwI9gET0FBTF+VjQQSj86SO5+lEMiqWXOb51cVSCsW+xYpvy1QCiinbkQ8fNHYiGqUknn5Ch8OD&#10;D5ENFFNILGbx3rRt2oDW/vbAgfElsY+ER+ph2A6jVG+vJlm2WB25IcJxs/gnsNEg/ZCi560qpf++&#10;B9JStB8tixJXcDJoMraTAVZxaimDFKN5G8ZV3Tsyu4aRR9kt3rBwtUk9RYVHFifCvCmp1dNWx1V8&#10;eU9Rv/7e5icAAAD//wMAUEsDBBQABgAIAAAAIQCxRfv04AAAAAsBAAAPAAAAZHJzL2Rvd25yZXYu&#10;eG1sTI/BTsMwEETvSPyDtUjcqF1CmzbEqSoEJyREGg4cndhNrMbrELtt+Hu2p3Lb2R3Nvsk3k+vZ&#10;yYzBepQwnwlgBhuvLbYSvqq3hxWwEBVq1Xs0En5NgE1xe5OrTPszlua0iy2jEAyZktDFOGSch6Yz&#10;ToWZHwzSbe9HpyLJseV6VGcKdz1/FGLJnbJIHzo1mJfONIfd0UnYfmP5an8+6s9yX9qqWgt8Xx6k&#10;vL+bts/Aopni1QwXfEKHgphqf0QdWE86SZ7IehkEdSBHks4XwGrapIsUeJHz/x2KPwAAAP//AwBQ&#10;SwECLQAUAAYACAAAACEAtoM4kv4AAADhAQAAEwAAAAAAAAAAAAAAAAAAAAAAW0NvbnRlbnRfVHlw&#10;ZXNdLnhtbFBLAQItABQABgAIAAAAIQA4/SH/1gAAAJQBAAALAAAAAAAAAAAAAAAAAC8BAABfcmVs&#10;cy8ucmVsc1BLAQItABQABgAIAAAAIQA/yGsB8AEAAMMDAAAOAAAAAAAAAAAAAAAAAC4CAABkcnMv&#10;ZTJvRG9jLnhtbFBLAQItABQABgAIAAAAIQCxRfv04AAAAAsBAAAPAAAAAAAAAAAAAAAAAEoEAABk&#10;cnMvZG93bnJldi54bWxQSwUGAAAAAAQABADzAAAAVwUAAAAA&#10;" filled="f" stroked="f">
                <v:textbox inset="0,0,0,0">
                  <w:txbxContent>
                    <w:p w14:paraId="644BBF54" w14:textId="77777777" w:rsidR="00490F33" w:rsidRDefault="00490F33">
                      <w:pPr>
                        <w:spacing w:line="448" w:lineRule="exact"/>
                        <w:textAlignment w:val="baseline"/>
                        <w:rPr>
                          <w:rFonts w:ascii="Arial" w:eastAsia="Arial" w:hAnsi="Arial"/>
                          <w:b/>
                          <w:color w:val="BF5B1F"/>
                          <w:w w:val="90"/>
                          <w:sz w:val="39"/>
                        </w:rPr>
                      </w:pPr>
                      <w:r>
                        <w:rPr>
                          <w:rFonts w:ascii="Arial" w:eastAsia="Arial" w:hAnsi="Arial"/>
                          <w:b/>
                          <w:color w:val="BF5B1F"/>
                          <w:w w:val="90"/>
                          <w:sz w:val="39"/>
                        </w:rPr>
                        <w:t>CASE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6096" behindDoc="1" locked="0" layoutInCell="1" allowOverlap="1" wp14:anchorId="72621B76" wp14:editId="38C485CA">
                <wp:simplePos x="0" y="0"/>
                <wp:positionH relativeFrom="page">
                  <wp:posOffset>2359025</wp:posOffset>
                </wp:positionH>
                <wp:positionV relativeFrom="page">
                  <wp:posOffset>830580</wp:posOffset>
                </wp:positionV>
                <wp:extent cx="88265" cy="281305"/>
                <wp:effectExtent l="0" t="0" r="0" b="0"/>
                <wp:wrapSquare wrapText="bothSides"/>
                <wp:docPr id="38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D3191" w14:textId="77777777" w:rsidR="00490F33" w:rsidRDefault="00490F33">
                            <w:pPr>
                              <w:spacing w:line="434" w:lineRule="exact"/>
                              <w:textAlignment w:val="baseline"/>
                              <w:rPr>
                                <w:rFonts w:ascii="Arial" w:eastAsia="Arial" w:hAnsi="Arial"/>
                                <w:b/>
                                <w:color w:val="BF5B1F"/>
                                <w:w w:val="90"/>
                                <w:sz w:val="39"/>
                              </w:rPr>
                            </w:pPr>
                            <w:r>
                              <w:rPr>
                                <w:rFonts w:ascii="Arial" w:eastAsia="Arial" w:hAnsi="Arial"/>
                                <w:b/>
                                <w:color w:val="BF5B1F"/>
                                <w:w w:val="90"/>
                                <w:sz w:val="3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21B76" id="Text Box 106" o:spid="_x0000_s1376" type="#_x0000_t202" style="position:absolute;margin-left:185.75pt;margin-top:65.4pt;width:6.95pt;height:22.15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4647gEAAMEDAAAOAAAAZHJzL2Uyb0RvYy54bWysU9tu2zAMfR+wfxD0vthJkSAw4hRdiw4D&#10;ugvQ7gNoWY6F2aJGKbGzrx8lJ2m3vRV9ESiJOjznkNpcj30nDpq8QVvK+SyXQluFtbG7Uv54uv+w&#10;lsIHsDV0aHUpj9rL6+37d5vBFXqBLXa1JsEg1heDK2UbgiuyzKtW9+Bn6LTlywaph8Bb2mU1wcDo&#10;fZct8nyVDUi1I1Taez69my7lNuE3jVbhW9N4HURXSuYW0kppreKabTdQ7Ahca9SJBryCRQ/GctEL&#10;1B0EEHsy/0H1RhF6bMJMYZ9h0xilkwZWM8//UfPYgtNJC5vj3cUm/3aw6uvhOwlTl/JqvZTCQs9N&#10;etJjEB9xFPN8FR0anC848dFxahj5gjud1Hr3gOqnFxZvW7A7fUOEQ6uhZobz+DJ78XTC8RGkGr5g&#10;zYVgHzABjQ310T42RDA6d+p46U4ko/hwvV6smKLim8V6fpUvUwEozm8d+fBJYy9iUEri3idsODz4&#10;ELlAcU6JpSzem65L/e/sXwecGE8S90h3Ih7GapyMWqaxicoqrI8sh3CaK/4HHLRIv6UYeKZK6X/t&#10;gbQU3WfLlsQBPAd0DqpzAFbx01IGKabwNkyDundkdi0jT6ZbvGHbGpM0PbM4EeY5SVJPMx0H8eU+&#10;ZT3/vO0fAAAA//8DAFBLAwQUAAYACAAAACEAGQCVLOAAAAALAQAADwAAAGRycy9kb3ducmV2Lnht&#10;bEyPwU7DMBBE70j8g7VI3KgdQtoS4lQVghMSIg0Hjk7sJlbjdYjdNvw9y6kcd+ZpdqbYzG5gJzMF&#10;61FCshDADLZeW+wkfNavd2tgISrUavBoJPyYAJvy+qpQufZnrMxpFztGIRhyJaGPccw5D21vnAoL&#10;Pxokb+8npyKdU8f1pM4U7gZ+L8SSO2WRPvRqNM+9aQ+7o5Ow/cLqxX6/Nx/VvrJ1/SjwbXmQ8vZm&#10;3j4Bi2aOFxj+6lN1KKlT44+oAxskpKskI5SMVNAGItJ19gCsIWWVJcDLgv/fUP4CAAD//wMAUEsB&#10;Ai0AFAAGAAgAAAAhALaDOJL+AAAA4QEAABMAAAAAAAAAAAAAAAAAAAAAAFtDb250ZW50X1R5cGVz&#10;XS54bWxQSwECLQAUAAYACAAAACEAOP0h/9YAAACUAQAACwAAAAAAAAAAAAAAAAAvAQAAX3JlbHMv&#10;LnJlbHNQSwECLQAUAAYACAAAACEAfD+OuO4BAADBAwAADgAAAAAAAAAAAAAAAAAuAgAAZHJzL2Uy&#10;b0RvYy54bWxQSwECLQAUAAYACAAAACEAGQCVLOAAAAALAQAADwAAAAAAAAAAAAAAAABIBAAAZHJz&#10;L2Rvd25yZXYueG1sUEsFBgAAAAAEAAQA8wAAAFUFAAAAAA==&#10;" filled="f" stroked="f">
                <v:textbox inset="0,0,0,0">
                  <w:txbxContent>
                    <w:p w14:paraId="6A1D3191" w14:textId="77777777" w:rsidR="00490F33" w:rsidRDefault="00490F33">
                      <w:pPr>
                        <w:spacing w:line="434" w:lineRule="exact"/>
                        <w:textAlignment w:val="baseline"/>
                        <w:rPr>
                          <w:rFonts w:ascii="Arial" w:eastAsia="Arial" w:hAnsi="Arial"/>
                          <w:b/>
                          <w:color w:val="BF5B1F"/>
                          <w:w w:val="90"/>
                          <w:sz w:val="39"/>
                        </w:rPr>
                      </w:pPr>
                      <w:r>
                        <w:rPr>
                          <w:rFonts w:ascii="Arial" w:eastAsia="Arial" w:hAnsi="Arial"/>
                          <w:b/>
                          <w:color w:val="BF5B1F"/>
                          <w:w w:val="90"/>
                          <w:sz w:val="39"/>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7120" behindDoc="1" locked="0" layoutInCell="1" allowOverlap="1" wp14:anchorId="664D5D0A" wp14:editId="40F72D7D">
                <wp:simplePos x="0" y="0"/>
                <wp:positionH relativeFrom="page">
                  <wp:posOffset>847090</wp:posOffset>
                </wp:positionH>
                <wp:positionV relativeFrom="page">
                  <wp:posOffset>1111885</wp:posOffset>
                </wp:positionV>
                <wp:extent cx="2776855" cy="564515"/>
                <wp:effectExtent l="0" t="0" r="0" b="0"/>
                <wp:wrapSquare wrapText="bothSides"/>
                <wp:docPr id="38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2967C" w14:textId="77777777" w:rsidR="00490F33" w:rsidRDefault="00490F33">
                            <w:pPr>
                              <w:spacing w:line="449" w:lineRule="exact"/>
                              <w:textAlignment w:val="baseline"/>
                              <w:rPr>
                                <w:rFonts w:ascii="Tahoma" w:eastAsia="Tahoma" w:hAnsi="Tahoma"/>
                                <w:color w:val="BF5B1F"/>
                                <w:spacing w:val="23"/>
                                <w:w w:val="95"/>
                                <w:sz w:val="38"/>
                              </w:rPr>
                            </w:pPr>
                            <w:r>
                              <w:rPr>
                                <w:rFonts w:ascii="Tahoma" w:eastAsia="Tahoma" w:hAnsi="Tahoma"/>
                                <w:color w:val="BF5B1F"/>
                                <w:spacing w:val="23"/>
                                <w:w w:val="95"/>
                                <w:sz w:val="38"/>
                              </w:rPr>
                              <w:t>SUNNYFUTURES</w:t>
                            </w:r>
                          </w:p>
                          <w:p w14:paraId="7A63BB6E" w14:textId="77777777" w:rsidR="00490F33" w:rsidRDefault="00490F33">
                            <w:pPr>
                              <w:spacing w:before="1" w:line="459" w:lineRule="exact"/>
                              <w:textAlignment w:val="baseline"/>
                              <w:rPr>
                                <w:rFonts w:ascii="Tahoma" w:eastAsia="Tahoma" w:hAnsi="Tahoma"/>
                                <w:color w:val="BF5B1F"/>
                                <w:spacing w:val="19"/>
                                <w:w w:val="95"/>
                                <w:sz w:val="38"/>
                              </w:rPr>
                            </w:pPr>
                            <w:r>
                              <w:rPr>
                                <w:rFonts w:ascii="Tahoma" w:eastAsia="Tahoma" w:hAnsi="Tahoma"/>
                                <w:color w:val="BF5B1F"/>
                                <w:spacing w:val="19"/>
                                <w:w w:val="95"/>
                                <w:sz w:val="38"/>
                              </w:rPr>
                              <w:t>PROGRAM, SUNNYBANK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D5D0A" id="Text Box 105" o:spid="_x0000_s1377" type="#_x0000_t202" style="position:absolute;margin-left:66.7pt;margin-top:87.55pt;width:218.65pt;height:44.4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DS8AEAAMMDAAAOAAAAZHJzL2Uyb0RvYy54bWysU8Fu2zAMvQ/YPwi6L06yOg2MOEXXosOA&#10;bh3Q7gMYWY6F2aJGKbGzrx8lJ2m33opdBIqint57pFZXQ9eKvSZv0JZyNplKoa3CythtKX883X1Y&#10;SuED2ApatLqUB+3l1fr9u1XvCj3HBttKk2AQ64velbIJwRVZ5lWjO/ATdNryYY3UQeAtbbOKoGf0&#10;rs3m0+ki65EqR6i095y9HQ/lOuHXtVbhoa69DqItJXMLaaW0buKarVdQbAlcY9SRBryBRQfG8qNn&#10;qFsIIHZkXkF1RhF6rMNEYZdhXRulkwZWM5v+o+axAaeTFjbHu7NN/v/Bqm/77yRMVcqPywspLHTc&#10;pCc9BPEJBzGb5tGh3vmCCx8dl4aBD7jTSa1396h+emHxpgG71ddE2DcaKmY4izezF1dHHB9BNv1X&#10;rPgh2AVMQENNXbSPDRGMzp06nLsTyShOzi8vF8s8l0LxWb64yGeJXAbF6bYjHz5r7EQMSknc/YQO&#10;+3sfIhsoTiXxMYt3pm3TBLT2rwQXxkxiHwmP1MOwGUar8iQuattgdWBBhONk8U/goEH6LUXPU1VK&#10;/2sHpKVov1g2JY7gKaBTsDkFYBVfLWWQYgxvwjiqO0dm2zDyaLvFazauNknTM4sjYZ6UJPU41XEU&#10;X+5T1fPfW/8BAAD//wMAUEsDBBQABgAIAAAAIQC3GAdQ4AAAAAsBAAAPAAAAZHJzL2Rvd25yZXYu&#10;eG1sTI/LTsMwEEX3SPyDNUjsqN1XUkKcqkKwQkKkYdGlE7uJ1XgcYrcNf8+wgt1czdGdM/l2cj27&#10;mDFYjxLmMwHMYOO1xVbCZ/X6sAEWokKteo9GwrcJsC1ub3KVaX/F0lz2sWVUgiFTEroYh4zz0HTG&#10;qTDzg0HaHf3oVKQ4tlyP6krlrucLIRLulEW60KnBPHemOe3PTsLugOWL/XqvP8pjaavqUeBbcpLy&#10;/m7aPQGLZop/MPzqkzoU5FT7M+rAesrL5YpQGtL1HBgR61SkwGoJi2QlgBc5//9D8QMAAP//AwBQ&#10;SwECLQAUAAYACAAAACEAtoM4kv4AAADhAQAAEwAAAAAAAAAAAAAAAAAAAAAAW0NvbnRlbnRfVHlw&#10;ZXNdLnhtbFBLAQItABQABgAIAAAAIQA4/SH/1gAAAJQBAAALAAAAAAAAAAAAAAAAAC8BAABfcmVs&#10;cy8ucmVsc1BLAQItABQABgAIAAAAIQAJbwDS8AEAAMMDAAAOAAAAAAAAAAAAAAAAAC4CAABkcnMv&#10;ZTJvRG9jLnhtbFBLAQItABQABgAIAAAAIQC3GAdQ4AAAAAsBAAAPAAAAAAAAAAAAAAAAAEoEAABk&#10;cnMvZG93bnJldi54bWxQSwUGAAAAAAQABADzAAAAVwUAAAAA&#10;" filled="f" stroked="f">
                <v:textbox inset="0,0,0,0">
                  <w:txbxContent>
                    <w:p w14:paraId="0B52967C" w14:textId="77777777" w:rsidR="00490F33" w:rsidRDefault="00490F33">
                      <w:pPr>
                        <w:spacing w:line="449" w:lineRule="exact"/>
                        <w:textAlignment w:val="baseline"/>
                        <w:rPr>
                          <w:rFonts w:ascii="Tahoma" w:eastAsia="Tahoma" w:hAnsi="Tahoma"/>
                          <w:color w:val="BF5B1F"/>
                          <w:spacing w:val="23"/>
                          <w:w w:val="95"/>
                          <w:sz w:val="38"/>
                        </w:rPr>
                      </w:pPr>
                      <w:r>
                        <w:rPr>
                          <w:rFonts w:ascii="Tahoma" w:eastAsia="Tahoma" w:hAnsi="Tahoma"/>
                          <w:color w:val="BF5B1F"/>
                          <w:spacing w:val="23"/>
                          <w:w w:val="95"/>
                          <w:sz w:val="38"/>
                        </w:rPr>
                        <w:t>SUNNYFUTURES</w:t>
                      </w:r>
                    </w:p>
                    <w:p w14:paraId="7A63BB6E" w14:textId="77777777" w:rsidR="00490F33" w:rsidRDefault="00490F33">
                      <w:pPr>
                        <w:spacing w:before="1" w:line="459" w:lineRule="exact"/>
                        <w:textAlignment w:val="baseline"/>
                        <w:rPr>
                          <w:rFonts w:ascii="Tahoma" w:eastAsia="Tahoma" w:hAnsi="Tahoma"/>
                          <w:color w:val="BF5B1F"/>
                          <w:spacing w:val="19"/>
                          <w:w w:val="95"/>
                          <w:sz w:val="38"/>
                        </w:rPr>
                      </w:pPr>
                      <w:r>
                        <w:rPr>
                          <w:rFonts w:ascii="Tahoma" w:eastAsia="Tahoma" w:hAnsi="Tahoma"/>
                          <w:color w:val="BF5B1F"/>
                          <w:spacing w:val="19"/>
                          <w:w w:val="95"/>
                          <w:sz w:val="38"/>
                        </w:rPr>
                        <w:t>PROGRAM, SUNNYBANK</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8144" behindDoc="1" locked="0" layoutInCell="1" allowOverlap="1" wp14:anchorId="6598DA9E" wp14:editId="3407C0CE">
                <wp:simplePos x="0" y="0"/>
                <wp:positionH relativeFrom="page">
                  <wp:posOffset>847090</wp:posOffset>
                </wp:positionH>
                <wp:positionV relativeFrom="page">
                  <wp:posOffset>1676400</wp:posOffset>
                </wp:positionV>
                <wp:extent cx="2386965" cy="302260"/>
                <wp:effectExtent l="0" t="0" r="0" b="0"/>
                <wp:wrapSquare wrapText="bothSides"/>
                <wp:docPr id="38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1226B" w14:textId="77777777" w:rsidR="00490F33" w:rsidRDefault="00490F33">
                            <w:pPr>
                              <w:spacing w:line="450" w:lineRule="exact"/>
                              <w:textAlignment w:val="baseline"/>
                              <w:rPr>
                                <w:rFonts w:ascii="Tahoma" w:eastAsia="Tahoma" w:hAnsi="Tahoma"/>
                                <w:color w:val="BF5B1F"/>
                                <w:spacing w:val="8"/>
                                <w:w w:val="95"/>
                                <w:sz w:val="38"/>
                              </w:rPr>
                            </w:pPr>
                            <w:r>
                              <w:rPr>
                                <w:rFonts w:ascii="Tahoma" w:eastAsia="Tahoma" w:hAnsi="Tahoma"/>
                                <w:color w:val="BF5B1F"/>
                                <w:spacing w:val="8"/>
                                <w:w w:val="95"/>
                                <w:sz w:val="38"/>
                              </w:rPr>
                              <w:t>STATE HIGH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8DA9E" id="Text Box 104" o:spid="_x0000_s1378" type="#_x0000_t202" style="position:absolute;margin-left:66.7pt;margin-top:132pt;width:187.95pt;height:23.8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3f8QEAAMMDAAAOAAAAZHJzL2Uyb0RvYy54bWysU9uO0zAQfUfiHyy/06QpW5Wo6WrZ1SKk&#10;hUXa5QMcx24sEo8Zu03K1zN2mrLAG+LFGs/l+MyZ8fZ67Dt2VOgN2IovFzlnykpojN1X/Ovz/ZsN&#10;Zz4I24gOrKr4SXl+vXv9aju4UhXQQtcoZARifTm4irchuDLLvGxVL/wCnLIU1IC9CHTFfdagGAi9&#10;77Iiz9fZANg4BKm8J+/dFOS7hK+1kuFRa68C6ypO3EI6MZ11PLPdVpR7FK418kxD/AOLXhhLj16g&#10;7kQQ7IDmL6jeSAQPOiwk9BlobaRKPVA3y/yPbp5a4VTqhcTx7iKT/3+w8vPxCzLTVHy1WXFmRU9D&#10;elZjYO9hZMv8bVRocL6kxCdHqWGkAE06devdA8hvnlm4bYXdqxtEGFolGmK4jJXZi9IJx0eQevgE&#10;DT0kDgES0Kixj/KRIIzQaVKny3QiGUnOYrVZv1tfcSYptsqLYp3Gl4lyrnbowwcFPYtGxZGmn9DF&#10;8cGHyEaUc0p8zMK96bq0AZ39zUGJ0ZPYR8IT9TDW4yTVVTHLUkNzooYQps2in0BGC/iDs4G2quL+&#10;+0Gg4qz7aEmUuIKzgbNRz4awkkorHjibzNswrerBodm3hDzJbuGGhNMm9RQVnlicCdOmpFbPWx1X&#10;8eU9Zf36e7ufAAAA//8DAFBLAwQUAAYACAAAACEANTH9j+AAAAALAQAADwAAAGRycy9kb3ducmV2&#10;LnhtbEyPwU7DMBBE70j8g7VI3KidpkQ0xKkqBCekijQcODqxm1iN1yF22/D3bE9wHO3T7JtiM7uB&#10;nc0UrEcJyUIAM9h6bbGT8Fm/PTwBC1GhVoNHI+HHBNiUtzeFyrW/YGXO+9gxKsGQKwl9jGPOeWh7&#10;41RY+NEg3Q5+cipSnDquJ3WhcjfwpRAZd8oifejVaF560x73Jydh+4XVq/3eNR/VobJ1vRb4nh2l&#10;vL+bt8/AopnjHwxXfVKHkpwaf0Id2EA5TVeESlhmKxpFxKNYp8AaCWmSZMDLgv/fUP4CAAD//wMA&#10;UEsBAi0AFAAGAAgAAAAhALaDOJL+AAAA4QEAABMAAAAAAAAAAAAAAAAAAAAAAFtDb250ZW50X1R5&#10;cGVzXS54bWxQSwECLQAUAAYACAAAACEAOP0h/9YAAACUAQAACwAAAAAAAAAAAAAAAAAvAQAAX3Jl&#10;bHMvLnJlbHNQSwECLQAUAAYACAAAACEAYks93/EBAADDAwAADgAAAAAAAAAAAAAAAAAuAgAAZHJz&#10;L2Uyb0RvYy54bWxQSwECLQAUAAYACAAAACEANTH9j+AAAAALAQAADwAAAAAAAAAAAAAAAABLBAAA&#10;ZHJzL2Rvd25yZXYueG1sUEsFBgAAAAAEAAQA8wAAAFgFAAAAAA==&#10;" filled="f" stroked="f">
                <v:textbox inset="0,0,0,0">
                  <w:txbxContent>
                    <w:p w14:paraId="1301226B" w14:textId="77777777" w:rsidR="00490F33" w:rsidRDefault="00490F33">
                      <w:pPr>
                        <w:spacing w:line="450" w:lineRule="exact"/>
                        <w:textAlignment w:val="baseline"/>
                        <w:rPr>
                          <w:rFonts w:ascii="Tahoma" w:eastAsia="Tahoma" w:hAnsi="Tahoma"/>
                          <w:color w:val="BF5B1F"/>
                          <w:spacing w:val="8"/>
                          <w:w w:val="95"/>
                          <w:sz w:val="38"/>
                        </w:rPr>
                      </w:pPr>
                      <w:r>
                        <w:rPr>
                          <w:rFonts w:ascii="Tahoma" w:eastAsia="Tahoma" w:hAnsi="Tahoma"/>
                          <w:color w:val="BF5B1F"/>
                          <w:spacing w:val="8"/>
                          <w:w w:val="95"/>
                          <w:sz w:val="38"/>
                        </w:rPr>
                        <w:t>STATE HIGH SCHOOL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19168" behindDoc="1" locked="0" layoutInCell="1" allowOverlap="1" wp14:anchorId="287C7DC6" wp14:editId="4AF1CDBA">
                <wp:simplePos x="0" y="0"/>
                <wp:positionH relativeFrom="page">
                  <wp:posOffset>4182110</wp:posOffset>
                </wp:positionH>
                <wp:positionV relativeFrom="page">
                  <wp:posOffset>798830</wp:posOffset>
                </wp:positionV>
                <wp:extent cx="2395220" cy="914400"/>
                <wp:effectExtent l="0" t="0" r="0" b="0"/>
                <wp:wrapSquare wrapText="bothSides"/>
                <wp:docPr id="38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99D44" w14:textId="77777777" w:rsidR="00490F33" w:rsidRDefault="00490F33">
                            <w:pPr>
                              <w:spacing w:line="239" w:lineRule="exact"/>
                              <w:textAlignment w:val="baseline"/>
                              <w:rPr>
                                <w:rFonts w:ascii="Tahoma" w:eastAsia="Tahoma" w:hAnsi="Tahoma"/>
                                <w:color w:val="414042"/>
                                <w:spacing w:val="6"/>
                                <w:sz w:val="18"/>
                              </w:rPr>
                            </w:pPr>
                            <w:r>
                              <w:rPr>
                                <w:rFonts w:ascii="Tahoma" w:eastAsia="Tahoma" w:hAnsi="Tahoma"/>
                                <w:color w:val="414042"/>
                                <w:spacing w:val="6"/>
                                <w:sz w:val="18"/>
                              </w:rPr>
                              <w:t>Key to the program’s success is the individualised case management approach, which begins with tracking student progress in their final year of high school and individually meeting with them to gather pathway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C7DC6" id="Text Box 103" o:spid="_x0000_s1379" type="#_x0000_t202" style="position:absolute;margin-left:329.3pt;margin-top:62.9pt;width:188.6pt;height:1in;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XY7wEAAMMDAAAOAAAAZHJzL2Uyb0RvYy54bWysU9tu2zAMfR+wfxD0vthx2qE14hRdiw4D&#10;ugvQ7gMYWY6F2aJGKbGzrx8lx1m3vQ17EShejg4PqfXN2HfioMkbtJVcLnIptFVYG7ur5NfnhzdX&#10;UvgAtoYOra7kUXt5s3n9aj24UhfYYldrEgxifTm4SrYhuDLLvGp1D36BTlsONkg9BL7SLqsJBkbv&#10;u6zI87fZgFQ7QqW9Z+/9FJSbhN80WoXPTeN1EF0lmVtIJ6VzG89ss4ZyR+Bao0404B9Y9GAsP3qG&#10;uocAYk/mL6jeKEKPTVgo7DNsGqN06oG7WeZ/dPPUgtOpFxbHu7NM/v/Bqk+HLyRMXcnVVSGFhZ6H&#10;9KzHIN7hKJb5Kio0OF9y4pPj1DBygCeduvXuEdU3LyzetWB3+pYIh1ZDzQyXsTJ7UTrh+AiyHT5i&#10;zQ/BPmACGhvqo3wsiGB0ntTxPJ1IRrGzWF1fFgWHFMeulxcXeRpfBuVc7ciH9xp7EY1KEk8/ocPh&#10;0YfIBso5JT5m8cF0XdqAzv7m4MToSewj4Yl6GLfjJNXlWZYt1kduiHDaLP4JbLRIP6QYeKsq6b/v&#10;gbQU3QfLosQVnA2aje1sgFVcWskgxWTehWlV947MrmXkSXaLtyxcY1JPUeGJxYkwb0pq9bTVcRVf&#10;3lPWr7+3+QkAAP//AwBQSwMEFAAGAAgAAAAhAFZkKgLgAAAADAEAAA8AAABkcnMvZG93bnJldi54&#10;bWxMj8FOwzAQRO9I/IO1SNyoTVCtNMSpKgQnJEQaDhyd2E2ixusQu234ezYnetvRPM3O5NvZDexs&#10;p9B7VPC4EsAsNt702Cr4qt4eUmAhajR68GgV/NoA2+L2JteZ8Rcs7XkfW0YhGDKtoItxzDgPTWed&#10;Dis/WiTv4CenI8mp5WbSFwp3A0+EkNzpHulDp0f70tnmuD85BbtvLF/7n4/6szyUfVVtBL7Lo1L3&#10;d/PuGVi0c/yHYalP1aGgTrU/oQlsUCDXqSSUjGRNGxZCPC1XrSCRmxR4kfPrEcUfAAAA//8DAFBL&#10;AQItABQABgAIAAAAIQC2gziS/gAAAOEBAAATAAAAAAAAAAAAAAAAAAAAAABbQ29udGVudF9UeXBl&#10;c10ueG1sUEsBAi0AFAAGAAgAAAAhADj9If/WAAAAlAEAAAsAAAAAAAAAAAAAAAAALwEAAF9yZWxz&#10;Ly5yZWxzUEsBAi0AFAAGAAgAAAAhAJLn5djvAQAAwwMAAA4AAAAAAAAAAAAAAAAALgIAAGRycy9l&#10;Mm9Eb2MueG1sUEsBAi0AFAAGAAgAAAAhAFZkKgLgAAAADAEAAA8AAAAAAAAAAAAAAAAASQQAAGRy&#10;cy9kb3ducmV2LnhtbFBLBQYAAAAABAAEAPMAAABWBQAAAAA=&#10;" filled="f" stroked="f">
                <v:textbox inset="0,0,0,0">
                  <w:txbxContent>
                    <w:p w14:paraId="5BF99D44" w14:textId="77777777" w:rsidR="00490F33" w:rsidRDefault="00490F33">
                      <w:pPr>
                        <w:spacing w:line="239" w:lineRule="exact"/>
                        <w:textAlignment w:val="baseline"/>
                        <w:rPr>
                          <w:rFonts w:ascii="Tahoma" w:eastAsia="Tahoma" w:hAnsi="Tahoma"/>
                          <w:color w:val="414042"/>
                          <w:spacing w:val="6"/>
                          <w:sz w:val="18"/>
                        </w:rPr>
                      </w:pPr>
                      <w:r>
                        <w:rPr>
                          <w:rFonts w:ascii="Tahoma" w:eastAsia="Tahoma" w:hAnsi="Tahoma"/>
                          <w:color w:val="414042"/>
                          <w:spacing w:val="6"/>
                          <w:sz w:val="18"/>
                        </w:rPr>
                        <w:t>Key to the program’s success is the individualised case management approach, which begins with tracking student progress in their final year of high school and individually meeting with them to gather pathway data.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0192" behindDoc="1" locked="0" layoutInCell="1" allowOverlap="1" wp14:anchorId="396E2646" wp14:editId="51BF0CC4">
                <wp:simplePos x="0" y="0"/>
                <wp:positionH relativeFrom="page">
                  <wp:posOffset>3234055</wp:posOffset>
                </wp:positionH>
                <wp:positionV relativeFrom="page">
                  <wp:posOffset>1687195</wp:posOffset>
                </wp:positionV>
                <wp:extent cx="72390" cy="291465"/>
                <wp:effectExtent l="0" t="0" r="0" b="0"/>
                <wp:wrapSquare wrapText="bothSides"/>
                <wp:docPr id="38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EE337" w14:textId="77777777" w:rsidR="00490F33" w:rsidRDefault="00490F33">
                            <w:pPr>
                              <w:spacing w:line="453" w:lineRule="exact"/>
                              <w:textAlignment w:val="baseline"/>
                              <w:rPr>
                                <w:rFonts w:ascii="Tahoma" w:eastAsia="Tahoma" w:hAnsi="Tahoma"/>
                                <w:color w:val="BF5B1F"/>
                                <w:w w:val="95"/>
                                <w:sz w:val="38"/>
                              </w:rPr>
                            </w:pPr>
                            <w:r>
                              <w:rPr>
                                <w:rFonts w:ascii="Tahoma" w:eastAsia="Tahoma" w:hAnsi="Tahoma"/>
                                <w:color w:val="BF5B1F"/>
                                <w:w w:val="9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E2646" id="Text Box 102" o:spid="_x0000_s1380" type="#_x0000_t202" style="position:absolute;margin-left:254.65pt;margin-top:132.85pt;width:5.7pt;height:22.9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JJ7wEAAMEDAAAOAAAAZHJzL2Uyb0RvYy54bWysU9tu2zAMfR+wfxD0vthOL2uNOEXXosOA&#10;7gK0+wBGlmNhtqhRSuzs60fJcdZtb8NeBIqkDg8PqdXN2Hdir8kbtJUsFrkU2iqsjd1W8uvzw5sr&#10;KXwAW0OHVlfyoL28Wb9+tRpcqZfYYldrEgxifTm4SrYhuDLLvGp1D36BTlsONkg9BL7SNqsJBkbv&#10;u2yZ55fZgFQ7QqW9Z+/9FJTrhN80WoXPTeN1EF0lmVtIJ6VzE89svYJyS+Bao4404B9Y9GAsFz1B&#10;3UMAsSPzF1RvFKHHJiwU9hk2jVE69cDdFPkf3Ty14HTqhcXx7iST/3+w6tP+CwlTV/LsqpDCQs9D&#10;etZjEO9wFEW+jAoNzpec+OQ4NYwc4Emnbr17RPXNC4t3LditviXCodVQM8MivsxePJ1wfATZDB+x&#10;5kKwC5iAxob6KB8LIhidJ3U4TSeSUex8uzy75oDiyPK6OL+8SAWgnN868uG9xl5Eo5LEs0/YsH/0&#10;IXKBck6JpSw+mK5L8+/sbw5OjJ7EPdKdiIdxM05CXZzPomywPnA7hNNe8T9go0X6IcXAO1VJ/30H&#10;pKXoPliWJC7gbNBsbGYDrOKnlQxSTOZdmBZ158hsW0aeRLd4y7I1JvUU9Z1YHAnznqRWjzsdF/Hl&#10;PWX9+nnrnwAAAP//AwBQSwMEFAAGAAgAAAAhANmNfhjhAAAACwEAAA8AAABkcnMvZG93bnJldi54&#10;bWxMj8FOwzAMhu9IvENkJG4saacWVupOE4ITEqIrB45pk7XRGqc02VbennCCmy1/+v395XaxIzvr&#10;2RtHCMlKANPUOWWoR/hoXu4egPkgScnRkUb41h621fVVKQvlLlTr8z70LIaQLyTCEMJUcO67QVvp&#10;V27SFG8HN1sZ4jr3XM3yEsPtyFMhcm6lofhhkJN+GnR33J8swu6T6mfz9da+14faNM1G0Gt+RLy9&#10;WXaPwIJewh8Mv/pRHaro1LoTKc9GhExs1hFFSPPsHlgkslTEoUVYJ0kOvCr5/w7VDwAAAP//AwBQ&#10;SwECLQAUAAYACAAAACEAtoM4kv4AAADhAQAAEwAAAAAAAAAAAAAAAAAAAAAAW0NvbnRlbnRfVHlw&#10;ZXNdLnhtbFBLAQItABQABgAIAAAAIQA4/SH/1gAAAJQBAAALAAAAAAAAAAAAAAAAAC8BAABfcmVs&#10;cy8ucmVsc1BLAQItABQABgAIAAAAIQDhLYJJ7wEAAMEDAAAOAAAAAAAAAAAAAAAAAC4CAABkcnMv&#10;ZTJvRG9jLnhtbFBLAQItABQABgAIAAAAIQDZjX4Y4QAAAAsBAAAPAAAAAAAAAAAAAAAAAEkEAABk&#10;cnMvZG93bnJldi54bWxQSwUGAAAAAAQABADzAAAAVwUAAAAA&#10;" filled="f" stroked="f">
                <v:textbox inset="0,0,0,0">
                  <w:txbxContent>
                    <w:p w14:paraId="01BEE337" w14:textId="77777777" w:rsidR="00490F33" w:rsidRDefault="00490F33">
                      <w:pPr>
                        <w:spacing w:line="453" w:lineRule="exact"/>
                        <w:textAlignment w:val="baseline"/>
                        <w:rPr>
                          <w:rFonts w:ascii="Tahoma" w:eastAsia="Tahoma" w:hAnsi="Tahoma"/>
                          <w:color w:val="BF5B1F"/>
                          <w:w w:val="95"/>
                          <w:sz w:val="38"/>
                        </w:rPr>
                      </w:pPr>
                      <w:r>
                        <w:rPr>
                          <w:rFonts w:ascii="Tahoma" w:eastAsia="Tahoma" w:hAnsi="Tahoma"/>
                          <w:color w:val="BF5B1F"/>
                          <w:w w:val="95"/>
                          <w:sz w:val="38"/>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1216" behindDoc="1" locked="0" layoutInCell="1" allowOverlap="1" wp14:anchorId="2959A408" wp14:editId="6EF67ECD">
                <wp:simplePos x="0" y="0"/>
                <wp:positionH relativeFrom="page">
                  <wp:posOffset>850265</wp:posOffset>
                </wp:positionH>
                <wp:positionV relativeFrom="page">
                  <wp:posOffset>1979930</wp:posOffset>
                </wp:positionV>
                <wp:extent cx="1584960" cy="291465"/>
                <wp:effectExtent l="0" t="0" r="0" b="0"/>
                <wp:wrapSquare wrapText="bothSides"/>
                <wp:docPr id="38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654EE" w14:textId="77777777" w:rsidR="00490F33" w:rsidRDefault="00490F33">
                            <w:pPr>
                              <w:spacing w:line="453"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QUEENSLAND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9A408" id="Text Box 101" o:spid="_x0000_s1381" type="#_x0000_t202" style="position:absolute;margin-left:66.95pt;margin-top:155.9pt;width:124.8pt;height:22.9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H7QEAAMMDAAAOAAAAZHJzL2Uyb0RvYy54bWysU8Fu2zAMvQ/YPwi6L7azJkiNOEXXosOA&#10;bh3Q7gNkWbaF2aJGKbGzrx8lx2m33opdBEokHx8fqe3V2HfsoNBpMAXPFilnykiotGkK/uPp7sOG&#10;M+eFqUQHRhX8qBy/2r1/tx1srpbQQlcpZARiXD7Ygrfe2zxJnGxVL9wCrDLkrAF74emKTVKhGAi9&#10;75Jlmq6TAbCyCFI5R6+3k5PvIn5dK+kf6topz7qCEzcfT4xnGc5ktxV5g8K2Wp5oiDew6IU2VPQM&#10;dSu8YHvUr6B6LREc1H4hoU+grrVUsQfqJkv/6eaxFVbFXkgcZ88yuf8HK78dviPTVcE/bkgfI3oa&#10;0pMaPfsEI8vSLCg0WJdT4KOlUD+SgyYdu3X2HuRPxwzctMI06hoRhlaJihjGzORF6oTjAkg5fIWK&#10;Com9hwg01tgH+UgQRujE5HieTiAjQ8nV5uJyTS5JvuVldrFeBXKJyOdsi85/VtCzYBQcafoRXRzu&#10;nZ9C55BQzMCd7rq4AZ3564Eww0tkHwhP1P1YjpNUq1g59FZCdaSGEKbNop9ARgv4m7OBtqrg7tde&#10;oOKs+2JIlLCCs4GzUc6GMJJSC+45m8wbP63q3qJuWkKeZDdwTcLVOvb0zOJEmDYlqnLa6rCKL+8x&#10;6vnv7f4AAAD//wMAUEsDBBQABgAIAAAAIQBKFag53wAAAAsBAAAPAAAAZHJzL2Rvd25yZXYueG1s&#10;TI/LTsMwEEX3SP0Hayqxo06w+gpxqgrBCgmRhgVLJ3YTq/E4xG4b/p5hVXZzNUf3ke8m17OLGYP1&#10;KCFdJMAMNl5bbCV8Vq8PG2AhKtSq92gk/JgAu2J2l6tM+yuW5nKILSMTDJmS0MU4ZJyHpjNOhYUf&#10;DNLv6EenIsmx5XpUVzJ3PX9MkhV3yiIldGowz51pToezk7D/wvLFfr/XH+WxtFW1TfBtdZLyfj7t&#10;n4BFM8UbDH/1qToU1Kn2Z9SB9aSF2BIqQaQpbSBCbMQSWE3Hcr0GXuT8/4biFwAA//8DAFBLAQIt&#10;ABQABgAIAAAAIQC2gziS/gAAAOEBAAATAAAAAAAAAAAAAAAAAAAAAABbQ29udGVudF9UeXBlc10u&#10;eG1sUEsBAi0AFAAGAAgAAAAhADj9If/WAAAAlAEAAAsAAAAAAAAAAAAAAAAALwEAAF9yZWxzLy5y&#10;ZWxzUEsBAi0AFAAGAAgAAAAhACwoL4ftAQAAwwMAAA4AAAAAAAAAAAAAAAAALgIAAGRycy9lMm9E&#10;b2MueG1sUEsBAi0AFAAGAAgAAAAhAEoVqDnfAAAACwEAAA8AAAAAAAAAAAAAAAAARwQAAGRycy9k&#10;b3ducmV2LnhtbFBLBQYAAAAABAAEAPMAAABTBQAAAAA=&#10;" filled="f" stroked="f">
                <v:textbox inset="0,0,0,0">
                  <w:txbxContent>
                    <w:p w14:paraId="355654EE" w14:textId="77777777" w:rsidR="00490F33" w:rsidRDefault="00490F33">
                      <w:pPr>
                        <w:spacing w:line="453"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QUEENSLAND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2240" behindDoc="1" locked="0" layoutInCell="1" allowOverlap="1" wp14:anchorId="016B6BA6" wp14:editId="110D6572">
                <wp:simplePos x="0" y="0"/>
                <wp:positionH relativeFrom="page">
                  <wp:posOffset>905510</wp:posOffset>
                </wp:positionH>
                <wp:positionV relativeFrom="page">
                  <wp:posOffset>2432050</wp:posOffset>
                </wp:positionV>
                <wp:extent cx="2440940" cy="1066800"/>
                <wp:effectExtent l="0" t="0" r="0" b="0"/>
                <wp:wrapSquare wrapText="bothSides"/>
                <wp:docPr id="37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B8C7" w14:textId="77777777" w:rsidR="00490F33" w:rsidRDefault="00490F33">
                            <w:pPr>
                              <w:spacing w:line="238" w:lineRule="exact"/>
                              <w:textAlignment w:val="baseline"/>
                              <w:rPr>
                                <w:rFonts w:ascii="Tahoma" w:eastAsia="Tahoma" w:hAnsi="Tahoma"/>
                                <w:color w:val="414042"/>
                                <w:sz w:val="18"/>
                              </w:rPr>
                            </w:pPr>
                            <w:r>
                              <w:rPr>
                                <w:rFonts w:ascii="Tahoma" w:eastAsia="Tahoma" w:hAnsi="Tahoma"/>
                                <w:color w:val="414042"/>
                                <w:sz w:val="18"/>
                              </w:rPr>
                              <w:t>While many students leave school knowing what their next step is, many do not, or sometimes their plans may not work out. At Sunnybank State High School in Queensland, students are provided with practical help to find, prepare for, and secure work in the year after they leave school – ‘Year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B6BA6" id="Text Box 100" o:spid="_x0000_s1382" type="#_x0000_t202" style="position:absolute;margin-left:71.3pt;margin-top:191.5pt;width:192.2pt;height:84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2e8QEAAMQDAAAOAAAAZHJzL2Uyb0RvYy54bWysU1Fv0zAQfkfiP1h+p0lLKVvUdBqbhpDG&#10;QNr4AVfHaSwSnzm7Tcqv5+w03YA3xIt19p0/f9935/XV0LXioMkbtKWcz3IptFVYGbsr5benuzcX&#10;UvgAtoIWrS7lUXt5tXn9at27Qi+wwbbSJBjE+qJ3pWxCcEWWedXoDvwMnbacrJE6CLylXVYR9Ize&#10;tdkiz1dZj1Q5QqW959PbMSk3Cb+utQpf6trrINpSMreQVkrrNq7ZZg3FjsA1Rp1owD+w6MBYfvQM&#10;dQsBxJ7MX1CdUYQe6zBT2GVY10bppIHVzPM/1Dw24HTSwuZ4d7bJ/z9Y9XD4SsJUpXz7/lIKCx03&#10;6UkPQXzAQczz5FDvfMGFj45Lw8AJ7nRS6909qu9eWLxpwO70NRH2jYaKGc6jt9mLq7EnvvARZNt/&#10;xoofgn3ABDTU1EX72BDB6Nyp47k7kYziw8VymV8uOaU4N89Xq4uRXQbFdN2RDx81diIGpSRuf4KH&#10;w70PkQ4UU0l8zeKdads0Aq397YAL40miHxmP3MOwHUav3q2iuqhni9WRFRGOo8VfgYMG6acUPY9V&#10;Kf2PPZCWov1k2ZU4g1NAU7CdArCKr5YySDGGN2Gc1b0js2sYefTd4jU7V5uk6ZnFiTCPSpJ6Gus4&#10;iy/3qer5821+AQAA//8DAFBLAwQUAAYACAAAACEAEQ30zeAAAAALAQAADwAAAGRycy9kb3ducmV2&#10;LnhtbEyPwU7DMBBE70j8g7VI3KjdlIY2jVNVCE5IqGk4cHRiN7Ear0PstuHvWU5wm9E+zc7k28n1&#10;7GLGYD1KmM8EMION1xZbCR/V68MKWIgKteo9GgnfJsC2uL3JVab9FUtzOcSWUQiGTEnoYhwyzkPT&#10;GafCzA8G6Xb0o1OR7NhyPaorhbueJ0Kk3CmL9KFTg3nuTHM6nJ2E3SeWL/brvd6Xx9JW1VrgW3qS&#10;8v5u2m2ARTPFPxh+61N1KKhT7c+oA+vJPyYpoRIWqwWNImKZPJGoSSznAniR8/8bih8AAAD//wMA&#10;UEsBAi0AFAAGAAgAAAAhALaDOJL+AAAA4QEAABMAAAAAAAAAAAAAAAAAAAAAAFtDb250ZW50X1R5&#10;cGVzXS54bWxQSwECLQAUAAYACAAAACEAOP0h/9YAAACUAQAACwAAAAAAAAAAAAAAAAAvAQAAX3Jl&#10;bHMvLnJlbHNQSwECLQAUAAYACAAAACEApNvtnvEBAADEAwAADgAAAAAAAAAAAAAAAAAuAgAAZHJz&#10;L2Uyb0RvYy54bWxQSwECLQAUAAYACAAAACEAEQ30zeAAAAALAQAADwAAAAAAAAAAAAAAAABLBAAA&#10;ZHJzL2Rvd25yZXYueG1sUEsFBgAAAAAEAAQA8wAAAFgFAAAAAA==&#10;" filled="f" stroked="f">
                <v:textbox inset="0,0,0,0">
                  <w:txbxContent>
                    <w:p w14:paraId="790DB8C7" w14:textId="77777777" w:rsidR="00490F33" w:rsidRDefault="00490F33">
                      <w:pPr>
                        <w:spacing w:line="238" w:lineRule="exact"/>
                        <w:textAlignment w:val="baseline"/>
                        <w:rPr>
                          <w:rFonts w:ascii="Tahoma" w:eastAsia="Tahoma" w:hAnsi="Tahoma"/>
                          <w:color w:val="414042"/>
                          <w:sz w:val="18"/>
                        </w:rPr>
                      </w:pPr>
                      <w:r>
                        <w:rPr>
                          <w:rFonts w:ascii="Tahoma" w:eastAsia="Tahoma" w:hAnsi="Tahoma"/>
                          <w:color w:val="414042"/>
                          <w:sz w:val="18"/>
                        </w:rPr>
                        <w:t>While many students leave school knowing what their next step is, many do not, or sometimes their plans may not work out. At Sunnybank State High School in Queensland, students are provided with practical help to find, prepare for, and secure work in the year after they leave school – ‘Year 13’.</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3264" behindDoc="1" locked="0" layoutInCell="1" allowOverlap="1" wp14:anchorId="49F98B59" wp14:editId="0563BEDF">
                <wp:simplePos x="0" y="0"/>
                <wp:positionH relativeFrom="page">
                  <wp:posOffset>4182110</wp:posOffset>
                </wp:positionH>
                <wp:positionV relativeFrom="page">
                  <wp:posOffset>1822450</wp:posOffset>
                </wp:positionV>
                <wp:extent cx="2346960" cy="1371600"/>
                <wp:effectExtent l="0" t="0" r="0" b="0"/>
                <wp:wrapSquare wrapText="bothSides"/>
                <wp:docPr id="37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3DE36" w14:textId="77777777" w:rsidR="00490F33" w:rsidRDefault="00490F33">
                            <w:pPr>
                              <w:spacing w:line="239" w:lineRule="exact"/>
                              <w:textAlignment w:val="baseline"/>
                              <w:rPr>
                                <w:rFonts w:ascii="Tahoma" w:eastAsia="Tahoma" w:hAnsi="Tahoma"/>
                                <w:color w:val="414042"/>
                                <w:spacing w:val="7"/>
                                <w:sz w:val="18"/>
                              </w:rPr>
                            </w:pPr>
                            <w:r>
                              <w:rPr>
                                <w:rFonts w:ascii="Tahoma" w:eastAsia="Tahoma" w:hAnsi="Tahoma"/>
                                <w:color w:val="414042"/>
                                <w:spacing w:val="7"/>
                                <w:sz w:val="18"/>
                              </w:rPr>
                              <w:t>Regular communication and follow-up with students and their families ensure students are receiving the support they need to be successful. Staff also work individually with students to link them to identified opportunities, including assisting with course applications to registered training organisations or acceptance of university offers.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98B59" id="Text Box 99" o:spid="_x0000_s1383" type="#_x0000_t202" style="position:absolute;margin-left:329.3pt;margin-top:143.5pt;width:184.8pt;height:108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X8AEAAMMDAAAOAAAAZHJzL2Uyb0RvYy54bWysU9tu2zAMfR+wfxD0vjiXLVmMOEXXosOA&#10;7gK0/QBGlmNhtqhRSuzs60fJcdatb8NeBIqXo8NDanPVt404avIGbSFnk6kU2iosjd0X8unx7s17&#10;KXwAW0KDVhfypL282r5+telcrudYY1NqEgxifd65QtYhuDzLvKp1C36CTlsOVkgtBL7SPisJOkZv&#10;m2w+nS6zDql0hEp7z97bISi3Cb+qtApfq8rrIJpCMreQTkrnLp7ZdgP5nsDVRp1pwD+waMFYfvQC&#10;dQsBxIHMC6jWKEKPVZgobDOsKqN06oG7mU3/6uahBqdTLyyOdxeZ/P+DVV+O30iYspCLFY/KQstD&#10;etR9EB+wF+t1FKhzPue8B8eZoWc/Dzo16909qu9eWLypwe71NRF2tYaSCc5iZfasdMDxEWTXfcaS&#10;34FDwATUV9RG9VgPweg8qNNlOJGLYud88Xa5XnJIcWy2WM2W0zS+DPKx3JEPHzW2IhqFJJ5+gofj&#10;vQ+RDuRjSnzN4p1pmrQBjf3DwYnRk+hHxgP30O/6Qap3q1GXHZYn7ohw2Cz+CWzUSD+l6HirCul/&#10;HIC0FM0ny6rEFRwNGo3daIBVXFrIIMVg3oRhVQ+OzL5m5EF3i9esXGVST1HigcWZMG9KavW81XEV&#10;n99T1u+/t/0FAAD//wMAUEsDBBQABgAIAAAAIQCwlNpR4QAAAAwBAAAPAAAAZHJzL2Rvd25yZXYu&#10;eG1sTI/BTsMwEETvSPyDtUjcqN2ghpDGqSoEJyREGg4cnXibWI3XIXbb8Pe4J3pc7dPMm2Iz24Gd&#10;cPLGkYTlQgBDap021En4qt8eMmA+KNJqcIQSftHDpry9KVSu3ZkqPO1Cx2II+VxJ6EMYc85926NV&#10;fuFGpPjbu8mqEM+p43pS5xhuB54IkXKrDMWGXo340mN72B2thO03Va/m56P5rPaVqetnQe/pQcr7&#10;u3m7BhZwDv8wXPSjOpTRqXFH0p4NEtJVlkZUQpI9xVEXQiRZAqyRsBKPAnhZ8OsR5R8AAAD//wMA&#10;UEsBAi0AFAAGAAgAAAAhALaDOJL+AAAA4QEAABMAAAAAAAAAAAAAAAAAAAAAAFtDb250ZW50X1R5&#10;cGVzXS54bWxQSwECLQAUAAYACAAAACEAOP0h/9YAAACUAQAACwAAAAAAAAAAAAAAAAAvAQAAX3Jl&#10;bHMvLnJlbHNQSwECLQAUAAYACAAAACEASL/21/ABAADDAwAADgAAAAAAAAAAAAAAAAAuAgAAZHJz&#10;L2Uyb0RvYy54bWxQSwECLQAUAAYACAAAACEAsJTaUeEAAAAMAQAADwAAAAAAAAAAAAAAAABKBAAA&#10;ZHJzL2Rvd25yZXYueG1sUEsFBgAAAAAEAAQA8wAAAFgFAAAAAA==&#10;" filled="f" stroked="f">
                <v:textbox inset="0,0,0,0">
                  <w:txbxContent>
                    <w:p w14:paraId="4943DE36" w14:textId="77777777" w:rsidR="00490F33" w:rsidRDefault="00490F33">
                      <w:pPr>
                        <w:spacing w:line="239" w:lineRule="exact"/>
                        <w:textAlignment w:val="baseline"/>
                        <w:rPr>
                          <w:rFonts w:ascii="Tahoma" w:eastAsia="Tahoma" w:hAnsi="Tahoma"/>
                          <w:color w:val="414042"/>
                          <w:spacing w:val="7"/>
                          <w:sz w:val="18"/>
                        </w:rPr>
                      </w:pPr>
                      <w:r>
                        <w:rPr>
                          <w:rFonts w:ascii="Tahoma" w:eastAsia="Tahoma" w:hAnsi="Tahoma"/>
                          <w:color w:val="414042"/>
                          <w:spacing w:val="7"/>
                          <w:sz w:val="18"/>
                        </w:rPr>
                        <w:t>Regular communication and follow-up with students and their families ensure students are receiving the support they need to be successful. Staff also work individually with students to link them to identified opportunities, including assisting with course applications to registered training organisations or acceptance of university offers.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4288" behindDoc="1" locked="0" layoutInCell="1" allowOverlap="1" wp14:anchorId="5E9E3199" wp14:editId="75E1AA72">
                <wp:simplePos x="0" y="0"/>
                <wp:positionH relativeFrom="page">
                  <wp:posOffset>905510</wp:posOffset>
                </wp:positionH>
                <wp:positionV relativeFrom="page">
                  <wp:posOffset>3608705</wp:posOffset>
                </wp:positionV>
                <wp:extent cx="2444115" cy="762000"/>
                <wp:effectExtent l="0" t="0" r="0" b="0"/>
                <wp:wrapSquare wrapText="bothSides"/>
                <wp:docPr id="37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78E52" w14:textId="77777777" w:rsidR="00490F33" w:rsidRDefault="00490F33">
                            <w:pPr>
                              <w:spacing w:line="237" w:lineRule="exact"/>
                              <w:textAlignment w:val="baseline"/>
                              <w:rPr>
                                <w:rFonts w:ascii="Tahoma" w:eastAsia="Tahoma" w:hAnsi="Tahoma"/>
                                <w:color w:val="414042"/>
                                <w:spacing w:val="5"/>
                                <w:sz w:val="18"/>
                              </w:rPr>
                            </w:pPr>
                            <w:r>
                              <w:rPr>
                                <w:rFonts w:ascii="Tahoma" w:eastAsia="Tahoma" w:hAnsi="Tahoma"/>
                                <w:color w:val="414042"/>
                                <w:spacing w:val="5"/>
                                <w:sz w:val="18"/>
                              </w:rPr>
                              <w:t>The program, called SunnyFutures, is funded by the school and started in 2018 after the school found that nearly half of their 2017 graduates had not obtained full-time work or study within six months after leaving.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E3199" id="Text Box 98" o:spid="_x0000_s1384" type="#_x0000_t202" style="position:absolute;margin-left:71.3pt;margin-top:284.15pt;width:192.45pt;height:60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e7wEAAMIDAAAOAAAAZHJzL2Uyb0RvYy54bWysU1Fv0zAQfkfiP1h+p2lLt46o6TQ2DSGN&#10;gbTxAy6Ok1gkPnN2m5Rfz9lpy4A3xIt1Pp8/f/fd58312Hdir8kbtIVczOZSaKuwMrYp5Nfn+zdX&#10;UvgAtoIOrS7kQXt5vX39ajO4XC+xxa7SJBjE+nxwhWxDcHmWedXqHvwMnbZ8WCP1EHhLTVYRDIze&#10;d9lyPr/MBqTKESrtPWfvpkO5Tfh1rVX4XNdeB9EVkrmFtFJay7hm2w3kDYFrjTrSgH9g0YOx/OgZ&#10;6g4CiB2Zv6B6owg91mGmsM+wro3SqQfuZjH/o5unFpxOvbA43p1l8v8PVj3uv5AwVSHfrtdSWOh5&#10;SM96DOI9juLdVRRocD7nuifHlWHkPA86NevdA6pvXli8bcE2+oYIh1ZDxQQX8Wb24uqE4yNIOXzC&#10;it+BXcAENNbUR/VYD8HoPKjDeTiRi+LkcrVaLRYXUig+W1/y8NP0MshPtx358EFjL2JQSOLhJ3TY&#10;P/gQ2UB+KomPWbw3XZcM0NnfElwYM4l9JDxRD2M5TkpdnGUpsTpwQ4STsfgjcNAi/ZBiYFMV0n/f&#10;AWkpuo+WRYkOPAV0CspTAFbx1UIGKabwNkxO3TkyTcvIk+wWb1i42qSeosITiyNhNkpq9Wjq6MSX&#10;+1T16+ttfwIAAP//AwBQSwMEFAAGAAgAAAAhAIuA2JDfAAAACwEAAA8AAABkcnMvZG93bnJldi54&#10;bWxMj8FOwzAMhu9IvENkJG4spdBQStNpQnBCQuvKgWPaZG20xilNtpW3x5zg+Nuffn8u14sb2cnM&#10;wXqUcLtKgBnsvLbYS/hoXm9yYCEq1Gr0aCR8mwDr6vKiVIX2Z6zNaRd7RiUYCiVhiHEqOA/dYJwK&#10;Kz8ZpN3ez05FinPP9azOVO5GniaJ4E5ZpAuDmszzYLrD7ugkbD6xfrFf7+223te2aR4TfBMHKa+v&#10;ls0TsGiW+AfDrz6pQ0VOrT+iDmykfJ8KQiVkIr8DRkSWPmTAWgkipwmvSv7/h+oHAAD//wMAUEsB&#10;Ai0AFAAGAAgAAAAhALaDOJL+AAAA4QEAABMAAAAAAAAAAAAAAAAAAAAAAFtDb250ZW50X1R5cGVz&#10;XS54bWxQSwECLQAUAAYACAAAACEAOP0h/9YAAACUAQAACwAAAAAAAAAAAAAAAAAvAQAAX3JlbHMv&#10;LnJlbHNQSwECLQAUAAYACAAAACEAWY/0Hu8BAADCAwAADgAAAAAAAAAAAAAAAAAuAgAAZHJzL2Uy&#10;b0RvYy54bWxQSwECLQAUAAYACAAAACEAi4DYkN8AAAALAQAADwAAAAAAAAAAAAAAAABJBAAAZHJz&#10;L2Rvd25yZXYueG1sUEsFBgAAAAAEAAQA8wAAAFUFAAAAAA==&#10;" filled="f" stroked="f">
                <v:textbox inset="0,0,0,0">
                  <w:txbxContent>
                    <w:p w14:paraId="51478E52" w14:textId="77777777" w:rsidR="00490F33" w:rsidRDefault="00490F33">
                      <w:pPr>
                        <w:spacing w:line="237" w:lineRule="exact"/>
                        <w:textAlignment w:val="baseline"/>
                        <w:rPr>
                          <w:rFonts w:ascii="Tahoma" w:eastAsia="Tahoma" w:hAnsi="Tahoma"/>
                          <w:color w:val="414042"/>
                          <w:spacing w:val="5"/>
                          <w:sz w:val="18"/>
                        </w:rPr>
                      </w:pPr>
                      <w:r>
                        <w:rPr>
                          <w:rFonts w:ascii="Tahoma" w:eastAsia="Tahoma" w:hAnsi="Tahoma"/>
                          <w:color w:val="414042"/>
                          <w:spacing w:val="5"/>
                          <w:sz w:val="18"/>
                        </w:rPr>
                        <w:t>The program, called SunnyFutures, is funded by the school and started in 2018 after the school found that nearly half of their 2017 graduates had not obtained full-time work or study within six months after leaving.</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5312" behindDoc="1" locked="0" layoutInCell="1" allowOverlap="1" wp14:anchorId="6D54DEE2" wp14:editId="6BF76D86">
                <wp:simplePos x="0" y="0"/>
                <wp:positionH relativeFrom="page">
                  <wp:posOffset>4182110</wp:posOffset>
                </wp:positionH>
                <wp:positionV relativeFrom="page">
                  <wp:posOffset>3308350</wp:posOffset>
                </wp:positionV>
                <wp:extent cx="2474595" cy="1668780"/>
                <wp:effectExtent l="0" t="0" r="0" b="0"/>
                <wp:wrapSquare wrapText="bothSides"/>
                <wp:docPr id="37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F33A2" w14:textId="77777777" w:rsidR="00490F33" w:rsidRDefault="00490F33">
                            <w:pPr>
                              <w:spacing w:line="238" w:lineRule="exact"/>
                              <w:textAlignment w:val="baseline"/>
                              <w:rPr>
                                <w:rFonts w:ascii="Tahoma" w:eastAsia="Tahoma" w:hAnsi="Tahoma"/>
                                <w:color w:val="414042"/>
                                <w:spacing w:val="6"/>
                                <w:sz w:val="18"/>
                              </w:rPr>
                            </w:pPr>
                            <w:r>
                              <w:rPr>
                                <w:rFonts w:ascii="Tahoma" w:eastAsia="Tahoma" w:hAnsi="Tahoma"/>
                                <w:color w:val="414042"/>
                                <w:spacing w:val="6"/>
                                <w:sz w:val="18"/>
                              </w:rPr>
                              <w:t>The school has identified the growing need for, and student interest in, the healthcare industry. From 2020, the school has engaged a registered training organisation to provide a Certificate III in Individual Support for Year 13 students, as part of its new Community Hub initiative. The school hopes that more students and members of the community can be supported through this initiative, and that the program will become self-supporting and financially sustainable.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4DEE2" id="Text Box 97" o:spid="_x0000_s1385" type="#_x0000_t202" style="position:absolute;margin-left:329.3pt;margin-top:260.5pt;width:194.85pt;height:131.4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5U8gEAAMMDAAAOAAAAZHJzL2Uyb0RvYy54bWysU9tu2zAMfR+wfxD0vjjJmpsRp+hadBjQ&#10;XYB2H8DIcizMFjVKid19/Sg5zrrtbdiLQFHU0eHh0fa6bxtx0uQN2kLOJlMptFVYGnso5Nen+zdr&#10;KXwAW0KDVhfyWXt5vXv9atu5XM+xxqbUJBjE+rxzhaxDcHmWeVXrFvwEnbZ8WCG1EHhLh6wk6Bi9&#10;bbL5dLrMOqTSESrtPWfvhkO5S/hVpVX4XFVeB9EUkrmFtFJa93HNdlvIDwSuNupMA/6BRQvG8qMX&#10;qDsIII5k/oJqjSL0WIWJwjbDqjJKpx64m9n0j24ea3A69cLieHeRyf8/WPXp9IWEKQv5drWUwkLL&#10;Q3rSfRDvsBebVRSocz7nukfHlaHnPA86NevdA6pvXli8rcEe9A0RdrWGkgnO4s3sxdUBx0eQffcR&#10;S34HjgETUF9RG9VjPQSj86CeL8OJXBQn51erq8VmIYXis9lyuV6t0/gyyMfrjnx4r7EVMSgk8fQT&#10;PJwefIh0IB9L4msW703TJAc09rcEF8ZMoh8ZD9xDv+8HqRabUZc9ls/cEeHgLP4JHNRIP6To2FWF&#10;9N+PQFqK5oNlVaIFx4DGYD8GYBVfLWSQYghvw2DVoyNzqBl50N3iDStXmdRTlHhgcSbMTkmtnl0d&#10;rfhyn6p+/b3dTwAAAP//AwBQSwMEFAAGAAgAAAAhAM2bF63hAAAADAEAAA8AAABkcnMvZG93bnJl&#10;di54bWxMj8FOwzAQRO9I/IO1SL1Ruy0NJmRTVRWckBBpOHB0YjeJGq9D7Lbh73FPcFzt08ybbDPZ&#10;np3N6DtHCIu5AGaodrqjBuGzfL2XwHxQpFXvyCD8GA+b/PYmU6l2FyrMeR8aFkPIpwqhDWFIOfd1&#10;a6zyczcYir+DG60K8Rwbrkd1ieG250shEm5VR7GhVYPZtaY+7k8WYftFxUv3/V59FIeiK8snQW/J&#10;EXF2N22fgQUzhT8YrvpRHfLoVLkTac96hGQtk4girJeLOOpKiAe5AlYhPMqVBJ5n/P+I/BcAAP//&#10;AwBQSwECLQAUAAYACAAAACEAtoM4kv4AAADhAQAAEwAAAAAAAAAAAAAAAAAAAAAAW0NvbnRlbnRf&#10;VHlwZXNdLnhtbFBLAQItABQABgAIAAAAIQA4/SH/1gAAAJQBAAALAAAAAAAAAAAAAAAAAC8BAABf&#10;cmVscy8ucmVsc1BLAQItABQABgAIAAAAIQBLNy5U8gEAAMMDAAAOAAAAAAAAAAAAAAAAAC4CAABk&#10;cnMvZTJvRG9jLnhtbFBLAQItABQABgAIAAAAIQDNmxet4QAAAAwBAAAPAAAAAAAAAAAAAAAAAEwE&#10;AABkcnMvZG93bnJldi54bWxQSwUGAAAAAAQABADzAAAAWgUAAAAA&#10;" filled="f" stroked="f">
                <v:textbox inset="0,0,0,0">
                  <w:txbxContent>
                    <w:p w14:paraId="472F33A2" w14:textId="77777777" w:rsidR="00490F33" w:rsidRDefault="00490F33">
                      <w:pPr>
                        <w:spacing w:line="238" w:lineRule="exact"/>
                        <w:textAlignment w:val="baseline"/>
                        <w:rPr>
                          <w:rFonts w:ascii="Tahoma" w:eastAsia="Tahoma" w:hAnsi="Tahoma"/>
                          <w:color w:val="414042"/>
                          <w:spacing w:val="6"/>
                          <w:sz w:val="18"/>
                        </w:rPr>
                      </w:pPr>
                      <w:r>
                        <w:rPr>
                          <w:rFonts w:ascii="Tahoma" w:eastAsia="Tahoma" w:hAnsi="Tahoma"/>
                          <w:color w:val="414042"/>
                          <w:spacing w:val="6"/>
                          <w:sz w:val="18"/>
                        </w:rPr>
                        <w:t>The school has identified the growing need for, and student interest in, the healthcare industry. From 2020, the school has engaged a registered training organisation to provide a Certificate III in Individual Support for Year 13 students, as part of its new Community Hub initiative. The school hopes that more students and members of the community can be supported through this initiative, and that the program will become self-supporting and financially sustainable.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6336" behindDoc="1" locked="0" layoutInCell="1" allowOverlap="1" wp14:anchorId="0E319D67" wp14:editId="2070254D">
                <wp:simplePos x="0" y="0"/>
                <wp:positionH relativeFrom="page">
                  <wp:posOffset>905510</wp:posOffset>
                </wp:positionH>
                <wp:positionV relativeFrom="page">
                  <wp:posOffset>4477385</wp:posOffset>
                </wp:positionV>
                <wp:extent cx="2440940" cy="1524000"/>
                <wp:effectExtent l="0" t="0" r="0" b="0"/>
                <wp:wrapSquare wrapText="bothSides"/>
                <wp:docPr id="37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3F25D"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The program is already demonstrating success, with school tracking data showing that 96 per cent of the 2018 graduates are now engaged in full-time work or study. This is a significant increase from 52 per cent in 2017, prior to the program’s commencement. The program is so successful that older siblings, parents of students and members of the wider community are also seeking out support for themselves.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19D67" id="Text Box 96" o:spid="_x0000_s1386" type="#_x0000_t202" style="position:absolute;margin-left:71.3pt;margin-top:352.55pt;width:192.2pt;height:120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U8AEAAMMDAAAOAAAAZHJzL2Uyb0RvYy54bWysU1Fv0zAQfkfiP1h+p0lLV1jUdBqbhpDG&#10;QNr4AVfHaSwSnzm7Tcqv5+w03YA3xIt1Pp8/f9935/XV0LXioMkbtKWcz3IptFVYGbsr5benuzfv&#10;pfABbAUtWl3Ko/byavP61bp3hV5gg22lSTCI9UXvStmE4Ios86rRHfgZOm35sEbqIPCWdllF0DN6&#10;12aLPF9lPVLlCJX2nrO346HcJPy61ip8qWuvg2hLydxCWimt27hmmzUUOwLXGHWiAf/AogNj+dEz&#10;1C0EEHsyf0F1RhF6rMNMYZdhXRulkwZWM8//UPPYgNNJC5vj3dkm//9g1cPhKwlTlfLtuwspLHTc&#10;pCc9BPEBB3G5igb1zhdc9+i4Mgyc50Ynsd7do/ruhcWbBuxOXxNh32iomOA83sxeXB1xfATZ9p+x&#10;4ndgHzABDTV10T32QzA6N+p4bk7koji5WC7zyyUfKT6bXyyWeZ7al0ExXXfkw0eNnYhBKYm7n+Dh&#10;cO9DpAPFVBJfs3hn2jZNQGt/S3BhzCT6kfHIPQzbYbRqlV6O4rZYHVkR4ThZ/BM4aJB+StHzVJXS&#10;/9gDaSnaT5ZdiSM4BTQF2ykAq/hqKYMUY3gTxlHdOzK7hpFH3y1es3O1SZqeWZwI86QkqaepjqP4&#10;cp+qnv/e5hcAAAD//wMAUEsDBBQABgAIAAAAIQALU7n84AAAAAsBAAAPAAAAZHJzL2Rvd25yZXYu&#10;eG1sTI/BTsMwEETvSPyDtZW4UbtRm9I0TlUhOCEh0nDg6MRuYjVeh9htw9+znMpxZp9mZ/Ld5Hp2&#10;MWOwHiUs5gKYwcZri62Ez+r18QlYiAq16j0aCT8mwK64v8tVpv0VS3M5xJZRCIZMSehiHDLOQ9MZ&#10;p8LcDwbpdvSjU5Hk2HI9qiuFu54nQqTcKYv0oVODee5MczqcnYT9F5Yv9vu9/iiPpa2qjcC39CTl&#10;w2zab4FFM8UbDH/1qToU1Kn2Z9SB9aSXSUqohLVYLYARsUrWtK6WsFmSw4uc/99Q/AIAAP//AwBQ&#10;SwECLQAUAAYACAAAACEAtoM4kv4AAADhAQAAEwAAAAAAAAAAAAAAAAAAAAAAW0NvbnRlbnRfVHlw&#10;ZXNdLnhtbFBLAQItABQABgAIAAAAIQA4/SH/1gAAAJQBAAALAAAAAAAAAAAAAAAAAC8BAABfcmVs&#10;cy8ucmVsc1BLAQItABQABgAIAAAAIQD/nMHU8AEAAMMDAAAOAAAAAAAAAAAAAAAAAC4CAABkcnMv&#10;ZTJvRG9jLnhtbFBLAQItABQABgAIAAAAIQALU7n84AAAAAsBAAAPAAAAAAAAAAAAAAAAAEoEAABk&#10;cnMvZG93bnJldi54bWxQSwUGAAAAAAQABADzAAAAVwUAAAAA&#10;" filled="f" stroked="f">
                <v:textbox inset="0,0,0,0">
                  <w:txbxContent>
                    <w:p w14:paraId="42C3F25D" w14:textId="77777777" w:rsidR="00490F33" w:rsidRDefault="00490F33">
                      <w:pPr>
                        <w:spacing w:line="239" w:lineRule="exact"/>
                        <w:textAlignment w:val="baseline"/>
                        <w:rPr>
                          <w:rFonts w:ascii="Tahoma" w:eastAsia="Tahoma" w:hAnsi="Tahoma"/>
                          <w:color w:val="414042"/>
                          <w:spacing w:val="4"/>
                          <w:sz w:val="18"/>
                        </w:rPr>
                      </w:pPr>
                      <w:r>
                        <w:rPr>
                          <w:rFonts w:ascii="Tahoma" w:eastAsia="Tahoma" w:hAnsi="Tahoma"/>
                          <w:color w:val="414042"/>
                          <w:spacing w:val="4"/>
                          <w:sz w:val="18"/>
                        </w:rPr>
                        <w:t>The program is already demonstrating success, with school tracking data showing that 96 per cent of the 2018 graduates are now engaged in full-time work or study. This is a significant increase from 52 per cent in 2017, prior to the program’s commencement. The program is so successful that older siblings, parents of students and members of the wider community are also seeking out support for themselves.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7360" behindDoc="1" locked="0" layoutInCell="1" allowOverlap="1" wp14:anchorId="0953CD3F" wp14:editId="6EF5AE4B">
                <wp:simplePos x="0" y="0"/>
                <wp:positionH relativeFrom="page">
                  <wp:posOffset>4182110</wp:posOffset>
                </wp:positionH>
                <wp:positionV relativeFrom="page">
                  <wp:posOffset>5269230</wp:posOffset>
                </wp:positionV>
                <wp:extent cx="2545080" cy="683260"/>
                <wp:effectExtent l="0" t="0" r="0" b="0"/>
                <wp:wrapSquare wrapText="bothSides"/>
                <wp:docPr id="37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B61CD" w14:textId="77777777" w:rsidR="00490F33" w:rsidRDefault="00490F33">
                            <w:pPr>
                              <w:spacing w:before="2" w:line="176" w:lineRule="exact"/>
                              <w:textAlignment w:val="baseline"/>
                              <w:rPr>
                                <w:rFonts w:ascii="Tahoma" w:eastAsia="Tahoma" w:hAnsi="Tahoma"/>
                                <w:color w:val="030304"/>
                                <w:sz w:val="13"/>
                              </w:rPr>
                            </w:pPr>
                            <w:r>
                              <w:rPr>
                                <w:rFonts w:ascii="Tahoma" w:eastAsia="Tahoma" w:hAnsi="Tahoma"/>
                                <w:color w:val="030304"/>
                                <w:sz w:val="13"/>
                              </w:rPr>
                              <w:t xml:space="preserve">Source: Sunnybank State High School Pathways website, </w:t>
                            </w:r>
                            <w:hyperlink r:id="rId306">
                              <w:r>
                                <w:rPr>
                                  <w:rFonts w:ascii="Tahoma" w:eastAsia="Tahoma" w:hAnsi="Tahoma"/>
                                  <w:color w:val="0000FF"/>
                                  <w:sz w:val="13"/>
                                  <w:u w:val="single"/>
                                </w:rPr>
                                <w:t>https://www.sunnypathways.com.au</w:t>
                              </w:r>
                            </w:hyperlink>
                            <w:r>
                              <w:rPr>
                                <w:rFonts w:ascii="Tahoma" w:eastAsia="Tahoma" w:hAnsi="Tahoma"/>
                                <w:color w:val="030304"/>
                                <w:sz w:val="13"/>
                              </w:rPr>
                              <w:t xml:space="preserve">; and Horn, A. (2019), </w:t>
                            </w:r>
                            <w:r>
                              <w:rPr>
                                <w:rFonts w:ascii="Tahoma" w:eastAsia="Tahoma" w:hAnsi="Tahoma"/>
                                <w:color w:val="030304"/>
                                <w:sz w:val="14"/>
                              </w:rPr>
                              <w:t xml:space="preserve">‘High school graduates struggling to find employment </w:t>
                            </w:r>
                            <w:r>
                              <w:rPr>
                                <w:rFonts w:ascii="Tahoma" w:eastAsia="Tahoma" w:hAnsi="Tahoma"/>
                                <w:color w:val="030304"/>
                                <w:sz w:val="13"/>
                              </w:rPr>
                              <w:t xml:space="preserve">discover success in Year 13’, ABC News, 7 November 2019, </w:t>
                            </w:r>
                            <w:hyperlink r:id="rId307">
                              <w:r>
                                <w:rPr>
                                  <w:rFonts w:ascii="Tahoma" w:eastAsia="Tahoma" w:hAnsi="Tahoma"/>
                                  <w:color w:val="0000FF"/>
                                  <w:sz w:val="13"/>
                                  <w:u w:val="single"/>
                                </w:rPr>
                                <w:t>https://www.abc.net.au/news/2019-11-07/high-school-gradua</w:t>
                              </w:r>
                            </w:hyperlink>
                            <w:r>
                              <w:rPr>
                                <w:rFonts w:ascii="Tahoma" w:eastAsia="Tahoma" w:hAnsi="Tahoma"/>
                                <w:color w:val="030304"/>
                                <w:sz w:val="13"/>
                              </w:rPr>
                              <w:t xml:space="preserve"> tes-attend-year-13/11653506.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CD3F" id="Text Box 95" o:spid="_x0000_s1387" type="#_x0000_t202" style="position:absolute;margin-left:329.3pt;margin-top:414.9pt;width:200.4pt;height:53.8pt;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mn8AEAAMIDAAAOAAAAZHJzL2Uyb0RvYy54bWysU9tu2zAMfR+wfxD0vjhJmywz4hRdiw4D&#10;ugvQ7gMYWY6F2aJGKbGzrx8lx2m7vg17ESiKOjrnkFpf9W0jDpq8QVvI2WQqhbYKS2N3hfzxePdu&#10;JYUPYEto0OpCHrWXV5u3b9ady/Uca2xKTYJBrM87V8g6BJdnmVe1bsFP0GnLhxVSC4G3tMtKgo7R&#10;2yabT6fLrEMqHaHS3nP2djiUm4RfVVqFb1XldRBNIZlbSCuldRvXbLOGfEfgaqNONOAfWLRgLD96&#10;hrqFAGJP5hVUaxShxypMFLYZVpVROmlgNbPpX2oeanA6aWFzvDvb5P8frPp6+E7ClIW8eH8phYWW&#10;m/So+yA+Yi8+LKJBnfM51z04rgw957nRSax396h+emHxpga709dE2NUaSiY4izezZ1cHHB9Btt0X&#10;LPkd2AdMQH1FbXSP/RCMzo06npsTuShOzheXi+mKjxSfLVcX82XqXgb5eNuRD580tiIGhSRufkKH&#10;w70PkQ3kY0l8zOKdaZo0AI19keDCmEnsI+GBeui3/eDUMomL2rZYHlkQ4TBY/BE4qJF+S9HxUBXS&#10;/9oDaSmaz5ZNiRM4BjQG2zEAq/hqIYMUQ3gThkndOzK7mpEH2y1es3GVSZqeWJwI86AkqaehjpP4&#10;fJ+qnr7e5g8AAAD//wMAUEsDBBQABgAIAAAAIQAvsWqw4QAAAAwBAAAPAAAAZHJzL2Rvd25yZXYu&#10;eG1sTI/BTsMwEETvSPyDtUjcqE1pQxKyqSoEJyREGg4cndhNrMbrELtt+HvcExxX+zTzptjMdmAn&#10;PXnjCOF+IYBpap0y1CF81q93KTAfJCk5ONIIP9rDpry+KmSu3JkqfdqFjsUQ8rlE6EMYc85922sr&#10;/cKNmuJv7yYrQzynjqtJnmO4HfhSiIRbaSg29HLUz71uD7ujRdh+UfVivt+bj2pfmbrOBL0lB8Tb&#10;m3n7BCzoOfzBcNGP6lBGp8YdSXk2ICTrNIkoQrrM4oYLIdbZCliDkD08roCXBf8/ovwFAAD//wMA&#10;UEsBAi0AFAAGAAgAAAAhALaDOJL+AAAA4QEAABMAAAAAAAAAAAAAAAAAAAAAAFtDb250ZW50X1R5&#10;cGVzXS54bWxQSwECLQAUAAYACAAAACEAOP0h/9YAAACUAQAACwAAAAAAAAAAAAAAAAAvAQAAX3Jl&#10;bHMvLnJlbHNQSwECLQAUAAYACAAAACEAY08pp/ABAADCAwAADgAAAAAAAAAAAAAAAAAuAgAAZHJz&#10;L2Uyb0RvYy54bWxQSwECLQAUAAYACAAAACEAL7FqsOEAAAAMAQAADwAAAAAAAAAAAAAAAABKBAAA&#10;ZHJzL2Rvd25yZXYueG1sUEsFBgAAAAAEAAQA8wAAAFgFAAAAAA==&#10;" filled="f" stroked="f">
                <v:textbox inset="0,0,0,0">
                  <w:txbxContent>
                    <w:p w14:paraId="0FEB61CD" w14:textId="77777777" w:rsidR="00490F33" w:rsidRDefault="00490F33">
                      <w:pPr>
                        <w:spacing w:before="2" w:line="176" w:lineRule="exact"/>
                        <w:textAlignment w:val="baseline"/>
                        <w:rPr>
                          <w:rFonts w:ascii="Tahoma" w:eastAsia="Tahoma" w:hAnsi="Tahoma"/>
                          <w:color w:val="030304"/>
                          <w:sz w:val="13"/>
                        </w:rPr>
                      </w:pPr>
                      <w:r>
                        <w:rPr>
                          <w:rFonts w:ascii="Tahoma" w:eastAsia="Tahoma" w:hAnsi="Tahoma"/>
                          <w:color w:val="030304"/>
                          <w:sz w:val="13"/>
                        </w:rPr>
                        <w:t xml:space="preserve">Source: Sunnybank State High School Pathways website, </w:t>
                      </w:r>
                      <w:hyperlink r:id="rId308">
                        <w:r>
                          <w:rPr>
                            <w:rFonts w:ascii="Tahoma" w:eastAsia="Tahoma" w:hAnsi="Tahoma"/>
                            <w:color w:val="0000FF"/>
                            <w:sz w:val="13"/>
                            <w:u w:val="single"/>
                          </w:rPr>
                          <w:t>https://www.sunnypathways.com.au</w:t>
                        </w:r>
                      </w:hyperlink>
                      <w:r>
                        <w:rPr>
                          <w:rFonts w:ascii="Tahoma" w:eastAsia="Tahoma" w:hAnsi="Tahoma"/>
                          <w:color w:val="030304"/>
                          <w:sz w:val="13"/>
                        </w:rPr>
                        <w:t xml:space="preserve">; and Horn, A. (2019), </w:t>
                      </w:r>
                      <w:r>
                        <w:rPr>
                          <w:rFonts w:ascii="Tahoma" w:eastAsia="Tahoma" w:hAnsi="Tahoma"/>
                          <w:color w:val="030304"/>
                          <w:sz w:val="14"/>
                        </w:rPr>
                        <w:t xml:space="preserve">‘High school graduates struggling to find employment </w:t>
                      </w:r>
                      <w:r>
                        <w:rPr>
                          <w:rFonts w:ascii="Tahoma" w:eastAsia="Tahoma" w:hAnsi="Tahoma"/>
                          <w:color w:val="030304"/>
                          <w:sz w:val="13"/>
                        </w:rPr>
                        <w:t xml:space="preserve">discover success in Year 13’, ABC News, 7 November 2019, </w:t>
                      </w:r>
                      <w:hyperlink r:id="rId309">
                        <w:r>
                          <w:rPr>
                            <w:rFonts w:ascii="Tahoma" w:eastAsia="Tahoma" w:hAnsi="Tahoma"/>
                            <w:color w:val="0000FF"/>
                            <w:sz w:val="13"/>
                            <w:u w:val="single"/>
                          </w:rPr>
                          <w:t>https://www.abc.net.au/news/2019-11-07/high-school-gradua</w:t>
                        </w:r>
                      </w:hyperlink>
                      <w:r>
                        <w:rPr>
                          <w:rFonts w:ascii="Tahoma" w:eastAsia="Tahoma" w:hAnsi="Tahoma"/>
                          <w:color w:val="030304"/>
                          <w:sz w:val="13"/>
                        </w:rPr>
                        <w:t xml:space="preserve"> tes-attend-year-13/11653506.</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8384" behindDoc="1" locked="0" layoutInCell="1" allowOverlap="1" wp14:anchorId="622C6D3A" wp14:editId="5D673F2F">
                <wp:simplePos x="0" y="0"/>
                <wp:positionH relativeFrom="page">
                  <wp:posOffset>905510</wp:posOffset>
                </wp:positionH>
                <wp:positionV relativeFrom="page">
                  <wp:posOffset>6118860</wp:posOffset>
                </wp:positionV>
                <wp:extent cx="2447290" cy="2124710"/>
                <wp:effectExtent l="0" t="0" r="0" b="0"/>
                <wp:wrapSquare wrapText="bothSides"/>
                <wp:docPr id="37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212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025F3" w14:textId="77777777" w:rsidR="00490F33" w:rsidRDefault="00490F33">
                            <w:pPr>
                              <w:spacing w:line="238" w:lineRule="exact"/>
                              <w:textAlignment w:val="baseline"/>
                              <w:rPr>
                                <w:rFonts w:ascii="Tahoma" w:eastAsia="Tahoma" w:hAnsi="Tahoma"/>
                                <w:color w:val="414042"/>
                                <w:spacing w:val="6"/>
                                <w:sz w:val="18"/>
                              </w:rPr>
                            </w:pPr>
                            <w:r>
                              <w:rPr>
                                <w:rFonts w:ascii="Tahoma" w:eastAsia="Tahoma" w:hAnsi="Tahoma"/>
                                <w:color w:val="414042"/>
                                <w:spacing w:val="6"/>
                                <w:sz w:val="18"/>
                              </w:rPr>
                              <w:t>SunnyFutures offers a range of services to guide, support and encourage students to follow a variety of pathways. For example, the program engages with local industry to provide opportunities for students to undertake internships, traineeships or apprenticeships, as well as full-time employment or casual work while they study. Staff offer workshops in resume writing, cover letters, navigating internet job sites and completing online applications. There is also a range of clothing available for students to borrow in order to present well for interviews.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6D3A" id="Text Box 94" o:spid="_x0000_s1388" type="#_x0000_t202" style="position:absolute;margin-left:71.3pt;margin-top:481.8pt;width:192.7pt;height:167.3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de8AEAAMMDAAAOAAAAZHJzL2Uyb0RvYy54bWysU9tu2zAMfR+wfxD0vjhxg2Y14hRdiw4D&#10;ugvQ7gMYWY6F2aJGKbGzrx8lx1m3vhV7EShejg4PqfX10LXioMkbtKVczOZSaKuwMnZXyu9P9+/e&#10;S+ED2ApatLqUR+3l9ebtm3XvCp1jg22lSTCI9UXvStmE4Ios86rRHfgZOm05WCN1EPhKu6wi6Bm9&#10;a7N8Pr/MeqTKESrtPXvvxqDcJPy61ip8rWuvg2hLydxCOimd23hmmzUUOwLXGHWiAa9g0YGx/OgZ&#10;6g4CiD2ZF1CdUYQe6zBT2GVY10bp1AN3s5j/081jA06nXlgc784y+f8Hq74cvpEwVSkvVhdSWOh4&#10;SE96COIDDuJqGQXqnS8479FxZhjYz4NOzXr3gOqHFxZvG7A7fUOEfaOhYoKLWJk9Kx1xfATZ9p+x&#10;4ndgHzABDTV1UT3WQzA6D+p4Hk7kotiZL5er/IpDimP5Il+uFml8GRRTuSMfPmrsRDRKSTz9BA+H&#10;Bx8iHSimlPiaxXvTtmkDWvuXgxOjJ9GPjEfuYdgOo1SX+aTLFqsjd0Q4bhb/BDYapF9S9LxVpfQ/&#10;90BaivaTZVXiCk4GTcZ2MsAqLi1lkGI0b8O4qntHZtcw8qi7xRtWrjappyjxyOJEmDcltXra6riK&#10;z+8p68/f2/wGAAD//wMAUEsDBBQABgAIAAAAIQCMjJLE4AAAAAwBAAAPAAAAZHJzL2Rvd25yZXYu&#10;eG1sTI/BTsMwEETvSPyDtUjcqFMDUZLGqSoEJyREGg4cndhNrMbrELtt+HuWE9x2NE+zM+V2cSM7&#10;mzlYjxLWqwSYwc5ri72Ej+blLgMWokKtRo9GwrcJsK2ur0pVaH/B2pz3sWcUgqFQEoYYp4Lz0A3G&#10;qbDyk0HyDn52KpKce65ndaFwN3KRJCl3yiJ9GNRkngbTHfcnJ2H3ifWz/Xpr3+tDbZsmT/A1PUp5&#10;e7PsNsCiWeIfDL/1qTpU1Kn1J9SBjaQfREqohDy9p4OIR5HRupYskWcCeFXy/yOqHwAAAP//AwBQ&#10;SwECLQAUAAYACAAAACEAtoM4kv4AAADhAQAAEwAAAAAAAAAAAAAAAAAAAAAAW0NvbnRlbnRfVHlw&#10;ZXNdLnhtbFBLAQItABQABgAIAAAAIQA4/SH/1gAAAJQBAAALAAAAAAAAAAAAAAAAAC8BAABfcmVs&#10;cy8ucmVsc1BLAQItABQABgAIAAAAIQCmKhde8AEAAMMDAAAOAAAAAAAAAAAAAAAAAC4CAABkcnMv&#10;ZTJvRG9jLnhtbFBLAQItABQABgAIAAAAIQCMjJLE4AAAAAwBAAAPAAAAAAAAAAAAAAAAAEoEAABk&#10;cnMvZG93bnJldi54bWxQSwUGAAAAAAQABADzAAAAVwUAAAAA&#10;" filled="f" stroked="f">
                <v:textbox inset="0,0,0,0">
                  <w:txbxContent>
                    <w:p w14:paraId="13E025F3" w14:textId="77777777" w:rsidR="00490F33" w:rsidRDefault="00490F33">
                      <w:pPr>
                        <w:spacing w:line="238" w:lineRule="exact"/>
                        <w:textAlignment w:val="baseline"/>
                        <w:rPr>
                          <w:rFonts w:ascii="Tahoma" w:eastAsia="Tahoma" w:hAnsi="Tahoma"/>
                          <w:color w:val="414042"/>
                          <w:spacing w:val="6"/>
                          <w:sz w:val="18"/>
                        </w:rPr>
                      </w:pPr>
                      <w:r>
                        <w:rPr>
                          <w:rFonts w:ascii="Tahoma" w:eastAsia="Tahoma" w:hAnsi="Tahoma"/>
                          <w:color w:val="414042"/>
                          <w:spacing w:val="6"/>
                          <w:sz w:val="18"/>
                        </w:rPr>
                        <w:t>SunnyFutures offers a range of services to guide, support and encourage students to follow a variety of pathways. For example, the program engages with local industry to provide opportunities for students to undertake internships, traineeships or apprenticeships, as well as full-time employment or casual work while they study. Staff offer workshops in resume writing, cover letters, navigating internet job sites and completing online applications. There is also a range of clothing available for students to borrow in order to present well for interviews.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29408" behindDoc="1" locked="0" layoutInCell="1" allowOverlap="1" wp14:anchorId="5CEFC43E" wp14:editId="75485404">
                <wp:simplePos x="0" y="0"/>
                <wp:positionH relativeFrom="page">
                  <wp:posOffset>545465</wp:posOffset>
                </wp:positionH>
                <wp:positionV relativeFrom="page">
                  <wp:posOffset>9698355</wp:posOffset>
                </wp:positionV>
                <wp:extent cx="1219200" cy="137795"/>
                <wp:effectExtent l="0" t="0" r="0" b="0"/>
                <wp:wrapSquare wrapText="bothSides"/>
                <wp:docPr id="37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F0F63" w14:textId="77777777" w:rsidR="00490F33" w:rsidRDefault="00490F33">
                            <w:pPr>
                              <w:tabs>
                                <w:tab w:val="right" w:pos="1944"/>
                              </w:tabs>
                              <w:spacing w:before="11" w:after="17" w:line="179" w:lineRule="exact"/>
                              <w:textAlignment w:val="baseline"/>
                              <w:rPr>
                                <w:rFonts w:ascii="Arial" w:eastAsia="Arial" w:hAnsi="Arial"/>
                                <w:b/>
                                <w:color w:val="51579E"/>
                                <w:sz w:val="18"/>
                              </w:rPr>
                            </w:pPr>
                            <w:r>
                              <w:rPr>
                                <w:rFonts w:ascii="Arial" w:eastAsia="Arial" w:hAnsi="Arial"/>
                                <w:b/>
                                <w:color w:val="51579E"/>
                                <w:sz w:val="18"/>
                              </w:rPr>
                              <w:t>134</w:t>
                            </w:r>
                            <w:r>
                              <w:rPr>
                                <w:rFonts w:ascii="Tahoma" w:eastAsia="Tahoma" w:hAnsi="Tahoma"/>
                                <w:color w:val="414042"/>
                                <w:sz w:val="13"/>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C43E" id="Text Box 93" o:spid="_x0000_s1389" type="#_x0000_t202" style="position:absolute;margin-left:42.95pt;margin-top:763.65pt;width:96pt;height:10.85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v47gEAAMIDAAAOAAAAZHJzL2Uyb0RvYy54bWysU9tu2zAMfR+wfxD0vjgXrFmMOEXXosOA&#10;bh3Q7gNoWY6F2aJGKbGzrx8lx1m3vQ17ESiKPDw8pLbXQ9eKoyZv0BZyMZtLoa3Cyth9Ib8+3795&#10;J4UPYCto0epCnrSX17vXr7a9y/USG2wrTYJBrM97V8gmBJdnmVeN7sDP0GnLjzVSB4GvtM8qgp7R&#10;uzZbzudXWY9UOUKlvWfv3fgodwm/rrUKj3XtdRBtIZlbSCels4xntttCvidwjVFnGvAPLDowlote&#10;oO4ggDiQ+QuqM4rQYx1mCrsM69oonXrgbhbzP7p5asDp1AuL491FJv//YNXn4xcSpirkar2UwkLH&#10;Q3rWQxDvcRCbVRSodz7nuCfHkWFgPw86NevdA6pvXli8bcDu9Q0R9o2GigkuYmb2InXE8RGk7D9h&#10;xXXgEDABDTV1UT3WQzA6D+p0GU7komLJ5WLDE5dC8dtitV5v3qYSkE/Zjnz4oLET0Sgk8fATOhwf&#10;fIhsIJ9CYjGL96Zt0wK09jcHB0ZPYh8Jj9TDUA6jUlcXWUqsTtwQ4bhY/BHYaJB+SNHzUhXSfz8A&#10;aSnaj5ZFiRs4GTQZ5WSAVZxayCDFaN6GcVMPjsy+YeRRdos3LFxtUk9R4ZHFmTAvSmr1vNRxE1/e&#10;U9Svr7f7CQAA//8DAFBLAwQUAAYACAAAACEA6eJU5eAAAAAMAQAADwAAAGRycy9kb3ducmV2Lnht&#10;bEyPwU7DMAyG70i8Q2QkbiyhsHUtTacJwQkJ0ZUDx7TJ2miNU5psK2+Pd4KjP//6/bnYzG5gJzMF&#10;61HC/UIAM9h6bbGT8Fm/3q2BhahQq8GjkfBjAmzK66tC5dqfsTKnXewYlWDIlYQ+xjHnPLS9cSos&#10;/GiQdns/ORVpnDquJ3WmcjfwRIgVd8oiXejVaJ570x52Rydh+4XVi/1+bz6qfWXrOhP4tjpIeXsz&#10;b5+ARTPHvzBc9EkdSnJq/BF1YIOE9TKjJPFlkj4Ao0SSpoSaC3rMBPCy4P+fKH8BAAD//wMAUEsB&#10;Ai0AFAAGAAgAAAAhALaDOJL+AAAA4QEAABMAAAAAAAAAAAAAAAAAAAAAAFtDb250ZW50X1R5cGVz&#10;XS54bWxQSwECLQAUAAYACAAAACEAOP0h/9YAAACUAQAACwAAAAAAAAAAAAAAAAAvAQAAX3JlbHMv&#10;LnJlbHNQSwECLQAUAAYACAAAACEAYSWb+O4BAADCAwAADgAAAAAAAAAAAAAAAAAuAgAAZHJzL2Uy&#10;b0RvYy54bWxQSwECLQAUAAYACAAAACEA6eJU5eAAAAAMAQAADwAAAAAAAAAAAAAAAABIBAAAZHJz&#10;L2Rvd25yZXYueG1sUEsFBgAAAAAEAAQA8wAAAFUFAAAAAA==&#10;" filled="f" stroked="f">
                <v:textbox inset="0,0,0,0">
                  <w:txbxContent>
                    <w:p w14:paraId="77FF0F63" w14:textId="77777777" w:rsidR="00490F33" w:rsidRDefault="00490F33">
                      <w:pPr>
                        <w:tabs>
                          <w:tab w:val="right" w:pos="1944"/>
                        </w:tabs>
                        <w:spacing w:before="11" w:after="17" w:line="179" w:lineRule="exact"/>
                        <w:textAlignment w:val="baseline"/>
                        <w:rPr>
                          <w:rFonts w:ascii="Arial" w:eastAsia="Arial" w:hAnsi="Arial"/>
                          <w:b/>
                          <w:color w:val="51579E"/>
                          <w:sz w:val="18"/>
                        </w:rPr>
                      </w:pPr>
                      <w:r>
                        <w:rPr>
                          <w:rFonts w:ascii="Arial" w:eastAsia="Arial" w:hAnsi="Arial"/>
                          <w:b/>
                          <w:color w:val="51579E"/>
                          <w:sz w:val="18"/>
                        </w:rPr>
                        <w:t>134</w:t>
                      </w:r>
                      <w:r>
                        <w:rPr>
                          <w:rFonts w:ascii="Tahoma" w:eastAsia="Tahoma" w:hAnsi="Tahoma"/>
                          <w:color w:val="414042"/>
                          <w:sz w:val="13"/>
                        </w:rPr>
                        <w:tab/>
                        <w:t>Looking to the future</w:t>
                      </w:r>
                    </w:p>
                  </w:txbxContent>
                </v:textbox>
                <w10:wrap type="square" anchorx="page" anchory="page"/>
              </v:shape>
            </w:pict>
          </mc:Fallback>
        </mc:AlternateContent>
      </w:r>
    </w:p>
    <w:p w14:paraId="774BB472" w14:textId="77777777" w:rsidR="009757A9" w:rsidRDefault="009757A9">
      <w:pPr>
        <w:sectPr w:rsidR="009757A9">
          <w:pgSz w:w="11909" w:h="16838"/>
          <w:pgMar w:top="0" w:right="1440" w:bottom="0" w:left="1440" w:header="720" w:footer="720" w:gutter="0"/>
          <w:cols w:space="720"/>
        </w:sectPr>
      </w:pPr>
    </w:p>
    <w:p w14:paraId="2E567D97" w14:textId="77777777" w:rsidR="009757A9" w:rsidRDefault="00083242">
      <w:pPr>
        <w:spacing w:before="24" w:line="286" w:lineRule="exact"/>
        <w:ind w:left="864"/>
        <w:textAlignment w:val="baseline"/>
        <w:rPr>
          <w:rFonts w:ascii="Arial" w:eastAsia="Arial" w:hAnsi="Arial"/>
          <w:b/>
          <w:color w:val="00708E"/>
          <w:spacing w:val="-1"/>
          <w:sz w:val="25"/>
        </w:rPr>
      </w:pPr>
      <w:r>
        <w:rPr>
          <w:rFonts w:ascii="Arial" w:eastAsia="Arial" w:hAnsi="Arial"/>
          <w:b/>
          <w:color w:val="00708E"/>
          <w:spacing w:val="-1"/>
          <w:sz w:val="25"/>
        </w:rPr>
        <w:lastRenderedPageBreak/>
        <w:t>A systemic approach to overcoming disadvantage</w:t>
      </w:r>
    </w:p>
    <w:p w14:paraId="471CE44B" w14:textId="77777777" w:rsidR="009757A9" w:rsidRDefault="00083242">
      <w:pPr>
        <w:spacing w:before="146" w:line="240" w:lineRule="exact"/>
        <w:ind w:left="864" w:right="1080"/>
        <w:textAlignment w:val="baseline"/>
        <w:rPr>
          <w:rFonts w:ascii="Tahoma" w:eastAsia="Tahoma" w:hAnsi="Tahoma"/>
          <w:color w:val="404042"/>
          <w:sz w:val="18"/>
        </w:rPr>
      </w:pPr>
      <w:r>
        <w:rPr>
          <w:rFonts w:ascii="Tahoma" w:eastAsia="Tahoma" w:hAnsi="Tahoma"/>
          <w:color w:val="404042"/>
          <w:sz w:val="18"/>
        </w:rPr>
        <w:t>There have been a plethora of reviews conducted in recent years that have sought to examine the needs of specific groups experiencing additional barriers to education and having less successful transitions to post-school pathways. A few have been cited in the preceding pages. Yet it is clear that while there are well-targeted interventions in each of the states and territories, more work remains to be done.</w:t>
      </w:r>
    </w:p>
    <w:p w14:paraId="3A6EF44D" w14:textId="77777777" w:rsidR="009757A9" w:rsidRDefault="00083242">
      <w:pPr>
        <w:spacing w:before="168" w:after="600"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To support students facing additional challenges to make successful transitions, significantly more evaluation of effective practices is needed. A systematic program of external evaluation can provide important insights into initiatives already underway or proposed in the future. Initiatives need to be piloted, modified and, if successful, scaled up. Good practice needs to be shared. Failed interventions need funding withdrawn and ended quickly. Risks need to be taken but managed.</w:t>
      </w:r>
    </w:p>
    <w:p w14:paraId="4D9F0CC2" w14:textId="77777777" w:rsidR="009757A9" w:rsidRDefault="000D2E34">
      <w:pPr>
        <w:spacing w:before="93" w:line="299" w:lineRule="exact"/>
        <w:ind w:left="1296" w:right="1368"/>
        <w:textAlignment w:val="baseline"/>
        <w:rPr>
          <w:rFonts w:ascii="Verdana" w:eastAsia="Verdana" w:hAnsi="Verdana"/>
          <w:i/>
          <w:color w:val="007994"/>
          <w:sz w:val="19"/>
        </w:rPr>
      </w:pPr>
      <w:r>
        <w:rPr>
          <w:noProof/>
          <w:lang w:val="en-AU" w:eastAsia="en-AU"/>
        </w:rPr>
        <mc:AlternateContent>
          <mc:Choice Requires="wps">
            <w:drawing>
              <wp:anchor distT="0" distB="0" distL="114300" distR="114300" simplePos="0" relativeHeight="251994624" behindDoc="0" locked="0" layoutInCell="1" allowOverlap="1" wp14:anchorId="72CC00F5" wp14:editId="174D993D">
                <wp:simplePos x="0" y="0"/>
                <wp:positionH relativeFrom="page">
                  <wp:posOffset>826135</wp:posOffset>
                </wp:positionH>
                <wp:positionV relativeFrom="page">
                  <wp:posOffset>2840990</wp:posOffset>
                </wp:positionV>
                <wp:extent cx="5907405" cy="0"/>
                <wp:effectExtent l="0" t="0" r="0" b="0"/>
                <wp:wrapNone/>
                <wp:docPr id="37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F5B7E" id="Line 92" o:spid="_x0000_s1026" style="position:absolute;z-index:25199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23.7pt" to="530.2pt,2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WC0AEAAIUDAAAOAAAAZHJzL2Uyb0RvYy54bWysU8Fu2zAMvQ/YPwi6L3bSplmMOD0k6y7Z&#10;FqDtBzCSbAuTREFSYufvJ8lJ1q23YReBEsnHx0dq9ThoRU7CeYmmptNJSYkwDLk0bU1fX54+fabE&#10;BzAcFBpR07Pw9HH98cOqt5WYYYeKC0ciiPFVb2vahWCrovCsExr8BK0w0dmg0xDi1bUFd9BHdK2K&#10;WVk+FD06bh0y4X183Y5Ous74TSNY+NE0XgSiahq5hXy6fB7SWaxXULUObCfZhQb8AwsN0sSiN6gt&#10;BCBHJ99BackcemzChKEusGkkE7mH2M20/Kub5w6syL1Ecby9yeT/Hyz7fto7InlN7xZTSgzoOKSd&#10;NIIsZ0mc3voqxmzM3qX22GCe7Q7ZT08MbjowrcgkX8425k1TRvFHSrp4G0sc+m/IYwwcA2alhsbp&#10;BBk1IEMeyPk2EDEEwuLjfFku7ss5JezqK6C6Jlrnw1eBmiSjpiqSzsBw2vmQiEB1DUl1DD5JpfK8&#10;lSF9TR/u5mVO8KgkT84U5l172ChHTpA2plwsl/e5q+h5G5aQt+C7MS67xl1yeDQ8V+kE8C8XO4BU&#10;ox1ZKXNRKQkzSnxAft67q3px1pn+ZS/TMr295+zfv2f9CwAA//8DAFBLAwQUAAYACAAAACEA0vgL&#10;vdwAAAAMAQAADwAAAGRycy9kb3ducmV2LnhtbEyPQU/DMAyF70j8h8hI3FgyKAOVphMa2mkX2JC4&#10;eo1pC41TNVnX/Xs8CQlufvbT8/eK5eQ7NdIQ28AW5jMDirgKruXawvtuffMIKiZkh11gsnCiCMvy&#10;8qLA3IUjv9G4TbWSEI45WmhS6nOtY9WQxzgLPbHcPsPgMYkcau0GPEq47/StMQvtsWX50GBPq4aq&#10;7+3BW1ij2b26zSZ8xY/70wqTdi80Wnt9NT0/gUo0pT8znPEFHUph2ocDu6g60XdmLlYLWfaQgTo7&#10;zMLItP9d6bLQ/0uUPwAAAP//AwBQSwECLQAUAAYACAAAACEAtoM4kv4AAADhAQAAEwAAAAAAAAAA&#10;AAAAAAAAAAAAW0NvbnRlbnRfVHlwZXNdLnhtbFBLAQItABQABgAIAAAAIQA4/SH/1gAAAJQBAAAL&#10;AAAAAAAAAAAAAAAAAC8BAABfcmVscy8ucmVsc1BLAQItABQABgAIAAAAIQBpm4WC0AEAAIUDAAAO&#10;AAAAAAAAAAAAAAAAAC4CAABkcnMvZTJvRG9jLnhtbFBLAQItABQABgAIAAAAIQDS+Au93AAAAAwB&#10;AAAPAAAAAAAAAAAAAAAAACoEAABkcnMvZG93bnJldi54bWxQSwUGAAAAAAQABADzAAAAMwUAAAAA&#10;" strokecolor="#007994" strokeweight=".5pt">
                <w10:wrap anchorx="page" anchory="page"/>
              </v:line>
            </w:pict>
          </mc:Fallback>
        </mc:AlternateContent>
      </w:r>
      <w:r w:rsidR="00083242">
        <w:rPr>
          <w:rFonts w:ascii="Verdana" w:eastAsia="Verdana" w:hAnsi="Verdana"/>
          <w:i/>
          <w:color w:val="007994"/>
          <w:sz w:val="19"/>
        </w:rPr>
        <w:t xml:space="preserve">“[There is] no clear picture of a single effective intervention ... in terms of duration, settings, and </w:t>
      </w:r>
      <w:r w:rsidR="00083242">
        <w:rPr>
          <w:rFonts w:ascii="Tahoma" w:eastAsia="Tahoma" w:hAnsi="Tahoma"/>
          <w:i/>
          <w:color w:val="007994"/>
        </w:rPr>
        <w:t xml:space="preserve">parameters ... individual programs are unlikely to achieve transformational change – rather a system of integrated and aligned services is needed, and further research required to understand </w:t>
      </w:r>
      <w:r w:rsidR="00083242">
        <w:rPr>
          <w:rFonts w:ascii="Verdana" w:eastAsia="Verdana" w:hAnsi="Verdana"/>
          <w:i/>
          <w:color w:val="007994"/>
          <w:sz w:val="19"/>
        </w:rPr>
        <w:t>interactive effects.”</w:t>
      </w:r>
    </w:p>
    <w:p w14:paraId="69B93FB2" w14:textId="77777777" w:rsidR="009757A9" w:rsidRDefault="00083242">
      <w:pPr>
        <w:spacing w:before="55" w:after="234" w:line="246" w:lineRule="exact"/>
        <w:ind w:left="8784"/>
        <w:textAlignment w:val="baseline"/>
        <w:rPr>
          <w:rFonts w:ascii="Tahoma" w:eastAsia="Tahoma" w:hAnsi="Tahoma"/>
          <w:i/>
          <w:color w:val="007994"/>
          <w:spacing w:val="-8"/>
        </w:rPr>
      </w:pPr>
      <w:r>
        <w:rPr>
          <w:rFonts w:ascii="Tahoma" w:eastAsia="Tahoma" w:hAnsi="Tahoma"/>
          <w:i/>
          <w:color w:val="007994"/>
          <w:spacing w:val="-8"/>
        </w:rPr>
        <w:t>Mitchell Institute</w:t>
      </w:r>
      <w:r>
        <w:rPr>
          <w:rFonts w:ascii="Tahoma" w:eastAsia="Tahoma" w:hAnsi="Tahoma"/>
          <w:i/>
          <w:color w:val="007994"/>
          <w:spacing w:val="-8"/>
          <w:vertAlign w:val="superscript"/>
        </w:rPr>
        <w:t>215</w:t>
      </w:r>
      <w:r>
        <w:rPr>
          <w:rFonts w:ascii="Tahoma" w:eastAsia="Tahoma" w:hAnsi="Tahoma"/>
          <w:i/>
          <w:color w:val="007994"/>
          <w:spacing w:val="-8"/>
          <w:sz w:val="12"/>
        </w:rPr>
        <w:t xml:space="preserve"> </w:t>
      </w:r>
    </w:p>
    <w:p w14:paraId="02CD8BF9" w14:textId="77777777" w:rsidR="009757A9" w:rsidRDefault="000D2E34">
      <w:pPr>
        <w:spacing w:before="414" w:after="365" w:line="240" w:lineRule="exact"/>
        <w:ind w:left="864" w:right="936"/>
        <w:textAlignment w:val="baseline"/>
        <w:rPr>
          <w:rFonts w:ascii="Tahoma" w:eastAsia="Tahoma" w:hAnsi="Tahoma"/>
          <w:color w:val="404042"/>
          <w:spacing w:val="6"/>
          <w:sz w:val="18"/>
        </w:rPr>
      </w:pPr>
      <w:r>
        <w:rPr>
          <w:noProof/>
          <w:lang w:val="en-AU" w:eastAsia="en-AU"/>
        </w:rPr>
        <mc:AlternateContent>
          <mc:Choice Requires="wps">
            <w:drawing>
              <wp:anchor distT="0" distB="0" distL="114300" distR="114300" simplePos="0" relativeHeight="251995648" behindDoc="0" locked="0" layoutInCell="1" allowOverlap="1" wp14:anchorId="16FC71BC" wp14:editId="6DA3F217">
                <wp:simplePos x="0" y="0"/>
                <wp:positionH relativeFrom="page">
                  <wp:posOffset>826135</wp:posOffset>
                </wp:positionH>
                <wp:positionV relativeFrom="page">
                  <wp:posOffset>4004945</wp:posOffset>
                </wp:positionV>
                <wp:extent cx="5907405" cy="0"/>
                <wp:effectExtent l="0" t="0" r="0" b="0"/>
                <wp:wrapNone/>
                <wp:docPr id="37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C06C8" id="Line 91" o:spid="_x0000_s1026" style="position:absolute;z-index:25199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15.35pt" to="530.2pt,3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6G0AEAAIUDAAAOAAAAZHJzL2Uyb0RvYy54bWysU01v2zAMvQ/YfxB0X+y0TbMYcXpI1l2y&#10;LUC7H8BIsi1MFgVJiZ1/P0r52Lrdhl0EiXx8JB+p5dPYG3ZUPmi0NZ9OSs6UFSi1bWv+/fX5w0fO&#10;QgQrwaBVNT+pwJ9W798tB1epO+zQSOUZkdhQDa7mXYyuKoogOtVDmKBTlpwN+h4iPX1bSA8Dsfem&#10;uCvLx2JAL51HoUIg6+bs5KvM3zRKxG9NE1RkpuZUW8ynz+c+ncVqCVXrwXVaXMqAf6iiB20p6Y1q&#10;AxHYweu/qHotPAZs4kRgX2DTaKFyD9TNtPyjm5cOnMq9kDjB3WQK/49WfD3uPNOy5vdz0sdCT0Pa&#10;aqvYYprEGVyoCLO2O5/aE6N9cVsUPwKzuO7AtioX+XpyFJcjijch6REcpdgPX1ASBg4Rs1Jj4/tE&#10;SRqwMQ/kdBuIGiMTZJwtyvlDOeNMXH0FVNdA50P8rLBn6VJzQ0VnYjhuQ6TSCXqFpDwWn7Uxed7G&#10;sqHmj/ezMgcENFomZ4IF3+7XxrMjpI0p54vFQ9KByN7AEvMGQnfGZdd5lzwerMxZOgXy0+UeQZvz&#10;nYiMJb6rMGeJ9yhPO5/yJDvNOme87GVapt/fGfXr96x+AgAA//8DAFBLAwQUAAYACAAAACEAHXfr&#10;NtwAAAAMAQAADwAAAGRycy9kb3ducmV2LnhtbEyPwU7DMAyG70i8Q2QkbiwZg4JK0wkN7bQLbEhc&#10;vca0hcapmqzr3h5PQoLjb3/6/blYTr5TIw2xDWxhPjOgiKvgWq4tvO/WN4+gYkJ22AUmCyeKsCwv&#10;LwrMXTjyG43bVCsp4ZijhSalPtc6Vg15jLPQE8vuMwwek8Sh1m7Ao5T7Tt8ak2mPLcuFBntaNVR9&#10;bw/ewhrN7tVtNuErftyfVpi0e6HR2uur6fkJVKIp/cFw1hd1KMVpHw7souokL8xcUAvZwjyAOhMm&#10;M3eg9r8jXRb6/xPlDwAAAP//AwBQSwECLQAUAAYACAAAACEAtoM4kv4AAADhAQAAEwAAAAAAAAAA&#10;AAAAAAAAAAAAW0NvbnRlbnRfVHlwZXNdLnhtbFBLAQItABQABgAIAAAAIQA4/SH/1gAAAJQBAAAL&#10;AAAAAAAAAAAAAAAAAC8BAABfcmVscy8ucmVsc1BLAQItABQABgAIAAAAIQDhOj6G0AEAAIUDAAAO&#10;AAAAAAAAAAAAAAAAAC4CAABkcnMvZTJvRG9jLnhtbFBLAQItABQABgAIAAAAIQAdd+s23AAAAAwB&#10;AAAPAAAAAAAAAAAAAAAAACoEAABkcnMvZG93bnJldi54bWxQSwUGAAAAAAQABADzAAAAMwUAAAAA&#10;" strokecolor="#007994" strokeweight=".5pt">
                <w10:wrap anchorx="page" anchory="page"/>
              </v:line>
            </w:pict>
          </mc:Fallback>
        </mc:AlternateContent>
      </w:r>
      <w:r>
        <w:rPr>
          <w:noProof/>
          <w:lang w:val="en-AU" w:eastAsia="en-AU"/>
        </w:rPr>
        <mc:AlternateContent>
          <mc:Choice Requires="wps">
            <w:drawing>
              <wp:anchor distT="0" distB="0" distL="114300" distR="114300" simplePos="0" relativeHeight="251996672" behindDoc="0" locked="0" layoutInCell="1" allowOverlap="1" wp14:anchorId="458B506B" wp14:editId="0C9900A6">
                <wp:simplePos x="0" y="0"/>
                <wp:positionH relativeFrom="page">
                  <wp:posOffset>4849495</wp:posOffset>
                </wp:positionH>
                <wp:positionV relativeFrom="page">
                  <wp:posOffset>5251450</wp:posOffset>
                </wp:positionV>
                <wp:extent cx="2292350" cy="0"/>
                <wp:effectExtent l="0" t="0" r="0" b="0"/>
                <wp:wrapNone/>
                <wp:docPr id="36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0" cy="0"/>
                        </a:xfrm>
                        <a:prstGeom prst="line">
                          <a:avLst/>
                        </a:prstGeom>
                        <a:noFill/>
                        <a:ln w="8890">
                          <a:solidFill>
                            <a:srgbClr val="BF5B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B3917" id="Line 90" o:spid="_x0000_s1026" style="position:absolute;z-index:25199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85pt,413.5pt" to="562.3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TT0AEAAIUDAAAOAAAAZHJzL2Uyb0RvYy54bWysU01v2zAMvQ/YfxB0X5y4aJEYcQo0WXbJ&#10;tgDtfgAjybZQWRQkJU7+/Sjlo1t3G3oRRJF8fHyk5o/H3rCD8kGjrflkNOZMWYFS27bmv17WX6ac&#10;hQhWgkGran5SgT8uPn+aD65SJXZopPKMQGyoBlfzLkZXFUUQneohjNApS84GfQ+RTN8W0sNA6L0p&#10;yvH4oRjQS+dRqBDodXV28kXGbxol4s+mCSoyU3PiFvPp87lLZ7GYQ9V6cJ0WFxrwHyx60JaK3qBW&#10;EIHtvf4HqtfCY8AmjgT2BTaNFir3QN1Mxu+6ee7AqdwLiRPcTabwcbDix2HrmZY1v3uYcWahpyFt&#10;tFVslsUZXKgoZmm3PrUnjvbZbVC8BmZx2YFtVSb5cnKUN0lyFn+lJCM4KrEbvqOkGNhHzEodG98n&#10;SNKAHfNATreBqGNkgh7Lclbe3dPcxNVXQHVNdD7Ebwp7li41N0Q6A8NhE2IiAtU1JNWxuNbG5Hkb&#10;y4aaT6fUYvIENFomZzZ8u1sazw5AG/O0vn+arHNX78IS8gpCd47LCOdd8ri3MlfpFMivl3sEbc53&#10;YmXsRaUkTNrUUO1Qnrb+qh7NOtO/7GVapj/tnP32exa/AQAA//8DAFBLAwQUAAYACAAAACEAZI8X&#10;xd4AAAAMAQAADwAAAGRycy9kb3ducmV2LnhtbEyPzU7DMBCE70i8g7VI3KiTgJIqxKkQPypSTy1c&#10;uLnxkqTY6yh2m/D2bCUkOO7saOabajU7K044ht6TgnSRgEBqvOmpVfD+9nKzBBGiJqOtJ1TwjQFW&#10;9eVFpUvjJ9riaRdbwSEUSq2gi3EopQxNh06HhR+Q+PfpR6cjn2MrzagnDndWZkmSS6d74oZOD/jY&#10;YfO1OzoFBT6lbvqQ63BYy1eb2s1zftgodX01P9yDiDjHPzOc8Rkdamba+yOZICxn5LcFWxUss4JH&#10;nR1pdsfS/leSdSX/j6h/AAAA//8DAFBLAQItABQABgAIAAAAIQC2gziS/gAAAOEBAAATAAAAAAAA&#10;AAAAAAAAAAAAAABbQ29udGVudF9UeXBlc10ueG1sUEsBAi0AFAAGAAgAAAAhADj9If/WAAAAlAEA&#10;AAsAAAAAAAAAAAAAAAAALwEAAF9yZWxzLy5yZWxzUEsBAi0AFAAGAAgAAAAhAEiHFNPQAQAAhQMA&#10;AA4AAAAAAAAAAAAAAAAALgIAAGRycy9lMm9Eb2MueG1sUEsBAi0AFAAGAAgAAAAhAGSPF8XeAAAA&#10;DAEAAA8AAAAAAAAAAAAAAAAAKgQAAGRycy9kb3ducmV2LnhtbFBLBQYAAAAABAAEAPMAAAA1BQAA&#10;AAA=&#10;" strokecolor="#bf5b1f" strokeweight=".7pt">
                <w10:wrap anchorx="page" anchory="page"/>
              </v:line>
            </w:pict>
          </mc:Fallback>
        </mc:AlternateContent>
      </w:r>
      <w:r w:rsidR="00083242">
        <w:rPr>
          <w:rFonts w:ascii="Tahoma" w:eastAsia="Tahoma" w:hAnsi="Tahoma"/>
          <w:color w:val="404042"/>
          <w:spacing w:val="6"/>
          <w:sz w:val="18"/>
        </w:rPr>
        <w:t>One positive approach used to support students with disability in the United States of America is the National Technical Assistance Center on Transition. As outlined in the case study on page 136, this organisation provides a vehicle for ongoing collaboration and sharing of good practice. It blends research evidence with the development of practical resources in order to assist education agencies and service providers to ensure students with disability make successful postschool transitions.</w:t>
      </w:r>
    </w:p>
    <w:p w14:paraId="227F900C" w14:textId="77777777" w:rsidR="009757A9" w:rsidRDefault="009757A9">
      <w:pPr>
        <w:spacing w:before="414" w:after="365" w:line="240" w:lineRule="exact"/>
        <w:sectPr w:rsidR="009757A9">
          <w:pgSz w:w="11909" w:h="16838"/>
          <w:pgMar w:top="1080" w:right="0" w:bottom="0" w:left="0" w:header="720" w:footer="720" w:gutter="0"/>
          <w:cols w:space="720"/>
        </w:sectPr>
      </w:pPr>
    </w:p>
    <w:p w14:paraId="12C5E5DF" w14:textId="77777777" w:rsidR="009757A9" w:rsidRDefault="00083242">
      <w:pPr>
        <w:spacing w:after="29"/>
        <w:textAlignment w:val="baseline"/>
      </w:pPr>
      <w:r>
        <w:rPr>
          <w:noProof/>
          <w:lang w:val="en-AU" w:eastAsia="en-AU"/>
        </w:rPr>
        <w:drawing>
          <wp:inline distT="0" distB="0" distL="0" distR="0" wp14:anchorId="64BAA9BC" wp14:editId="680E6B6F">
            <wp:extent cx="7022465" cy="3891280"/>
            <wp:effectExtent l="0" t="0" r="0" b="0"/>
            <wp:docPr id="223" name="Picture"/>
            <wp:cNvGraphicFramePr/>
            <a:graphic xmlns:a="http://schemas.openxmlformats.org/drawingml/2006/main">
              <a:graphicData uri="http://schemas.openxmlformats.org/drawingml/2006/picture">
                <pic:pic xmlns:pic="http://schemas.openxmlformats.org/drawingml/2006/picture">
                  <pic:nvPicPr>
                    <pic:cNvPr id="223" name="Picture"/>
                    <pic:cNvPicPr preferRelativeResize="0"/>
                  </pic:nvPicPr>
                  <pic:blipFill>
                    <a:blip r:embed="rId310"/>
                    <a:stretch>
                      <a:fillRect/>
                    </a:stretch>
                  </pic:blipFill>
                  <pic:spPr>
                    <a:xfrm>
                      <a:off x="0" y="0"/>
                      <a:ext cx="7022465" cy="3891280"/>
                    </a:xfrm>
                    <a:prstGeom prst="rect">
                      <a:avLst/>
                    </a:prstGeom>
                  </pic:spPr>
                </pic:pic>
              </a:graphicData>
            </a:graphic>
          </wp:inline>
        </w:drawing>
      </w:r>
    </w:p>
    <w:p w14:paraId="4D104765" w14:textId="77777777" w:rsidR="009757A9" w:rsidRDefault="009757A9">
      <w:pPr>
        <w:spacing w:after="29"/>
        <w:sectPr w:rsidR="009757A9">
          <w:type w:val="continuous"/>
          <w:pgSz w:w="11909" w:h="16838"/>
          <w:pgMar w:top="1080" w:right="0" w:bottom="0" w:left="850" w:header="720" w:footer="720" w:gutter="0"/>
          <w:cols w:space="720"/>
        </w:sectPr>
      </w:pPr>
    </w:p>
    <w:p w14:paraId="048FCE0E" w14:textId="77777777" w:rsidR="009757A9" w:rsidRDefault="00083242">
      <w:pPr>
        <w:spacing w:before="7" w:after="643" w:line="172" w:lineRule="exact"/>
        <w:textAlignment w:val="baseline"/>
        <w:rPr>
          <w:rFonts w:ascii="Tahoma" w:eastAsia="Tahoma" w:hAnsi="Tahoma"/>
          <w:color w:val="404042"/>
          <w:sz w:val="14"/>
        </w:rPr>
      </w:pPr>
      <w:r>
        <w:rPr>
          <w:rFonts w:ascii="Tahoma" w:eastAsia="Tahoma" w:hAnsi="Tahoma"/>
          <w:color w:val="404042"/>
          <w:sz w:val="14"/>
        </w:rPr>
        <w:t>215 Pilcher, Torii and Andow (2018), p. 3.</w:t>
      </w:r>
    </w:p>
    <w:p w14:paraId="1BE092D4" w14:textId="77777777" w:rsidR="009757A9" w:rsidRDefault="009757A9">
      <w:pPr>
        <w:spacing w:before="7" w:after="643" w:line="172" w:lineRule="exact"/>
        <w:sectPr w:rsidR="009757A9">
          <w:type w:val="continuous"/>
          <w:pgSz w:w="11909" w:h="16838"/>
          <w:pgMar w:top="1080" w:right="8335" w:bottom="0" w:left="854" w:header="720" w:footer="720" w:gutter="0"/>
          <w:cols w:space="720"/>
        </w:sectPr>
      </w:pPr>
    </w:p>
    <w:p w14:paraId="116D9B25" w14:textId="77777777" w:rsidR="009757A9" w:rsidRDefault="00083242">
      <w:pPr>
        <w:spacing w:after="641" w:line="192"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8"/>
        </w:rPr>
        <w:t xml:space="preserve"> 135</w:t>
      </w:r>
    </w:p>
    <w:p w14:paraId="34E5A2E6" w14:textId="77777777" w:rsidR="009757A9" w:rsidRDefault="00083242">
      <w:pPr>
        <w:textAlignment w:val="baseline"/>
      </w:pPr>
      <w:r>
        <w:rPr>
          <w:noProof/>
          <w:lang w:val="en-AU" w:eastAsia="en-AU"/>
        </w:rPr>
        <w:drawing>
          <wp:inline distT="0" distB="0" distL="0" distR="0" wp14:anchorId="0C3C6EDF" wp14:editId="057629EC">
            <wp:extent cx="7562215" cy="462915"/>
            <wp:effectExtent l="0" t="0" r="0" b="0"/>
            <wp:docPr id="224" name="Picture"/>
            <wp:cNvGraphicFramePr/>
            <a:graphic xmlns:a="http://schemas.openxmlformats.org/drawingml/2006/main">
              <a:graphicData uri="http://schemas.openxmlformats.org/drawingml/2006/picture">
                <pic:pic xmlns:pic="http://schemas.openxmlformats.org/drawingml/2006/picture">
                  <pic:nvPicPr>
                    <pic:cNvPr id="224" name="Picture"/>
                    <pic:cNvPicPr preferRelativeResize="0"/>
                  </pic:nvPicPr>
                  <pic:blipFill>
                    <a:blip r:embed="rId311"/>
                    <a:stretch>
                      <a:fillRect/>
                    </a:stretch>
                  </pic:blipFill>
                  <pic:spPr>
                    <a:xfrm>
                      <a:off x="0" y="0"/>
                      <a:ext cx="7562215" cy="462915"/>
                    </a:xfrm>
                    <a:prstGeom prst="rect">
                      <a:avLst/>
                    </a:prstGeom>
                  </pic:spPr>
                </pic:pic>
              </a:graphicData>
            </a:graphic>
          </wp:inline>
        </w:drawing>
      </w:r>
    </w:p>
    <w:p w14:paraId="68A71DD4" w14:textId="77777777" w:rsidR="009757A9" w:rsidRDefault="009757A9">
      <w:pPr>
        <w:sectPr w:rsidR="009757A9">
          <w:type w:val="continuous"/>
          <w:pgSz w:w="11909" w:h="16838"/>
          <w:pgMar w:top="1080" w:right="0" w:bottom="0" w:left="0" w:header="720" w:footer="720" w:gutter="0"/>
          <w:cols w:space="720"/>
        </w:sectPr>
      </w:pPr>
    </w:p>
    <w:p w14:paraId="6E304AC5"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30432" behindDoc="1" locked="0" layoutInCell="1" allowOverlap="1" wp14:anchorId="2132EC19" wp14:editId="399838C0">
                <wp:simplePos x="0" y="0"/>
                <wp:positionH relativeFrom="page">
                  <wp:posOffset>539750</wp:posOffset>
                </wp:positionH>
                <wp:positionV relativeFrom="page">
                  <wp:posOffset>719455</wp:posOffset>
                </wp:positionV>
                <wp:extent cx="6492240" cy="8278495"/>
                <wp:effectExtent l="0" t="0" r="0" b="0"/>
                <wp:wrapSquare wrapText="bothSides"/>
                <wp:docPr id="36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827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87457" w14:textId="77777777" w:rsidR="00490F33" w:rsidRDefault="00490F33">
                            <w:pPr>
                              <w:textAlignment w:val="baseline"/>
                            </w:pPr>
                            <w:r>
                              <w:rPr>
                                <w:noProof/>
                                <w:lang w:val="en-AU" w:eastAsia="en-AU"/>
                              </w:rPr>
                              <w:drawing>
                                <wp:inline distT="0" distB="0" distL="0" distR="0" wp14:anchorId="7B5C61C0" wp14:editId="36A4E848">
                                  <wp:extent cx="6492240" cy="8278495"/>
                                  <wp:effectExtent l="0" t="0" r="0" b="0"/>
                                  <wp:docPr id="225" name="Picture" descr="logo."/>
                                  <wp:cNvGraphicFramePr/>
                                  <a:graphic xmlns:a="http://schemas.openxmlformats.org/drawingml/2006/main">
                                    <a:graphicData uri="http://schemas.openxmlformats.org/drawingml/2006/picture">
                                      <pic:pic xmlns:pic="http://schemas.openxmlformats.org/drawingml/2006/picture">
                                        <pic:nvPicPr>
                                          <pic:cNvPr id="225" name="Picture" descr="logo."/>
                                          <pic:cNvPicPr preferRelativeResize="0"/>
                                        </pic:nvPicPr>
                                        <pic:blipFill>
                                          <a:blip r:embed="rId312"/>
                                          <a:stretch>
                                            <a:fillRect/>
                                          </a:stretch>
                                        </pic:blipFill>
                                        <pic:spPr>
                                          <a:xfrm>
                                            <a:off x="0" y="0"/>
                                            <a:ext cx="6492240" cy="82784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2EC19" id="Text Box 89" o:spid="_x0000_s1390" type="#_x0000_t202" style="position:absolute;margin-left:42.5pt;margin-top:56.65pt;width:511.2pt;height:651.85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Hf8AEAAMMDAAAOAAAAZHJzL2Uyb0RvYy54bWysU9tu2zAMfR+wfxD0vjjJsiwx4hRdiw4D&#10;ugvQ7gMYWY6F2aJGKbGzrx8lx1m7vg17ESiSOjw8pDZXfduIoyZv0BZyNplKoa3C0th9Ib8/3r1Z&#10;SeED2BIatLqQJ+3l1fb1q03ncj3HGptSk2AQ6/POFbIOweVZ5lWtW/ATdNpysEJqIfCV9llJ0DF6&#10;22Tz6XSZdUilI1Tae/beDkG5TfhVpVX4WlVeB9EUkrmFdFI6d/HMthvI9wSuNupMA/6BRQvGctEL&#10;1C0EEAcyL6Baowg9VmGisM2wqozSqQfuZjb9q5uHGpxOvbA43l1k8v8PVn05fiNhykK+XfKoLLQ8&#10;pEfdB/EBe7FaR4E653POe3CcGXr286BTs97do/rhhcWbGuxeXxNhV2someAsvsyePB1wfATZdZ+x&#10;5DpwCJiA+oraqB7rIRidB3W6DCdyUexcLtbz+YJDimOr+fvVYv0u1YB8fO7Ih48aWxGNQhJPP8HD&#10;8d6HSAfyMSVWs3hnmiZtQGOfOTgxehL9yHjgHvpdf5ZqMeqyw/LEHREOm8U/gY0a6ZcUHW9VIf3P&#10;A5CWovlkWZW4gqNBo7EbDbCKnxYySDGYN2FY1YMjs68ZedDd4jUrV5nUU5R4YHEmzJuSWj1vdVzF&#10;p/eU9efvbX8DAAD//wMAUEsDBBQABgAIAAAAIQD8+NcF4QAAAAwBAAAPAAAAZHJzL2Rvd25yZXYu&#10;eG1sTI9BT8MwDIXvSPyHyEjcWFI2tlGaThOCExKiKweOaeO11RqnNNlW/j3eCW6239Pz97LN5Hpx&#10;wjF0njQkMwUCqfa2o0bDZ/l6twYRoiFrek+o4QcDbPLrq8yk1p+pwNMuNoJDKKRGQxvjkEoZ6had&#10;CTM/ILG296MzkdexkXY0Zw53vbxXaimd6Yg/tGbA5xbrw+7oNGy/qHjpvt+rj2JfdGX5qOhtedD6&#10;9mbaPoGIOMU/M1zwGR1yZqr8kWwQvYb1A1eJfE/mcxAXQ6JWCxAVT4tkpUDmmfxfIv8FAAD//wMA&#10;UEsBAi0AFAAGAAgAAAAhALaDOJL+AAAA4QEAABMAAAAAAAAAAAAAAAAAAAAAAFtDb250ZW50X1R5&#10;cGVzXS54bWxQSwECLQAUAAYACAAAACEAOP0h/9YAAACUAQAACwAAAAAAAAAAAAAAAAAvAQAAX3Jl&#10;bHMvLnJlbHNQSwECLQAUAAYACAAAACEAa7Sh3/ABAADDAwAADgAAAAAAAAAAAAAAAAAuAgAAZHJz&#10;L2Uyb0RvYy54bWxQSwECLQAUAAYACAAAACEA/PjXBeEAAAAMAQAADwAAAAAAAAAAAAAAAABKBAAA&#10;ZHJzL2Rvd25yZXYueG1sUEsFBgAAAAAEAAQA8wAAAFgFAAAAAA==&#10;" filled="f" stroked="f">
                <v:textbox inset="0,0,0,0">
                  <w:txbxContent>
                    <w:p w14:paraId="48787457" w14:textId="77777777" w:rsidR="00490F33" w:rsidRDefault="00490F33">
                      <w:pPr>
                        <w:textAlignment w:val="baseline"/>
                      </w:pPr>
                      <w:r>
                        <w:rPr>
                          <w:noProof/>
                          <w:lang w:val="en-AU" w:eastAsia="en-AU"/>
                        </w:rPr>
                        <w:drawing>
                          <wp:inline distT="0" distB="0" distL="0" distR="0" wp14:anchorId="7B5C61C0" wp14:editId="36A4E848">
                            <wp:extent cx="6492240" cy="8278495"/>
                            <wp:effectExtent l="0" t="0" r="0" b="0"/>
                            <wp:docPr id="225" name="Picture" descr="logo."/>
                            <wp:cNvGraphicFramePr/>
                            <a:graphic xmlns:a="http://schemas.openxmlformats.org/drawingml/2006/main">
                              <a:graphicData uri="http://schemas.openxmlformats.org/drawingml/2006/picture">
                                <pic:pic xmlns:pic="http://schemas.openxmlformats.org/drawingml/2006/picture">
                                  <pic:nvPicPr>
                                    <pic:cNvPr id="225" name="Picture" descr="logo."/>
                                    <pic:cNvPicPr preferRelativeResize="0"/>
                                  </pic:nvPicPr>
                                  <pic:blipFill>
                                    <a:blip r:embed="rId312"/>
                                    <a:stretch>
                                      <a:fillRect/>
                                    </a:stretch>
                                  </pic:blipFill>
                                  <pic:spPr>
                                    <a:xfrm>
                                      <a:off x="0" y="0"/>
                                      <a:ext cx="6492240" cy="827849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1456" behindDoc="1" locked="0" layoutInCell="1" allowOverlap="1" wp14:anchorId="1FC5E409" wp14:editId="05C9EF49">
                <wp:simplePos x="0" y="0"/>
                <wp:positionH relativeFrom="page">
                  <wp:posOffset>847090</wp:posOffset>
                </wp:positionH>
                <wp:positionV relativeFrom="page">
                  <wp:posOffset>982980</wp:posOffset>
                </wp:positionV>
                <wp:extent cx="1564005" cy="285115"/>
                <wp:effectExtent l="0" t="0" r="0" b="0"/>
                <wp:wrapSquare wrapText="bothSides"/>
                <wp:docPr id="36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B2664" w14:textId="77777777" w:rsidR="00490F33" w:rsidRDefault="00490F33">
                            <w:pPr>
                              <w:spacing w:line="439" w:lineRule="exact"/>
                              <w:textAlignment w:val="baseline"/>
                              <w:rPr>
                                <w:rFonts w:ascii="Arial" w:eastAsia="Arial" w:hAnsi="Arial"/>
                                <w:b/>
                                <w:color w:val="BF5B1F"/>
                                <w:spacing w:val="-3"/>
                                <w:w w:val="90"/>
                                <w:sz w:val="39"/>
                              </w:rPr>
                            </w:pPr>
                            <w:r>
                              <w:rPr>
                                <w:rFonts w:ascii="Arial" w:eastAsia="Arial" w:hAnsi="Arial"/>
                                <w:b/>
                                <w:color w:val="BF5B1F"/>
                                <w:spacing w:val="-3"/>
                                <w:w w:val="90"/>
                                <w:sz w:val="39"/>
                              </w:rPr>
                              <w:t>CASE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5E409" id="Text Box 88" o:spid="_x0000_s1391" type="#_x0000_t202" style="position:absolute;margin-left:66.7pt;margin-top:77.4pt;width:123.15pt;height:22.45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O37gEAAMIDAAAOAAAAZHJzL2Uyb0RvYy54bWysU8GO0zAQvSPxD5bvNGmhpYqarpZdLUJa&#10;WKRdPmDqOI1F4jFjt0n5esZO013ghrhYY3v85r03483V0LXiqMkbtKWcz3IptFVYGbsv5benuzdr&#10;KXwAW0GLVpfypL282r5+teldoRfYYFtpEgxifdG7UjYhuCLLvGp0B36GTlu+rJE6CLylfVYR9Ize&#10;tdkiz1dZj1Q5QqW959Pb8VJuE35daxUe6trrINpSMreQVkrrLq7ZdgPFnsA1Rp1pwD+w6MBYLnqB&#10;uoUA4kDmL6jOKEKPdZgp7DKsa6N00sBq5vkfah4bcDppYXO8u9jk/x+s+nL8SsJUpXy7ei+FhY6b&#10;9KSHID7gINbraFDvfMF5j44zw8Dn3Ogk1rt7VN+9sHjTgN3rayLsGw0VE5zHl9mLpyOOjyC7/jNW&#10;XAcOARPQUFMX3WM/BKNzo06X5kQuKpZcrt7l+VIKxXeL9XI+X6YSUEyvHfnwUWMnYlBK4uYndDje&#10;+xDZQDGlxGIW70zbpgFo7W8HnBhPEvtIeKQeht1wdipVjtp2WJ1YEOE4WPwROGiQfkrR81CV0v84&#10;AGkp2k+WTYkTOAU0BbspAKv4aSmDFGN4E8ZJPTgy+4aRR9stXrNxtUmanlmcCfOgJKnnoY6T+HKf&#10;sp6/3vYXAAAA//8DAFBLAwQUAAYACAAAACEAjolCft4AAAALAQAADwAAAGRycy9kb3ducmV2Lnht&#10;bExPQU7DMBC8I/EHa5G4UQdSWhLiVBWCExIiDQeOTrxNrMbrELtt+D3LCW4zO6PZmWIzu0GccArW&#10;k4LbRQICqfXGUqfgo365eQARoiajB0+o4BsDbMrLi0Lnxp+pwtMudoJDKORaQR/jmEsZ2h6dDgs/&#10;IrG295PTkenUSTPpM4e7Qd4lyUo6bYk/9HrEpx7bw+7oFGw/qXq2X2/Ne7WvbF1nCb2uDkpdX83b&#10;RxAR5/hnht/6XB1K7tT4I5kgBuZpumQrg/slb2BHus7WIBq+ZAxkWcj/G8ofAAAA//8DAFBLAQIt&#10;ABQABgAIAAAAIQC2gziS/gAAAOEBAAATAAAAAAAAAAAAAAAAAAAAAABbQ29udGVudF9UeXBlc10u&#10;eG1sUEsBAi0AFAAGAAgAAAAhADj9If/WAAAAlAEAAAsAAAAAAAAAAAAAAAAALwEAAF9yZWxzLy5y&#10;ZWxzUEsBAi0AFAAGAAgAAAAhAA9fM7fuAQAAwgMAAA4AAAAAAAAAAAAAAAAALgIAAGRycy9lMm9E&#10;b2MueG1sUEsBAi0AFAAGAAgAAAAhAI6JQn7eAAAACwEAAA8AAAAAAAAAAAAAAAAASAQAAGRycy9k&#10;b3ducmV2LnhtbFBLBQYAAAAABAAEAPMAAABTBQAAAAA=&#10;" filled="f" stroked="f">
                <v:textbox inset="0,0,0,0">
                  <w:txbxContent>
                    <w:p w14:paraId="29AB2664" w14:textId="77777777" w:rsidR="00490F33" w:rsidRDefault="00490F33">
                      <w:pPr>
                        <w:spacing w:line="439" w:lineRule="exact"/>
                        <w:textAlignment w:val="baseline"/>
                        <w:rPr>
                          <w:rFonts w:ascii="Arial" w:eastAsia="Arial" w:hAnsi="Arial"/>
                          <w:b/>
                          <w:color w:val="BF5B1F"/>
                          <w:spacing w:val="-3"/>
                          <w:w w:val="90"/>
                          <w:sz w:val="39"/>
                        </w:rPr>
                      </w:pPr>
                      <w:r>
                        <w:rPr>
                          <w:rFonts w:ascii="Arial" w:eastAsia="Arial" w:hAnsi="Arial"/>
                          <w:b/>
                          <w:color w:val="BF5B1F"/>
                          <w:spacing w:val="-3"/>
                          <w:w w:val="90"/>
                          <w:sz w:val="39"/>
                        </w:rPr>
                        <w:t>CASE STUDY: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2480" behindDoc="1" locked="0" layoutInCell="1" allowOverlap="1" wp14:anchorId="2EED77F9" wp14:editId="672044A0">
                <wp:simplePos x="0" y="0"/>
                <wp:positionH relativeFrom="page">
                  <wp:posOffset>850265</wp:posOffset>
                </wp:positionH>
                <wp:positionV relativeFrom="page">
                  <wp:posOffset>1268095</wp:posOffset>
                </wp:positionV>
                <wp:extent cx="5200015" cy="560705"/>
                <wp:effectExtent l="0" t="0" r="0" b="0"/>
                <wp:wrapSquare wrapText="bothSides"/>
                <wp:docPr id="36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5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B40FF" w14:textId="77777777" w:rsidR="00490F33" w:rsidRDefault="00490F33">
                            <w:pPr>
                              <w:spacing w:line="418"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NATIONAL TECHNICAL ASSISTANCE CENTER</w:t>
                            </w:r>
                          </w:p>
                          <w:p w14:paraId="56492BD6" w14:textId="77777777" w:rsidR="00490F33" w:rsidRDefault="00490F33">
                            <w:pPr>
                              <w:spacing w:before="29" w:after="5" w:line="431" w:lineRule="exact"/>
                              <w:textAlignment w:val="baseline"/>
                              <w:rPr>
                                <w:rFonts w:ascii="Tahoma" w:eastAsia="Tahoma" w:hAnsi="Tahoma"/>
                                <w:color w:val="BF5B1F"/>
                                <w:spacing w:val="9"/>
                                <w:w w:val="95"/>
                                <w:sz w:val="38"/>
                              </w:rPr>
                            </w:pPr>
                            <w:r>
                              <w:rPr>
                                <w:rFonts w:ascii="Tahoma" w:eastAsia="Tahoma" w:hAnsi="Tahoma"/>
                                <w:color w:val="BF5B1F"/>
                                <w:spacing w:val="9"/>
                                <w:w w:val="95"/>
                                <w:sz w:val="38"/>
                              </w:rPr>
                              <w:t>ON TRANSITION, UNITED STATES OF AMERICA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D77F9" id="Text Box 87" o:spid="_x0000_s1392" type="#_x0000_t202" style="position:absolute;margin-left:66.95pt;margin-top:99.85pt;width:409.45pt;height:44.15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4U7QEAAMIDAAAOAAAAZHJzL2Uyb0RvYy54bWysU9tu2zAMfR+wfxD0vtjpkLQw4hRdiw4D&#10;ugvQ7gMYWbaF2aJGKbGzrx8lx1nXvg17ESiKPDw8pDbXY9+JgyZv0JZyucil0FZhZWxTyu9P9++u&#10;pPABbAUdWl3Ko/byevv2zWZwhb7AFrtKk2AQ64vBlbINwRVZ5lWre/ALdNryY43UQ+ArNVlFMDB6&#10;32UXeb7OBqTKESrtPXvvpke5Tfh1rVX4WtdeB9GVkrmFdFI6d/HMthsoGgLXGnWiAf/AogdjuegZ&#10;6g4CiD2ZV1C9UYQe67BQ2GdY10bp1AN3s8xfdPPYgtOpFxbHu7NM/v/Bqi+HbyRMVcr367UUFnoe&#10;0pMeg/iAo7i6jAINzhcc9+g4Mozs50GnZr17QPXDC4u3LdhG3xDh0GqomOAyZmbPUiccH0F2w2es&#10;uA7sAyagsaY+qsd6CEbnQR3Pw4lcFDtXPO58uZJC8dtqnV/mq1QCijnbkQ8fNfYiGqUkHn5Ch8OD&#10;D5ENFHNILGbx3nRdWoDO/uXgwOhJ7CPhiXoYd+NZqZMsO6yO3BDhtFj8EdhokX5JMfBSldL/3ANp&#10;KbpPlkWJGzgbNBu72QCrOLWUQYrJvA3Tpu4dmaZl5El2izcsXG1ST1HhicWJMC9KavW01HETn99T&#10;1J+vt/0NAAD//wMAUEsDBBQABgAIAAAAIQBmkYmF3wAAAAsBAAAPAAAAZHJzL2Rvd25yZXYueG1s&#10;TI89T8MwEIZ3JP6DdZXYqNNUlDjEqSoEExIiDQOjE7uJ1fgcYrcN/55jotu9ukfvR7Gd3cDOZgrW&#10;o4TVMgFmsPXaYifhs369z4CFqFCrwaOR8GMCbMvbm0Ll2l+wMud97BiZYMiVhD7GMec8tL1xKiz9&#10;aJB+Bz85FUlOHdeTupC5G3iaJBvulEVK6NVonnvTHvcnJ2H3hdWL/X5vPqpDZetaJPi2OUp5t5h3&#10;T8CimeM/DH/1qTqU1KnxJ9SBDaTXa0EoHUI8AiNCPKQ0ppGQZlkCvCz49YbyFwAA//8DAFBLAQIt&#10;ABQABgAIAAAAIQC2gziS/gAAAOEBAAATAAAAAAAAAAAAAAAAAAAAAABbQ29udGVudF9UeXBlc10u&#10;eG1sUEsBAi0AFAAGAAgAAAAhADj9If/WAAAAlAEAAAsAAAAAAAAAAAAAAAAALwEAAF9yZWxzLy5y&#10;ZWxzUEsBAi0AFAAGAAgAAAAhAB7IPhTtAQAAwgMAAA4AAAAAAAAAAAAAAAAALgIAAGRycy9lMm9E&#10;b2MueG1sUEsBAi0AFAAGAAgAAAAhAGaRiYXfAAAACwEAAA8AAAAAAAAAAAAAAAAARwQAAGRycy9k&#10;b3ducmV2LnhtbFBLBQYAAAAABAAEAPMAAABTBQAAAAA=&#10;" filled="f" stroked="f">
                <v:textbox inset="0,0,0,0">
                  <w:txbxContent>
                    <w:p w14:paraId="018B40FF" w14:textId="77777777" w:rsidR="00490F33" w:rsidRDefault="00490F33">
                      <w:pPr>
                        <w:spacing w:line="418" w:lineRule="exact"/>
                        <w:textAlignment w:val="baseline"/>
                        <w:rPr>
                          <w:rFonts w:ascii="Tahoma" w:eastAsia="Tahoma" w:hAnsi="Tahoma"/>
                          <w:color w:val="BF5B1F"/>
                          <w:spacing w:val="14"/>
                          <w:w w:val="95"/>
                          <w:sz w:val="38"/>
                        </w:rPr>
                      </w:pPr>
                      <w:r>
                        <w:rPr>
                          <w:rFonts w:ascii="Tahoma" w:eastAsia="Tahoma" w:hAnsi="Tahoma"/>
                          <w:color w:val="BF5B1F"/>
                          <w:spacing w:val="14"/>
                          <w:w w:val="95"/>
                          <w:sz w:val="38"/>
                        </w:rPr>
                        <w:t>NATIONAL TECHNICAL ASSISTANCE CENTER</w:t>
                      </w:r>
                    </w:p>
                    <w:p w14:paraId="56492BD6" w14:textId="77777777" w:rsidR="00490F33" w:rsidRDefault="00490F33">
                      <w:pPr>
                        <w:spacing w:before="29" w:after="5" w:line="431" w:lineRule="exact"/>
                        <w:textAlignment w:val="baseline"/>
                        <w:rPr>
                          <w:rFonts w:ascii="Tahoma" w:eastAsia="Tahoma" w:hAnsi="Tahoma"/>
                          <w:color w:val="BF5B1F"/>
                          <w:spacing w:val="9"/>
                          <w:w w:val="95"/>
                          <w:sz w:val="38"/>
                        </w:rPr>
                      </w:pPr>
                      <w:r>
                        <w:rPr>
                          <w:rFonts w:ascii="Tahoma" w:eastAsia="Tahoma" w:hAnsi="Tahoma"/>
                          <w:color w:val="BF5B1F"/>
                          <w:spacing w:val="9"/>
                          <w:w w:val="95"/>
                          <w:sz w:val="38"/>
                        </w:rPr>
                        <w:t>ON TRANSITION, UNITED STATES OF AMERICA</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3504" behindDoc="1" locked="0" layoutInCell="1" allowOverlap="1" wp14:anchorId="5BF59EAA" wp14:editId="78D4D937">
                <wp:simplePos x="0" y="0"/>
                <wp:positionH relativeFrom="page">
                  <wp:posOffset>905510</wp:posOffset>
                </wp:positionH>
                <wp:positionV relativeFrom="page">
                  <wp:posOffset>2010410</wp:posOffset>
                </wp:positionV>
                <wp:extent cx="5330825" cy="601980"/>
                <wp:effectExtent l="0" t="0" r="0" b="0"/>
                <wp:wrapSquare wrapText="bothSides"/>
                <wp:docPr id="36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825"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49597" w14:textId="77777777" w:rsidR="00490F33" w:rsidRDefault="00490F33">
                            <w:pPr>
                              <w:spacing w:line="234" w:lineRule="exact"/>
                              <w:textAlignment w:val="baseline"/>
                              <w:rPr>
                                <w:rFonts w:ascii="Tahoma" w:eastAsia="Tahoma" w:hAnsi="Tahoma"/>
                                <w:color w:val="414042"/>
                                <w:spacing w:val="5"/>
                                <w:sz w:val="18"/>
                              </w:rPr>
                            </w:pPr>
                            <w:r>
                              <w:rPr>
                                <w:rFonts w:ascii="Tahoma" w:eastAsia="Tahoma" w:hAnsi="Tahoma"/>
                                <w:color w:val="414042"/>
                                <w:spacing w:val="5"/>
                                <w:sz w:val="18"/>
                              </w:rPr>
                              <w:t>The National Technical Assistance Center on Transition (NTACT) blends research and evidence with the development of practical resources to assist state education agencies and service providers to ensure students with disability, including those with significant disabilities, make successful post-school transitions.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59EAA" id="Text Box 86" o:spid="_x0000_s1393" type="#_x0000_t202" style="position:absolute;margin-left:71.3pt;margin-top:158.3pt;width:419.75pt;height:47.4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ob7wEAAMIDAAAOAAAAZHJzL2Uyb0RvYy54bWysU8GO0zAQvSPxD5bvNGmrLSVqulp2tQhp&#10;YZF2+YCp4zQWiceM3Sbl6xk7TVnghrhY4/H4+c2b58310LXiqMkbtKWcz3IptFVYGbsv5dfn+zdr&#10;KXwAW0GLVpfypL283r5+teldoRfYYFtpEgxifdG7UjYhuCLLvGp0B36GTls+rJE6CLylfVYR9Ize&#10;tdkiz1dZj1Q5QqW95+zdeCi3Cb+utQqPde11EG0pmVtIK6V1F9dsu4FiT+Aao8404B9YdGAsP3qB&#10;uoMA4kDmL6jOKEKPdZgp7DKsa6N06oG7med/dPPUgNOpFxbHu4tM/v/Bqs/HLyRMVcrl6koKCx0P&#10;6VkPQbzHQaxXUaDe+YLrnhxXhoHzPOjUrHcPqL55YfG2AbvXN0TYNxoqJjiPN7MXV0ccH0F2/Ses&#10;+B04BExAQ01dVI/1EIzOgzpdhhO5KE5eLZf5esEcFZ+t8vm7dZpeBsV025EPHzR2IgalJB5+Qofj&#10;gw+RDRRTSXzM4r1p22SA1v6W4MKYSewj4ZF6GHbDWam3kyw7rE7cEOFoLP4IHDRIP6To2VSl9N8P&#10;QFqK9qNlUaIDp4CmYDcFYBVfLWWQYgxvw+jUgyOzbxh5lN3iDQtXm9RTVHhkcSbMRkmtnk0dnfhy&#10;n6p+fb3tTwAAAP//AwBQSwMEFAAGAAgAAAAhAPY5Li3gAAAACwEAAA8AAABkcnMvZG93bnJldi54&#10;bWxMj8FOwzAMhu9IvENkJG4sTamqrTSdJgQnJERXDhzTJmujNU5psq28PebEbv7lT78/l9vFjexs&#10;5mA9ShCrBJjBzmuLvYTP5vVhDSxEhVqNHo2EHxNgW93elKrQ/oK1Oe9jz6gEQ6EkDDFOBeehG4xT&#10;YeUng7Q7+NmpSHHuuZ7VhcrdyNMkyblTFunCoCbzPJjuuD85CbsvrF/s93v7UR9q2zSbBN/yo5T3&#10;d8vuCVg0S/yH4U+f1KEip9afUAc2Us7SnFAJjyKngYjNOhXAWgmZEBnwquTXP1S/AAAA//8DAFBL&#10;AQItABQABgAIAAAAIQC2gziS/gAAAOEBAAATAAAAAAAAAAAAAAAAAAAAAABbQ29udGVudF9UeXBl&#10;c10ueG1sUEsBAi0AFAAGAAgAAAAhADj9If/WAAAAlAEAAAsAAAAAAAAAAAAAAAAALwEAAF9yZWxz&#10;Ly5yZWxzUEsBAi0AFAAGAAgAAAAhAIGYKhvvAQAAwgMAAA4AAAAAAAAAAAAAAAAALgIAAGRycy9l&#10;Mm9Eb2MueG1sUEsBAi0AFAAGAAgAAAAhAPY5Li3gAAAACwEAAA8AAAAAAAAAAAAAAAAASQQAAGRy&#10;cy9kb3ducmV2LnhtbFBLBQYAAAAABAAEAPMAAABWBQAAAAA=&#10;" filled="f" stroked="f">
                <v:textbox inset="0,0,0,0">
                  <w:txbxContent>
                    <w:p w14:paraId="7E549597" w14:textId="77777777" w:rsidR="00490F33" w:rsidRDefault="00490F33">
                      <w:pPr>
                        <w:spacing w:line="234" w:lineRule="exact"/>
                        <w:textAlignment w:val="baseline"/>
                        <w:rPr>
                          <w:rFonts w:ascii="Tahoma" w:eastAsia="Tahoma" w:hAnsi="Tahoma"/>
                          <w:color w:val="414042"/>
                          <w:spacing w:val="5"/>
                          <w:sz w:val="18"/>
                        </w:rPr>
                      </w:pPr>
                      <w:r>
                        <w:rPr>
                          <w:rFonts w:ascii="Tahoma" w:eastAsia="Tahoma" w:hAnsi="Tahoma"/>
                          <w:color w:val="414042"/>
                          <w:spacing w:val="5"/>
                          <w:sz w:val="18"/>
                        </w:rPr>
                        <w:t>The National Technical Assistance Center on Transition (NTACT) blends research and evidence with the development of practical resources to assist state education agencies and service providers to ensure students with disability, including those with significant disabilities, make successful post-school transitions.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4528" behindDoc="1" locked="0" layoutInCell="1" allowOverlap="1" wp14:anchorId="189DFDAE" wp14:editId="0019C8DE">
                <wp:simplePos x="0" y="0"/>
                <wp:positionH relativeFrom="page">
                  <wp:posOffset>905510</wp:posOffset>
                </wp:positionH>
                <wp:positionV relativeFrom="page">
                  <wp:posOffset>2726690</wp:posOffset>
                </wp:positionV>
                <wp:extent cx="5696585" cy="754380"/>
                <wp:effectExtent l="0" t="0" r="0" b="0"/>
                <wp:wrapSquare wrapText="bothSides"/>
                <wp:docPr id="36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9FE23" w14:textId="77777777" w:rsidR="00490F33" w:rsidRDefault="00490F33">
                            <w:pPr>
                              <w:spacing w:line="235" w:lineRule="exact"/>
                              <w:textAlignment w:val="baseline"/>
                              <w:rPr>
                                <w:rFonts w:ascii="Tahoma" w:eastAsia="Tahoma" w:hAnsi="Tahoma"/>
                                <w:color w:val="414042"/>
                                <w:spacing w:val="5"/>
                                <w:sz w:val="18"/>
                              </w:rPr>
                            </w:pPr>
                            <w:r>
                              <w:rPr>
                                <w:rFonts w:ascii="Tahoma" w:eastAsia="Tahoma" w:hAnsi="Tahoma"/>
                                <w:color w:val="414042"/>
                                <w:spacing w:val="5"/>
                                <w:sz w:val="18"/>
                              </w:rPr>
                              <w:t>The NTACT is funded by the US Department of Education and is a partnership between the University of North Carolina at Charlotte, the University of Oregon, the University of Central Florida, Western Michigan University, the University of Kansas and TransCen, Inc., a non-profit that specialises in providing training and technical assistance in school-to-work transition initiatives. Its co-directors and staff include researchers on factors critical to successful post-school transition for students with 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DFDAE" id="Text Box 85" o:spid="_x0000_s1394" type="#_x0000_t202" style="position:absolute;margin-left:71.3pt;margin-top:214.7pt;width:448.55pt;height:59.4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UK7wEAAMIDAAAOAAAAZHJzL2Uyb0RvYy54bWysU1Fv0zAQfkfiP1h+p2m3tZSo6TQ2DSGN&#10;gbTxAy6O01gkPnN2m5Rfz9lpyoA3xIt1Pp8/f/fd58310LXioMkbtIVczOZSaKuwMnZXyK/P92/W&#10;UvgAtoIWrS7kUXt5vX39atO7XF9gg22lSTCI9XnvCtmE4PIs86rRHfgZOm35sEbqIPCWdllF0DN6&#10;12YX8/kq65EqR6i095y9Gw/lNuHXtVbhc117HURbSOYW0kppLeOabTeQ7whcY9SJBvwDiw6M5UfP&#10;UHcQQOzJ/AXVGUXosQ4zhV2GdW2UTj1wN4v5H908NeB06oXF8e4sk/9/sOrx8IWEqQp5ubqSwkLH&#10;Q3rWQxDvcRDrZRSodz7nuifHlWHgPA86NevdA6pvXli8bcDu9A0R9o2Gigku4s3sxdURx0eQsv+E&#10;Fb8D+4AJaKipi+qxHoLReVDH83AiF8XJ5erdasmEhOKzt8ury3WaXgb5dNuRDx80diIGhSQefkKH&#10;w4MPkQ3kU0l8zOK9adtkgNb+luDCmEnsI+GRehjK4aTUepKlxOrIDRGOxuKPwEGD9EOKnk1VSP99&#10;D6SlaD9aFiU6cApoCsopAKv4aiGDFGN4G0an7h2ZXcPIo+wWb1i42qSeosIjixNhNkpq9WTq6MSX&#10;+1T16+ttfwIAAP//AwBQSwMEFAAGAAgAAAAhANq2FWnhAAAADAEAAA8AAABkcnMvZG93bnJldi54&#10;bWxMj8FOwzAQRO9I/IO1SNyo3RBCk8apKgQnJNQ0HDg68TaJGq9D7Lbh73FPcBzt08zbfDObgZ1x&#10;cr0lCcuFAIbUWN1TK+GzentYAXNekVaDJZTwgw42xe1NrjJtL1Tiee9bFkrIZUpC5/2Yce6aDo1y&#10;CzsihdvBTkb5EKeW60ldQrkZeCREwo3qKSx0asSXDpvj/mQkbL+ofO2/P+pdeSj7qkoFvSdHKe/v&#10;5u0amMfZ/8Fw1Q/qUASn2p5IOzaEHEdJQCXEURoDuxLiMX0GVkt4ilcR8CLn/58ofgEAAP//AwBQ&#10;SwECLQAUAAYACAAAACEAtoM4kv4AAADhAQAAEwAAAAAAAAAAAAAAAAAAAAAAW0NvbnRlbnRfVHlw&#10;ZXNdLnhtbFBLAQItABQABgAIAAAAIQA4/SH/1gAAAJQBAAALAAAAAAAAAAAAAAAAAC8BAABfcmVs&#10;cy8ucmVsc1BLAQItABQABgAIAAAAIQBeVWUK7wEAAMIDAAAOAAAAAAAAAAAAAAAAAC4CAABkcnMv&#10;ZTJvRG9jLnhtbFBLAQItABQABgAIAAAAIQDathVp4QAAAAwBAAAPAAAAAAAAAAAAAAAAAEkEAABk&#10;cnMvZG93bnJldi54bWxQSwUGAAAAAAQABADzAAAAVwUAAAAA&#10;" filled="f" stroked="f">
                <v:textbox inset="0,0,0,0">
                  <w:txbxContent>
                    <w:p w14:paraId="0CA9FE23" w14:textId="77777777" w:rsidR="00490F33" w:rsidRDefault="00490F33">
                      <w:pPr>
                        <w:spacing w:line="235" w:lineRule="exact"/>
                        <w:textAlignment w:val="baseline"/>
                        <w:rPr>
                          <w:rFonts w:ascii="Tahoma" w:eastAsia="Tahoma" w:hAnsi="Tahoma"/>
                          <w:color w:val="414042"/>
                          <w:spacing w:val="5"/>
                          <w:sz w:val="18"/>
                        </w:rPr>
                      </w:pPr>
                      <w:r>
                        <w:rPr>
                          <w:rFonts w:ascii="Tahoma" w:eastAsia="Tahoma" w:hAnsi="Tahoma"/>
                          <w:color w:val="414042"/>
                          <w:spacing w:val="5"/>
                          <w:sz w:val="18"/>
                        </w:rPr>
                        <w:t>The NTACT is funded by the US Department of Education and is a partnership between the University of North Carolina at Charlotte, the University of Oregon, the University of Central Florida, Western Michigan University, the University of Kansas and TransCen, Inc., a non-profit that specialises in providing training and technical assistance in school-to-work transition initiatives. Its co-directors and staff include researchers on factors critical to successful post-school transition for students with disability.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5552" behindDoc="1" locked="0" layoutInCell="1" allowOverlap="1" wp14:anchorId="783B9927" wp14:editId="216F6954">
                <wp:simplePos x="0" y="0"/>
                <wp:positionH relativeFrom="page">
                  <wp:posOffset>914400</wp:posOffset>
                </wp:positionH>
                <wp:positionV relativeFrom="page">
                  <wp:posOffset>3597910</wp:posOffset>
                </wp:positionV>
                <wp:extent cx="5882640" cy="1579245"/>
                <wp:effectExtent l="0" t="0" r="0" b="0"/>
                <wp:wrapSquare wrapText="bothSides"/>
                <wp:docPr id="36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157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EB017" w14:textId="77777777" w:rsidR="00490F33" w:rsidRDefault="00490F33">
                            <w:pPr>
                              <w:spacing w:before="8" w:line="220" w:lineRule="exact"/>
                              <w:textAlignment w:val="baseline"/>
                              <w:rPr>
                                <w:rFonts w:ascii="Tahoma" w:eastAsia="Tahoma" w:hAnsi="Tahoma"/>
                                <w:color w:val="414042"/>
                                <w:spacing w:val="5"/>
                                <w:sz w:val="18"/>
                              </w:rPr>
                            </w:pPr>
                            <w:r>
                              <w:rPr>
                                <w:rFonts w:ascii="Tahoma" w:eastAsia="Tahoma" w:hAnsi="Tahoma"/>
                                <w:color w:val="414042"/>
                                <w:spacing w:val="5"/>
                                <w:sz w:val="18"/>
                              </w:rPr>
                              <w:t>NTACT identifies and promotes evidence-based practices to:</w:t>
                            </w:r>
                          </w:p>
                          <w:p w14:paraId="38F61AC7" w14:textId="77777777" w:rsidR="00490F33" w:rsidRDefault="00490F33">
                            <w:pPr>
                              <w:numPr>
                                <w:ilvl w:val="0"/>
                                <w:numId w:val="6"/>
                              </w:numPr>
                              <w:spacing w:before="82" w:line="240" w:lineRule="exact"/>
                              <w:ind w:left="216" w:right="1080" w:hanging="216"/>
                              <w:jc w:val="both"/>
                              <w:textAlignment w:val="baseline"/>
                              <w:rPr>
                                <w:rFonts w:ascii="Tahoma" w:eastAsia="Tahoma" w:hAnsi="Tahoma"/>
                                <w:color w:val="414042"/>
                                <w:sz w:val="18"/>
                              </w:rPr>
                            </w:pPr>
                            <w:r>
                              <w:rPr>
                                <w:rFonts w:ascii="Tahoma" w:eastAsia="Tahoma" w:hAnsi="Tahoma"/>
                                <w:color w:val="414042"/>
                                <w:sz w:val="18"/>
                              </w:rPr>
                              <w:t>increase access, participation and success of students with disability in academically rigorous nstruction and assessment to prepare for college, career and participation in the community</w:t>
                            </w:r>
                          </w:p>
                          <w:p w14:paraId="546E1584" w14:textId="77777777" w:rsidR="00490F33" w:rsidRDefault="00490F33">
                            <w:pPr>
                              <w:numPr>
                                <w:ilvl w:val="0"/>
                                <w:numId w:val="6"/>
                              </w:numPr>
                              <w:spacing w:before="84" w:line="240" w:lineRule="exact"/>
                              <w:ind w:left="216" w:right="288" w:hanging="216"/>
                              <w:textAlignment w:val="baseline"/>
                              <w:rPr>
                                <w:rFonts w:ascii="Tahoma" w:eastAsia="Tahoma" w:hAnsi="Tahoma"/>
                                <w:color w:val="414042"/>
                                <w:spacing w:val="5"/>
                                <w:sz w:val="18"/>
                              </w:rPr>
                            </w:pPr>
                            <w:r>
                              <w:rPr>
                                <w:rFonts w:ascii="Tahoma" w:eastAsia="Tahoma" w:hAnsi="Tahoma"/>
                                <w:color w:val="414042"/>
                                <w:spacing w:val="5"/>
                                <w:sz w:val="18"/>
                              </w:rPr>
                              <w:t>increase access, participation and success of students with disability in career-related curriculums and activities</w:t>
                            </w:r>
                          </w:p>
                          <w:p w14:paraId="1E3C3EE6" w14:textId="77777777" w:rsidR="00490F33" w:rsidRDefault="00490F33">
                            <w:pPr>
                              <w:numPr>
                                <w:ilvl w:val="0"/>
                                <w:numId w:val="6"/>
                              </w:numPr>
                              <w:spacing w:before="89" w:line="240" w:lineRule="exact"/>
                              <w:ind w:left="216" w:right="72" w:hanging="216"/>
                              <w:textAlignment w:val="baseline"/>
                              <w:rPr>
                                <w:rFonts w:ascii="Tahoma" w:eastAsia="Tahoma" w:hAnsi="Tahoma"/>
                                <w:color w:val="414042"/>
                                <w:sz w:val="18"/>
                              </w:rPr>
                            </w:pPr>
                            <w:r>
                              <w:rPr>
                                <w:rFonts w:ascii="Tahoma" w:eastAsia="Tahoma" w:hAnsi="Tahoma"/>
                                <w:color w:val="414042"/>
                                <w:sz w:val="18"/>
                              </w:rPr>
                              <w:t>improve the provision of resources for quality transition planning and school completion in areas such as engagement, leadership and self-advocacy</w:t>
                            </w:r>
                          </w:p>
                          <w:p w14:paraId="0845BE26" w14:textId="77777777" w:rsidR="00490F33" w:rsidRDefault="00490F33">
                            <w:pPr>
                              <w:numPr>
                                <w:ilvl w:val="0"/>
                                <w:numId w:val="6"/>
                              </w:numPr>
                              <w:spacing w:before="84" w:line="238" w:lineRule="exact"/>
                              <w:ind w:left="216" w:hanging="216"/>
                              <w:textAlignment w:val="baseline"/>
                              <w:rPr>
                                <w:rFonts w:ascii="Tahoma" w:eastAsia="Tahoma" w:hAnsi="Tahoma"/>
                                <w:color w:val="414042"/>
                                <w:spacing w:val="6"/>
                                <w:sz w:val="18"/>
                              </w:rPr>
                            </w:pPr>
                            <w:r>
                              <w:rPr>
                                <w:rFonts w:ascii="Tahoma" w:eastAsia="Tahoma" w:hAnsi="Tahoma"/>
                                <w:color w:val="414042"/>
                                <w:spacing w:val="6"/>
                                <w:sz w:val="18"/>
                              </w:rPr>
                              <w:t>promote collaboration and stakeholder engagement focused on improving college, career and community 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B9927" id="Text Box 84" o:spid="_x0000_s1395" type="#_x0000_t202" style="position:absolute;margin-left:1in;margin-top:283.3pt;width:463.2pt;height:124.35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Ki8QEAAMMDAAAOAAAAZHJzL2Uyb0RvYy54bWysU9tu2zAMfR+wfxD0vjhJkyw14hRdiw4D&#10;ugvQ7gMYWY6F2aJGKbGzrx8lx1m3vQ17ESiSOjw8pDY3fduIoyZv0BZyNplKoa3C0th9Ib8+P7xZ&#10;S+ED2BIatLqQJ+3lzfb1q03ncj3HGptSk2AQ6/POFbIOweVZ5lWtW/ATdNpysEJqIfCV9llJ0DF6&#10;22Tz6XSVdUilI1Tae/beD0G5TfhVpVX4XFVeB9EUkrmFdFI6d/HMthvI9wSuNupMA/6BRQvGctEL&#10;1D0EEAcyf0G1RhF6rMJEYZthVRmlUw/czWz6RzdPNTidemFxvLvI5P8frPp0/ELClIW8Wl1JYaHl&#10;IT3rPoh32Iv1IgrUOZ9z3pPjzNCznwedmvXuEdU3Lyze1WD3+pYIu1pDyQRn8WX24umA4yPIrvuI&#10;JdeBQ8AE1FfURvVYD8HoPKjTZTiRi2Lncr2erxYcUhybLd9ezxfLVAPy8bkjH95rbEU0Ckk8/QQP&#10;x0cfIh3Ix5RYzeKDaZq0AY39zcGJ0ZPoR8YD99Dv+rNU16MuOyxP3BHhsFn8E9iokX5I0fFWFdJ/&#10;PwBpKZoPllWJKzgaNBq70QCr+GkhgxSDeReGVT04MvuakQfdLd6ycpVJPUWJBxZnwrwpqdXzVsdV&#10;fHlPWb/+3vYnAAAA//8DAFBLAwQUAAYACAAAACEA8uvpu+EAAAAMAQAADwAAAGRycy9kb3ducmV2&#10;LnhtbEyPMU/DMBSEdyT+g/WQ2KhdSE2bxqkqBBMSahoGRid+TaLGzyF22/DvcScYT3e6+y7bTLZn&#10;Zxx950jBfCaAIdXOdNQo+CzfHpbAfNBkdO8IFfygh01+e5Pp1LgLFXjeh4bFEvKpVtCGMKSc+7pF&#10;q/3MDUjRO7jR6hDl2HAz6ksstz1/FEJyqzuKC60e8KXF+rg/WQXbLypeu++Palcciq4sV4Le5VGp&#10;+7tpuwYWcAp/YbjiR3TII1PlTmQ866NOkvglKFhIKYFdE+JZJMAqBcv54gl4nvH/J/JfAAAA//8D&#10;AFBLAQItABQABgAIAAAAIQC2gziS/gAAAOEBAAATAAAAAAAAAAAAAAAAAAAAAABbQ29udGVudF9U&#10;eXBlc10ueG1sUEsBAi0AFAAGAAgAAAAhADj9If/WAAAAlAEAAAsAAAAAAAAAAAAAAAAALwEAAF9y&#10;ZWxzLy5yZWxzUEsBAi0AFAAGAAgAAAAhACJo0qLxAQAAwwMAAA4AAAAAAAAAAAAAAAAALgIAAGRy&#10;cy9lMm9Eb2MueG1sUEsBAi0AFAAGAAgAAAAhAPLr6bvhAAAADAEAAA8AAAAAAAAAAAAAAAAASwQA&#10;AGRycy9kb3ducmV2LnhtbFBLBQYAAAAABAAEAPMAAABZBQAAAAA=&#10;" filled="f" stroked="f">
                <v:textbox inset="0,0,0,0">
                  <w:txbxContent>
                    <w:p w14:paraId="0D3EB017" w14:textId="77777777" w:rsidR="00490F33" w:rsidRDefault="00490F33">
                      <w:pPr>
                        <w:spacing w:before="8" w:line="220" w:lineRule="exact"/>
                        <w:textAlignment w:val="baseline"/>
                        <w:rPr>
                          <w:rFonts w:ascii="Tahoma" w:eastAsia="Tahoma" w:hAnsi="Tahoma"/>
                          <w:color w:val="414042"/>
                          <w:spacing w:val="5"/>
                          <w:sz w:val="18"/>
                        </w:rPr>
                      </w:pPr>
                      <w:r>
                        <w:rPr>
                          <w:rFonts w:ascii="Tahoma" w:eastAsia="Tahoma" w:hAnsi="Tahoma"/>
                          <w:color w:val="414042"/>
                          <w:spacing w:val="5"/>
                          <w:sz w:val="18"/>
                        </w:rPr>
                        <w:t>NTACT identifies and promotes evidence-based practices to:</w:t>
                      </w:r>
                    </w:p>
                    <w:p w14:paraId="38F61AC7" w14:textId="77777777" w:rsidR="00490F33" w:rsidRDefault="00490F33">
                      <w:pPr>
                        <w:numPr>
                          <w:ilvl w:val="0"/>
                          <w:numId w:val="6"/>
                        </w:numPr>
                        <w:spacing w:before="82" w:line="240" w:lineRule="exact"/>
                        <w:ind w:left="216" w:right="1080" w:hanging="216"/>
                        <w:jc w:val="both"/>
                        <w:textAlignment w:val="baseline"/>
                        <w:rPr>
                          <w:rFonts w:ascii="Tahoma" w:eastAsia="Tahoma" w:hAnsi="Tahoma"/>
                          <w:color w:val="414042"/>
                          <w:sz w:val="18"/>
                        </w:rPr>
                      </w:pPr>
                      <w:r>
                        <w:rPr>
                          <w:rFonts w:ascii="Tahoma" w:eastAsia="Tahoma" w:hAnsi="Tahoma"/>
                          <w:color w:val="414042"/>
                          <w:sz w:val="18"/>
                        </w:rPr>
                        <w:t>increase access, participation and success of students with disability in academically rigorous nstruction and assessment to prepare for college, career and participation in the community</w:t>
                      </w:r>
                    </w:p>
                    <w:p w14:paraId="546E1584" w14:textId="77777777" w:rsidR="00490F33" w:rsidRDefault="00490F33">
                      <w:pPr>
                        <w:numPr>
                          <w:ilvl w:val="0"/>
                          <w:numId w:val="6"/>
                        </w:numPr>
                        <w:spacing w:before="84" w:line="240" w:lineRule="exact"/>
                        <w:ind w:left="216" w:right="288" w:hanging="216"/>
                        <w:textAlignment w:val="baseline"/>
                        <w:rPr>
                          <w:rFonts w:ascii="Tahoma" w:eastAsia="Tahoma" w:hAnsi="Tahoma"/>
                          <w:color w:val="414042"/>
                          <w:spacing w:val="5"/>
                          <w:sz w:val="18"/>
                        </w:rPr>
                      </w:pPr>
                      <w:r>
                        <w:rPr>
                          <w:rFonts w:ascii="Tahoma" w:eastAsia="Tahoma" w:hAnsi="Tahoma"/>
                          <w:color w:val="414042"/>
                          <w:spacing w:val="5"/>
                          <w:sz w:val="18"/>
                        </w:rPr>
                        <w:t>increase access, participation and success of students with disability in career-related curriculums and activities</w:t>
                      </w:r>
                    </w:p>
                    <w:p w14:paraId="1E3C3EE6" w14:textId="77777777" w:rsidR="00490F33" w:rsidRDefault="00490F33">
                      <w:pPr>
                        <w:numPr>
                          <w:ilvl w:val="0"/>
                          <w:numId w:val="6"/>
                        </w:numPr>
                        <w:spacing w:before="89" w:line="240" w:lineRule="exact"/>
                        <w:ind w:left="216" w:right="72" w:hanging="216"/>
                        <w:textAlignment w:val="baseline"/>
                        <w:rPr>
                          <w:rFonts w:ascii="Tahoma" w:eastAsia="Tahoma" w:hAnsi="Tahoma"/>
                          <w:color w:val="414042"/>
                          <w:sz w:val="18"/>
                        </w:rPr>
                      </w:pPr>
                      <w:r>
                        <w:rPr>
                          <w:rFonts w:ascii="Tahoma" w:eastAsia="Tahoma" w:hAnsi="Tahoma"/>
                          <w:color w:val="414042"/>
                          <w:sz w:val="18"/>
                        </w:rPr>
                        <w:t>improve the provision of resources for quality transition planning and school completion in areas such as engagement, leadership and self-advocacy</w:t>
                      </w:r>
                    </w:p>
                    <w:p w14:paraId="0845BE26" w14:textId="77777777" w:rsidR="00490F33" w:rsidRDefault="00490F33">
                      <w:pPr>
                        <w:numPr>
                          <w:ilvl w:val="0"/>
                          <w:numId w:val="6"/>
                        </w:numPr>
                        <w:spacing w:before="84" w:line="238" w:lineRule="exact"/>
                        <w:ind w:left="216" w:hanging="216"/>
                        <w:textAlignment w:val="baseline"/>
                        <w:rPr>
                          <w:rFonts w:ascii="Tahoma" w:eastAsia="Tahoma" w:hAnsi="Tahoma"/>
                          <w:color w:val="414042"/>
                          <w:spacing w:val="6"/>
                          <w:sz w:val="18"/>
                        </w:rPr>
                      </w:pPr>
                      <w:r>
                        <w:rPr>
                          <w:rFonts w:ascii="Tahoma" w:eastAsia="Tahoma" w:hAnsi="Tahoma"/>
                          <w:color w:val="414042"/>
                          <w:spacing w:val="6"/>
                          <w:sz w:val="18"/>
                        </w:rPr>
                        <w:t>promote collaboration and stakeholder engagement focused on improving college, career and community success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6576" behindDoc="1" locked="0" layoutInCell="1" allowOverlap="1" wp14:anchorId="4A287BE1" wp14:editId="0E2541B4">
                <wp:simplePos x="0" y="0"/>
                <wp:positionH relativeFrom="page">
                  <wp:posOffset>914400</wp:posOffset>
                </wp:positionH>
                <wp:positionV relativeFrom="page">
                  <wp:posOffset>5207635</wp:posOffset>
                </wp:positionV>
                <wp:extent cx="5711825" cy="839470"/>
                <wp:effectExtent l="0" t="0" r="0" b="0"/>
                <wp:wrapSquare wrapText="bothSides"/>
                <wp:docPr id="36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9D705" w14:textId="77777777" w:rsidR="00490F33" w:rsidRDefault="00490F33">
                            <w:pPr>
                              <w:numPr>
                                <w:ilvl w:val="0"/>
                                <w:numId w:val="6"/>
                              </w:numPr>
                              <w:spacing w:before="36" w:line="240" w:lineRule="exact"/>
                              <w:ind w:left="216" w:hanging="216"/>
                              <w:jc w:val="both"/>
                              <w:textAlignment w:val="baseline"/>
                              <w:rPr>
                                <w:rFonts w:ascii="Tahoma" w:eastAsia="Tahoma" w:hAnsi="Tahoma"/>
                                <w:color w:val="414042"/>
                                <w:sz w:val="18"/>
                              </w:rPr>
                            </w:pPr>
                            <w:r>
                              <w:rPr>
                                <w:rFonts w:ascii="Tahoma" w:eastAsia="Tahoma" w:hAnsi="Tahoma"/>
                                <w:color w:val="414042"/>
                                <w:sz w:val="18"/>
                              </w:rPr>
                              <w:t>increase the use of data-driven decision-making to improve programs and systems that address colleg career and community readiness, as well as use of early warning systems and interventions focused on reducing dropout and increasing graduation rates for students with disability</w:t>
                            </w:r>
                          </w:p>
                          <w:p w14:paraId="7C9AC43D" w14:textId="77777777" w:rsidR="00490F33" w:rsidRDefault="00490F33">
                            <w:pPr>
                              <w:numPr>
                                <w:ilvl w:val="0"/>
                                <w:numId w:val="6"/>
                              </w:numPr>
                              <w:spacing w:before="86" w:line="237" w:lineRule="exact"/>
                              <w:ind w:left="216" w:hanging="216"/>
                              <w:jc w:val="both"/>
                              <w:textAlignment w:val="baseline"/>
                              <w:rPr>
                                <w:rFonts w:ascii="Tahoma" w:eastAsia="Tahoma" w:hAnsi="Tahoma"/>
                                <w:color w:val="414042"/>
                                <w:sz w:val="18"/>
                              </w:rPr>
                            </w:pPr>
                            <w:r>
                              <w:rPr>
                                <w:rFonts w:ascii="Tahoma" w:eastAsia="Tahoma" w:hAnsi="Tahoma"/>
                                <w:color w:val="414042"/>
                                <w:sz w:val="18"/>
                              </w:rPr>
                              <w:t>promote the use of effective personnel development, coaching and technical assistance strategies that build state and local capacity to prepare students with disability for post-school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87BE1" id="Text Box 83" o:spid="_x0000_s1396" type="#_x0000_t202" style="position:absolute;margin-left:1in;margin-top:410.05pt;width:449.75pt;height:66.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k57wEAAMIDAAAOAAAAZHJzL2Uyb0RvYy54bWysU9tu2zAMfR+wfxD0vjiXtc2MOEXXosOA&#10;7gK0+wBalm1htqhRSuzs60fJSdptb8NeBIqijs45pDbXY9+JvSZv0BZyMZtLoa3CytimkN+e7t+s&#10;pfABbAUdWl3Ig/byevv61WZwuV5ii12lSTCI9fngCtmG4PIs86rVPfgZOm35sEbqIfCWmqwiGBi9&#10;77LlfH6ZDUiVI1Tae87eTYdym/DrWqvwpa69DqIrJHMLaaW0lnHNthvIGwLXGnWkAf/Aogdj+dEz&#10;1B0EEDsyf0H1RhF6rMNMYZ9hXRulkwZWs5j/oeaxBaeTFjbHu7NN/v/Bqs/7ryRMVcjV5VIKCz03&#10;6UmPQbzHUaxX0aDB+ZzrHh1XhpHz3Ogk1rsHVN+9sHjbgm30DREOrYaKCS7izezF1QnHR5By+IQV&#10;vwO7gAlorKmP7rEfgtG5UYdzcyIXxcmLq8VivbyQQvHZevXu7VXqXgb56bYjHz5o7EUMCknc/IQO&#10;+wcfIhvITyXxMYv3puvSAHT2twQXxkxiHwlP1MNYjpNT08tRW4nVgQURToPFH4GDFumnFAMPVSH9&#10;jx2QlqL7aNmUOIGngE5BeQrAKr5ayCDFFN6GaVJ3jkzTMvJku8UbNq42SdMziyNhHpQk9TjUcRJf&#10;7lPV89fb/gIAAP//AwBQSwMEFAAGAAgAAAAhAJxdLdbhAAAADAEAAA8AAABkcnMvZG93bnJldi54&#10;bWxMjzFPwzAUhHck/oP1kNio3TSt2hCnqhBMSIg0DIxO/JpYjZ9D7Lbh3+NOZTzd6e67fDvZnp1x&#10;9MaRhPlMAENqnDbUSviq3p7WwHxQpFXvCCX8oodtcX+Xq0y7C5V43oeWxRLymZLQhTBknPumQ6v8&#10;zA1I0Tu40aoQ5dhyPapLLLc9T4RYcasMxYVODfjSYXPcn6yE3TeVr+bno/4sD6Wpqo2g99VRyseH&#10;afcMLOAUbmG44kd0KCJT7U6kPeujTtP4JUhYJ2IO7JoQ6WIJrJawWSYL4EXO/58o/gAAAP//AwBQ&#10;SwECLQAUAAYACAAAACEAtoM4kv4AAADhAQAAEwAAAAAAAAAAAAAAAAAAAAAAW0NvbnRlbnRfVHlw&#10;ZXNdLnhtbFBLAQItABQABgAIAAAAIQA4/SH/1gAAAJQBAAALAAAAAAAAAAAAAAAAAC8BAABfcmVs&#10;cy8ucmVsc1BLAQItABQABgAIAAAAIQDYsvk57wEAAMIDAAAOAAAAAAAAAAAAAAAAAC4CAABkcnMv&#10;ZTJvRG9jLnhtbFBLAQItABQABgAIAAAAIQCcXS3W4QAAAAwBAAAPAAAAAAAAAAAAAAAAAEkEAABk&#10;cnMvZG93bnJldi54bWxQSwUGAAAAAAQABADzAAAAVwUAAAAA&#10;" filled="f" stroked="f">
                <v:textbox inset="0,0,0,0">
                  <w:txbxContent>
                    <w:p w14:paraId="6759D705" w14:textId="77777777" w:rsidR="00490F33" w:rsidRDefault="00490F33">
                      <w:pPr>
                        <w:numPr>
                          <w:ilvl w:val="0"/>
                          <w:numId w:val="6"/>
                        </w:numPr>
                        <w:spacing w:before="36" w:line="240" w:lineRule="exact"/>
                        <w:ind w:left="216" w:hanging="216"/>
                        <w:jc w:val="both"/>
                        <w:textAlignment w:val="baseline"/>
                        <w:rPr>
                          <w:rFonts w:ascii="Tahoma" w:eastAsia="Tahoma" w:hAnsi="Tahoma"/>
                          <w:color w:val="414042"/>
                          <w:sz w:val="18"/>
                        </w:rPr>
                      </w:pPr>
                      <w:r>
                        <w:rPr>
                          <w:rFonts w:ascii="Tahoma" w:eastAsia="Tahoma" w:hAnsi="Tahoma"/>
                          <w:color w:val="414042"/>
                          <w:sz w:val="18"/>
                        </w:rPr>
                        <w:t>increase the use of data-driven decision-making to improve programs and systems that address colleg career and community readiness, as well as use of early warning systems and interventions focused on reducing dropout and increasing graduation rates for students with disability</w:t>
                      </w:r>
                    </w:p>
                    <w:p w14:paraId="7C9AC43D" w14:textId="77777777" w:rsidR="00490F33" w:rsidRDefault="00490F33">
                      <w:pPr>
                        <w:numPr>
                          <w:ilvl w:val="0"/>
                          <w:numId w:val="6"/>
                        </w:numPr>
                        <w:spacing w:before="86" w:line="237" w:lineRule="exact"/>
                        <w:ind w:left="216" w:hanging="216"/>
                        <w:jc w:val="both"/>
                        <w:textAlignment w:val="baseline"/>
                        <w:rPr>
                          <w:rFonts w:ascii="Tahoma" w:eastAsia="Tahoma" w:hAnsi="Tahoma"/>
                          <w:color w:val="414042"/>
                          <w:sz w:val="18"/>
                        </w:rPr>
                      </w:pPr>
                      <w:r>
                        <w:rPr>
                          <w:rFonts w:ascii="Tahoma" w:eastAsia="Tahoma" w:hAnsi="Tahoma"/>
                          <w:color w:val="414042"/>
                          <w:sz w:val="18"/>
                        </w:rPr>
                        <w:t>promote the use of effective personnel development, coaching and technical assistance strategies that build state and local capacity to prepare students with disability for post-school life.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7600" behindDoc="1" locked="0" layoutInCell="1" allowOverlap="1" wp14:anchorId="46565D7F" wp14:editId="7A4DB96F">
                <wp:simplePos x="0" y="0"/>
                <wp:positionH relativeFrom="page">
                  <wp:posOffset>905510</wp:posOffset>
                </wp:positionH>
                <wp:positionV relativeFrom="page">
                  <wp:posOffset>6458585</wp:posOffset>
                </wp:positionV>
                <wp:extent cx="2440940" cy="347345"/>
                <wp:effectExtent l="0" t="0" r="0" b="0"/>
                <wp:wrapSquare wrapText="bothSides"/>
                <wp:docPr id="36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A7631" w14:textId="77777777" w:rsidR="00490F33" w:rsidRDefault="00490F33">
                            <w:pPr>
                              <w:spacing w:line="180" w:lineRule="exact"/>
                              <w:jc w:val="both"/>
                              <w:textAlignment w:val="baseline"/>
                              <w:rPr>
                                <w:rFonts w:ascii="Tahoma" w:eastAsia="Tahoma" w:hAnsi="Tahoma"/>
                                <w:color w:val="000000"/>
                                <w:sz w:val="13"/>
                              </w:rPr>
                            </w:pPr>
                            <w:r>
                              <w:rPr>
                                <w:rFonts w:ascii="Tahoma" w:eastAsia="Tahoma" w:hAnsi="Tahoma"/>
                                <w:color w:val="000000"/>
                                <w:sz w:val="13"/>
                              </w:rPr>
                              <w:t xml:space="preserve">Source: National Technical Assistance Center on Transition website, </w:t>
                            </w:r>
                            <w:hyperlink r:id="rId313">
                              <w:r>
                                <w:rPr>
                                  <w:rFonts w:ascii="Tahoma" w:eastAsia="Tahoma" w:hAnsi="Tahoma"/>
                                  <w:color w:val="0000FF"/>
                                  <w:sz w:val="13"/>
                                  <w:u w:val="single"/>
                                </w:rPr>
                                <w:t>https://www.transitionta.org/about;</w:t>
                              </w:r>
                            </w:hyperlink>
                            <w:r>
                              <w:rPr>
                                <w:rFonts w:ascii="Tahoma" w:eastAsia="Tahoma" w:hAnsi="Tahoma"/>
                                <w:color w:val="000000"/>
                                <w:sz w:val="13"/>
                              </w:rPr>
                              <w:t xml:space="preserve"> and TransCen, Inc. website, </w:t>
                            </w:r>
                            <w:hyperlink r:id="rId314">
                              <w:r>
                                <w:rPr>
                                  <w:rFonts w:ascii="Tahoma" w:eastAsia="Tahoma" w:hAnsi="Tahoma"/>
                                  <w:color w:val="0000FF"/>
                                  <w:sz w:val="13"/>
                                  <w:u w:val="single"/>
                                </w:rPr>
                                <w:t>https://transcen.org</w:t>
                              </w:r>
                            </w:hyperlink>
                            <w:r>
                              <w:rPr>
                                <w:rFonts w:ascii="Tahoma" w:eastAsia="Tahoma" w:hAnsi="Tahoma"/>
                                <w:color w:val="000000"/>
                                <w:sz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65D7F" id="Text Box 82" o:spid="_x0000_s1397" type="#_x0000_t202" style="position:absolute;margin-left:71.3pt;margin-top:508.55pt;width:192.2pt;height:27.35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CXi7wEAAMIDAAAOAAAAZHJzL2Uyb0RvYy54bWysU9tu2zAMfR+wfxD0vji3tZ0Rp+hadBjQ&#10;XYB2H0DLsi3MFjVKiZ19/Sg5SbvtbdiLQFHU0TmH1OZ67Dux1+QN2kIuZnMptFVYGdsU8tvT/Zsr&#10;KXwAW0GHVhfyoL283r5+tRlcrpfYYldpEgxifT64QrYhuDzLvGp1D36GTls+rJF6CLylJqsIBkbv&#10;u2w5n19kA1LlCJX2nrN306HcJvy61ip8qWuvg+gKydxCWimtZVyz7QbyhsC1Rh1pwD+w6MFYfvQM&#10;dQcBxI7MX1C9UYQe6zBT2GdY10bppIHVLOZ/qHlswemkhc3x7myT/3+w6vP+KwlTFXJ1sZDCQs9N&#10;etJjEO9xFFfLaNDgfM51j44rw8h5bnQS690Dqu9eWLxtwTb6hgiHVkPFBBfxZvbi6oTjI0g5fMKK&#10;34FdwAQ01tRH99gPwejcqMO5OZGL4uRyvZ6/W/OR4rPV+nK1fpuegPx025EPHzT2IgaFJG5+Qof9&#10;gw+RDeSnkviYxXvTdWkAOvtbggtjJrGPhCfqYSzHyanLJC5qK7E6sCDCabD4I3DQIv2UYuChKqT/&#10;sQPSUnQfLZsSJ/AU0CkoTwFYxVcLGaSYwtswTerOkWlaRp5st3jDxtUmaXpmcSTMg5KkHoc6TuLL&#10;fap6/nrbXwAAAP//AwBQSwMEFAAGAAgAAAAhAFdnIGThAAAADQEAAA8AAABkcnMvZG93bnJldi54&#10;bWxMj8FOwzAQRO9I/IO1SNyonQiSEuJUFYITEiINB45O7CZW43WI3Tb8PdsT3HZ2R7Nvys3iRnYy&#10;c7AeJSQrAcxg57XFXsJn83q3BhaiQq1Gj0bCjwmwqa6vSlVof8banHaxZxSCoVAShhingvPQDcap&#10;sPKTQbrt/exUJDn3XM/qTOFu5KkQGXfKIn0Y1GSeB9MddkcnYfuF9Yv9fm8/6n1tm+ZR4Ft2kPL2&#10;Ztk+AYtmiX9muOATOlTE1Poj6sBG0vdpRlYaRJInwMjykOZUr72s8mQNvCr5/xbVLwAAAP//AwBQ&#10;SwECLQAUAAYACAAAACEAtoM4kv4AAADhAQAAEwAAAAAAAAAAAAAAAAAAAAAAW0NvbnRlbnRfVHlw&#10;ZXNdLnhtbFBLAQItABQABgAIAAAAIQA4/SH/1gAAAJQBAAALAAAAAAAAAAAAAAAAAC8BAABfcmVs&#10;cy8ucmVsc1BLAQItABQABgAIAAAAIQDg5CXi7wEAAMIDAAAOAAAAAAAAAAAAAAAAAC4CAABkcnMv&#10;ZTJvRG9jLnhtbFBLAQItABQABgAIAAAAIQBXZyBk4QAAAA0BAAAPAAAAAAAAAAAAAAAAAEkEAABk&#10;cnMvZG93bnJldi54bWxQSwUGAAAAAAQABADzAAAAVwUAAAAA&#10;" filled="f" stroked="f">
                <v:textbox inset="0,0,0,0">
                  <w:txbxContent>
                    <w:p w14:paraId="0D3A7631" w14:textId="77777777" w:rsidR="00490F33" w:rsidRDefault="00490F33">
                      <w:pPr>
                        <w:spacing w:line="180" w:lineRule="exact"/>
                        <w:jc w:val="both"/>
                        <w:textAlignment w:val="baseline"/>
                        <w:rPr>
                          <w:rFonts w:ascii="Tahoma" w:eastAsia="Tahoma" w:hAnsi="Tahoma"/>
                          <w:color w:val="000000"/>
                          <w:sz w:val="13"/>
                        </w:rPr>
                      </w:pPr>
                      <w:r>
                        <w:rPr>
                          <w:rFonts w:ascii="Tahoma" w:eastAsia="Tahoma" w:hAnsi="Tahoma"/>
                          <w:color w:val="000000"/>
                          <w:sz w:val="13"/>
                        </w:rPr>
                        <w:t xml:space="preserve">Source: National Technical Assistance Center on Transition website, </w:t>
                      </w:r>
                      <w:hyperlink r:id="rId315">
                        <w:r>
                          <w:rPr>
                            <w:rFonts w:ascii="Tahoma" w:eastAsia="Tahoma" w:hAnsi="Tahoma"/>
                            <w:color w:val="0000FF"/>
                            <w:sz w:val="13"/>
                            <w:u w:val="single"/>
                          </w:rPr>
                          <w:t>https://www.transitionta.org/about;</w:t>
                        </w:r>
                      </w:hyperlink>
                      <w:r>
                        <w:rPr>
                          <w:rFonts w:ascii="Tahoma" w:eastAsia="Tahoma" w:hAnsi="Tahoma"/>
                          <w:color w:val="000000"/>
                          <w:sz w:val="13"/>
                        </w:rPr>
                        <w:t xml:space="preserve"> and TransCen, Inc. website, </w:t>
                      </w:r>
                      <w:hyperlink r:id="rId316">
                        <w:r>
                          <w:rPr>
                            <w:rFonts w:ascii="Tahoma" w:eastAsia="Tahoma" w:hAnsi="Tahoma"/>
                            <w:color w:val="0000FF"/>
                            <w:sz w:val="13"/>
                            <w:u w:val="single"/>
                          </w:rPr>
                          <w:t>https://transcen.org</w:t>
                        </w:r>
                      </w:hyperlink>
                      <w:r>
                        <w:rPr>
                          <w:rFonts w:ascii="Tahoma" w:eastAsia="Tahoma" w:hAnsi="Tahoma"/>
                          <w:color w:val="000000"/>
                          <w:sz w:val="13"/>
                        </w:rPr>
                        <w: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8624" behindDoc="1" locked="0" layoutInCell="1" allowOverlap="1" wp14:anchorId="12CFD189" wp14:editId="49A63223">
                <wp:simplePos x="0" y="0"/>
                <wp:positionH relativeFrom="page">
                  <wp:posOffset>0</wp:posOffset>
                </wp:positionH>
                <wp:positionV relativeFrom="page">
                  <wp:posOffset>9692640</wp:posOffset>
                </wp:positionV>
                <wp:extent cx="7562215" cy="536575"/>
                <wp:effectExtent l="0" t="0" r="0" b="0"/>
                <wp:wrapSquare wrapText="bothSides"/>
                <wp:docPr id="36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D3464" w14:textId="77777777" w:rsidR="00490F33" w:rsidRDefault="00490F33">
                            <w:pPr>
                              <w:tabs>
                                <w:tab w:val="left" w:pos="1368"/>
                              </w:tabs>
                              <w:spacing w:after="634" w:line="201" w:lineRule="exact"/>
                              <w:ind w:left="864"/>
                              <w:textAlignment w:val="baseline"/>
                              <w:rPr>
                                <w:rFonts w:ascii="Arial" w:eastAsia="Arial" w:hAnsi="Arial"/>
                                <w:b/>
                                <w:color w:val="5556A1"/>
                                <w:spacing w:val="7"/>
                                <w:sz w:val="19"/>
                              </w:rPr>
                            </w:pPr>
                            <w:r>
                              <w:rPr>
                                <w:rFonts w:ascii="Arial" w:eastAsia="Arial" w:hAnsi="Arial"/>
                                <w:b/>
                                <w:color w:val="5556A1"/>
                                <w:spacing w:val="7"/>
                                <w:sz w:val="19"/>
                              </w:rPr>
                              <w:t>136</w:t>
                            </w:r>
                            <w:r>
                              <w:rPr>
                                <w:rFonts w:ascii="Tahoma" w:eastAsia="Tahoma" w:hAnsi="Tahoma"/>
                                <w:color w:val="414042"/>
                                <w:spacing w:val="7"/>
                                <w:sz w:val="13"/>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FD189" id="Text Box 81" o:spid="_x0000_s1398" type="#_x0000_t202" style="position:absolute;margin-left:0;margin-top:763.2pt;width:595.45pt;height:42.25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57gEAAMIDAAAOAAAAZHJzL2Uyb0RvYy54bWysU1Fv0zAQfkfiP1h+p2kzpZ2iptPYNIQ0&#10;YNLGD3AdO7FIfObsNim/nrPTlAFviBfrfD5//u67z9ubse/YUaE3YCu+Wiw5U1ZCbWxT8a8vD++u&#10;OfNB2Fp0YFXFT8rzm93bN9vBlSqHFrpaISMQ68vBVbwNwZVZ5mWreuEX4JSlQw3Yi0BbbLIaxUDo&#10;fZfly+U6GwBrhyCV95S9nw75LuFrrWT4orVXgXUVJ24hrZjWfVyz3VaUDQrXGnmmIf6BRS+MpUcv&#10;UPciCHZA8xdUbySCBx0WEvoMtDZSpR6om9Xyj26eW+FU6oXE8e4ik/9/sPLz8QmZqSt+tSZ9rOhp&#10;SC9qDOw9jOx6FQUanC+p7tlRZRgpT4NOzXr3CPKbZxbuWmEbdYsIQ6tETQTTzezV1QnHR5D98Alq&#10;ekccAiSgUWMf1SM9GKETkdNlOJGLpOSmWOf5quBM0llxtS42RSSXiXK+7dCHDwp6FoOKIw0/oYvj&#10;ow9T6VwSH7PwYLouGaCzvyUIM2YS+0h4oh7G/TgptclnWfZQn6ghhMlY9BEoaAF/cDaQqSruvx8E&#10;Ks66j5ZEiQ6cA5yD/RwIK+lqxQNnU3gXJqceHJqmJeRJdgu3JJw2qaeo8MTiTJiMklQ5mzo68fU+&#10;Vf36erufAAAA//8DAFBLAwQUAAYACAAAACEAR2iERd8AAAALAQAADwAAAGRycy9kb3ducmV2Lnht&#10;bEyPQU/DMAyF70j8h8hI3FjSCSpamk4TghMSoisHjmnrtdEapzTZVv493gluz37W8/eKzeJGccI5&#10;WE8akpUCgdT6zlKv4bN+vXsEEaKhzoyeUMMPBtiU11eFyTt/pgpPu9gLDqGQGw1DjFMuZWgHdCas&#10;/ITE3t7PzkQe5152szlzuBvlWqlUOmOJPwxmwucB28Pu6DRsv6h6sd/vzUe1r2xdZ4re0oPWtzfL&#10;9glExCX+HcMFn9GhZKbGH6kLYtTARSJvH9bpPYiLn2QqA9GwShNWsizk/w7lLwAAAP//AwBQSwEC&#10;LQAUAAYACAAAACEAtoM4kv4AAADhAQAAEwAAAAAAAAAAAAAAAAAAAAAAW0NvbnRlbnRfVHlwZXNd&#10;LnhtbFBLAQItABQABgAIAAAAIQA4/SH/1gAAAJQBAAALAAAAAAAAAAAAAAAAAC8BAABfcmVscy8u&#10;cmVsc1BLAQItABQABgAIAAAAIQD+xLZ57gEAAMIDAAAOAAAAAAAAAAAAAAAAAC4CAABkcnMvZTJv&#10;RG9jLnhtbFBLAQItABQABgAIAAAAIQBHaIRF3wAAAAsBAAAPAAAAAAAAAAAAAAAAAEgEAABkcnMv&#10;ZG93bnJldi54bWxQSwUGAAAAAAQABADzAAAAVAUAAAAA&#10;" filled="f" stroked="f">
                <v:textbox inset="0,0,0,0">
                  <w:txbxContent>
                    <w:p w14:paraId="018D3464" w14:textId="77777777" w:rsidR="00490F33" w:rsidRDefault="00490F33">
                      <w:pPr>
                        <w:tabs>
                          <w:tab w:val="left" w:pos="1368"/>
                        </w:tabs>
                        <w:spacing w:after="634" w:line="201" w:lineRule="exact"/>
                        <w:ind w:left="864"/>
                        <w:textAlignment w:val="baseline"/>
                        <w:rPr>
                          <w:rFonts w:ascii="Arial" w:eastAsia="Arial" w:hAnsi="Arial"/>
                          <w:b/>
                          <w:color w:val="5556A1"/>
                          <w:spacing w:val="7"/>
                          <w:sz w:val="19"/>
                        </w:rPr>
                      </w:pPr>
                      <w:r>
                        <w:rPr>
                          <w:rFonts w:ascii="Arial" w:eastAsia="Arial" w:hAnsi="Arial"/>
                          <w:b/>
                          <w:color w:val="5556A1"/>
                          <w:spacing w:val="7"/>
                          <w:sz w:val="19"/>
                        </w:rPr>
                        <w:t>136</w:t>
                      </w:r>
                      <w:r>
                        <w:rPr>
                          <w:rFonts w:ascii="Tahoma" w:eastAsia="Tahoma" w:hAnsi="Tahoma"/>
                          <w:color w:val="414042"/>
                          <w:spacing w:val="7"/>
                          <w:sz w:val="13"/>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39648" behindDoc="1" locked="0" layoutInCell="1" allowOverlap="1" wp14:anchorId="07DE397E" wp14:editId="735042E7">
                <wp:simplePos x="0" y="0"/>
                <wp:positionH relativeFrom="page">
                  <wp:posOffset>0</wp:posOffset>
                </wp:positionH>
                <wp:positionV relativeFrom="page">
                  <wp:posOffset>10229215</wp:posOffset>
                </wp:positionV>
                <wp:extent cx="7562215" cy="462915"/>
                <wp:effectExtent l="0" t="0" r="0" b="0"/>
                <wp:wrapSquare wrapText="bothSides"/>
                <wp:docPr id="35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CFB84" w14:textId="77777777" w:rsidR="00490F33" w:rsidRDefault="00490F33">
                            <w:pPr>
                              <w:textAlignment w:val="baseline"/>
                            </w:pPr>
                            <w:r>
                              <w:rPr>
                                <w:noProof/>
                                <w:lang w:val="en-AU" w:eastAsia="en-AU"/>
                              </w:rPr>
                              <w:drawing>
                                <wp:inline distT="0" distB="0" distL="0" distR="0" wp14:anchorId="1C1A0CDF" wp14:editId="2E6C8534">
                                  <wp:extent cx="7562215" cy="462915"/>
                                  <wp:effectExtent l="0" t="0" r="0" b="0"/>
                                  <wp:docPr id="226" name="Picture"/>
                                  <wp:cNvGraphicFramePr/>
                                  <a:graphic xmlns:a="http://schemas.openxmlformats.org/drawingml/2006/main">
                                    <a:graphicData uri="http://schemas.openxmlformats.org/drawingml/2006/picture">
                                      <pic:pic xmlns:pic="http://schemas.openxmlformats.org/drawingml/2006/picture">
                                        <pic:nvPicPr>
                                          <pic:cNvPr id="226"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E397E" id="Text Box 80" o:spid="_x0000_s1399" type="#_x0000_t202" style="position:absolute;margin-left:0;margin-top:805.45pt;width:595.45pt;height:36.45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NZ8AEAAMIDAAAOAAAAZHJzL2Uyb0RvYy54bWysU8Fu2zAMvQ/YPwi6L07cJW2NOEXXosOA&#10;rhvQ9gNkWY6FWaJGKbGzrx8lx2m33YpdBJqiHt97pNdXg+nYXqHXYEu+mM05U1ZCre225M9Pdx8u&#10;OPNB2Fp0YFXJD8rzq837d+veFSqHFrpaISMQ64velbwNwRVZ5mWrjPAzcMrSZQNoRKBP3GY1ip7Q&#10;TZfl8/kq6wFrhyCV95S9HS/5JuE3jZLhW9N4FVhXcuIW0onprOKZbdai2KJwrZZHGuINLIzQlpqe&#10;oG5FEGyH+h8ooyWChybMJJgMmkZLlTSQmsX8LzWPrXAqaSFzvDvZ5P8frHzYf0em65KfLS85s8LQ&#10;kJ7UENgnGNhFMqh3vqC6R0eVYaA8DTqJ9e4e5A/PLNy0wm7VNSL0rRI1EVxEa7NXT+NIfOEjSNV/&#10;hZr6iF2ABDQ0aKJ75AcjdBrU4TScyEVS8ny5yvPFkjNJdx9X+SXFsYUoptcOffiswLAYlBxp+Ald&#10;7O99GEunktjMwp3uurQAnf0jQZgxk9hHwiP1MFTD6NT5Wewc5VRQH0gQwrhY9CNQ0AL+4qynpSq5&#10;/7kTqDjrvlgyJW7gFOAUVFMgrKSnJQ+cjeFNGDd151BvW0IebbdwTcY1Oml6YXEkTIuSXDkuddzE&#10;19+p6uXX2/wG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CKpDWfABAADCAwAADgAAAAAAAAAAAAAAAAAuAgAAZHJzL2Uy&#10;b0RvYy54bWxQSwECLQAUAAYACAAAACEAOwbrv94AAAALAQAADwAAAAAAAAAAAAAAAABKBAAAZHJz&#10;L2Rvd25yZXYueG1sUEsFBgAAAAAEAAQA8wAAAFUFAAAAAA==&#10;" filled="f" stroked="f">
                <v:textbox inset="0,0,0,0">
                  <w:txbxContent>
                    <w:p w14:paraId="531CFB84" w14:textId="77777777" w:rsidR="00490F33" w:rsidRDefault="00490F33">
                      <w:pPr>
                        <w:textAlignment w:val="baseline"/>
                      </w:pPr>
                      <w:r>
                        <w:rPr>
                          <w:noProof/>
                          <w:lang w:val="en-AU" w:eastAsia="en-AU"/>
                        </w:rPr>
                        <w:drawing>
                          <wp:inline distT="0" distB="0" distL="0" distR="0" wp14:anchorId="1C1A0CDF" wp14:editId="2E6C8534">
                            <wp:extent cx="7562215" cy="462915"/>
                            <wp:effectExtent l="0" t="0" r="0" b="0"/>
                            <wp:docPr id="226" name="Picture"/>
                            <wp:cNvGraphicFramePr/>
                            <a:graphic xmlns:a="http://schemas.openxmlformats.org/drawingml/2006/main">
                              <a:graphicData uri="http://schemas.openxmlformats.org/drawingml/2006/picture">
                                <pic:pic xmlns:pic="http://schemas.openxmlformats.org/drawingml/2006/picture">
                                  <pic:nvPicPr>
                                    <pic:cNvPr id="226" name="Picture"/>
                                    <pic:cNvPicPr preferRelativeResize="0"/>
                                  </pic:nvPicPr>
                                  <pic:blipFill>
                                    <a:blip r:embed="rId21"/>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4DB151F7" w14:textId="77777777" w:rsidR="009757A9" w:rsidRDefault="009757A9">
      <w:pPr>
        <w:sectPr w:rsidR="009757A9">
          <w:pgSz w:w="11909" w:h="16838"/>
          <w:pgMar w:top="832" w:right="0" w:bottom="0" w:left="0" w:header="720" w:footer="720" w:gutter="0"/>
          <w:cols w:space="720"/>
        </w:sectPr>
      </w:pPr>
    </w:p>
    <w:p w14:paraId="26A247E0" w14:textId="77777777" w:rsidR="009757A9" w:rsidRDefault="00083242">
      <w:pPr>
        <w:spacing w:before="20" w:line="220" w:lineRule="exact"/>
        <w:ind w:left="864"/>
        <w:textAlignment w:val="baseline"/>
        <w:rPr>
          <w:rFonts w:ascii="Tahoma" w:eastAsia="Tahoma" w:hAnsi="Tahoma"/>
          <w:color w:val="404042"/>
          <w:spacing w:val="4"/>
          <w:sz w:val="18"/>
        </w:rPr>
      </w:pPr>
      <w:r>
        <w:rPr>
          <w:rFonts w:ascii="Tahoma" w:eastAsia="Tahoma" w:hAnsi="Tahoma"/>
          <w:color w:val="404042"/>
          <w:spacing w:val="4"/>
          <w:sz w:val="18"/>
        </w:rPr>
        <w:lastRenderedPageBreak/>
        <w:t>It is our view that this approach, adapted to the Australian context, would be of value. Its methodology could be</w:t>
      </w:r>
    </w:p>
    <w:p w14:paraId="3AAC195E"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extended beyond those with disability to all student groups at risk of not making successful transitions. We see value in applying its evidence-based approach to a new national Transition from School Program.</w:t>
      </w:r>
    </w:p>
    <w:p w14:paraId="7755FF71" w14:textId="77777777" w:rsidR="009757A9" w:rsidRDefault="00083242">
      <w:pPr>
        <w:spacing w:before="188" w:line="220" w:lineRule="exact"/>
        <w:ind w:left="864"/>
        <w:textAlignment w:val="baseline"/>
        <w:rPr>
          <w:rFonts w:ascii="Tahoma" w:eastAsia="Tahoma" w:hAnsi="Tahoma"/>
          <w:color w:val="404042"/>
          <w:spacing w:val="4"/>
          <w:sz w:val="18"/>
        </w:rPr>
      </w:pPr>
      <w:r>
        <w:rPr>
          <w:rFonts w:ascii="Tahoma" w:eastAsia="Tahoma" w:hAnsi="Tahoma"/>
          <w:color w:val="404042"/>
          <w:spacing w:val="4"/>
          <w:sz w:val="18"/>
        </w:rPr>
        <w:t>The program could:</w:t>
      </w:r>
    </w:p>
    <w:p w14:paraId="39357927" w14:textId="77777777" w:rsidR="009757A9" w:rsidRDefault="00083242">
      <w:pPr>
        <w:numPr>
          <w:ilvl w:val="0"/>
          <w:numId w:val="6"/>
        </w:numPr>
        <w:tabs>
          <w:tab w:val="clear" w:pos="216"/>
          <w:tab w:val="left" w:pos="1080"/>
        </w:tabs>
        <w:spacing w:before="86" w:line="240" w:lineRule="exact"/>
        <w:ind w:left="1080" w:right="1080" w:hanging="216"/>
        <w:textAlignment w:val="baseline"/>
        <w:rPr>
          <w:rFonts w:ascii="Tahoma" w:eastAsia="Tahoma" w:hAnsi="Tahoma"/>
          <w:color w:val="404042"/>
          <w:sz w:val="18"/>
        </w:rPr>
      </w:pPr>
      <w:r>
        <w:rPr>
          <w:rFonts w:ascii="Tahoma" w:eastAsia="Tahoma" w:hAnsi="Tahoma"/>
          <w:color w:val="404042"/>
          <w:sz w:val="18"/>
        </w:rPr>
        <w:t>identify best practice approaches to career guidance and post-school transition support for students at risk of not making successful transitions from school into employment</w:t>
      </w:r>
    </w:p>
    <w:p w14:paraId="5375A49C" w14:textId="77777777" w:rsidR="009757A9" w:rsidRDefault="00083242">
      <w:pPr>
        <w:numPr>
          <w:ilvl w:val="0"/>
          <w:numId w:val="6"/>
        </w:numPr>
        <w:tabs>
          <w:tab w:val="clear" w:pos="216"/>
          <w:tab w:val="left" w:pos="1080"/>
        </w:tabs>
        <w:spacing w:before="87" w:line="240" w:lineRule="exact"/>
        <w:ind w:left="1080" w:right="1224" w:hanging="216"/>
        <w:textAlignment w:val="baseline"/>
        <w:rPr>
          <w:rFonts w:ascii="Tahoma" w:eastAsia="Tahoma" w:hAnsi="Tahoma"/>
          <w:color w:val="404042"/>
          <w:sz w:val="18"/>
        </w:rPr>
      </w:pPr>
      <w:r>
        <w:rPr>
          <w:rFonts w:ascii="Tahoma" w:eastAsia="Tahoma" w:hAnsi="Tahoma"/>
          <w:color w:val="404042"/>
          <w:sz w:val="18"/>
        </w:rPr>
        <w:t>produce evidence-based guidance and resources for educators, schools, students, families, careers advisers and employers to get the maximum benefit from their senior secondary education</w:t>
      </w:r>
    </w:p>
    <w:p w14:paraId="6338CD89" w14:textId="77777777"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undertake behavioural research on the aspirations, decisions and choices of students facing disadvantage</w:t>
      </w:r>
    </w:p>
    <w:p w14:paraId="1531EAF2" w14:textId="77777777" w:rsidR="009757A9" w:rsidRDefault="00083242">
      <w:pPr>
        <w:numPr>
          <w:ilvl w:val="0"/>
          <w:numId w:val="6"/>
        </w:numPr>
        <w:tabs>
          <w:tab w:val="clear" w:pos="216"/>
          <w:tab w:val="left" w:pos="1080"/>
        </w:tabs>
        <w:spacing w:before="101"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work with local regions and communities to explore place-based approaches to addressing disadvantage</w:t>
      </w:r>
    </w:p>
    <w:p w14:paraId="370F0827" w14:textId="77777777"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fund and evaluate demonstration transition projects with the aim of scaling up successful approaches.</w:t>
      </w:r>
    </w:p>
    <w:p w14:paraId="56B88986" w14:textId="77777777" w:rsidR="009757A9" w:rsidRDefault="00083242">
      <w:pPr>
        <w:spacing w:before="188"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Young people experiencing difficulty transitioning into work or further education once they have left school may be</w:t>
      </w:r>
    </w:p>
    <w:p w14:paraId="0080ACDB" w14:textId="4F8DF79A" w:rsidR="009757A9" w:rsidRDefault="005B7DC9">
      <w:pPr>
        <w:spacing w:after="441" w:line="240" w:lineRule="exact"/>
        <w:ind w:left="864" w:right="864"/>
        <w:textAlignment w:val="baseline"/>
        <w:rPr>
          <w:rFonts w:ascii="Tahoma" w:eastAsia="Tahoma" w:hAnsi="Tahoma"/>
          <w:color w:val="404042"/>
          <w:sz w:val="18"/>
        </w:rPr>
      </w:pPr>
      <w:r>
        <w:rPr>
          <w:noProof/>
          <w:lang w:val="en-AU" w:eastAsia="en-AU"/>
        </w:rPr>
        <mc:AlternateContent>
          <mc:Choice Requires="wps">
            <w:drawing>
              <wp:anchor distT="0" distB="317500" distL="545465" distR="536575" simplePos="0" relativeHeight="252099072" behindDoc="1" locked="0" layoutInCell="1" allowOverlap="1" wp14:anchorId="2744B6EB" wp14:editId="2B5BB5B8">
                <wp:simplePos x="0" y="0"/>
                <wp:positionH relativeFrom="margin">
                  <wp:align>center</wp:align>
                </wp:positionH>
                <wp:positionV relativeFrom="page">
                  <wp:posOffset>3602990</wp:posOffset>
                </wp:positionV>
                <wp:extent cx="6480175" cy="1239520"/>
                <wp:effectExtent l="0" t="0" r="15875" b="17780"/>
                <wp:wrapNone/>
                <wp:docPr id="107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239520"/>
                        </a:xfrm>
                        <a:prstGeom prst="rect">
                          <a:avLst/>
                        </a:prstGeom>
                        <a:solidFill>
                          <a:srgbClr val="DFE6EB"/>
                        </a:solidFill>
                        <a:ln w="9525">
                          <a:solidFill>
                            <a:schemeClr val="accent1">
                              <a:lumMod val="50000"/>
                            </a:schemeClr>
                          </a:solidFill>
                          <a:miter lim="800000"/>
                          <a:headEnd/>
                          <a:tailEnd/>
                        </a:ln>
                      </wps:spPr>
                      <wps:txbx>
                        <w:txbxContent>
                          <w:p w14:paraId="238F123C" w14:textId="77777777" w:rsidR="00490F33" w:rsidRDefault="00490F33" w:rsidP="005B7D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4B6EB" id="_x0000_s1400" type="#_x0000_t202" style="position:absolute;left:0;text-align:left;margin-left:0;margin-top:283.7pt;width:510.25pt;height:97.6pt;z-index:-251217408;visibility:visible;mso-wrap-style:square;mso-width-percent:0;mso-height-percent:0;mso-wrap-distance-left:42.95pt;mso-wrap-distance-top:0;mso-wrap-distance-right:42.25pt;mso-wrap-distance-bottom:25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tmRAIAAHYEAAAOAAAAZHJzL2Uyb0RvYy54bWysVNtu2zAMfR+wfxD0vthJmzQ14hRtLsOA&#10;7gK0+wBFlmNhkqhJSuzs60fJcdZ2b8P8IFASeUSeQ3px12lFjsJ5Caak41FOiTAcKmn2Jf3+vP0w&#10;p8QHZiqmwIiSnoSnd8v37xatLcQEGlCVcARBjC9aW9ImBFtkmeeN0MyPwAqDlzU4zQJu3T6rHGsR&#10;XatskuezrAVXWQdceI+n6/6SLhN+XQsevta1F4GokmJuIa0urbu4ZssFK/aO2UbycxrsH7LQTBp8&#10;9AK1ZoGRg5N/QWnJHXiow4iDzqCuJRepBqxmnL+p5qlhVqRakBxvLzT5/wfLvxy/OSIr1C6/mVBi&#10;mEaVnkUXyAN0ZDy5jRS11hfo+WTRN3R4ge6pXG8fgf/wxMCqYWYv7p2DthGswhTHMTJ7Edrj+Aiy&#10;az9DhQ+xQ4AE1NVOR/6QEYLoKNXpIk9MhuPh7Hqej2+mlHC8G0+ubqeTJGDGiiHcOh8+CtAkGiV1&#10;qH+CZ8dHH2I6rBhc4mselKy2Uqm0cfvdSjlyZNgr6+1mtnlIFbxxU4a0JcW3pz0DryBi24oLCONc&#10;mNAzpQ4aS+7Bpzl+A/YQkpJ7lZCWAWdDSV3SeYw4d2ukd2Oq1LmBSdXbWJkyZ74jxT3Zodt1Sd2r&#10;m+tByB1UJ5TAQT8MOLxoNOB+UdLiIJTU/zwwJyhRnwzKGKdmMNxg7AaDGY6hJQ2U9OYq9NN1sE7u&#10;G0Tuyzdwj1LXMokQe6LP4pwwNncq/zyIcXpe7pPXn9/F8jcAAAD//wMAUEsDBBQABgAIAAAAIQBd&#10;oP4E3wAAAAkBAAAPAAAAZHJzL2Rvd25yZXYueG1sTI/NTsMwEITvSLyDtUjcqE1EUxSyqSg/B8Sl&#10;hF56c+MliRqvo9hNAk+Pe4LjaEYz3+Tr2XZipMG3jhFuFwoEceVMyzXC7vP15h6ED5qN7hwTwjd5&#10;WBeXF7nOjJv4g8Yy1CKWsM80QhNCn0npq4as9gvXE0fvyw1WhyiHWppBT7HcdjJRKpVWtxwXGt3T&#10;U0PVsTxZBO633UTt815u3qrNT/kyHt/diHh9NT8+gAg0h78wnPEjOhSR6eBObLzoEOKRgLBMV3cg&#10;zrZK1BLEAWGVJinIIpf/HxS/AAAA//8DAFBLAQItABQABgAIAAAAIQC2gziS/gAAAOEBAAATAAAA&#10;AAAAAAAAAAAAAAAAAABbQ29udGVudF9UeXBlc10ueG1sUEsBAi0AFAAGAAgAAAAhADj9If/WAAAA&#10;lAEAAAsAAAAAAAAAAAAAAAAALwEAAF9yZWxzLy5yZWxzUEsBAi0AFAAGAAgAAAAhAAipi2ZEAgAA&#10;dgQAAA4AAAAAAAAAAAAAAAAALgIAAGRycy9lMm9Eb2MueG1sUEsBAi0AFAAGAAgAAAAhAF2g/gTf&#10;AAAACQEAAA8AAAAAAAAAAAAAAAAAngQAAGRycy9kb3ducmV2LnhtbFBLBQYAAAAABAAEAPMAAACq&#10;BQAAAAA=&#10;" fillcolor="#dfe6eb" strokecolor="#1f4d78 [1604]">
                <v:textbox inset="0,0,0,0">
                  <w:txbxContent>
                    <w:p w14:paraId="238F123C" w14:textId="77777777" w:rsidR="00490F33" w:rsidRDefault="00490F33" w:rsidP="005B7DC9"/>
                  </w:txbxContent>
                </v:textbox>
                <w10:wrap anchorx="margin" anchory="page"/>
              </v:shape>
            </w:pict>
          </mc:Fallback>
        </mc:AlternateContent>
      </w:r>
      <w:r w:rsidR="00083242">
        <w:rPr>
          <w:rFonts w:ascii="Tahoma" w:eastAsia="Tahoma" w:hAnsi="Tahoma"/>
          <w:color w:val="404042"/>
          <w:sz w:val="18"/>
        </w:rPr>
        <w:t>assisted by programs that provide support and advice to students in the year after they leave school. These, too, should be actively trialled and evaluated with the intention of identifying successful and cost-effective interventions.</w:t>
      </w:r>
    </w:p>
    <w:p w14:paraId="14609E26" w14:textId="754412BB" w:rsidR="005B7DC9" w:rsidRDefault="005B7DC9">
      <w:pPr>
        <w:spacing w:after="441" w:line="240" w:lineRule="exact"/>
        <w:ind w:left="864" w:right="864"/>
        <w:textAlignment w:val="baseline"/>
        <w:rPr>
          <w:rFonts w:ascii="Tahoma" w:eastAsia="Tahoma" w:hAnsi="Tahoma"/>
          <w:color w:val="404042"/>
          <w:sz w:val="18"/>
        </w:rPr>
      </w:pPr>
    </w:p>
    <w:p w14:paraId="4F8F8366" w14:textId="4FB0B672" w:rsidR="005B7DC9" w:rsidRDefault="005B7DC9">
      <w:pPr>
        <w:spacing w:after="441" w:line="240" w:lineRule="exact"/>
        <w:ind w:left="864" w:right="864"/>
        <w:textAlignment w:val="baseline"/>
        <w:rPr>
          <w:rFonts w:ascii="Tahoma" w:eastAsia="Tahoma" w:hAnsi="Tahoma"/>
          <w:color w:val="404042"/>
          <w:sz w:val="18"/>
        </w:rPr>
      </w:pPr>
    </w:p>
    <w:p w14:paraId="51E45BBF" w14:textId="77777777" w:rsidR="005B7DC9" w:rsidRDefault="005B7DC9">
      <w:pPr>
        <w:spacing w:after="441" w:line="240" w:lineRule="exact"/>
        <w:ind w:left="864" w:right="864"/>
        <w:textAlignment w:val="baseline"/>
        <w:rPr>
          <w:rFonts w:ascii="Tahoma" w:eastAsia="Tahoma" w:hAnsi="Tahoma"/>
          <w:color w:val="404042"/>
          <w:sz w:val="18"/>
        </w:rPr>
      </w:pPr>
    </w:p>
    <w:p w14:paraId="437D8460" w14:textId="77777777" w:rsidR="005B7DC9" w:rsidRDefault="005B7DC9">
      <w:pPr>
        <w:spacing w:before="2" w:line="215" w:lineRule="exact"/>
        <w:ind w:left="864"/>
        <w:textAlignment w:val="baseline"/>
        <w:rPr>
          <w:rFonts w:ascii="Arial" w:eastAsia="Arial" w:hAnsi="Arial"/>
          <w:i/>
          <w:color w:val="007896"/>
          <w:spacing w:val="1"/>
          <w:sz w:val="18"/>
        </w:rPr>
      </w:pPr>
    </w:p>
    <w:p w14:paraId="6373F27F" w14:textId="78572D9B"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mc:AlternateContent>
          <mc:Choice Requires="wps">
            <w:drawing>
              <wp:anchor distT="0" distB="0" distL="0" distR="0" simplePos="0" relativeHeight="251741696" behindDoc="1" locked="0" layoutInCell="1" allowOverlap="1" wp14:anchorId="4049FAFB" wp14:editId="0333AF21">
                <wp:simplePos x="0" y="0"/>
                <wp:positionH relativeFrom="page">
                  <wp:posOffset>591820</wp:posOffset>
                </wp:positionH>
                <wp:positionV relativeFrom="page">
                  <wp:posOffset>3593465</wp:posOffset>
                </wp:positionV>
                <wp:extent cx="6388100" cy="247015"/>
                <wp:effectExtent l="0" t="0" r="0" b="0"/>
                <wp:wrapSquare wrapText="bothSides"/>
                <wp:docPr id="35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3DACC" w14:textId="6ACF6A7F" w:rsidR="00490F33" w:rsidRDefault="00490F33">
                            <w:pPr>
                              <w:spacing w:before="4" w:after="134" w:line="231" w:lineRule="exact"/>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9FAFB" id="Text Box 78" o:spid="_x0000_s1401" type="#_x0000_t202" style="position:absolute;left:0;text-align:left;margin-left:46.6pt;margin-top:282.95pt;width:503pt;height:19.45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MrL7wEAAMIDAAAOAAAAZHJzL2Uyb0RvYy54bWysU8Fu2zAMvQ/YPwi6L3bStQmMOEXXosOA&#10;bh3Q7gMYWY6F2aJGKbGzrx8lx2m33YZdBJqiHt97pNfXQ9eKgyZv0JZyPsul0FZhZeyulN+e79+t&#10;pPABbAUtWl3Ko/byevP2zbp3hV5gg22lSTCI9UXvStmE4Ios86rRHfgZOm35skbqIPAn7bKKoGf0&#10;rs0WeX6V9UiVI1Tae87ejZdyk/DrWqvwWNdeB9GWkrmFdFI6t/HMNmsodgSuMepEA/6BRQfGctMz&#10;1B0EEHsyf0F1RhF6rMNMYZdhXRulkwZWM8//UPPUgNNJC5vj3dkm//9g1ZfDVxKmKuXF5VIKCx0P&#10;6VkPQXzAQSxX0aDe+YLrnhxXhoHzPOgk1rsHVN+9sHjbgN3pGyLsGw0VE5zHl9mrpyOOjyDb/jNW&#10;3Af2ARPQUFMX3WM/BKPzoI7n4UQuipNXF6vVPOcrxXeL98t8fplaQDG9duTDR42diEEpiYef0OHw&#10;4ENkA8VUEptZvDdtmxagtb8luDBmEvtIeKQehu0wOrVMnaO2LVZHFkQ4Lhb/CBw0SD+l6HmpSul/&#10;7IG0FO0ny6bEDZwCmoLtFIBV/LSUQYoxvA3jpu4dmV3DyKPtFm/YuNokTS8sToR5UZLU01LHTXz9&#10;napefr3NLwAAAP//AwBQSwMEFAAGAAgAAAAhAHO+FifgAAAACwEAAA8AAABkcnMvZG93bnJldi54&#10;bWxMj8FOwzAMhu9IvENkJG4sYbBqKXWnCcEJCdGVA8e0ydpojVOabCtvT3aCo+1Pv7+/2MxuYCcz&#10;BesJ4X4hgBlqvbbUIXzWr3drYCEq0mrwZBB+TIBNeX1VqFz7M1XmtIsdSyEUcoXQxzjmnIe2N06F&#10;hR8NpdveT07FNE4d15M6p3A38KUQGXfKUvrQq9E896Y97I4OYftF1Yv9fm8+qn1l61oKessOiLc3&#10;8/YJWDRz/IPhop/UoUxOjT+SDmxAkA/LRCKsspUEdgGElGnVIGTicQ28LPj/DuUvAAAA//8DAFBL&#10;AQItABQABgAIAAAAIQC2gziS/gAAAOEBAAATAAAAAAAAAAAAAAAAAAAAAABbQ29udGVudF9UeXBl&#10;c10ueG1sUEsBAi0AFAAGAAgAAAAhADj9If/WAAAAlAEAAAsAAAAAAAAAAAAAAAAALwEAAF9yZWxz&#10;Ly5yZWxzUEsBAi0AFAAGAAgAAAAhAKLYysvvAQAAwgMAAA4AAAAAAAAAAAAAAAAALgIAAGRycy9l&#10;Mm9Eb2MueG1sUEsBAi0AFAAGAAgAAAAhAHO+FifgAAAACwEAAA8AAAAAAAAAAAAAAAAASQQAAGRy&#10;cy9kb3ducmV2LnhtbFBLBQYAAAAABAAEAPMAAABWBQAAAAA=&#10;" filled="f" stroked="f">
                <v:textbox inset="0,0,0,0">
                  <w:txbxContent>
                    <w:p w14:paraId="3AE3DACC" w14:textId="6ACF6A7F" w:rsidR="00490F33" w:rsidRDefault="00490F33">
                      <w:pPr>
                        <w:spacing w:before="4" w:after="134" w:line="231" w:lineRule="exact"/>
                        <w:textAlignment w:val="baseline"/>
                      </w:pP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42720" behindDoc="1" locked="0" layoutInCell="1" allowOverlap="1" wp14:anchorId="1592156D" wp14:editId="204CB95C">
                <wp:simplePos x="0" y="0"/>
                <wp:positionH relativeFrom="page">
                  <wp:posOffset>591820</wp:posOffset>
                </wp:positionH>
                <wp:positionV relativeFrom="page">
                  <wp:posOffset>3840480</wp:posOffset>
                </wp:positionV>
                <wp:extent cx="6388100" cy="841375"/>
                <wp:effectExtent l="0" t="0" r="0" b="0"/>
                <wp:wrapSquare wrapText="bothSides"/>
                <wp:docPr id="35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A125"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18</w:t>
                            </w:r>
                          </w:p>
                          <w:p w14:paraId="71B8CB80" w14:textId="77777777" w:rsidR="00490F33" w:rsidRDefault="00490F33">
                            <w:pPr>
                              <w:spacing w:before="159" w:after="158" w:line="240" w:lineRule="exact"/>
                              <w:ind w:left="504" w:right="648"/>
                              <w:textAlignment w:val="baseline"/>
                              <w:rPr>
                                <w:rFonts w:ascii="Tahoma" w:eastAsia="Tahoma" w:hAnsi="Tahoma"/>
                                <w:color w:val="404042"/>
                                <w:sz w:val="18"/>
                              </w:rPr>
                            </w:pPr>
                            <w:r>
                              <w:rPr>
                                <w:rFonts w:ascii="Tahoma" w:eastAsia="Tahoma" w:hAnsi="Tahoma"/>
                                <w:color w:val="404042"/>
                                <w:sz w:val="18"/>
                              </w:rPr>
                              <w:t>Education Council should establish a national Transition from School Program that, through a range of collaborative demonstration projects, would trial and evaluate new approaches to supporting vulnerable and at-risk students as they prepare to leave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2156D" id="Text Box 77" o:spid="_x0000_s1402" type="#_x0000_t202" style="position:absolute;left:0;text-align:left;margin-left:46.6pt;margin-top:302.4pt;width:503pt;height:66.25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bA8AEAAMIDAAAOAAAAZHJzL2Uyb0RvYy54bWysU9tu2zAMfR+wfxD0vjhp1iQw4hRdiw4D&#10;ugvQ7gNoWY6F2aJGKbGzrx8lx1m3vQ17ESiSOjw8pLY3Q9eKoyZv0BZyMZtLoa3Cyth9Ib8+P7zZ&#10;SOED2ApatLqQJ+3lze71q23vcn2FDbaVJsEg1ue9K2QTgsuzzKtGd+Bn6LTlYI3UQeAr7bOKoGf0&#10;rs2u5vNV1iNVjlBp79l7PwblLuHXtVbhc117HURbSOYW0knpLOOZ7baQ7wlcY9SZBvwDiw6M5aIX&#10;qHsIIA5k/oLqjCL0WIeZwi7DujZKpx64m8X8j26eGnA69cLieHeRyf8/WPXp+IWEqQq5vF5JYaHj&#10;IT3rIYh3OIj1OgrUO59z3pPjzDCwnwedmvXuEdU3LyzeNWD3+pYI+0ZDxQQX8WX24umI4yNI2X/E&#10;iuvAIWACGmrqonqsh2B0HtTpMpzIRbFztdxsFnMOKY5t3i6W6+tUAvLptSMf3mvsRDQKSTz8hA7H&#10;Rx8iG8inlFjM4oNp27QArf3NwYnRk9hHwiP1MJTDqNR6NclSYnXihgjHxeKPwEaD9EOKnpeqkP77&#10;AUhL0X6wLErcwMmgySgnA6zip4UMUozmXRg39eDI7BtGHmW3eMvC1Sb1FBUeWZwJ86KkVs9LHTfx&#10;5T1l/fp6u58AAAD//wMAUEsDBBQABgAIAAAAIQBPrk874AAAAAsBAAAPAAAAZHJzL2Rvd25yZXYu&#10;eG1sTI/BTsMwDIbvSLxDZCRuLGFFHe2aThOCExKiK4cd08ZrozVOabKtvD3ZCY62P/3+/mIz24Gd&#10;cfLGkYTHhQCG1DptqJPwVb89PAPzQZFWgyOU8IMeNuXtTaFy7S5U4XkXOhZDyOdKQh/CmHPu2x6t&#10;8gs3IsXbwU1WhThOHdeTusRwO/ClECm3ylD80KsRX3psj7uTlbDdU/Vqvj+az+pQmbrOBL2nRynv&#10;7+btGljAOfzBcNWP6lBGp8adSHs2SMiSZSQlpOIpVrgCIsviqpGwSlYJ8LLg/zuUvwAAAP//AwBQ&#10;SwECLQAUAAYACAAAACEAtoM4kv4AAADhAQAAEwAAAAAAAAAAAAAAAAAAAAAAW0NvbnRlbnRfVHlw&#10;ZXNdLnhtbFBLAQItABQABgAIAAAAIQA4/SH/1gAAAJQBAAALAAAAAAAAAAAAAAAAAC8BAABfcmVs&#10;cy8ucmVsc1BLAQItABQABgAIAAAAIQDUqabA8AEAAMIDAAAOAAAAAAAAAAAAAAAAAC4CAABkcnMv&#10;ZTJvRG9jLnhtbFBLAQItABQABgAIAAAAIQBPrk874AAAAAsBAAAPAAAAAAAAAAAAAAAAAEoEAABk&#10;cnMvZG93bnJldi54bWxQSwUGAAAAAAQABADzAAAAVwUAAAAA&#10;" filled="f" stroked="f">
                <v:textbox inset="0,0,0,0">
                  <w:txbxContent>
                    <w:p w14:paraId="043EA125"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18</w:t>
                      </w:r>
                    </w:p>
                    <w:p w14:paraId="71B8CB80" w14:textId="77777777" w:rsidR="00490F33" w:rsidRDefault="00490F33">
                      <w:pPr>
                        <w:spacing w:before="159" w:after="158" w:line="240" w:lineRule="exact"/>
                        <w:ind w:left="504" w:right="648"/>
                        <w:textAlignment w:val="baseline"/>
                        <w:rPr>
                          <w:rFonts w:ascii="Tahoma" w:eastAsia="Tahoma" w:hAnsi="Tahoma"/>
                          <w:color w:val="404042"/>
                          <w:sz w:val="18"/>
                        </w:rPr>
                      </w:pPr>
                      <w:r>
                        <w:rPr>
                          <w:rFonts w:ascii="Tahoma" w:eastAsia="Tahoma" w:hAnsi="Tahoma"/>
                          <w:color w:val="404042"/>
                          <w:sz w:val="18"/>
                        </w:rPr>
                        <w:t>Education Council should establish a national Transition from School Program that, through a range of collaborative demonstration projects, would trial and evaluate new approaches to supporting vulnerable and at-risk students as they prepare to leave school.</w:t>
                      </w:r>
                    </w:p>
                  </w:txbxContent>
                </v:textbox>
                <w10:wrap type="square" anchorx="page" anchory="page"/>
              </v:shape>
            </w:pict>
          </mc:Fallback>
        </mc:AlternateContent>
      </w:r>
      <w:r w:rsidR="00083242">
        <w:rPr>
          <w:rFonts w:ascii="Arial" w:eastAsia="Arial" w:hAnsi="Arial"/>
          <w:i/>
          <w:color w:val="007896"/>
          <w:spacing w:val="1"/>
          <w:sz w:val="18"/>
        </w:rPr>
        <w:t>Implementation guidance</w:t>
      </w:r>
    </w:p>
    <w:p w14:paraId="722AE107" w14:textId="77777777" w:rsidR="009757A9" w:rsidRDefault="00083242">
      <w:pPr>
        <w:spacing w:before="162" w:line="240" w:lineRule="exact"/>
        <w:ind w:left="864" w:right="1008"/>
        <w:textAlignment w:val="baseline"/>
        <w:rPr>
          <w:rFonts w:ascii="Tahoma" w:eastAsia="Tahoma" w:hAnsi="Tahoma"/>
          <w:color w:val="404042"/>
          <w:sz w:val="18"/>
        </w:rPr>
      </w:pPr>
      <w:r>
        <w:rPr>
          <w:rFonts w:ascii="Tahoma" w:eastAsia="Tahoma" w:hAnsi="Tahoma"/>
          <w:color w:val="404042"/>
          <w:sz w:val="18"/>
        </w:rPr>
        <w:t>The Panel does not seek to create yet another bureaucratic institution. Rather, we recommend the establishment of a national transition demonstration program that can bring together evidence on approaches and advice on effective ways to assist disadvantaged students.</w:t>
      </w:r>
    </w:p>
    <w:p w14:paraId="7207CE9D"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The program should be funded and overseen by the COAG Education Council and its senior officials. It would promote collaborative initiatives that are piloted and trialled based on context and place. Its focus would be on practical on-the-ground solutions, both at school and in ‘Year 13’.</w:t>
      </w:r>
    </w:p>
    <w:p w14:paraId="308E4DA7" w14:textId="77777777" w:rsidR="009757A9" w:rsidRDefault="00083242">
      <w:pPr>
        <w:spacing w:before="193"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The program could operate similarly to the Safe and Supportive School Communities Working Group of the COAG</w:t>
      </w:r>
    </w:p>
    <w:p w14:paraId="5E45D9CE"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Education Council, in which one jurisdiction takes responsibility for the work on behalf of and in consultation with other members and provides progressive reports to Education Council. It should seek to develop and share good practice.</w:t>
      </w:r>
    </w:p>
    <w:p w14:paraId="38C1A162" w14:textId="77777777" w:rsidR="009757A9" w:rsidRDefault="00083242">
      <w:pPr>
        <w:spacing w:before="168" w:after="3149"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Implementation would take into consideration the purpose and agreed roles of the National Careers Institute and the proposed National Evidence Institute. It would benefit from a codesign process with educators and, most importantly, with community organisations that advocate for particular disadvantaged groups. Evidence needs to reflect experience. Both need to be subject to evaluation.</w:t>
      </w:r>
    </w:p>
    <w:p w14:paraId="7758F581" w14:textId="77777777" w:rsidR="009757A9" w:rsidRDefault="009757A9">
      <w:pPr>
        <w:spacing w:before="168" w:after="3149" w:line="240" w:lineRule="exact"/>
        <w:sectPr w:rsidR="009757A9">
          <w:pgSz w:w="11909" w:h="16838"/>
          <w:pgMar w:top="1080" w:right="0" w:bottom="0" w:left="0" w:header="720" w:footer="720" w:gutter="0"/>
          <w:cols w:space="720"/>
        </w:sectPr>
      </w:pPr>
    </w:p>
    <w:p w14:paraId="2ACF4BF4" w14:textId="77777777" w:rsidR="009757A9" w:rsidRDefault="00083242">
      <w:pPr>
        <w:spacing w:after="641" w:line="192" w:lineRule="exact"/>
        <w:ind w:left="6192"/>
        <w:textAlignment w:val="baseline"/>
        <w:rPr>
          <w:rFonts w:ascii="Tahoma" w:eastAsia="Tahoma" w:hAnsi="Tahoma"/>
          <w:color w:val="404042"/>
          <w:spacing w:val="6"/>
          <w:sz w:val="14"/>
        </w:rPr>
      </w:pPr>
      <w:r>
        <w:rPr>
          <w:rFonts w:ascii="Tahoma" w:eastAsia="Tahoma" w:hAnsi="Tahoma"/>
          <w:color w:val="404042"/>
          <w:spacing w:val="6"/>
          <w:sz w:val="14"/>
        </w:rPr>
        <w:t>Chapter 6: Ensuring all students have an equal chance of success</w:t>
      </w:r>
      <w:r>
        <w:rPr>
          <w:rFonts w:ascii="Arial" w:eastAsia="Arial" w:hAnsi="Arial"/>
          <w:b/>
          <w:color w:val="5556A1"/>
          <w:spacing w:val="6"/>
          <w:sz w:val="18"/>
        </w:rPr>
        <w:t xml:space="preserve"> 137</w:t>
      </w:r>
    </w:p>
    <w:p w14:paraId="6DA18D4E" w14:textId="77777777" w:rsidR="009757A9" w:rsidRDefault="00083242">
      <w:pPr>
        <w:textAlignment w:val="baseline"/>
      </w:pPr>
      <w:r>
        <w:rPr>
          <w:noProof/>
          <w:lang w:val="en-AU" w:eastAsia="en-AU"/>
        </w:rPr>
        <w:drawing>
          <wp:anchor distT="0" distB="0" distL="114300" distR="114300" simplePos="0" relativeHeight="252100096" behindDoc="1" locked="0" layoutInCell="1" allowOverlap="1" wp14:anchorId="0F044F57" wp14:editId="42A1EC22">
            <wp:simplePos x="0" y="0"/>
            <wp:positionH relativeFrom="margin">
              <wp:align>right</wp:align>
            </wp:positionH>
            <wp:positionV relativeFrom="paragraph">
              <wp:posOffset>118110</wp:posOffset>
            </wp:positionV>
            <wp:extent cx="7562215" cy="462915"/>
            <wp:effectExtent l="0" t="0" r="635" b="0"/>
            <wp:wrapNone/>
            <wp:docPr id="229" name="Picture"/>
            <wp:cNvGraphicFramePr/>
            <a:graphic xmlns:a="http://schemas.openxmlformats.org/drawingml/2006/main">
              <a:graphicData uri="http://schemas.openxmlformats.org/drawingml/2006/picture">
                <pic:pic xmlns:pic="http://schemas.openxmlformats.org/drawingml/2006/picture">
                  <pic:nvPicPr>
                    <pic:cNvPr id="229" name="Picture"/>
                    <pic:cNvPicPr preferRelativeResize="0"/>
                  </pic:nvPicPr>
                  <pic:blipFill>
                    <a:blip r:embed="rId25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69B6D5FB" w14:textId="77777777" w:rsidR="009757A9" w:rsidRDefault="009757A9">
      <w:pPr>
        <w:sectPr w:rsidR="009757A9">
          <w:type w:val="continuous"/>
          <w:pgSz w:w="11909" w:h="16838"/>
          <w:pgMar w:top="1080" w:right="0" w:bottom="0" w:left="0" w:header="720" w:footer="720" w:gutter="0"/>
          <w:cols w:space="720"/>
        </w:sectPr>
      </w:pPr>
    </w:p>
    <w:p w14:paraId="263BE6B6"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44768" behindDoc="1" locked="0" layoutInCell="1" allowOverlap="1" wp14:anchorId="2EA2AD83" wp14:editId="31E7339D">
                <wp:simplePos x="0" y="0"/>
                <wp:positionH relativeFrom="page">
                  <wp:posOffset>0</wp:posOffset>
                </wp:positionH>
                <wp:positionV relativeFrom="page">
                  <wp:posOffset>0</wp:posOffset>
                </wp:positionV>
                <wp:extent cx="7562215" cy="10692130"/>
                <wp:effectExtent l="0" t="0" r="0" b="0"/>
                <wp:wrapSquare wrapText="bothSides"/>
                <wp:docPr id="35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D1717" w14:textId="77777777" w:rsidR="00490F33" w:rsidRDefault="00490F33">
                            <w:pPr>
                              <w:textAlignment w:val="baseline"/>
                            </w:pPr>
                            <w:r>
                              <w:rPr>
                                <w:noProof/>
                                <w:lang w:val="en-AU" w:eastAsia="en-AU"/>
                              </w:rPr>
                              <w:drawing>
                                <wp:inline distT="0" distB="0" distL="0" distR="0" wp14:anchorId="70D28658" wp14:editId="5778E48A">
                                  <wp:extent cx="7562215" cy="10692130"/>
                                  <wp:effectExtent l="0" t="0" r="0" b="0"/>
                                  <wp:docPr id="230" name="Picture"/>
                                  <wp:cNvGraphicFramePr/>
                                  <a:graphic xmlns:a="http://schemas.openxmlformats.org/drawingml/2006/main">
                                    <a:graphicData uri="http://schemas.openxmlformats.org/drawingml/2006/picture">
                                      <pic:pic xmlns:pic="http://schemas.openxmlformats.org/drawingml/2006/picture">
                                        <pic:nvPicPr>
                                          <pic:cNvPr id="230" name="Picture"/>
                                          <pic:cNvPicPr preferRelativeResize="0"/>
                                        </pic:nvPicPr>
                                        <pic:blipFill>
                                          <a:blip r:embed="rId317"/>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2AD83" id="Text Box 75" o:spid="_x0000_s1403" type="#_x0000_t202" style="position:absolute;margin-left:0;margin-top:0;width:595.45pt;height:841.9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vo8gEAAMQDAAAOAAAAZHJzL2Uyb0RvYy54bWysU9uO0zAQfUfiHyy/0zRd2kLUdLXsahHS&#10;cpF2+YCp4zQWiceM3Sbl6xk7TVngDfFijcfj4zNnjjfXQ9eKoyZv0JYyn82l0FZhZey+lF+f7l+9&#10;kcIHsBW0aHUpT9rL6+3LF5veFXqBDbaVJsEg1he9K2UTgiuyzKtGd+Bn6LTlwxqpg8Bb2mcVQc/o&#10;XZst5vNV1iNVjlBp7zl7Nx7KbcKva63C57r2Ooi2lMwtpJXSuotrtt1AsSdwjVFnGvAPLDowlh+9&#10;QN1BAHEg8xdUZxShxzrMFHYZ1rVROvXA3eTzP7p5bMDp1AuL491FJv//YNWn4xcSpirl1fK1FBY6&#10;HtKTHoJ4h4NYL6NAvfMF1z06rgwD53nQqVnvHlB988LibQN2r2+IsG80VEwwjzezZ1dHHB9Bdv1H&#10;rPgdOARMQENNXVSP9RCMzoM6XYYTuShOrperxSJfSqH4LJ+v3i7yqzS/DIrpviMf3mvsRAxKSTz+&#10;hA/HBx8iHyimkvicxXvTtskCrf0twYUxk/hHyiP5MOyGUav1ehJmh9WJWyIcrcVfgYMG6YcUPduq&#10;lP77AUhL0X6wLEv04BTQFOymAKziq6UMUozhbRi9enBk9g0jj8JbvGHpapN6ihqPLM6E2Sqp1bOt&#10;oxef71PVr8+3/Qk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DQwa+jyAQAAxAMAAA4AAAAAAAAAAAAAAAAALgIAAGRycy9l&#10;Mm9Eb2MueG1sUEsBAi0AFAAGAAgAAAAhAHsiySLdAAAABwEAAA8AAAAAAAAAAAAAAAAATAQAAGRy&#10;cy9kb3ducmV2LnhtbFBLBQYAAAAABAAEAPMAAABWBQAAAAA=&#10;" filled="f" stroked="f">
                <v:textbox inset="0,0,0,0">
                  <w:txbxContent>
                    <w:p w14:paraId="05DD1717" w14:textId="77777777" w:rsidR="00490F33" w:rsidRDefault="00490F33">
                      <w:pPr>
                        <w:textAlignment w:val="baseline"/>
                      </w:pPr>
                      <w:r>
                        <w:rPr>
                          <w:noProof/>
                          <w:lang w:val="en-AU" w:eastAsia="en-AU"/>
                        </w:rPr>
                        <w:drawing>
                          <wp:inline distT="0" distB="0" distL="0" distR="0" wp14:anchorId="70D28658" wp14:editId="5778E48A">
                            <wp:extent cx="7562215" cy="10692130"/>
                            <wp:effectExtent l="0" t="0" r="0" b="0"/>
                            <wp:docPr id="230" name="Picture"/>
                            <wp:cNvGraphicFramePr/>
                            <a:graphic xmlns:a="http://schemas.openxmlformats.org/drawingml/2006/main">
                              <a:graphicData uri="http://schemas.openxmlformats.org/drawingml/2006/picture">
                                <pic:pic xmlns:pic="http://schemas.openxmlformats.org/drawingml/2006/picture">
                                  <pic:nvPicPr>
                                    <pic:cNvPr id="230" name="Picture"/>
                                    <pic:cNvPicPr preferRelativeResize="0"/>
                                  </pic:nvPicPr>
                                  <pic:blipFill>
                                    <a:blip r:embed="rId317"/>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45792" behindDoc="1" locked="0" layoutInCell="1" allowOverlap="1" wp14:anchorId="0DB3CA48" wp14:editId="4563E121">
                <wp:simplePos x="0" y="0"/>
                <wp:positionH relativeFrom="page">
                  <wp:posOffset>545465</wp:posOffset>
                </wp:positionH>
                <wp:positionV relativeFrom="page">
                  <wp:posOffset>9692640</wp:posOffset>
                </wp:positionV>
                <wp:extent cx="1219200" cy="144780"/>
                <wp:effectExtent l="0" t="0" r="0" b="0"/>
                <wp:wrapSquare wrapText="bothSides"/>
                <wp:docPr id="35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400EE"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138</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3CA48" id="Text Box 74" o:spid="_x0000_s1404" type="#_x0000_t202" style="position:absolute;margin-left:42.95pt;margin-top:763.2pt;width:96pt;height:11.4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SE8AEAAMIDAAAOAAAAZHJzL2Uyb0RvYy54bWysU9tu2zAMfR+wfxD0vjhOsyUz4hRdiw4D&#10;ugvQ7gMYWY6F2aJGKbGzrx8lx1m3vQ17ESiKPDw8pDbXQ9eKoyZv0JYyn82l0FZhZey+lF+f7l+t&#10;pfABbAUtWl3Kk/byevvyxaZ3hV5gg22lSTCI9UXvStmE4Ios86rRHfgZOm35sUbqIPCV9llF0DN6&#10;12aL+fxN1iNVjlBp79l7Nz7KbcKva63C57r2Ooi2lMwtpJPSuYtntt1AsSdwjVFnGvAPLDowlote&#10;oO4ggDiQ+QuqM4rQYx1mCrsM69oonXrgbvL5H908NuB06oXF8e4ik/9/sOrT8QsJU5Xy6vWVFBY6&#10;HtKTHoJ4h4NYLaNAvfMFxz06jgwD+3nQqVnvHlB988LibQN2r2+IsG80VEwwj5nZs9QRx0eQXf8R&#10;K64Dh4AJaKipi+qxHoLReVCny3AiFxVLLvK3PHEpFL/ly+VqnaaXQTFlO/LhvcZORKOUxMNP6HB8&#10;8CGygWIKicUs3pu2TQvQ2t8cHBg9iX0kPFIPw24YlVqtJ1l2WJ24IcJxsfgjsNEg/ZCi56Uqpf9+&#10;ANJStB8sixI3cDJoMnaTAVZxaimDFKN5G8ZNPTgy+4aRR9kt3rBwtUk9RYVHFmfCvCip1fNSx018&#10;fk9Rv77e9icAAAD//wMAUEsDBBQABgAIAAAAIQCdEjHJ4AAAAAwBAAAPAAAAZHJzL2Rvd25yZXYu&#10;eG1sTI/BToNAEIbvJr7DZky82UXS0oIsTWP0ZGKkePC4sFMgZWeR3bb49k5Pepxv/vzzTb6d7SDO&#10;OPnekYLHRQQCqXGmp1bBZ/X6sAHhgyajB0eo4Ac9bIvbm1xnxl2oxPM+tIJLyGdaQRfCmEnpmw6t&#10;9gs3IvHu4CarA49TK82kL1xuBxlHUSKt7okvdHrE5w6b4/5kFey+qHzpv9/rj/JQ9lWVRvSWHJW6&#10;v5t3TyACzuEvDFd9VoeCnWp3IuPFoGCzSjnJfBUnSxCciNdrRvUVLdMYZJHL/08UvwAAAP//AwBQ&#10;SwECLQAUAAYACAAAACEAtoM4kv4AAADhAQAAEwAAAAAAAAAAAAAAAAAAAAAAW0NvbnRlbnRfVHlw&#10;ZXNdLnhtbFBLAQItABQABgAIAAAAIQA4/SH/1gAAAJQBAAALAAAAAAAAAAAAAAAAAC8BAABfcmVs&#10;cy8ucmVsc1BLAQItABQABgAIAAAAIQBWgnSE8AEAAMIDAAAOAAAAAAAAAAAAAAAAAC4CAABkcnMv&#10;ZTJvRG9jLnhtbFBLAQItABQABgAIAAAAIQCdEjHJ4AAAAAwBAAAPAAAAAAAAAAAAAAAAAEoEAABk&#10;cnMvZG93bnJldi54bWxQSwUGAAAAAAQABADzAAAAVwUAAAAA&#10;" filled="f" stroked="f">
                <v:textbox inset="0,0,0,0">
                  <w:txbxContent>
                    <w:p w14:paraId="52C400EE" w14:textId="77777777" w:rsidR="00490F33" w:rsidRDefault="00490F33">
                      <w:pPr>
                        <w:tabs>
                          <w:tab w:val="right" w:pos="1944"/>
                        </w:tabs>
                        <w:spacing w:after="15" w:line="201" w:lineRule="exact"/>
                        <w:textAlignment w:val="baseline"/>
                        <w:rPr>
                          <w:rFonts w:ascii="Arial" w:eastAsia="Arial" w:hAnsi="Arial"/>
                          <w:b/>
                          <w:color w:val="5556A1"/>
                          <w:sz w:val="19"/>
                        </w:rPr>
                      </w:pPr>
                      <w:r>
                        <w:rPr>
                          <w:rFonts w:ascii="Arial" w:eastAsia="Arial" w:hAnsi="Arial"/>
                          <w:b/>
                          <w:color w:val="5556A1"/>
                          <w:sz w:val="19"/>
                        </w:rPr>
                        <w:t>138</w:t>
                      </w:r>
                      <w:r>
                        <w:rPr>
                          <w:rFonts w:ascii="Tahoma" w:eastAsia="Tahoma" w:hAnsi="Tahoma"/>
                          <w:color w:val="404042"/>
                          <w:sz w:val="14"/>
                        </w:rPr>
                        <w:tab/>
                        <w:t>Looking to the future</w:t>
                      </w:r>
                    </w:p>
                  </w:txbxContent>
                </v:textbox>
                <w10:wrap type="square" anchorx="page" anchory="page"/>
              </v:shape>
            </w:pict>
          </mc:Fallback>
        </mc:AlternateContent>
      </w:r>
    </w:p>
    <w:p w14:paraId="630E9680" w14:textId="77777777" w:rsidR="009757A9" w:rsidRDefault="009757A9">
      <w:pPr>
        <w:sectPr w:rsidR="009757A9">
          <w:pgSz w:w="11909" w:h="16838"/>
          <w:pgMar w:top="0" w:right="1440" w:bottom="0" w:left="1440" w:header="720" w:footer="720" w:gutter="0"/>
          <w:cols w:space="720"/>
        </w:sectPr>
      </w:pPr>
    </w:p>
    <w:p w14:paraId="41B0AA28" w14:textId="77777777" w:rsidR="009757A9" w:rsidRDefault="000D2E34">
      <w:pPr>
        <w:spacing w:before="2" w:after="4258" w:line="474" w:lineRule="exact"/>
        <w:textAlignment w:val="baseline"/>
        <w:rPr>
          <w:rFonts w:ascii="Arial" w:eastAsia="Arial" w:hAnsi="Arial"/>
          <w:color w:val="00708B"/>
          <w:spacing w:val="10"/>
          <w:w w:val="95"/>
          <w:sz w:val="39"/>
        </w:rPr>
      </w:pPr>
      <w:r>
        <w:rPr>
          <w:noProof/>
          <w:lang w:val="en-AU" w:eastAsia="en-AU"/>
        </w:rPr>
        <w:lastRenderedPageBreak/>
        <mc:AlternateContent>
          <mc:Choice Requires="wps">
            <w:drawing>
              <wp:anchor distT="0" distB="0" distL="0" distR="0" simplePos="0" relativeHeight="251746816" behindDoc="1" locked="0" layoutInCell="1" allowOverlap="1" wp14:anchorId="23C098F0" wp14:editId="2EB802E2">
                <wp:simplePos x="0" y="0"/>
                <wp:positionH relativeFrom="page">
                  <wp:posOffset>804545</wp:posOffset>
                </wp:positionH>
                <wp:positionV relativeFrom="page">
                  <wp:posOffset>0</wp:posOffset>
                </wp:positionV>
                <wp:extent cx="6757670" cy="6686550"/>
                <wp:effectExtent l="0" t="0" r="0" b="0"/>
                <wp:wrapSquare wrapText="bothSides"/>
                <wp:docPr id="35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668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AC1AD" w14:textId="77777777" w:rsidR="00490F33" w:rsidRDefault="00490F33">
                            <w:pPr>
                              <w:spacing w:after="1818"/>
                              <w:textAlignment w:val="baseline"/>
                            </w:pPr>
                            <w:r>
                              <w:rPr>
                                <w:noProof/>
                                <w:lang w:val="en-AU" w:eastAsia="en-AU"/>
                              </w:rPr>
                              <w:drawing>
                                <wp:inline distT="0" distB="0" distL="0" distR="0" wp14:anchorId="53E464AA" wp14:editId="7BF6A220">
                                  <wp:extent cx="6757670" cy="5532120"/>
                                  <wp:effectExtent l="0" t="0" r="0" b="0"/>
                                  <wp:docPr id="231" name="Picture"/>
                                  <wp:cNvGraphicFramePr/>
                                  <a:graphic xmlns:a="http://schemas.openxmlformats.org/drawingml/2006/main">
                                    <a:graphicData uri="http://schemas.openxmlformats.org/drawingml/2006/picture">
                                      <pic:pic xmlns:pic="http://schemas.openxmlformats.org/drawingml/2006/picture">
                                        <pic:nvPicPr>
                                          <pic:cNvPr id="231" name="Picture"/>
                                          <pic:cNvPicPr preferRelativeResize="0"/>
                                        </pic:nvPicPr>
                                        <pic:blipFill>
                                          <a:blip r:embed="rId318"/>
                                          <a:stretch>
                                            <a:fillRect/>
                                          </a:stretch>
                                        </pic:blipFill>
                                        <pic:spPr>
                                          <a:xfrm>
                                            <a:off x="0" y="0"/>
                                            <a:ext cx="6757670" cy="55321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098F0" id="Text Box 73" o:spid="_x0000_s1405" type="#_x0000_t202" style="position:absolute;margin-left:63.35pt;margin-top:0;width:532.1pt;height:526.5pt;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5a8AEAAMMDAAAOAAAAZHJzL2Uyb0RvYy54bWysU9tu2zAMfR+wfxD0vjhJEacz4hRdiw4D&#10;ugvQ7gMYWY6F2aJGKbGzrx8lx1m3vQ17EShejg4Pqc3N0LXiqMkbtKVczOZSaKuwMnZfyq/PD2+u&#10;pfABbAUtWl3Kk/byZvv61aZ3hV5ig22lSTCI9UXvStmE4Ios86rRHfgZOm05WCN1EPhK+6wi6Bm9&#10;a7PlfJ5nPVLlCJX2nr33Y1BuE35daxU+17XXQbSlZG4hnZTOXTyz7QaKPYFrjDrTgH9g0YGx/OgF&#10;6h4CiAOZv6A6owg91mGmsMuwro3SqQfuZjH/o5unBpxOvbA43l1k8v8PVn06fiFhqlJerZZSWOh4&#10;SM96COIdDmJ9FQXqnS8478lxZhjYz4NOzXr3iOqbFxbvGrB7fUuEfaOhYoKLWJm9KB1xfATZ9R+x&#10;4nfgEDABDTV1UT3WQzA6D+p0GU7kotiZr1frfM0hxbE8v85XqzS+DIqp3JEP7zV2IhqlJJ5+gofj&#10;ow+RDhRTSnzN4oNp27QBrf3NwYnRk+hHxiP3MOyGUar120mXHVYn7ohw3Cz+CWw0SD+k6HmrSum/&#10;H4C0FO0Hy6rEFZwMmozdZIBVXFrKIMVo3oVxVQ+OzL5h5FF3i7esXG1ST1HikcWZMG9KavW81XEV&#10;X95T1q+/t/0JAAD//wMAUEsDBBQABgAIAAAAIQCn0xfO3gAAAAoBAAAPAAAAZHJzL2Rvd25yZXYu&#10;eG1sTI/BTsMwEETvSPyDtUjcqN0iAglxqgrBCQmRhgNHJ9kmVuN1iN02/D3bE73taEazb/L17AZx&#10;xClYTxqWCwUCqfGtpU7DV/V29wQiREOtGTyhhl8MsC6ur3KTtf5EJR63sRNcQiEzGvoYx0zK0PTo&#10;TFj4EYm9nZ+ciSynTraTOXG5G+RKqUQ6Y4k/9GbElx6b/fbgNGy+qXy1Px/1Z7krbVWlit6Tvda3&#10;N/PmGUTEOf6H4YzP6FAwU+0P1AYxsF4ljxzVwIvO9jJVKYiaL/Vwr0AWubycUPwBAAD//wMAUEsB&#10;Ai0AFAAGAAgAAAAhALaDOJL+AAAA4QEAABMAAAAAAAAAAAAAAAAAAAAAAFtDb250ZW50X1R5cGVz&#10;XS54bWxQSwECLQAUAAYACAAAACEAOP0h/9YAAACUAQAACwAAAAAAAAAAAAAAAAAvAQAAX3JlbHMv&#10;LnJlbHNQSwECLQAUAAYACAAAACEA1IwuWvABAADDAwAADgAAAAAAAAAAAAAAAAAuAgAAZHJzL2Uy&#10;b0RvYy54bWxQSwECLQAUAAYACAAAACEAp9MXzt4AAAAKAQAADwAAAAAAAAAAAAAAAABKBAAAZHJz&#10;L2Rvd25yZXYueG1sUEsFBgAAAAAEAAQA8wAAAFUFAAAAAA==&#10;" filled="f" stroked="f">
                <v:textbox inset="0,0,0,0">
                  <w:txbxContent>
                    <w:p w14:paraId="606AC1AD" w14:textId="77777777" w:rsidR="00490F33" w:rsidRDefault="00490F33">
                      <w:pPr>
                        <w:spacing w:after="1818"/>
                        <w:textAlignment w:val="baseline"/>
                      </w:pPr>
                      <w:r>
                        <w:rPr>
                          <w:noProof/>
                          <w:lang w:val="en-AU" w:eastAsia="en-AU"/>
                        </w:rPr>
                        <w:drawing>
                          <wp:inline distT="0" distB="0" distL="0" distR="0" wp14:anchorId="53E464AA" wp14:editId="7BF6A220">
                            <wp:extent cx="6757670" cy="5532120"/>
                            <wp:effectExtent l="0" t="0" r="0" b="0"/>
                            <wp:docPr id="231" name="Picture"/>
                            <wp:cNvGraphicFramePr/>
                            <a:graphic xmlns:a="http://schemas.openxmlformats.org/drawingml/2006/main">
                              <a:graphicData uri="http://schemas.openxmlformats.org/drawingml/2006/picture">
                                <pic:pic xmlns:pic="http://schemas.openxmlformats.org/drawingml/2006/picture">
                                  <pic:nvPicPr>
                                    <pic:cNvPr id="231" name="Picture"/>
                                    <pic:cNvPicPr preferRelativeResize="0"/>
                                  </pic:nvPicPr>
                                  <pic:blipFill>
                                    <a:blip r:embed="rId318"/>
                                    <a:stretch>
                                      <a:fillRect/>
                                    </a:stretch>
                                  </pic:blipFill>
                                  <pic:spPr>
                                    <a:xfrm>
                                      <a:off x="0" y="0"/>
                                      <a:ext cx="6757670" cy="5532120"/>
                                    </a:xfrm>
                                    <a:prstGeom prst="rect">
                                      <a:avLst/>
                                    </a:prstGeom>
                                  </pic:spPr>
                                </pic:pic>
                              </a:graphicData>
                            </a:graphic>
                          </wp:inline>
                        </w:drawing>
                      </w:r>
                    </w:p>
                  </w:txbxContent>
                </v:textbox>
                <w10:wrap type="square" anchorx="page" anchory="page"/>
              </v:shape>
            </w:pict>
          </mc:Fallback>
        </mc:AlternateContent>
      </w:r>
      <w:r w:rsidR="00083242">
        <w:rPr>
          <w:rFonts w:ascii="Arial" w:eastAsia="Arial" w:hAnsi="Arial"/>
          <w:color w:val="00708B"/>
          <w:spacing w:val="10"/>
          <w:w w:val="95"/>
          <w:sz w:val="39"/>
        </w:rPr>
        <w:t xml:space="preserve">CHAPTER 7: </w:t>
      </w:r>
      <w:r w:rsidR="00083242">
        <w:rPr>
          <w:rFonts w:ascii="Tahoma" w:eastAsia="Tahoma" w:hAnsi="Tahoma"/>
          <w:color w:val="00708B"/>
          <w:spacing w:val="10"/>
          <w:w w:val="95"/>
          <w:sz w:val="38"/>
        </w:rPr>
        <w:t>CREATING EVIDENCE-BASED POLICY</w:t>
      </w:r>
    </w:p>
    <w:p w14:paraId="317C8B76" w14:textId="77777777" w:rsidR="009757A9" w:rsidRDefault="009757A9">
      <w:pPr>
        <w:spacing w:before="2" w:after="4258" w:line="474" w:lineRule="exact"/>
        <w:sectPr w:rsidR="009757A9">
          <w:pgSz w:w="11909" w:h="16838"/>
          <w:pgMar w:top="0" w:right="2200" w:bottom="0" w:left="869" w:header="720" w:footer="720" w:gutter="0"/>
          <w:cols w:space="720"/>
        </w:sectPr>
      </w:pPr>
    </w:p>
    <w:p w14:paraId="11FEF9EC" w14:textId="77777777" w:rsidR="009757A9" w:rsidRDefault="00083242">
      <w:pPr>
        <w:spacing w:before="9" w:after="607" w:line="209" w:lineRule="exact"/>
        <w:ind w:left="10656"/>
        <w:textAlignment w:val="baseline"/>
        <w:rPr>
          <w:rFonts w:ascii="Arial" w:eastAsia="Arial" w:hAnsi="Arial"/>
          <w:color w:val="5556A1"/>
          <w:spacing w:val="29"/>
          <w:sz w:val="19"/>
        </w:rPr>
      </w:pPr>
      <w:r>
        <w:rPr>
          <w:rFonts w:ascii="Arial" w:eastAsia="Arial" w:hAnsi="Arial"/>
          <w:color w:val="5556A1"/>
          <w:spacing w:val="29"/>
          <w:sz w:val="19"/>
        </w:rPr>
        <w:t>139</w:t>
      </w:r>
    </w:p>
    <w:p w14:paraId="7DC69438" w14:textId="77777777" w:rsidR="009757A9" w:rsidRDefault="00083242">
      <w:pPr>
        <w:textAlignment w:val="baseline"/>
      </w:pPr>
      <w:r>
        <w:rPr>
          <w:noProof/>
          <w:lang w:val="en-AU" w:eastAsia="en-AU"/>
        </w:rPr>
        <w:drawing>
          <wp:inline distT="0" distB="0" distL="0" distR="0" wp14:anchorId="64536DD1" wp14:editId="6FA8E355">
            <wp:extent cx="7562215" cy="462915"/>
            <wp:effectExtent l="0" t="0" r="0" b="0"/>
            <wp:docPr id="232" name="Picture"/>
            <wp:cNvGraphicFramePr/>
            <a:graphic xmlns:a="http://schemas.openxmlformats.org/drawingml/2006/main">
              <a:graphicData uri="http://schemas.openxmlformats.org/drawingml/2006/picture">
                <pic:pic xmlns:pic="http://schemas.openxmlformats.org/drawingml/2006/picture">
                  <pic:nvPicPr>
                    <pic:cNvPr id="232"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p w14:paraId="46311F1B" w14:textId="77777777" w:rsidR="009757A9" w:rsidRDefault="009757A9">
      <w:pPr>
        <w:sectPr w:rsidR="009757A9">
          <w:type w:val="continuous"/>
          <w:pgSz w:w="11909" w:h="16838"/>
          <w:pgMar w:top="0" w:right="0" w:bottom="0" w:left="0" w:header="720" w:footer="720" w:gutter="0"/>
          <w:cols w:space="720"/>
        </w:sectPr>
      </w:pPr>
    </w:p>
    <w:p w14:paraId="658324E6" w14:textId="436117EA" w:rsidR="009757A9" w:rsidRDefault="000D2E34">
      <w:pPr>
        <w:spacing w:before="8" w:line="220" w:lineRule="exact"/>
        <w:ind w:left="864"/>
        <w:textAlignment w:val="baseline"/>
        <w:rPr>
          <w:rFonts w:ascii="Tahoma" w:eastAsia="Tahoma" w:hAnsi="Tahoma"/>
          <w:color w:val="404042"/>
          <w:spacing w:val="5"/>
          <w:sz w:val="18"/>
        </w:rPr>
      </w:pPr>
      <w:r>
        <w:rPr>
          <w:noProof/>
          <w:lang w:val="en-AU" w:eastAsia="en-AU"/>
        </w:rPr>
        <w:lastRenderedPageBreak/>
        <mc:AlternateContent>
          <mc:Choice Requires="wps">
            <w:drawing>
              <wp:anchor distT="0" distB="297180" distL="539750" distR="536575" simplePos="0" relativeHeight="251747840" behindDoc="1" locked="0" layoutInCell="1" allowOverlap="1" wp14:anchorId="3D26301C" wp14:editId="55A73197">
                <wp:simplePos x="0" y="0"/>
                <wp:positionH relativeFrom="page">
                  <wp:posOffset>539750</wp:posOffset>
                </wp:positionH>
                <wp:positionV relativeFrom="page">
                  <wp:posOffset>711200</wp:posOffset>
                </wp:positionV>
                <wp:extent cx="6485890" cy="2558415"/>
                <wp:effectExtent l="0" t="0" r="10160" b="13335"/>
                <wp:wrapSquare wrapText="bothSides"/>
                <wp:docPr id="35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2558415"/>
                        </a:xfrm>
                        <a:prstGeom prst="rect">
                          <a:avLst/>
                        </a:prstGeom>
                        <a:solidFill>
                          <a:srgbClr val="DFE6EB"/>
                        </a:solidFill>
                        <a:ln w="9525">
                          <a:solidFill>
                            <a:srgbClr val="000000"/>
                          </a:solidFill>
                          <a:miter lim="800000"/>
                          <a:headEnd/>
                          <a:tailEnd/>
                        </a:ln>
                      </wps:spPr>
                      <wps:txbx>
                        <w:txbxContent>
                          <w:p w14:paraId="3F28CF01" w14:textId="044D1E7D" w:rsidR="00490F33" w:rsidRDefault="00490F33">
                            <w:pPr>
                              <w:spacing w:before="32" w:after="137" w:line="230" w:lineRule="exact"/>
                              <w:ind w:left="33" w:right="5"/>
                              <w:textAlignment w:val="baseline"/>
                            </w:pPr>
                          </w:p>
                          <w:p w14:paraId="1B9A286A" w14:textId="77777777" w:rsidR="00490F33" w:rsidRDefault="00490F33">
                            <w:pPr>
                              <w:spacing w:after="220" w:line="449" w:lineRule="exact"/>
                              <w:ind w:left="576"/>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p w14:paraId="040D3630" w14:textId="77777777" w:rsidR="00490F33" w:rsidRDefault="00490F33">
                            <w:pPr>
                              <w:spacing w:line="240" w:lineRule="exact"/>
                              <w:ind w:left="576" w:right="648" w:hanging="360"/>
                              <w:textAlignment w:val="baseline"/>
                              <w:rPr>
                                <w:rFonts w:ascii="Tahoma" w:eastAsia="Tahoma" w:hAnsi="Tahoma"/>
                                <w:color w:val="404042"/>
                                <w:spacing w:val="5"/>
                                <w:sz w:val="18"/>
                              </w:rPr>
                            </w:pPr>
                            <w:r>
                              <w:rPr>
                                <w:rFonts w:ascii="Tahoma" w:eastAsia="Tahoma" w:hAnsi="Tahoma"/>
                                <w:color w:val="404042"/>
                                <w:spacing w:val="5"/>
                                <w:sz w:val="18"/>
                              </w:rPr>
                              <w:t>7.1 Governments need to make much better use of big data in order to properly understand the choices that students make as they transition from school into training, further education and work. Quantitative research can improve their capacity to formulate evidence-based policy responses.</w:t>
                            </w:r>
                          </w:p>
                          <w:p w14:paraId="09E49473" w14:textId="77777777" w:rsidR="00490F33" w:rsidRDefault="00490F33">
                            <w:pPr>
                              <w:spacing w:before="166" w:line="240" w:lineRule="exact"/>
                              <w:ind w:left="576" w:right="720" w:hanging="360"/>
                              <w:textAlignment w:val="baseline"/>
                              <w:rPr>
                                <w:rFonts w:ascii="Tahoma" w:eastAsia="Tahoma" w:hAnsi="Tahoma"/>
                                <w:color w:val="404042"/>
                                <w:spacing w:val="6"/>
                                <w:sz w:val="18"/>
                              </w:rPr>
                            </w:pPr>
                            <w:r>
                              <w:rPr>
                                <w:rFonts w:ascii="Tahoma" w:eastAsia="Tahoma" w:hAnsi="Tahoma"/>
                                <w:color w:val="404042"/>
                                <w:spacing w:val="6"/>
                                <w:sz w:val="18"/>
                              </w:rPr>
                              <w:t>7.2 Data integration projects across sectors and states and territories should be leveraged to gain greater insight into how people move through different parts of the education system and labour market across their lifetimes.</w:t>
                            </w:r>
                          </w:p>
                          <w:p w14:paraId="211FBE6B" w14:textId="77777777" w:rsidR="00490F33" w:rsidRDefault="00490F33">
                            <w:pPr>
                              <w:spacing w:before="195" w:line="220" w:lineRule="exact"/>
                              <w:ind w:left="216"/>
                              <w:textAlignment w:val="baseline"/>
                              <w:rPr>
                                <w:rFonts w:ascii="Tahoma" w:eastAsia="Tahoma" w:hAnsi="Tahoma"/>
                                <w:color w:val="404042"/>
                                <w:spacing w:val="6"/>
                                <w:sz w:val="18"/>
                              </w:rPr>
                            </w:pPr>
                            <w:r>
                              <w:rPr>
                                <w:rFonts w:ascii="Tahoma" w:eastAsia="Tahoma" w:hAnsi="Tahoma"/>
                                <w:color w:val="404042"/>
                                <w:spacing w:val="6"/>
                                <w:sz w:val="18"/>
                              </w:rPr>
                              <w:t>7.3 Education Council should accelerate the development of a Unique Student Identifier that allows senior</w:t>
                            </w:r>
                          </w:p>
                          <w:p w14:paraId="59D8E304" w14:textId="77777777" w:rsidR="00490F33" w:rsidRDefault="00490F33">
                            <w:pPr>
                              <w:spacing w:after="206" w:line="240" w:lineRule="exact"/>
                              <w:ind w:left="576" w:right="504"/>
                              <w:textAlignment w:val="baseline"/>
                              <w:rPr>
                                <w:rFonts w:ascii="Tahoma" w:eastAsia="Tahoma" w:hAnsi="Tahoma"/>
                                <w:color w:val="404042"/>
                                <w:sz w:val="18"/>
                              </w:rPr>
                            </w:pPr>
                            <w:r>
                              <w:rPr>
                                <w:rFonts w:ascii="Tahoma" w:eastAsia="Tahoma" w:hAnsi="Tahoma"/>
                                <w:color w:val="404042"/>
                                <w:sz w:val="18"/>
                              </w:rPr>
                              <w:t>secondary schooling to be linked with VET and higher education, while protecting the privacy of individuals. It can benefit not only governments but individuals and training providers.</w:t>
                            </w:r>
                          </w:p>
                          <w:p w14:paraId="7089E99D" w14:textId="1D9741A2" w:rsidR="00490F33" w:rsidRDefault="00490F33">
                            <w:pPr>
                              <w:spacing w:after="24" w:line="192" w:lineRule="exact"/>
                              <w:ind w:left="33" w:right="5"/>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6301C" id="Text Box 72" o:spid="_x0000_s1406" type="#_x0000_t202" style="position:absolute;left:0;text-align:left;margin-left:42.5pt;margin-top:56pt;width:510.7pt;height:201.45pt;z-index:-251568640;visibility:visible;mso-wrap-style:square;mso-width-percent:0;mso-height-percent:0;mso-wrap-distance-left:42.5pt;mso-wrap-distance-top:0;mso-wrap-distance-right:42.25pt;mso-wrap-distance-bottom:2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iWQKwIAAE0EAAAOAAAAZHJzL2Uyb0RvYy54bWysVNtu2zAMfR+wfxD0vjjJ6sw14hRtLsOA&#10;7gK0+wBZlm1hsqhJSuzs60vJSdrdXob5QaAk6vDwkPTyZugUOQjrJOiCziZTSoTmUEndFPTr4+5N&#10;RonzTFdMgRYFPQpHb1avXy17k4s5tKAqYQmCaJf3pqCt9yZPEsdb0TE3ASM0XtZgO+Zxa5uksqxH&#10;9E4l8+l0kfRgK2OBC+fwdDNe0lXEr2vB/ee6dsITVVDk5uNq41qGNVktWd5YZlrJTzTYP7DomNQY&#10;9AK1YZ6RvZW/QXWSW3BQ+wmHLoG6llzEHDCb2fSXbB5aZkTMBcVx5iKT+3+w/NPhiyWyKujbdEaJ&#10;Zh0W6VEMntzBQN7Ng0C9cTn6PRj09AOeY6Fjss7cA//miIZ1y3Qjbq2FvhWsQoKz8DJ58XTEcQGk&#10;7D9ChXHY3kMEGmrbBfVQD4LoWKjjpTiBC8fDxVWWZtd4xfFunqbZ1SyNMVh+fm6s8+8FdCQYBbVY&#10;/QjPDvfOBzosP7uEaA6UrHZSqbixTblWlhwYdspmt11s707oP7kpTfqCXqfzdFTgrxDT+P0JopMe&#10;W17JrqDZxYnlQbetrmJDeibVaCNlpU9CBu1GFf1QDmPRstjCQeYSqiNqa2HscZxJNFqwPyjpsb8L&#10;6r7vmRWUqA8a6xOG4WzYs1GeDaY5Pi2op2Q0134cmr2xsmkReewADbdYw1pGdZ9ZnAhjz0bRT/MV&#10;huLlPno9/wVWTwAAAP//AwBQSwMEFAAGAAgAAAAhAHwG8yvgAAAACwEAAA8AAABkcnMvZG93bnJl&#10;di54bWxMj81OwzAQhO9IvIO1SNyo46iJ0hCnqhBIIE4UOPTmxNvEamxHsZuGt2d7gtv+zM5+U20X&#10;O7AZp2C8kyBWCTB0rdfGdRK+Pl8eCmAhKqfV4B1K+MEA2/r2plKl9hf3gfM+doxMXCiVhD7GseQ8&#10;tD1aFVZ+REe7o5+sitROHdeTupC5HXiaJDm3yjj60KsRn3psT/uzJYx0Pj53p516f81yMb59m6Y4&#10;GCnv75bdI7CIS/wTwxWfbqAmpsafnQ5skFBkFCXSXKRUXAUiydfAGgmZWG+A1xX/n6H+BQAA//8D&#10;AFBLAQItABQABgAIAAAAIQC2gziS/gAAAOEBAAATAAAAAAAAAAAAAAAAAAAAAABbQ29udGVudF9U&#10;eXBlc10ueG1sUEsBAi0AFAAGAAgAAAAhADj9If/WAAAAlAEAAAsAAAAAAAAAAAAAAAAALwEAAF9y&#10;ZWxzLy5yZWxzUEsBAi0AFAAGAAgAAAAhADp2JZArAgAATQQAAA4AAAAAAAAAAAAAAAAALgIAAGRy&#10;cy9lMm9Eb2MueG1sUEsBAi0AFAAGAAgAAAAhAHwG8yvgAAAACwEAAA8AAAAAAAAAAAAAAAAAhQQA&#10;AGRycy9kb3ducmV2LnhtbFBLBQYAAAAABAAEAPMAAACSBQAAAAA=&#10;" fillcolor="#dfe6eb">
                <v:textbox inset="0,0,0,0">
                  <w:txbxContent>
                    <w:p w14:paraId="3F28CF01" w14:textId="044D1E7D" w:rsidR="00490F33" w:rsidRDefault="00490F33">
                      <w:pPr>
                        <w:spacing w:before="32" w:after="137" w:line="230" w:lineRule="exact"/>
                        <w:ind w:left="33" w:right="5"/>
                        <w:textAlignment w:val="baseline"/>
                      </w:pPr>
                    </w:p>
                    <w:p w14:paraId="1B9A286A" w14:textId="77777777" w:rsidR="00490F33" w:rsidRDefault="00490F33">
                      <w:pPr>
                        <w:spacing w:after="220" w:line="449" w:lineRule="exact"/>
                        <w:ind w:left="576"/>
                        <w:textAlignment w:val="baseline"/>
                        <w:rPr>
                          <w:rFonts w:ascii="Arial" w:eastAsia="Arial" w:hAnsi="Arial"/>
                          <w:b/>
                          <w:color w:val="00708E"/>
                          <w:spacing w:val="9"/>
                          <w:w w:val="95"/>
                          <w:sz w:val="39"/>
                        </w:rPr>
                      </w:pPr>
                      <w:r>
                        <w:rPr>
                          <w:rFonts w:ascii="Arial" w:eastAsia="Arial" w:hAnsi="Arial"/>
                          <w:b/>
                          <w:color w:val="00708E"/>
                          <w:spacing w:val="9"/>
                          <w:w w:val="95"/>
                          <w:sz w:val="39"/>
                        </w:rPr>
                        <w:t>CHAPTER FINDINGS</w:t>
                      </w:r>
                    </w:p>
                    <w:p w14:paraId="040D3630" w14:textId="77777777" w:rsidR="00490F33" w:rsidRDefault="00490F33">
                      <w:pPr>
                        <w:spacing w:line="240" w:lineRule="exact"/>
                        <w:ind w:left="576" w:right="648" w:hanging="360"/>
                        <w:textAlignment w:val="baseline"/>
                        <w:rPr>
                          <w:rFonts w:ascii="Tahoma" w:eastAsia="Tahoma" w:hAnsi="Tahoma"/>
                          <w:color w:val="404042"/>
                          <w:spacing w:val="5"/>
                          <w:sz w:val="18"/>
                        </w:rPr>
                      </w:pPr>
                      <w:r>
                        <w:rPr>
                          <w:rFonts w:ascii="Tahoma" w:eastAsia="Tahoma" w:hAnsi="Tahoma"/>
                          <w:color w:val="404042"/>
                          <w:spacing w:val="5"/>
                          <w:sz w:val="18"/>
                        </w:rPr>
                        <w:t>7.1 Governments need to make much better use of big data in order to properly understand the choices that students make as they transition from school into training, further education and work. Quantitative research can improve their capacity to formulate evidence-based policy responses.</w:t>
                      </w:r>
                    </w:p>
                    <w:p w14:paraId="09E49473" w14:textId="77777777" w:rsidR="00490F33" w:rsidRDefault="00490F33">
                      <w:pPr>
                        <w:spacing w:before="166" w:line="240" w:lineRule="exact"/>
                        <w:ind w:left="576" w:right="720" w:hanging="360"/>
                        <w:textAlignment w:val="baseline"/>
                        <w:rPr>
                          <w:rFonts w:ascii="Tahoma" w:eastAsia="Tahoma" w:hAnsi="Tahoma"/>
                          <w:color w:val="404042"/>
                          <w:spacing w:val="6"/>
                          <w:sz w:val="18"/>
                        </w:rPr>
                      </w:pPr>
                      <w:r>
                        <w:rPr>
                          <w:rFonts w:ascii="Tahoma" w:eastAsia="Tahoma" w:hAnsi="Tahoma"/>
                          <w:color w:val="404042"/>
                          <w:spacing w:val="6"/>
                          <w:sz w:val="18"/>
                        </w:rPr>
                        <w:t>7.2 Data integration projects across sectors and states and territories should be leveraged to gain greater insight into how people move through different parts of the education system and labour market across their lifetimes.</w:t>
                      </w:r>
                    </w:p>
                    <w:p w14:paraId="211FBE6B" w14:textId="77777777" w:rsidR="00490F33" w:rsidRDefault="00490F33">
                      <w:pPr>
                        <w:spacing w:before="195" w:line="220" w:lineRule="exact"/>
                        <w:ind w:left="216"/>
                        <w:textAlignment w:val="baseline"/>
                        <w:rPr>
                          <w:rFonts w:ascii="Tahoma" w:eastAsia="Tahoma" w:hAnsi="Tahoma"/>
                          <w:color w:val="404042"/>
                          <w:spacing w:val="6"/>
                          <w:sz w:val="18"/>
                        </w:rPr>
                      </w:pPr>
                      <w:r>
                        <w:rPr>
                          <w:rFonts w:ascii="Tahoma" w:eastAsia="Tahoma" w:hAnsi="Tahoma"/>
                          <w:color w:val="404042"/>
                          <w:spacing w:val="6"/>
                          <w:sz w:val="18"/>
                        </w:rPr>
                        <w:t>7.3 Education Council should accelerate the development of a Unique Student Identifier that allows senior</w:t>
                      </w:r>
                    </w:p>
                    <w:p w14:paraId="59D8E304" w14:textId="77777777" w:rsidR="00490F33" w:rsidRDefault="00490F33">
                      <w:pPr>
                        <w:spacing w:after="206" w:line="240" w:lineRule="exact"/>
                        <w:ind w:left="576" w:right="504"/>
                        <w:textAlignment w:val="baseline"/>
                        <w:rPr>
                          <w:rFonts w:ascii="Tahoma" w:eastAsia="Tahoma" w:hAnsi="Tahoma"/>
                          <w:color w:val="404042"/>
                          <w:sz w:val="18"/>
                        </w:rPr>
                      </w:pPr>
                      <w:r>
                        <w:rPr>
                          <w:rFonts w:ascii="Tahoma" w:eastAsia="Tahoma" w:hAnsi="Tahoma"/>
                          <w:color w:val="404042"/>
                          <w:sz w:val="18"/>
                        </w:rPr>
                        <w:t>secondary schooling to be linked with VET and higher education, while protecting the privacy of individuals. It can benefit not only governments but individuals and training providers.</w:t>
                      </w:r>
                    </w:p>
                    <w:p w14:paraId="7089E99D" w14:textId="1D9741A2" w:rsidR="00490F33" w:rsidRDefault="00490F33">
                      <w:pPr>
                        <w:spacing w:after="24" w:line="192" w:lineRule="exact"/>
                        <w:ind w:left="33" w:right="5"/>
                        <w:textAlignment w:val="baseline"/>
                      </w:pPr>
                    </w:p>
                  </w:txbxContent>
                </v:textbox>
                <w10:wrap type="square" anchorx="page" anchory="page"/>
              </v:shape>
            </w:pict>
          </mc:Fallback>
        </mc:AlternateContent>
      </w:r>
      <w:r w:rsidR="00083242">
        <w:rPr>
          <w:rFonts w:ascii="Tahoma" w:eastAsia="Tahoma" w:hAnsi="Tahoma"/>
          <w:color w:val="404042"/>
          <w:spacing w:val="5"/>
          <w:sz w:val="18"/>
        </w:rPr>
        <w:t>High-quality data is essential to support young people to make informed decisions about their futures. It is equally</w:t>
      </w:r>
    </w:p>
    <w:p w14:paraId="732B8071" w14:textId="2DCE7E43" w:rsidR="009757A9" w:rsidRDefault="00083242">
      <w:pPr>
        <w:spacing w:line="240" w:lineRule="exact"/>
        <w:ind w:left="864" w:right="936"/>
        <w:textAlignment w:val="baseline"/>
        <w:rPr>
          <w:rFonts w:ascii="Tahoma" w:eastAsia="Tahoma" w:hAnsi="Tahoma"/>
          <w:color w:val="404042"/>
          <w:sz w:val="18"/>
        </w:rPr>
      </w:pPr>
      <w:r>
        <w:rPr>
          <w:rFonts w:ascii="Tahoma" w:eastAsia="Tahoma" w:hAnsi="Tahoma"/>
          <w:color w:val="404042"/>
          <w:sz w:val="18"/>
        </w:rPr>
        <w:t>valuable to policymakers in order to understand how students transition into a growing range of post-school pathways and improve policies on senior secondary schooling.</w:t>
      </w:r>
    </w:p>
    <w:p w14:paraId="66EB56AD" w14:textId="23AE34AC" w:rsidR="009757A9" w:rsidRDefault="00083242">
      <w:pPr>
        <w:spacing w:before="173" w:line="240" w:lineRule="exact"/>
        <w:ind w:left="864" w:right="1080"/>
        <w:textAlignment w:val="baseline"/>
        <w:rPr>
          <w:rFonts w:ascii="Tahoma" w:eastAsia="Tahoma" w:hAnsi="Tahoma"/>
          <w:color w:val="404042"/>
          <w:spacing w:val="5"/>
          <w:sz w:val="18"/>
        </w:rPr>
      </w:pPr>
      <w:r>
        <w:rPr>
          <w:rFonts w:ascii="Tahoma" w:eastAsia="Tahoma" w:hAnsi="Tahoma"/>
          <w:color w:val="404042"/>
          <w:spacing w:val="5"/>
          <w:sz w:val="18"/>
        </w:rPr>
        <w:t>It is generally accepted that good public policy should be based on evidence and experience. Education is an area in which there is a huge amount of statistical information collected, surveys conducted and reviews undertaken. Yet while large amounts of education data are available, there are still some significant gaps that impact on our collective understanding of senior secondary pathways. We do not properly comprehend, for example, the nature and reasons for the complex transitions between various forms of education, training and employment that occur after senior secondary students leave school.</w:t>
      </w:r>
    </w:p>
    <w:p w14:paraId="6D690CC7" w14:textId="3414C5BC" w:rsidR="009757A9" w:rsidRDefault="00083242">
      <w:pPr>
        <w:spacing w:before="168" w:line="240" w:lineRule="exact"/>
        <w:ind w:left="864" w:right="1224"/>
        <w:textAlignment w:val="baseline"/>
        <w:rPr>
          <w:rFonts w:ascii="Tahoma" w:eastAsia="Tahoma" w:hAnsi="Tahoma"/>
          <w:color w:val="404042"/>
          <w:sz w:val="18"/>
        </w:rPr>
      </w:pPr>
      <w:r>
        <w:rPr>
          <w:rFonts w:ascii="Tahoma" w:eastAsia="Tahoma" w:hAnsi="Tahoma"/>
          <w:color w:val="404042"/>
          <w:sz w:val="18"/>
        </w:rPr>
        <w:t>This has already been acknowledged by Education Council. Its recent National School Reform Agreement includes a commitment to improve data collection. While not a high-profile reform, it is an important initiative. We believe it is essential that real action is taken in this regard.</w:t>
      </w:r>
    </w:p>
    <w:p w14:paraId="721C17A4" w14:textId="0B41B9EB" w:rsidR="009757A9" w:rsidRDefault="00083242">
      <w:pPr>
        <w:spacing w:before="173" w:after="590"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To build a comprehensive understanding of student pathways, it is necessary to bring together data from the schooling, vocational education and training, higher education and labour market sectors. Tracking students throughout their education journey is challenging, with many students following a variety of transition pathways, consecutively or concurrently. Unfortunately, these different sectors each undertake their own data collection processes, employing different definitions and having different arrangements for the use of the material.</w:t>
      </w:r>
    </w:p>
    <w:p w14:paraId="3AC3D767" w14:textId="2336CAA4" w:rsidR="009757A9" w:rsidRDefault="000D2E34">
      <w:pPr>
        <w:spacing w:before="94" w:line="300" w:lineRule="exact"/>
        <w:ind w:left="1296" w:right="1440"/>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1997696" behindDoc="0" locked="0" layoutInCell="1" allowOverlap="1" wp14:anchorId="7D63C5E5" wp14:editId="53C81C07">
                <wp:simplePos x="0" y="0"/>
                <wp:positionH relativeFrom="page">
                  <wp:posOffset>826135</wp:posOffset>
                </wp:positionH>
                <wp:positionV relativeFrom="page">
                  <wp:posOffset>6849110</wp:posOffset>
                </wp:positionV>
                <wp:extent cx="5907405" cy="0"/>
                <wp:effectExtent l="0" t="0" r="0" b="0"/>
                <wp:wrapNone/>
                <wp:docPr id="35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94335" id="Line 71" o:spid="_x0000_s1026" style="position:absolute;z-index:25199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539.3pt" to="530.2pt,5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94CzgEAAIUDAAAOAAAAZHJzL2Uyb0RvYy54bWysU01v2zAMvQ/YfxB0X+x0TbMYcXpI1l2y&#10;LUC7H8BIsi1MFgVJiZ1/P0r56Lrdhl0EUXx8JB+p5ePYG3ZUPmi0NZ9OSs6UFSi1bWv+4+XpwyfO&#10;QgQrwaBVNT+pwB9X798tB1epO+zQSOUZkdhQDa7mXYyuKoogOtVDmKBTlpwN+h4imb4tpIeB2HtT&#10;3JXlQzGgl86jUCHQ6+bs5KvM3zRKxO9NE1RkpuZUW8ynz+c+ncVqCVXrwXVaXMqAf6iiB20p6Y1q&#10;AxHYweu/qHotPAZs4kRgX2DTaKFyD9TNtPyjm+cOnMq9kDjB3WQK/49WfDvuPNOy5h9npI+Fnoa0&#10;1Vax+TSJM7hQEWZtdz61J0b77LYofgZmcd2BbVUu8uXkKC5HFG9CkhEcpdgPX1ESBg4Rs1Jj4/tE&#10;SRqwMQ/kdBuIGiMT9DhblPP7csaZuPoKqK6Bzof4RWHP0qXmhorOxHDchkilE/QKSXksPmlj8ryN&#10;ZUPNH1LHyRPQaJmc2fDtfm08O0LamHK+WNwnHYjsDSwxbyB0Z1x2nXfJ48HKnKVTID9f7hG0Od+J&#10;yFjiuwpzlniP8rTzKU96p1nnjJe9TMv0u51Rr79n9QsAAP//AwBQSwMEFAAGAAgAAAAhANK2LCDd&#10;AAAADgEAAA8AAABkcnMvZG93bnJldi54bWxMj09PwzAMxe9IfIfISNxYMv6UqTSd0NBOu8CGxNVr&#10;TFtonKrJuu7b4x0Q3Pzsp+ffK5aT79RIQ2wDW5jPDCjiKriWawvvu/XNAlRMyA67wGThRBGW5eVF&#10;gbkLR36jcZtqJSEcc7TQpNTnWseqIY9xFnpiuX2GwWMSOdTaDXiUcN/pW2My7bFl+dBgT6uGqu/t&#10;wVtYo9m9us0mfMWPh9MKk3YvNFp7fTU9P4FKNKU/M5zxBR1KYdqHA7uoOtF3Zi5WGczjIgN1tpjM&#10;3IPa/+50Wej/NcofAAAA//8DAFBLAQItABQABgAIAAAAIQC2gziS/gAAAOEBAAATAAAAAAAAAAAA&#10;AAAAAAAAAABbQ29udGVudF9UeXBlc10ueG1sUEsBAi0AFAAGAAgAAAAhADj9If/WAAAAlAEAAAsA&#10;AAAAAAAAAAAAAAAALwEAAF9yZWxzLy5yZWxzUEsBAi0AFAAGAAgAAAAhAMPH3gLOAQAAhQMAAA4A&#10;AAAAAAAAAAAAAAAALgIAAGRycy9lMm9Eb2MueG1sUEsBAi0AFAAGAAgAAAAhANK2LCDdAAAADgEA&#10;AA8AAAAAAAAAAAAAAAAAKAQAAGRycy9kb3ducmV2LnhtbFBLBQYAAAAABAAEAPMAAAAyBQAAAAA=&#10;" strokecolor="#007994" strokeweight=".5pt">
                <w10:wrap anchorx="page" anchory="page"/>
              </v:line>
            </w:pict>
          </mc:Fallback>
        </mc:AlternateContent>
      </w:r>
      <w:r w:rsidR="00083242">
        <w:rPr>
          <w:rFonts w:ascii="Tahoma" w:eastAsia="Tahoma" w:hAnsi="Tahoma"/>
          <w:i/>
          <w:color w:val="007994"/>
          <w:sz w:val="21"/>
        </w:rPr>
        <w:t xml:space="preserve">“The lack of data ... and the inability to compare progression rates and actual destinations of </w:t>
      </w:r>
      <w:r w:rsidR="00083242">
        <w:rPr>
          <w:rFonts w:ascii="Verdana" w:eastAsia="Verdana" w:hAnsi="Verdana"/>
          <w:i/>
          <w:color w:val="007994"/>
          <w:sz w:val="19"/>
        </w:rPr>
        <w:t xml:space="preserve">school completers and early school leavers ... is an important indicator of the need for significant </w:t>
      </w:r>
      <w:r w:rsidR="00083242">
        <w:rPr>
          <w:rFonts w:ascii="Tahoma" w:eastAsia="Tahoma" w:hAnsi="Tahoma"/>
          <w:i/>
          <w:color w:val="007994"/>
          <w:sz w:val="21"/>
        </w:rPr>
        <w:t>national reform.”</w:t>
      </w:r>
    </w:p>
    <w:p w14:paraId="062B68C2" w14:textId="01616FD5" w:rsidR="009757A9" w:rsidRDefault="00083242">
      <w:pPr>
        <w:spacing w:before="66" w:after="226" w:line="246" w:lineRule="exact"/>
        <w:ind w:left="3600"/>
        <w:textAlignment w:val="baseline"/>
        <w:rPr>
          <w:rFonts w:ascii="Tahoma" w:eastAsia="Tahoma" w:hAnsi="Tahoma"/>
          <w:i/>
          <w:color w:val="007994"/>
          <w:spacing w:val="2"/>
          <w:sz w:val="21"/>
        </w:rPr>
      </w:pPr>
      <w:r>
        <w:rPr>
          <w:rFonts w:ascii="Tahoma" w:eastAsia="Tahoma" w:hAnsi="Tahoma"/>
          <w:i/>
          <w:color w:val="007994"/>
          <w:spacing w:val="2"/>
          <w:sz w:val="21"/>
        </w:rPr>
        <w:t>Lorraine Graham, Centre for Vocational and Educational Policy submission</w:t>
      </w:r>
    </w:p>
    <w:p w14:paraId="4A5E81E3" w14:textId="61F9375F" w:rsidR="009757A9" w:rsidRDefault="000D2E34">
      <w:pPr>
        <w:spacing w:before="415" w:line="240" w:lineRule="exact"/>
        <w:ind w:left="864" w:right="1224"/>
        <w:textAlignment w:val="baseline"/>
        <w:rPr>
          <w:rFonts w:ascii="Tahoma" w:eastAsia="Tahoma" w:hAnsi="Tahoma"/>
          <w:color w:val="404042"/>
          <w:spacing w:val="7"/>
          <w:sz w:val="18"/>
        </w:rPr>
      </w:pPr>
      <w:r>
        <w:rPr>
          <w:noProof/>
          <w:lang w:val="en-AU" w:eastAsia="en-AU"/>
        </w:rPr>
        <mc:AlternateContent>
          <mc:Choice Requires="wps">
            <w:drawing>
              <wp:anchor distT="0" distB="0" distL="114300" distR="114300" simplePos="0" relativeHeight="251998720" behindDoc="0" locked="0" layoutInCell="1" allowOverlap="1" wp14:anchorId="17EB1083" wp14:editId="6DCFAC1B">
                <wp:simplePos x="0" y="0"/>
                <wp:positionH relativeFrom="page">
                  <wp:posOffset>826135</wp:posOffset>
                </wp:positionH>
                <wp:positionV relativeFrom="page">
                  <wp:posOffset>7821295</wp:posOffset>
                </wp:positionV>
                <wp:extent cx="5907405" cy="0"/>
                <wp:effectExtent l="0" t="0" r="0" b="0"/>
                <wp:wrapNone/>
                <wp:docPr id="34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3175">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44098" id="Line 70" o:spid="_x0000_s1026" style="position:absolute;z-index:25199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615.85pt" to="530.2pt,6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hf0AEAAIUDAAAOAAAAZHJzL2Uyb0RvYy54bWysU02P0zAQvSPxHyzfadKlpTRquoeW5VKg&#10;0i4/YGo7iYXjsTxuk/57bPeDBW6Ii2VnZt6892ayehx7w07Kk0Zb8+mk5ExZgVLbtubfX57efeSM&#10;AlgJBq2q+VkRf1y/fbMaXKUesEMjlWcRxFI1uJp3IbiqKEh0qgeaoFM2Bhv0PYT49G0hPQwRvTfF&#10;Q1l+KAb00nkUiih+3V6CfJ3xm0aJ8K1pSAVmah65hXz6fB7SWaxXULUeXKfFlQb8A4setI1N71Bb&#10;CMCOXv8F1WvhkbAJE4F9gU2jhcoaoppp+Yea5w6cylqiOeTuNtH/gxVfT3vPtKz5+9mSMwt9HNJO&#10;W8UW2ZzBURVzNnbvkzwx2me3Q/GDmMVNB7ZVmeTL2cW6abKz+K0kPcjFFofhC8qYA8eA2amx8X2C&#10;jB6wMQ/kfB+IGgMT8eN8WS5m5ZwzcYsVUN0KnafwWWHP0qXmJpLOwHDaUUhEoLqlpD4Wn7Qxed7G&#10;siEKni7muYDQaJmCKY18e9gYz06QNqZcLJezrCpGXqcl5C1Qd8nLocsueTxambt0CuSn6z2ANpd7&#10;ZGXs1aVkTNpUqg4oz3t/cy/OOtO/7mVaptfvXP3r71n/BAAA//8DAFBLAwQUAAYACAAAACEAzyYk&#10;SOAAAAAOAQAADwAAAGRycy9kb3ducmV2LnhtbEyPzU7DMBCE70i8g7VI3KidFAoKcSpA4sCp9EdC&#10;3Nx4SULidRS7Tfr2bA8Ibju7o9lv8uXkOnHEITSeNCQzBQKp9LahSsNu+3rzACJEQ9Z0nlDDCQMs&#10;i8uL3GTWj7TG4yZWgkMoZEZDHWOfSRnKGp0JM98j8e3LD85ElkMl7WBGDnedTJVaSGca4g+16fGl&#10;xrLdHJyGFis1tqvtafUR3r/v+udPm+7etL6+mp4eQUSc4p8ZzviMDgUz7f2BbBAd67lK2MpDOk/u&#10;QZwtaqFuQex/d7LI5f8axQ8AAAD//wMAUEsBAi0AFAAGAAgAAAAhALaDOJL+AAAA4QEAABMAAAAA&#10;AAAAAAAAAAAAAAAAAFtDb250ZW50X1R5cGVzXS54bWxQSwECLQAUAAYACAAAACEAOP0h/9YAAACU&#10;AQAACwAAAAAAAAAAAAAAAAAvAQAAX3JlbHMvLnJlbHNQSwECLQAUAAYACAAAACEAGEZIX9ABAACF&#10;AwAADgAAAAAAAAAAAAAAAAAuAgAAZHJzL2Uyb0RvYy54bWxQSwECLQAUAAYACAAAACEAzyYkSOAA&#10;AAAOAQAADwAAAAAAAAAAAAAAAAAqBAAAZHJzL2Rvd25yZXYueG1sUEsFBgAAAAAEAAQA8wAAADcF&#10;AAAAAA==&#10;" strokecolor="#007994" strokeweight=".25pt">
                <w10:wrap anchorx="page" anchory="page"/>
              </v:line>
            </w:pict>
          </mc:Fallback>
        </mc:AlternateContent>
      </w:r>
      <w:r w:rsidR="00083242">
        <w:rPr>
          <w:rFonts w:ascii="Tahoma" w:eastAsia="Tahoma" w:hAnsi="Tahoma"/>
          <w:color w:val="404042"/>
          <w:spacing w:val="7"/>
          <w:sz w:val="18"/>
        </w:rPr>
        <w:t>While many jurisdictions collect post-school destinations data, there is significant variability in the approaches used. Vocational education and training data, including statistics on VET delivered to secondary schools students, traineeships and apprenticeships, is brought together by the National Centre for Vocational Education Research (NCVER). The Australian Government separately holds higher education data, although universities and university admissions centres hold important additional information that is relevant to understanding student pathways. The Australian Government also collects labour market data.</w:t>
      </w:r>
    </w:p>
    <w:p w14:paraId="26A9D023" w14:textId="120BF8D3" w:rsidR="009757A9" w:rsidRDefault="00B8284D">
      <w:pPr>
        <w:tabs>
          <w:tab w:val="left" w:pos="1368"/>
        </w:tabs>
        <w:spacing w:before="1090" w:after="636" w:line="205" w:lineRule="exact"/>
        <w:ind w:left="864"/>
        <w:textAlignment w:val="baseline"/>
        <w:rPr>
          <w:rFonts w:ascii="Arial" w:eastAsia="Arial" w:hAnsi="Arial"/>
          <w:b/>
          <w:color w:val="5556A1"/>
          <w:spacing w:val="4"/>
          <w:sz w:val="18"/>
        </w:rPr>
      </w:pPr>
      <w:r>
        <w:rPr>
          <w:noProof/>
          <w:lang w:val="en-AU" w:eastAsia="en-AU"/>
        </w:rPr>
        <w:drawing>
          <wp:anchor distT="0" distB="0" distL="114300" distR="114300" simplePos="0" relativeHeight="252101120" behindDoc="1" locked="0" layoutInCell="1" allowOverlap="1" wp14:anchorId="042AD618" wp14:editId="70558434">
            <wp:simplePos x="0" y="0"/>
            <wp:positionH relativeFrom="page">
              <wp:align>right</wp:align>
            </wp:positionH>
            <wp:positionV relativeFrom="paragraph">
              <wp:posOffset>1195705</wp:posOffset>
            </wp:positionV>
            <wp:extent cx="7562215" cy="462915"/>
            <wp:effectExtent l="0" t="0" r="635" b="0"/>
            <wp:wrapNone/>
            <wp:docPr id="235" name="Picture"/>
            <wp:cNvGraphicFramePr/>
            <a:graphic xmlns:a="http://schemas.openxmlformats.org/drawingml/2006/main">
              <a:graphicData uri="http://schemas.openxmlformats.org/drawingml/2006/picture">
                <pic:pic xmlns:pic="http://schemas.openxmlformats.org/drawingml/2006/picture">
                  <pic:nvPicPr>
                    <pic:cNvPr id="235" name="Picture"/>
                    <pic:cNvPicPr preferRelativeResize="0"/>
                  </pic:nvPicPr>
                  <pic:blipFill>
                    <a:blip r:embed="rId319">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8"/>
        </w:rPr>
        <w:t>140</w:t>
      </w:r>
      <w:r w:rsidR="00083242">
        <w:rPr>
          <w:rFonts w:ascii="Tahoma" w:eastAsia="Tahoma" w:hAnsi="Tahoma"/>
          <w:color w:val="404042"/>
          <w:spacing w:val="4"/>
          <w:sz w:val="14"/>
        </w:rPr>
        <w:tab/>
        <w:t>Looking to the future</w:t>
      </w:r>
    </w:p>
    <w:p w14:paraId="5BA28D0E" w14:textId="2BA7BFCE" w:rsidR="009757A9" w:rsidRDefault="009757A9">
      <w:pPr>
        <w:textAlignment w:val="baseline"/>
      </w:pPr>
    </w:p>
    <w:p w14:paraId="060A30B9" w14:textId="77777777" w:rsidR="009757A9" w:rsidRDefault="009757A9">
      <w:pPr>
        <w:sectPr w:rsidR="009757A9">
          <w:pgSz w:w="11909" w:h="16838"/>
          <w:pgMar w:top="5599" w:right="0" w:bottom="0" w:left="0" w:header="720" w:footer="720" w:gutter="0"/>
          <w:cols w:space="720"/>
        </w:sectPr>
      </w:pPr>
    </w:p>
    <w:p w14:paraId="4FFBEC7E" w14:textId="77777777" w:rsidR="009757A9" w:rsidRDefault="00083242">
      <w:pPr>
        <w:spacing w:line="239" w:lineRule="exact"/>
        <w:ind w:left="864" w:right="1008"/>
        <w:textAlignment w:val="baseline"/>
        <w:rPr>
          <w:rFonts w:ascii="Tahoma" w:eastAsia="Tahoma" w:hAnsi="Tahoma"/>
          <w:color w:val="404042"/>
          <w:sz w:val="18"/>
        </w:rPr>
      </w:pPr>
      <w:r>
        <w:rPr>
          <w:rFonts w:ascii="Tahoma" w:eastAsia="Tahoma" w:hAnsi="Tahoma"/>
          <w:color w:val="404042"/>
          <w:sz w:val="18"/>
        </w:rPr>
        <w:lastRenderedPageBreak/>
        <w:t xml:space="preserve">There are major problems with current data collection arrangements, including inconsistency across jurisdictions and sectors, variations in access and the capacity to share information, and limited linkage between datasets. There are </w:t>
      </w:r>
      <w:r>
        <w:rPr>
          <w:rFonts w:ascii="Verdana" w:eastAsia="Verdana" w:hAnsi="Verdana"/>
          <w:color w:val="404042"/>
          <w:sz w:val="18"/>
        </w:rPr>
        <w:t xml:space="preserve">often long lag times between data collection and publication. There are significant costs associated with modifying </w:t>
      </w:r>
      <w:r>
        <w:rPr>
          <w:rFonts w:ascii="Tahoma" w:eastAsia="Tahoma" w:hAnsi="Tahoma"/>
          <w:color w:val="404042"/>
          <w:sz w:val="18"/>
        </w:rPr>
        <w:t>or redesigning systems to provide a coherent dataset. Consequently, policy insights often have to be derived from out-of-date or partial information.</w:t>
      </w:r>
    </w:p>
    <w:p w14:paraId="0EAC7BF6" w14:textId="77777777" w:rsidR="009757A9" w:rsidRDefault="00083242">
      <w:pPr>
        <w:spacing w:before="168" w:line="240" w:lineRule="exact"/>
        <w:ind w:left="864" w:right="1224"/>
        <w:textAlignment w:val="baseline"/>
        <w:rPr>
          <w:rFonts w:ascii="Tahoma" w:eastAsia="Tahoma" w:hAnsi="Tahoma"/>
          <w:color w:val="404042"/>
          <w:sz w:val="18"/>
        </w:rPr>
      </w:pPr>
      <w:r>
        <w:rPr>
          <w:rFonts w:ascii="Tahoma" w:eastAsia="Tahoma" w:hAnsi="Tahoma"/>
          <w:color w:val="404042"/>
          <w:sz w:val="18"/>
        </w:rPr>
        <w:t xml:space="preserve">The Panel has come to appreciate that none of the existing data collections, examined on their own, provide a clear </w:t>
      </w:r>
      <w:r>
        <w:rPr>
          <w:rFonts w:ascii="Verdana" w:eastAsia="Verdana" w:hAnsi="Verdana"/>
          <w:color w:val="404042"/>
          <w:sz w:val="18"/>
        </w:rPr>
        <w:t xml:space="preserve">picture of the senior secondary pathways landscape. Without connected datasets, it is difficult to draw meaningful </w:t>
      </w:r>
      <w:r>
        <w:rPr>
          <w:rFonts w:ascii="Tahoma" w:eastAsia="Tahoma" w:hAnsi="Tahoma"/>
          <w:color w:val="404042"/>
          <w:sz w:val="18"/>
        </w:rPr>
        <w:t>conclusions on educational outcomes for the purposes of policy development and implementation.</w:t>
      </w:r>
    </w:p>
    <w:p w14:paraId="0A1C4C36" w14:textId="77777777" w:rsidR="009757A9" w:rsidRDefault="00083242">
      <w:pPr>
        <w:spacing w:before="170" w:line="240" w:lineRule="exact"/>
        <w:ind w:left="864" w:right="1008"/>
        <w:textAlignment w:val="baseline"/>
        <w:rPr>
          <w:rFonts w:ascii="Verdana" w:eastAsia="Verdana" w:hAnsi="Verdana"/>
          <w:color w:val="404042"/>
          <w:sz w:val="18"/>
        </w:rPr>
      </w:pPr>
      <w:r>
        <w:rPr>
          <w:rFonts w:ascii="Verdana" w:eastAsia="Verdana" w:hAnsi="Verdana"/>
          <w:color w:val="404042"/>
          <w:sz w:val="18"/>
        </w:rPr>
        <w:t xml:space="preserve">To ensure interventions are effective, more information is needed on the what, why and how of students’ choices and decisions. That includes applying behavioural insights to the factors that influence and motivate the decision-making </w:t>
      </w:r>
      <w:r>
        <w:rPr>
          <w:rFonts w:ascii="Tahoma" w:eastAsia="Tahoma" w:hAnsi="Tahoma"/>
          <w:color w:val="404042"/>
          <w:sz w:val="18"/>
        </w:rPr>
        <w:t>of students.</w:t>
      </w:r>
    </w:p>
    <w:p w14:paraId="7AA45DCC" w14:textId="77777777" w:rsidR="009757A9" w:rsidRDefault="00083242">
      <w:pPr>
        <w:spacing w:before="171" w:line="240" w:lineRule="exact"/>
        <w:ind w:left="864" w:right="864"/>
        <w:textAlignment w:val="baseline"/>
        <w:rPr>
          <w:rFonts w:ascii="Tahoma" w:eastAsia="Tahoma" w:hAnsi="Tahoma"/>
          <w:color w:val="404042"/>
          <w:spacing w:val="3"/>
          <w:sz w:val="18"/>
        </w:rPr>
      </w:pPr>
      <w:r>
        <w:rPr>
          <w:rFonts w:ascii="Tahoma" w:eastAsia="Tahoma" w:hAnsi="Tahoma"/>
          <w:color w:val="404042"/>
          <w:spacing w:val="3"/>
          <w:sz w:val="18"/>
        </w:rPr>
        <w:t xml:space="preserve">Creating quality information about student pathways will involve identifying and collecting key data. Most importantly, however, it will require the integration of information from the schooling, vocational education and training, higher education and labour market sectors to create a comprehensive and seamless picture of the transitions landscape. Big data analytics can now identify trends and causations in a manner that was inconceivable a decade ago. But to be able </w:t>
      </w:r>
      <w:r>
        <w:rPr>
          <w:rFonts w:ascii="Verdana" w:eastAsia="Verdana" w:hAnsi="Verdana"/>
          <w:color w:val="404042"/>
          <w:spacing w:val="3"/>
          <w:sz w:val="18"/>
        </w:rPr>
        <w:t xml:space="preserve">to use that capacity effectively, we need an effective way to link datasets in order to properly understand individual and </w:t>
      </w:r>
      <w:r>
        <w:rPr>
          <w:rFonts w:ascii="Tahoma" w:eastAsia="Tahoma" w:hAnsi="Tahoma"/>
          <w:color w:val="404042"/>
          <w:spacing w:val="3"/>
          <w:sz w:val="18"/>
        </w:rPr>
        <w:t>collective pathways.</w:t>
      </w:r>
    </w:p>
    <w:p w14:paraId="0EAF656E" w14:textId="77777777" w:rsidR="009757A9" w:rsidRDefault="00083242">
      <w:pPr>
        <w:spacing w:before="389" w:line="281" w:lineRule="exact"/>
        <w:ind w:left="864"/>
        <w:textAlignment w:val="baseline"/>
        <w:rPr>
          <w:rFonts w:ascii="Arial" w:eastAsia="Arial" w:hAnsi="Arial"/>
          <w:b/>
          <w:color w:val="00708E"/>
          <w:spacing w:val="-1"/>
          <w:sz w:val="25"/>
        </w:rPr>
      </w:pPr>
      <w:r>
        <w:rPr>
          <w:rFonts w:ascii="Arial" w:eastAsia="Arial" w:hAnsi="Arial"/>
          <w:b/>
          <w:color w:val="00708E"/>
          <w:spacing w:val="-1"/>
          <w:sz w:val="25"/>
        </w:rPr>
        <w:t>Longitudinal studies</w:t>
      </w:r>
    </w:p>
    <w:p w14:paraId="79D2EC6C" w14:textId="77777777" w:rsidR="009757A9" w:rsidRDefault="00083242">
      <w:pPr>
        <w:spacing w:before="151" w:after="599" w:line="240" w:lineRule="exact"/>
        <w:ind w:left="864" w:right="936"/>
        <w:textAlignment w:val="baseline"/>
        <w:rPr>
          <w:rFonts w:ascii="Tahoma" w:eastAsia="Tahoma" w:hAnsi="Tahoma"/>
          <w:color w:val="404042"/>
          <w:sz w:val="18"/>
        </w:rPr>
      </w:pPr>
      <w:r>
        <w:rPr>
          <w:rFonts w:ascii="Tahoma" w:eastAsia="Tahoma" w:hAnsi="Tahoma"/>
          <w:color w:val="404042"/>
          <w:sz w:val="18"/>
        </w:rPr>
        <w:t>A key contributor to the Panel’s understanding of student pathways are longitudinal surveys. The Longitudinal Surveys of Australian Youth (LSAY), the Longitudinal Study of Indigenous Children (LSIC), and the Household, Income and Labour Dynamics in Australia (HILDA) Survey are all treasure troves of data.</w:t>
      </w:r>
    </w:p>
    <w:p w14:paraId="2BC4E5AB" w14:textId="77777777" w:rsidR="009757A9" w:rsidRDefault="000D2E34">
      <w:pPr>
        <w:spacing w:before="156" w:line="245" w:lineRule="exact"/>
        <w:ind w:left="1296"/>
        <w:textAlignment w:val="baseline"/>
        <w:rPr>
          <w:rFonts w:ascii="Tahoma" w:eastAsia="Tahoma" w:hAnsi="Tahoma"/>
          <w:i/>
          <w:color w:val="007994"/>
          <w:spacing w:val="-3"/>
        </w:rPr>
      </w:pPr>
      <w:r>
        <w:rPr>
          <w:noProof/>
          <w:lang w:val="en-AU" w:eastAsia="en-AU"/>
        </w:rPr>
        <mc:AlternateContent>
          <mc:Choice Requires="wps">
            <w:drawing>
              <wp:anchor distT="0" distB="0" distL="114300" distR="114300" simplePos="0" relativeHeight="251999744" behindDoc="0" locked="0" layoutInCell="1" allowOverlap="1" wp14:anchorId="6AEDB193" wp14:editId="3BC24BEA">
                <wp:simplePos x="0" y="0"/>
                <wp:positionH relativeFrom="page">
                  <wp:posOffset>826135</wp:posOffset>
                </wp:positionH>
                <wp:positionV relativeFrom="page">
                  <wp:posOffset>4961890</wp:posOffset>
                </wp:positionV>
                <wp:extent cx="5907405" cy="0"/>
                <wp:effectExtent l="0" t="0" r="0" b="0"/>
                <wp:wrapNone/>
                <wp:docPr id="34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1C5E0" id="Line 69" o:spid="_x0000_s1026" style="position:absolute;z-index:25199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390.7pt" to="530.2pt,3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ng70AEAAIUDAAAOAAAAZHJzL2Uyb0RvYy54bWysU01v2zAMvQ/YfxB0X+y0SboYcXpI1l2y&#10;LUDbH8BIcixMFgVJiZ1/P0r5WLfehl0ESiQfHx+pxePQGXZUPmi0NR+PSs6UFSi13df89eXp02fO&#10;QgQrwaBVNT+pwB+XHz8selepO2zRSOUZgdhQ9a7mbYyuKoogWtVBGKFTlpwN+g4iXf2+kB56Qu9M&#10;cVeWs6JHL51HoUKg1/XZyZcZv2mUiD+aJqjITM2JW8ynz+cuncVyAdXeg2u1uNCAf2DRgbZU9Aa1&#10;hgjs4PU7qE4LjwGbOBLYFdg0WqjcA3UzLv/q5rkFp3IvJE5wN5nC/4MV349bz7Ss+f2ERmWhoyFt&#10;tFVsNk/i9C5UFLOyW5/aE4N9dhsUPwOzuGrB7lUm+XJylDdOGcUfKekSHJXY9d9QUgwcImalhsZ3&#10;CZI0YEMeyOk2EDVEJuhxOi8fJuWUM3H1FVBdE50P8avCjiWj5oZIZ2A4bkJMRKC6hqQ6Fp+0MXne&#10;xrK+5rP7aZkTAhotkzOFBb/frYxnR0gbUz7M55PcFXnehiXkNYT2HJdd513yeLAyV2kVyC8XO4I2&#10;Z5tYGXtRKQlzlniH8rT1V/Vo1pn+ZS/TMr295+zfv2f5CwAA//8DAFBLAwQUAAYACAAAACEAv4+n&#10;AtwAAAAMAQAADwAAAGRycy9kb3ducmV2LnhtbEyPT0/DMAzF70h8h8hI3FhS/oypNJ3Q0E67wIbE&#10;1WtMW2icqsm67tvjSUhw87Ofnn+vWE6+UyMNsQ1sIZsZUMRVcC3XFt5365sFqJiQHXaBycKJIizL&#10;y4sCcxeO/EbjNtVKQjjmaKFJqc+1jlVDHuMs9MRy+wyDxyRyqLUb8CjhvtO3xsy1x5blQ4M9rRqq&#10;vrcHb2GNZvfqNpvwFT8eTitM2r3QaO311fT8BCrRlP7McMYXdCiFaR8O7KLqRN+ZTKwWHhfZPaiz&#10;w8yNTPvflS4L/b9E+QMAAP//AwBQSwECLQAUAAYACAAAACEAtoM4kv4AAADhAQAAEwAAAAAAAAAA&#10;AAAAAAAAAAAAW0NvbnRlbnRfVHlwZXNdLnhtbFBLAQItABQABgAIAAAAIQA4/SH/1gAAAJQBAAAL&#10;AAAAAAAAAAAAAAAAAC8BAABfcmVscy8ucmVsc1BLAQItABQABgAIAAAAIQAn4ng70AEAAIUDAAAO&#10;AAAAAAAAAAAAAAAAAC4CAABkcnMvZTJvRG9jLnhtbFBLAQItABQABgAIAAAAIQC/j6cC3AAAAAwB&#10;AAAPAAAAAAAAAAAAAAAAACoEAABkcnMvZG93bnJldi54bWxQSwUGAAAAAAQABADzAAAAMwUAAAAA&#10;" strokecolor="#007994" strokeweight=".5pt">
                <w10:wrap anchorx="page" anchory="page"/>
              </v:line>
            </w:pict>
          </mc:Fallback>
        </mc:AlternateContent>
      </w:r>
      <w:r w:rsidR="00083242">
        <w:rPr>
          <w:rFonts w:ascii="Tahoma" w:eastAsia="Tahoma" w:hAnsi="Tahoma"/>
          <w:i/>
          <w:color w:val="007994"/>
          <w:spacing w:val="-3"/>
        </w:rPr>
        <w:t>“... good data is vital for informed public policy solutions and we encourage support for the</w:t>
      </w:r>
    </w:p>
    <w:p w14:paraId="3BABA378" w14:textId="77777777" w:rsidR="009757A9" w:rsidRDefault="00083242">
      <w:pPr>
        <w:spacing w:before="53" w:line="248" w:lineRule="exact"/>
        <w:ind w:left="1296"/>
        <w:textAlignment w:val="baseline"/>
        <w:rPr>
          <w:rFonts w:ascii="Tahoma" w:eastAsia="Tahoma" w:hAnsi="Tahoma"/>
          <w:i/>
          <w:color w:val="007994"/>
          <w:spacing w:val="-2"/>
        </w:rPr>
      </w:pPr>
      <w:r>
        <w:rPr>
          <w:rFonts w:ascii="Tahoma" w:eastAsia="Tahoma" w:hAnsi="Tahoma"/>
          <w:i/>
          <w:color w:val="007994"/>
          <w:spacing w:val="-2"/>
        </w:rPr>
        <w:t>creation of databases and the research they make possible into young peoples’ choices</w:t>
      </w:r>
    </w:p>
    <w:p w14:paraId="42AAFDF9" w14:textId="77777777" w:rsidR="009757A9" w:rsidRDefault="00083242">
      <w:pPr>
        <w:spacing w:before="54" w:line="249" w:lineRule="exact"/>
        <w:ind w:left="1296"/>
        <w:textAlignment w:val="baseline"/>
        <w:rPr>
          <w:rFonts w:ascii="Tahoma" w:eastAsia="Tahoma" w:hAnsi="Tahoma"/>
          <w:i/>
          <w:color w:val="007994"/>
          <w:spacing w:val="-3"/>
        </w:rPr>
      </w:pPr>
      <w:r>
        <w:rPr>
          <w:rFonts w:ascii="Tahoma" w:eastAsia="Tahoma" w:hAnsi="Tahoma"/>
          <w:i/>
          <w:color w:val="007994"/>
          <w:spacing w:val="-3"/>
        </w:rPr>
        <w:t>and pathways.”</w:t>
      </w:r>
    </w:p>
    <w:p w14:paraId="34DE08F5" w14:textId="77777777" w:rsidR="009757A9" w:rsidRDefault="00083242">
      <w:pPr>
        <w:spacing w:before="49" w:after="224" w:line="245" w:lineRule="exact"/>
        <w:ind w:left="7560"/>
        <w:textAlignment w:val="baseline"/>
        <w:rPr>
          <w:rFonts w:ascii="Tahoma" w:eastAsia="Tahoma" w:hAnsi="Tahoma"/>
          <w:i/>
          <w:color w:val="007994"/>
          <w:spacing w:val="-2"/>
        </w:rPr>
      </w:pPr>
      <w:r>
        <w:rPr>
          <w:rFonts w:ascii="Tahoma" w:eastAsia="Tahoma" w:hAnsi="Tahoma"/>
          <w:i/>
          <w:color w:val="007994"/>
          <w:spacing w:val="-2"/>
        </w:rPr>
        <w:t>University of Sydney submission</w:t>
      </w:r>
    </w:p>
    <w:p w14:paraId="450A6E21" w14:textId="77777777" w:rsidR="009757A9" w:rsidRDefault="000D2E34">
      <w:pPr>
        <w:spacing w:before="462" w:line="240" w:lineRule="exact"/>
        <w:ind w:left="864" w:right="1080"/>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2000768" behindDoc="0" locked="0" layoutInCell="1" allowOverlap="1" wp14:anchorId="27E71F0F" wp14:editId="689F4E20">
                <wp:simplePos x="0" y="0"/>
                <wp:positionH relativeFrom="page">
                  <wp:posOffset>826135</wp:posOffset>
                </wp:positionH>
                <wp:positionV relativeFrom="page">
                  <wp:posOffset>5934710</wp:posOffset>
                </wp:positionV>
                <wp:extent cx="5907405" cy="0"/>
                <wp:effectExtent l="0" t="0" r="0" b="0"/>
                <wp:wrapNone/>
                <wp:docPr id="347"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83D78" id="Line 68" o:spid="_x0000_s1026" style="position:absolute;z-index:25200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467.3pt" to="530.2pt,4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BCu0QEAAIUDAAAOAAAAZHJzL2Uyb0RvYy54bWysU01vGyEQvVfqf0Dc610n/ohXXudgN724&#10;raWkP2AM7C4qMAiwd/3vC/gjaXuLckEDM/PmzZth+ThoRY7CeYmmpuNRSYkwDLk0bU1/vTx9eaDE&#10;BzAcFBpR05Pw9HH1+dOyt5W4ww4VF45EEOOr3ta0C8FWReFZJzT4EVphorNBpyHEq2sL7qCP6FoV&#10;d2U5K3p03Dpkwvv4ujk76SrjN41g4WfTeBGIqmnkFvLp8rlPZ7FaQtU6sJ1kFxrwDhYapIlFb1Ab&#10;CEAOTv4HpSVz6LEJI4a6wKaRTOQeYjfj8p9unjuwIvcSxfH2JpP/OFj247hzRPKa3k/mlBjQcUhb&#10;aQSZPSRxeuurGLM2O5faY4N5tltkvz0xuO7AtCKTfDnZmDdOGcVfKenibSyx778jjzFwCJiVGhqn&#10;E2TUgAx5IKfbQMQQCIuP00U5n5RTStjVV0B1TbTOh28CNUlGTVUknYHhuPUhEYHqGpLqGHySSuV5&#10;K0P6ms7up2VO8KgkT84U5l27XytHjpA2ppwvFpPcVfS8DUvIG/DdOS67zrvk8GB4rtIJ4F8vdgCp&#10;znZkpcxFpSTMWeI98tPOXdWLs870L3uZluntPWe//p7VHwAAAP//AwBQSwMEFAAGAAgAAAAhAPO0&#10;LsfcAAAADAEAAA8AAABkcnMvZG93bnJldi54bWxMj8FuwjAMhu+T9g6RkXYbCYNVo2uKJiZOXDZA&#10;2tU0pu1onKoJpbz9gjQJjr/96ffnbDHYRvTU+dqxhslYgSAunKm51LDbrp7fQPiAbLBxTBou5GGR&#10;Pz5kmBp35m/qN6EUsYR9ihqqENpUSl9UZNGPXUscdwfXWQwxdqU0HZ5juW3ki1KJtFhzvFBhS8uK&#10;iuPmZDWsUG2/zHrtfv3P62WJQZpP6rV+Gg0f7yACDeEGw1U/qkMenfbuxMaLJuapmkRUw3w6S0Bc&#10;CZWoGYj9/0jmmbx/Iv8DAAD//wMAUEsBAi0AFAAGAAgAAAAhALaDOJL+AAAA4QEAABMAAAAAAAAA&#10;AAAAAAAAAAAAAFtDb250ZW50X1R5cGVzXS54bWxQSwECLQAUAAYACAAAACEAOP0h/9YAAACUAQAA&#10;CwAAAAAAAAAAAAAAAAAvAQAAX3JlbHMvLnJlbHNQSwECLQAUAAYACAAAACEA2fQQrtEBAACFAwAA&#10;DgAAAAAAAAAAAAAAAAAuAgAAZHJzL2Uyb0RvYy54bWxQSwECLQAUAAYACAAAACEA87Qux9wAAAAM&#10;AQAADwAAAAAAAAAAAAAAAAArBAAAZHJzL2Rvd25yZXYueG1sUEsFBgAAAAAEAAQA8wAAADQFAAAA&#10;AA==&#10;" strokecolor="#007994" strokeweight=".5pt">
                <w10:wrap anchorx="page" anchory="page"/>
              </v:line>
            </w:pict>
          </mc:Fallback>
        </mc:AlternateContent>
      </w:r>
      <w:r w:rsidR="00083242">
        <w:rPr>
          <w:rFonts w:ascii="Tahoma" w:eastAsia="Tahoma" w:hAnsi="Tahoma"/>
          <w:color w:val="404042"/>
          <w:sz w:val="18"/>
        </w:rPr>
        <w:t xml:space="preserve">While acknowledging limitations (including the sample sizes and attrition rates of participants), LSAY is one of the few </w:t>
      </w:r>
      <w:r w:rsidR="00083242">
        <w:rPr>
          <w:rFonts w:ascii="Verdana" w:eastAsia="Verdana" w:hAnsi="Verdana"/>
          <w:color w:val="404042"/>
          <w:sz w:val="18"/>
        </w:rPr>
        <w:t xml:space="preserve">surveys that provides insights into how young people move from schooling through a range of different pathways </w:t>
      </w:r>
      <w:r w:rsidR="00083242">
        <w:rPr>
          <w:rFonts w:ascii="Tahoma" w:eastAsia="Tahoma" w:hAnsi="Tahoma"/>
          <w:color w:val="404042"/>
          <w:sz w:val="18"/>
        </w:rPr>
        <w:t>into the workforce. It provides rich information on the background of individuals. Its data supports sophisticated, multivariable analysis that delivers genuine policy insights.</w:t>
      </w:r>
    </w:p>
    <w:p w14:paraId="3C2FBAA2" w14:textId="77777777" w:rsidR="009757A9" w:rsidRDefault="00083242">
      <w:pPr>
        <w:spacing w:before="172" w:after="1075"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The other advantage of longitudinal surveys is their ability to allow us to look at the impact of social and economic shocks to behaviour over time. Researchers from NCVER were able to use LSAY data, for instance, to examine the </w:t>
      </w:r>
      <w:r>
        <w:rPr>
          <w:rFonts w:ascii="Verdana" w:eastAsia="Verdana" w:hAnsi="Verdana"/>
          <w:color w:val="404042"/>
          <w:sz w:val="18"/>
        </w:rPr>
        <w:t xml:space="preserve">impact of the 2008 global financial crisis on the labour market outcomes of young people. They identified that the most </w:t>
      </w:r>
      <w:r>
        <w:rPr>
          <w:rFonts w:ascii="Tahoma" w:eastAsia="Tahoma" w:hAnsi="Tahoma"/>
          <w:color w:val="404042"/>
          <w:sz w:val="18"/>
        </w:rPr>
        <w:t xml:space="preserve">persistent negative employment impacts fell on the group that would have been aged approximately 18 years old when </w:t>
      </w:r>
      <w:r>
        <w:rPr>
          <w:rFonts w:ascii="Verdana" w:eastAsia="Verdana" w:hAnsi="Verdana"/>
          <w:color w:val="404042"/>
          <w:sz w:val="18"/>
        </w:rPr>
        <w:t xml:space="preserve">the effects of the crisis became apparent, as opposed to those who were slightly older, the bulk of whom had already </w:t>
      </w:r>
      <w:r>
        <w:rPr>
          <w:rFonts w:ascii="Tahoma" w:eastAsia="Tahoma" w:hAnsi="Tahoma"/>
          <w:color w:val="404042"/>
          <w:sz w:val="18"/>
        </w:rPr>
        <w:t>transitioned from school to either the labour market or into further education and training.</w:t>
      </w:r>
      <w:r>
        <w:rPr>
          <w:rFonts w:ascii="Tahoma" w:eastAsia="Tahoma" w:hAnsi="Tahoma"/>
          <w:color w:val="404042"/>
          <w:sz w:val="18"/>
          <w:vertAlign w:val="superscript"/>
        </w:rPr>
        <w:t>216</w:t>
      </w:r>
      <w:r>
        <w:rPr>
          <w:rFonts w:ascii="Verdana" w:eastAsia="Verdana" w:hAnsi="Verdana"/>
          <w:color w:val="404042"/>
          <w:sz w:val="18"/>
        </w:rPr>
        <w:t xml:space="preserve"> These findings provide </w:t>
      </w:r>
      <w:r>
        <w:rPr>
          <w:rFonts w:ascii="Tahoma" w:eastAsia="Tahoma" w:hAnsi="Tahoma"/>
          <w:color w:val="404042"/>
          <w:sz w:val="18"/>
        </w:rPr>
        <w:t>valuable insights for policymakers in responding to future economic shocks, such as that resulting from the COVID-19 pandemic. We need to understand how entry to the world of work will be impacted by the long-term economic consequences of a profound global economic downturn.</w:t>
      </w:r>
    </w:p>
    <w:p w14:paraId="0E17C01B" w14:textId="77777777" w:rsidR="009757A9" w:rsidRDefault="000D2E34">
      <w:pPr>
        <w:spacing w:before="56" w:line="196" w:lineRule="exact"/>
        <w:ind w:left="1080" w:right="1008" w:hanging="216"/>
        <w:textAlignment w:val="baseline"/>
        <w:rPr>
          <w:rFonts w:ascii="Tahoma" w:eastAsia="Tahoma" w:hAnsi="Tahoma"/>
          <w:color w:val="404042"/>
          <w:sz w:val="14"/>
        </w:rPr>
      </w:pPr>
      <w:r>
        <w:rPr>
          <w:noProof/>
          <w:lang w:val="en-AU" w:eastAsia="en-AU"/>
        </w:rPr>
        <mc:AlternateContent>
          <mc:Choice Requires="wps">
            <w:drawing>
              <wp:anchor distT="0" distB="0" distL="114300" distR="114300" simplePos="0" relativeHeight="252001792" behindDoc="0" locked="0" layoutInCell="1" allowOverlap="1" wp14:anchorId="42850CFF" wp14:editId="055077A5">
                <wp:simplePos x="0" y="0"/>
                <wp:positionH relativeFrom="page">
                  <wp:posOffset>539750</wp:posOffset>
                </wp:positionH>
                <wp:positionV relativeFrom="page">
                  <wp:posOffset>9006840</wp:posOffset>
                </wp:positionV>
                <wp:extent cx="917575" cy="0"/>
                <wp:effectExtent l="0" t="0" r="0" b="0"/>
                <wp:wrapNone/>
                <wp:docPr id="34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043D1" id="Line 67" o:spid="_x0000_s1026" style="position:absolute;z-index:25200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09.2pt" to="114.75pt,7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QXzQEAAIUDAAAOAAAAZHJzL2Uyb0RvYy54bWysU02T0zAMvTPDf/D4TpMW2kKm6R5alkuB&#10;zuzyA1TbSTw4lsd2m/TfI7sfu8CNIQePZUlPT0/K6mHsDTspHzTamk8nJWfKCpTatjX/8fz47iNn&#10;IYKVYNCqmp9V4A/rt29Wg6vUDDs0UnlGIDZUg6t5F6OriiKITvUQJuiUJWeDvodIpm8L6WEg9N4U&#10;s7JcFAN66TwKFQK9bi9Ovs74TaNE/N40QUVmak7cYj59Pg/pLNYrqFoPrtPiSgP+gUUP2lLRO9QW&#10;IrCj139B9Vp4DNjEicC+wKbRQuUeqJtp+Uc3Tx04lXshcYK7yxT+H6z4dtp7pmXN339YcGahpyHt&#10;tFVssUziDC5UFLOxe5/aE6N9cjsUPwOzuOnAtiqTfD47ypumjOK3lGQERyUOw1eUFAPHiFmpsfF9&#10;giQN2JgHcr4PRI2RCXr8NF3Ol3POxM1VQHXLcz7ELwp7li41N8Q548JpF2LiAdUtJJWx+KiNyeM2&#10;lg1EdlYu5jkjoNEyeVNc8O1hYzw7QdqY/OWuyPM6LEFvIXSXuOy67JLHo5W5TKdAfr7eI2hzuRMt&#10;Y68qJWEuEh9Qnvf+ph7NOvO/7mVaptd2zn75e9a/AAAA//8DAFBLAwQUAAYACAAAACEAA4Vvl98A&#10;AAAMAQAADwAAAGRycy9kb3ducmV2LnhtbEyPwU7DMBBE70j8g7WVuCDqNEorE+JUqBLcQNCC6NGN&#10;t0lEvI5itwl/z3JAcNzZ0cybYj25TpxxCK0nDYt5AgKp8ralWsPb7uFGgQjRkDWdJ9TwhQHW5eVF&#10;YXLrR3rF8zbWgkMo5EZDE2OfSxmqBp0Jc98j8e/oB2cin0Mt7WBGDnedTJNkJZ1piRsa0+Omwepz&#10;e3IapExUNr1/jE/ZdVDtflPvH59ftL6aTfd3ICJO8c8MP/iMDiUzHfyJbBCdBrXkKZH1bKEyEOxI&#10;09sliMOvJMtC/h9RfgMAAP//AwBQSwECLQAUAAYACAAAACEAtoM4kv4AAADhAQAAEwAAAAAAAAAA&#10;AAAAAAAAAAAAW0NvbnRlbnRfVHlwZXNdLnhtbFBLAQItABQABgAIAAAAIQA4/SH/1gAAAJQBAAAL&#10;AAAAAAAAAAAAAAAAAC8BAABfcmVscy8ucmVsc1BLAQItABQABgAIAAAAIQD6lrQXzQEAAIUDAAAO&#10;AAAAAAAAAAAAAAAAAC4CAABkcnMvZTJvRG9jLnhtbFBLAQItABQABgAIAAAAIQADhW+X3wAAAAwB&#10;AAAPAAAAAAAAAAAAAAAAACcEAABkcnMvZG93bnJldi54bWxQSwUGAAAAAAQABADzAAAAMwUAAAAA&#10;" strokeweight=".95pt">
                <w10:wrap anchorx="page" anchory="page"/>
              </v:line>
            </w:pict>
          </mc:Fallback>
        </mc:AlternateContent>
      </w:r>
      <w:r w:rsidR="00083242">
        <w:rPr>
          <w:rFonts w:ascii="Tahoma" w:eastAsia="Tahoma" w:hAnsi="Tahoma"/>
          <w:color w:val="404042"/>
          <w:sz w:val="14"/>
        </w:rPr>
        <w:t xml:space="preserve">216 Stanwick, J. Forrest, C. and Skujins, P. (2017), </w:t>
      </w:r>
      <w:r w:rsidR="00083242">
        <w:rPr>
          <w:rFonts w:ascii="Arial" w:eastAsia="Arial" w:hAnsi="Arial"/>
          <w:i/>
          <w:color w:val="404042"/>
          <w:sz w:val="14"/>
        </w:rPr>
        <w:t>Who Are the Persistently NEET Young People?</w:t>
      </w:r>
      <w:r w:rsidR="00083242">
        <w:rPr>
          <w:rFonts w:ascii="Verdana" w:eastAsia="Verdana" w:hAnsi="Verdana"/>
          <w:color w:val="404042"/>
          <w:sz w:val="13"/>
        </w:rPr>
        <w:t xml:space="preserve">, National Centre for Vocational Education Research, p. 28, </w:t>
      </w:r>
      <w:hyperlink r:id="rId320">
        <w:r w:rsidR="00083242">
          <w:rPr>
            <w:rFonts w:ascii="Verdana" w:eastAsia="Verdana" w:hAnsi="Verdana"/>
            <w:color w:val="0000FF"/>
            <w:sz w:val="13"/>
            <w:u w:val="single"/>
          </w:rPr>
          <w:t>https://www.ncver.edu.au/__data/assets/pdf_file/0016/1073041/Who</w:t>
        </w:r>
      </w:hyperlink>
      <w:r w:rsidR="00083242">
        <w:rPr>
          <w:rFonts w:ascii="Tahoma" w:eastAsia="Tahoma" w:hAnsi="Tahoma"/>
          <w:color w:val="0000FF"/>
          <w:sz w:val="14"/>
          <w:u w:val="single"/>
        </w:rPr>
        <w:t>-are-the-persistently-NEET-young-people.pdf</w:t>
      </w:r>
      <w:r w:rsidR="00083242">
        <w:rPr>
          <w:rFonts w:ascii="Tahoma" w:eastAsia="Tahoma" w:hAnsi="Tahoma"/>
          <w:color w:val="404042"/>
          <w:sz w:val="14"/>
        </w:rPr>
        <w:t>.</w:t>
      </w:r>
    </w:p>
    <w:p w14:paraId="40318AD3" w14:textId="77777777" w:rsidR="009757A9" w:rsidRDefault="00083242">
      <w:pPr>
        <w:spacing w:before="631" w:after="638" w:line="209" w:lineRule="exact"/>
        <w:ind w:left="7704"/>
        <w:textAlignment w:val="baseline"/>
        <w:rPr>
          <w:rFonts w:ascii="Tahoma" w:eastAsia="Tahoma" w:hAnsi="Tahoma"/>
          <w:color w:val="404042"/>
          <w:spacing w:val="7"/>
          <w:sz w:val="14"/>
        </w:rPr>
      </w:pPr>
      <w:r>
        <w:rPr>
          <w:rFonts w:ascii="Tahoma" w:eastAsia="Tahoma" w:hAnsi="Tahoma"/>
          <w:color w:val="404042"/>
          <w:spacing w:val="7"/>
          <w:sz w:val="14"/>
        </w:rPr>
        <w:t>Chapter 7: Creating evidence-based policy</w:t>
      </w:r>
      <w:r>
        <w:rPr>
          <w:rFonts w:ascii="Arial" w:eastAsia="Arial" w:hAnsi="Arial"/>
          <w:b/>
          <w:color w:val="5556A1"/>
          <w:spacing w:val="7"/>
          <w:sz w:val="19"/>
        </w:rPr>
        <w:t xml:space="preserve"> 141</w:t>
      </w:r>
    </w:p>
    <w:p w14:paraId="47A79146" w14:textId="77777777" w:rsidR="009757A9" w:rsidRDefault="00083242">
      <w:pPr>
        <w:textAlignment w:val="baseline"/>
      </w:pPr>
      <w:r>
        <w:rPr>
          <w:noProof/>
          <w:lang w:val="en-AU" w:eastAsia="en-AU"/>
        </w:rPr>
        <w:drawing>
          <wp:inline distT="0" distB="0" distL="0" distR="0" wp14:anchorId="7B0AA2B8" wp14:editId="62116C5F">
            <wp:extent cx="7562215" cy="462915"/>
            <wp:effectExtent l="0" t="0" r="0" b="0"/>
            <wp:docPr id="236" name="Picture"/>
            <wp:cNvGraphicFramePr/>
            <a:graphic xmlns:a="http://schemas.openxmlformats.org/drawingml/2006/main">
              <a:graphicData uri="http://schemas.openxmlformats.org/drawingml/2006/picture">
                <pic:pic xmlns:pic="http://schemas.openxmlformats.org/drawingml/2006/picture">
                  <pic:nvPicPr>
                    <pic:cNvPr id="236" name="Picture"/>
                    <pic:cNvPicPr preferRelativeResize="0"/>
                  </pic:nvPicPr>
                  <pic:blipFill>
                    <a:blip r:embed="rId84"/>
                    <a:stretch>
                      <a:fillRect/>
                    </a:stretch>
                  </pic:blipFill>
                  <pic:spPr>
                    <a:xfrm>
                      <a:off x="0" y="0"/>
                      <a:ext cx="7562215" cy="462915"/>
                    </a:xfrm>
                    <a:prstGeom prst="rect">
                      <a:avLst/>
                    </a:prstGeom>
                  </pic:spPr>
                </pic:pic>
              </a:graphicData>
            </a:graphic>
          </wp:inline>
        </w:drawing>
      </w:r>
    </w:p>
    <w:p w14:paraId="027D155B" w14:textId="77777777" w:rsidR="009757A9" w:rsidRDefault="009757A9">
      <w:pPr>
        <w:sectPr w:rsidR="009757A9">
          <w:pgSz w:w="11909" w:h="16838"/>
          <w:pgMar w:top="1080" w:right="0" w:bottom="0" w:left="0" w:header="720" w:footer="720" w:gutter="0"/>
          <w:cols w:space="720"/>
        </w:sectPr>
      </w:pPr>
    </w:p>
    <w:p w14:paraId="13A8FF41" w14:textId="67B66314"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w:lastRenderedPageBreak/>
        <mc:AlternateContent>
          <mc:Choice Requires="wps">
            <w:drawing>
              <wp:anchor distT="0" distB="317500" distL="545465" distR="536575" simplePos="0" relativeHeight="251748864" behindDoc="1" locked="0" layoutInCell="1" allowOverlap="1" wp14:anchorId="51775858" wp14:editId="289E007E">
                <wp:simplePos x="0" y="0"/>
                <wp:positionH relativeFrom="page">
                  <wp:posOffset>545465</wp:posOffset>
                </wp:positionH>
                <wp:positionV relativeFrom="page">
                  <wp:posOffset>723900</wp:posOffset>
                </wp:positionV>
                <wp:extent cx="6480175" cy="1369060"/>
                <wp:effectExtent l="0" t="0" r="15875" b="21590"/>
                <wp:wrapSquare wrapText="bothSides"/>
                <wp:docPr id="34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369060"/>
                        </a:xfrm>
                        <a:prstGeom prst="rect">
                          <a:avLst/>
                        </a:prstGeom>
                        <a:solidFill>
                          <a:srgbClr val="DFE6EB"/>
                        </a:solidFill>
                        <a:ln w="9525">
                          <a:solidFill>
                            <a:srgbClr val="000000"/>
                          </a:solidFill>
                          <a:miter lim="800000"/>
                          <a:headEnd/>
                          <a:tailEnd/>
                        </a:ln>
                      </wps:spPr>
                      <wps:txbx>
                        <w:txbxContent>
                          <w:p w14:paraId="689227D1"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75858" id="Text Box 66" o:spid="_x0000_s1407" type="#_x0000_t202" style="position:absolute;left:0;text-align:left;margin-left:42.95pt;margin-top:57pt;width:510.25pt;height:107.8pt;z-index:-251567616;visibility:visible;mso-wrap-style:square;mso-width-percent:0;mso-height-percent:0;mso-wrap-distance-left:42.95pt;mso-wrap-distance-top:0;mso-wrap-distance-right:42.25pt;mso-wrap-distance-bottom: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LuKwIAAE0EAAAOAAAAZHJzL2Uyb0RvYy54bWysVNtu2zAMfR+wfxD0vthJGy814hRtLsOA&#10;7gK0+wBZlm1hsqhJSuzs60fJSVp028swPwiURB4dHpJe3g6dIgdhnQRd0OkkpURoDpXUTUG/Pe3e&#10;LShxnumKKdCioEfh6O3q7Ztlb3IxgxZUJSxBEO3y3hS09d7kSeJ4KzrmJmCExssabMc8bm2TVJb1&#10;iN6pZJamWdKDrYwFLpzD0814SVcRv64F91/q2glPVEGRm4+rjWsZ1mS1ZHljmWklP9Fg/8CiY1Lj&#10;oxeoDfOM7K38DaqT3IKD2k84dAnUteQi5oDZTNNX2Ty2zIiYC4rjzEUm9/9g+efDV0tkVdCr6zkl&#10;mnVYpCcxeHIPA8myIFBvXI5+jwY9/YDnWOiYrDMPwL87omHdMt2IO2uhbwWrkOA0RCYvQkccF0DK&#10;/hNU+A7be4hAQ227oB7qQRAdC3W8FCdw4XiYXS/S6XvkyPFuepXdpFksX8Lyc7ixzn8Q0JFgFNRi&#10;9SM8Ozw4H+iw/OwSXnOgZLWTSsWNbcq1suTAsFM2u222vY8ZvHJTmvQFvZnP5qMCf4VI4/cniE56&#10;bHklu4IuLk4sD7ptdRUb0jOpRhspK30SMmg3quiHchiLtog6B5lLqI6orYWxx3Em0WjB/qSkx/4u&#10;qPuxZ1ZQoj5qrE8YhrNhz0Z5NpjmGFpQT8lorv04NHtjZdMi8tgBGu6whrWM6j6zOBHGno2in+Yr&#10;DMXLffR6/gusfgEAAP//AwBQSwMEFAAGAAgAAAAhAAQtxj/hAAAACwEAAA8AAABkcnMvZG93bnJl&#10;di54bWxMj0FPg0AQhe8m/ofNmHizC9gSiixNYzTReLLaQ28LOwVSdpawW4r/3ulJjzPz3pvvFZvZ&#10;9mLC0XeOFMSLCARS7UxHjYLvr9eHDIQPmozuHaGCH/SwKW9vCp0bd6FPnHahERxCPtcK2hCGXEpf&#10;t2i1X7gBiW9HN1odeBwbaUZ94XDbyySKUml1R/yh1QM+t1ifdmfLGMl0fGlOW/3xtkrj4X3fVdmh&#10;U+r+bt4+gQg4hz8xXPHZAyUzVe5MxoteQbZas5L38ZI7XQVxlC5BVAoek3UKsizk/w7lLwAAAP//&#10;AwBQSwECLQAUAAYACAAAACEAtoM4kv4AAADhAQAAEwAAAAAAAAAAAAAAAAAAAAAAW0NvbnRlbnRf&#10;VHlwZXNdLnhtbFBLAQItABQABgAIAAAAIQA4/SH/1gAAAJQBAAALAAAAAAAAAAAAAAAAAC8BAABf&#10;cmVscy8ucmVsc1BLAQItABQABgAIAAAAIQDdQFLuKwIAAE0EAAAOAAAAAAAAAAAAAAAAAC4CAABk&#10;cnMvZTJvRG9jLnhtbFBLAQItABQABgAIAAAAIQAELcY/4QAAAAsBAAAPAAAAAAAAAAAAAAAAAIUE&#10;AABkcnMvZG93bnJldi54bWxQSwUGAAAAAAQABADzAAAAkwUAAAAA&#10;" fillcolor="#dfe6eb">
                <v:textbox inset="0,0,0,0">
                  <w:txbxContent>
                    <w:p w14:paraId="689227D1"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750912" behindDoc="1" locked="0" layoutInCell="1" allowOverlap="1" wp14:anchorId="1F640DB2" wp14:editId="5B03DFB0">
                <wp:simplePos x="0" y="0"/>
                <wp:positionH relativeFrom="page">
                  <wp:posOffset>597535</wp:posOffset>
                </wp:positionH>
                <wp:positionV relativeFrom="page">
                  <wp:posOffset>965835</wp:posOffset>
                </wp:positionV>
                <wp:extent cx="6428105" cy="984885"/>
                <wp:effectExtent l="0" t="0" r="0" b="0"/>
                <wp:wrapSquare wrapText="bothSides"/>
                <wp:docPr id="34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984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13FC0"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19</w:t>
                            </w:r>
                          </w:p>
                          <w:p w14:paraId="78879086" w14:textId="77777777" w:rsidR="00490F33" w:rsidRDefault="00490F33">
                            <w:pPr>
                              <w:spacing w:before="160" w:after="139" w:line="240" w:lineRule="exact"/>
                              <w:ind w:left="504" w:right="720"/>
                              <w:textAlignment w:val="baseline"/>
                              <w:rPr>
                                <w:rFonts w:ascii="Tahoma" w:eastAsia="Tahoma" w:hAnsi="Tahoma"/>
                                <w:color w:val="404042"/>
                                <w:spacing w:val="4"/>
                                <w:sz w:val="18"/>
                              </w:rPr>
                            </w:pPr>
                            <w:r>
                              <w:rPr>
                                <w:rFonts w:ascii="Tahoma" w:eastAsia="Tahoma" w:hAnsi="Tahoma"/>
                                <w:color w:val="404042"/>
                                <w:spacing w:val="4"/>
                                <w:sz w:val="18"/>
                              </w:rPr>
                              <w:t>Education policy needs to be based on evidence about the pathways from school taken by young people and, for that reason, governments should continue to invest in longitudinal studies, such as the Longitudinal Surveys of Australian Youth (LSAY), the Longitudinal Study of Indigenous Children (LSIC) and the Household, Income and Labour Dynamics in Australia (HILDA) 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40DB2" id="Text Box 64" o:spid="_x0000_s1408" type="#_x0000_t202" style="position:absolute;left:0;text-align:left;margin-left:47.05pt;margin-top:76.05pt;width:506.15pt;height:77.55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M8AEAAMIDAAAOAAAAZHJzL2Uyb0RvYy54bWysU9tu2zAMfR+wfxD0vjhJ08Az4hRdiw4D&#10;ugvQ7gMYWY6F2aJGKbGzrx8lx1m3vQ17ESiKPDw8pDY3Q9eKoyZv0JZyMZtLoa3Cyth9Kb8+P7zJ&#10;pfABbAUtWl3Kk/byZvv61aZ3hV5ig22lSTCI9UXvStmE4Ios86rRHfgZOm35sUbqIPCV9llF0DN6&#10;12bL+Xyd9UiVI1Tae/bej49ym/DrWqvwua69DqItJXML6aR07uKZbTdQ7AlcY9SZBvwDiw6M5aIX&#10;qHsIIA5k/oLqjCL0WIeZwi7DujZKpx64m8X8j26eGnA69cLieHeRyf8/WPXp+IWEqUp5tbqSwkLH&#10;Q3rWQxDvcBDrVRSod77guCfHkWFgPw86NevdI6pvXli8a8Du9S0R9o2GigkuYmb2InXE8RFk13/E&#10;iuvAIWACGmrqonqsh2B0HtTpMpzIRbFzvVrmi/m1FIrf3uarPL9OJaCYsh358F5jJ6JRSuLhJ3Q4&#10;PvoQ2UAxhcRiFh9M26YFaO1vDg6MnsQ+Eh6ph2E3jErly0mWHVYnbohwXCz+CGw0SD+k6HmpSum/&#10;H4C0FO0Hy6LEDZwMmozdZIBVnFrKIMVo3oVxUw+OzL5h5FF2i7csXG1ST1HhkcWZMC9KavW81HET&#10;X95T1K+vt/0JAAD//wMAUEsDBBQABgAIAAAAIQA5Y+Vf4AAAAAsBAAAPAAAAZHJzL2Rvd25yZXYu&#10;eG1sTI89T8MwEIZ3JP6DdUhs1E4ogYY4VYVgQkJNw8DoxNfEanwOsduGf487wXYfj957rljPdmAn&#10;nLxxJCFZCGBIrdOGOgmf9dvdEzAfFGk1OEIJP+hhXV5fFSrX7kwVnnahYzGEfK4k9CGMOee+7dEq&#10;v3AjUtzt3WRViO3UcT2pcwy3A0+FyLhVhuKFXo340mN72B2thM0XVa/m+6PZVvvK1PVK0Ht2kPL2&#10;Zt48Aws4hz8YLvpRHcro1Lgjac8GCatlEsk4f0hjcQESkS2BNRLuxWMKvCz4/x/KXwAAAP//AwBQ&#10;SwECLQAUAAYACAAAACEAtoM4kv4AAADhAQAAEwAAAAAAAAAAAAAAAAAAAAAAW0NvbnRlbnRfVHlw&#10;ZXNdLnhtbFBLAQItABQABgAIAAAAIQA4/SH/1gAAAJQBAAALAAAAAAAAAAAAAAAAAC8BAABfcmVs&#10;cy8ucmVsc1BLAQItABQABgAIAAAAIQDHDa+M8AEAAMIDAAAOAAAAAAAAAAAAAAAAAC4CAABkcnMv&#10;ZTJvRG9jLnhtbFBLAQItABQABgAIAAAAIQA5Y+Vf4AAAAAsBAAAPAAAAAAAAAAAAAAAAAEoEAABk&#10;cnMvZG93bnJldi54bWxQSwUGAAAAAAQABADzAAAAVwUAAAAA&#10;" filled="f" stroked="f">
                <v:textbox inset="0,0,0,0">
                  <w:txbxContent>
                    <w:p w14:paraId="6AD13FC0"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19</w:t>
                      </w:r>
                    </w:p>
                    <w:p w14:paraId="78879086" w14:textId="77777777" w:rsidR="00490F33" w:rsidRDefault="00490F33">
                      <w:pPr>
                        <w:spacing w:before="160" w:after="139" w:line="240" w:lineRule="exact"/>
                        <w:ind w:left="504" w:right="720"/>
                        <w:textAlignment w:val="baseline"/>
                        <w:rPr>
                          <w:rFonts w:ascii="Tahoma" w:eastAsia="Tahoma" w:hAnsi="Tahoma"/>
                          <w:color w:val="404042"/>
                          <w:spacing w:val="4"/>
                          <w:sz w:val="18"/>
                        </w:rPr>
                      </w:pPr>
                      <w:r>
                        <w:rPr>
                          <w:rFonts w:ascii="Tahoma" w:eastAsia="Tahoma" w:hAnsi="Tahoma"/>
                          <w:color w:val="404042"/>
                          <w:spacing w:val="4"/>
                          <w:sz w:val="18"/>
                        </w:rPr>
                        <w:t>Education policy needs to be based on evidence about the pathways from school taken by young people and, for that reason, governments should continue to invest in longitudinal studies, such as the Longitudinal Surveys of Australian Youth (LSAY), the Longitudinal Study of Indigenous Children (LSIC) and the Household, Income and Labour Dynamics in Australia (HILDA) Survey.</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52960" behindDoc="1" locked="0" layoutInCell="1" allowOverlap="1" wp14:anchorId="7BE34ED9" wp14:editId="67A7C53B">
                <wp:simplePos x="0" y="0"/>
                <wp:positionH relativeFrom="page">
                  <wp:posOffset>0</wp:posOffset>
                </wp:positionH>
                <wp:positionV relativeFrom="page">
                  <wp:posOffset>4502150</wp:posOffset>
                </wp:positionV>
                <wp:extent cx="7562215" cy="6189980"/>
                <wp:effectExtent l="0" t="0" r="0" b="0"/>
                <wp:wrapSquare wrapText="bothSides"/>
                <wp:docPr id="34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6189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FE1B4" w14:textId="77777777" w:rsidR="00490F33" w:rsidRDefault="00490F33">
                            <w:pPr>
                              <w:textAlignment w:val="baseline"/>
                            </w:pPr>
                            <w:r>
                              <w:rPr>
                                <w:noProof/>
                                <w:lang w:val="en-AU" w:eastAsia="en-AU"/>
                              </w:rPr>
                              <w:drawing>
                                <wp:inline distT="0" distB="0" distL="0" distR="0" wp14:anchorId="31C6609A" wp14:editId="2274C7F1">
                                  <wp:extent cx="7562215" cy="6189980"/>
                                  <wp:effectExtent l="0" t="0" r="0" b="0"/>
                                  <wp:docPr id="239" name="Picture"/>
                                  <wp:cNvGraphicFramePr/>
                                  <a:graphic xmlns:a="http://schemas.openxmlformats.org/drawingml/2006/main">
                                    <a:graphicData uri="http://schemas.openxmlformats.org/drawingml/2006/picture">
                                      <pic:pic xmlns:pic="http://schemas.openxmlformats.org/drawingml/2006/picture">
                                        <pic:nvPicPr>
                                          <pic:cNvPr id="239" name="Picture"/>
                                          <pic:cNvPicPr preferRelativeResize="0"/>
                                        </pic:nvPicPr>
                                        <pic:blipFill>
                                          <a:blip r:embed="rId321"/>
                                          <a:stretch>
                                            <a:fillRect/>
                                          </a:stretch>
                                        </pic:blipFill>
                                        <pic:spPr>
                                          <a:xfrm>
                                            <a:off x="0" y="0"/>
                                            <a:ext cx="7562215" cy="61899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34ED9" id="Text Box 62" o:spid="_x0000_s1409" type="#_x0000_t202" style="position:absolute;left:0;text-align:left;margin-left:0;margin-top:354.5pt;width:595.45pt;height:487.4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Mb8QEAAMMDAAAOAAAAZHJzL2Uyb0RvYy54bWysU1Fv0zAQfkfiP1h+p2k6Vrqo6TQ2DSGN&#10;gbTxA66O01gkPnN2m5Rfz9lpyoA3xIt1Pp8/f/fd5/X10LXioMkbtKXMZ3MptFVYGbsr5dfn+zcr&#10;KXwAW0GLVpfyqL283rx+te5doRfYYFtpEgxifdG7UjYhuCLLvGp0B36GTls+rJE6CLylXVYR9Ize&#10;tdliPl9mPVLlCJX2nrN346HcJPy61ip8rmuvg2hLydxCWimt27hmmzUUOwLXGHWiAf/AogNj+dEz&#10;1B0EEHsyf0F1RhF6rMNMYZdhXRulUw/cTT7/o5unBpxOvbA43p1l8v8PVj0evpAwVSkv3uZSWOh4&#10;SM96COI9DmK5iAL1zhdc9+S4Mgyc50GnZr17QPXNC4u3DdidviHCvtFQMcE83sxeXB1xfATZ9p+w&#10;4ndgHzABDTV1UT3WQzA6D+p4Hk7kojj57nK5WOSXUig+W+arq6tVGl8GxXTdkQ8fNHYiBqUknn6C&#10;h8ODD5EOFFNJfM3ivWnb5IDW/pbgwphJ9CPjkXsYtsMo1epi0mWL1ZE7IhydxT+BgwbphxQ9u6qU&#10;/vseSEvRfrSsSrTgFNAUbKcArOKrpQxSjOFtGK26d2R2DSOPulu8YeVqk3qKEo8sToTZKanVk6uj&#10;FV/uU9Wvv7f5CQAA//8DAFBLAwQUAAYACAAAACEACQCkjd4AAAAKAQAADwAAAGRycy9kb3ducmV2&#10;LnhtbEyPwU7DMBBE70j8g7VI3KhdkEIS4lQVghMSIg0Hjk6yTazG6xC7bfh7tie4zWpGs2+KzeJG&#10;ccI5WE8a1isFAqn1naVew2f9epeCCNFQZ0ZPqOEHA2zK66vC5J0/U4WnXewFl1DIjYYhximXMrQD&#10;OhNWfkJib+9nZyKfcy+72Zy53I3yXqlEOmOJPwxmwucB28Pu6DRsv6h6sd/vzUe1r2xdZ4rekoPW&#10;tzfL9glExCX+heGCz+hQMlPjj9QFMWrgIVHDo8pYXOx1pjIQDaskfUhBloX8P6H8BQAA//8DAFBL&#10;AQItABQABgAIAAAAIQC2gziS/gAAAOEBAAATAAAAAAAAAAAAAAAAAAAAAABbQ29udGVudF9UeXBl&#10;c10ueG1sUEsBAi0AFAAGAAgAAAAhADj9If/WAAAAlAEAAAsAAAAAAAAAAAAAAAAALwEAAF9yZWxz&#10;Ly5yZWxzUEsBAi0AFAAGAAgAAAAhAGCdsxvxAQAAwwMAAA4AAAAAAAAAAAAAAAAALgIAAGRycy9l&#10;Mm9Eb2MueG1sUEsBAi0AFAAGAAgAAAAhAAkApI3eAAAACgEAAA8AAAAAAAAAAAAAAAAASwQAAGRy&#10;cy9kb3ducmV2LnhtbFBLBQYAAAAABAAEAPMAAABWBQAAAAA=&#10;" filled="f" stroked="f">
                <v:textbox inset="0,0,0,0">
                  <w:txbxContent>
                    <w:p w14:paraId="154FE1B4" w14:textId="77777777" w:rsidR="00490F33" w:rsidRDefault="00490F33">
                      <w:pPr>
                        <w:textAlignment w:val="baseline"/>
                      </w:pPr>
                      <w:r>
                        <w:rPr>
                          <w:noProof/>
                          <w:lang w:val="en-AU" w:eastAsia="en-AU"/>
                        </w:rPr>
                        <w:drawing>
                          <wp:inline distT="0" distB="0" distL="0" distR="0" wp14:anchorId="31C6609A" wp14:editId="2274C7F1">
                            <wp:extent cx="7562215" cy="6189980"/>
                            <wp:effectExtent l="0" t="0" r="0" b="0"/>
                            <wp:docPr id="239" name="Picture"/>
                            <wp:cNvGraphicFramePr/>
                            <a:graphic xmlns:a="http://schemas.openxmlformats.org/drawingml/2006/main">
                              <a:graphicData uri="http://schemas.openxmlformats.org/drawingml/2006/picture">
                                <pic:pic xmlns:pic="http://schemas.openxmlformats.org/drawingml/2006/picture">
                                  <pic:nvPicPr>
                                    <pic:cNvPr id="239" name="Picture"/>
                                    <pic:cNvPicPr preferRelativeResize="0"/>
                                  </pic:nvPicPr>
                                  <pic:blipFill>
                                    <a:blip r:embed="rId321"/>
                                    <a:stretch>
                                      <a:fillRect/>
                                    </a:stretch>
                                  </pic:blipFill>
                                  <pic:spPr>
                                    <a:xfrm>
                                      <a:off x="0" y="0"/>
                                      <a:ext cx="7562215" cy="618998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53984" behindDoc="1" locked="0" layoutInCell="1" allowOverlap="1" wp14:anchorId="053B5065" wp14:editId="4F87F17B">
                <wp:simplePos x="0" y="0"/>
                <wp:positionH relativeFrom="page">
                  <wp:posOffset>545465</wp:posOffset>
                </wp:positionH>
                <wp:positionV relativeFrom="page">
                  <wp:posOffset>9698355</wp:posOffset>
                </wp:positionV>
                <wp:extent cx="1219200" cy="140970"/>
                <wp:effectExtent l="0" t="0" r="0" b="0"/>
                <wp:wrapSquare wrapText="bothSides"/>
                <wp:docPr id="34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72FFE" w14:textId="77777777" w:rsidR="00490F33" w:rsidRDefault="00490F33">
                            <w:pPr>
                              <w:tabs>
                                <w:tab w:val="right" w:pos="1944"/>
                              </w:tabs>
                              <w:spacing w:after="31" w:line="190" w:lineRule="exact"/>
                              <w:textAlignment w:val="baseline"/>
                              <w:rPr>
                                <w:rFonts w:ascii="Arial" w:eastAsia="Arial" w:hAnsi="Arial"/>
                                <w:b/>
                                <w:color w:val="5556A1"/>
                                <w:sz w:val="18"/>
                              </w:rPr>
                            </w:pPr>
                            <w:r>
                              <w:rPr>
                                <w:rFonts w:ascii="Arial" w:eastAsia="Arial" w:hAnsi="Arial"/>
                                <w:b/>
                                <w:color w:val="5556A1"/>
                                <w:sz w:val="18"/>
                              </w:rPr>
                              <w:t>142</w:t>
                            </w:r>
                            <w:r>
                              <w:rPr>
                                <w:rFonts w:ascii="Tahoma" w:eastAsia="Tahoma" w:hAnsi="Tahoma"/>
                                <w:color w:val="404042"/>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B5065" id="Text Box 61" o:spid="_x0000_s1410" type="#_x0000_t202" style="position:absolute;left:0;text-align:left;margin-left:42.95pt;margin-top:763.65pt;width:96pt;height:11.1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YH7QEAAMIDAAAOAAAAZHJzL2Uyb0RvYy54bWysU8Fu1DAQvSPxD5bvbJJlVdpos1VpVYRU&#10;KFLLBziOnVgkHjP2brJ8PWNnsxS4IS7W2B6/ee/NeHs9DT07KPQGbMWLVc6ZshIaY9uKf32+f3PJ&#10;mQ/CNqIHqyp+VJ5f716/2o6uVGvooG8UMgKxvhxdxbsQXJllXnZqEH4FTlm61ICDCLTFNmtQjIQ+&#10;9Nk6zy+yEbBxCFJ5T6d38yXfJXytlQyPWnsVWF9x4hbSimmt45rttqJsUbjOyBMN8Q8sBmEsFT1D&#10;3Ykg2B7NX1CDkQgedFhJGDLQ2kiVNJCaIv9DzVMnnEpayBzvzjb5/wcrPx++IDNNxd9uyB8rBmrS&#10;s5oCew8TuyiiQaPzJeU9OcoME51To5NY7x5AfvPMwm0nbKtuEGHslGiIYHqZvXg64/gIUo+foKE6&#10;Yh8gAU0ah+ge+cEInYgcz82JXGQsuS6uqOOcSborNvnVu9S9TJTLa4c+fFAwsBhUHKn5CV0cHnwg&#10;HZS6pMRiFu5N36cB6O1vB5QYTxL7SHimHqZ6mp263Cy21NAcSRDCPFj0ESjoAH9wNtJQVdx/3wtU&#10;nPUfLZkSJ3AJcAnqJRBW0tOKB87m8DbMk7p3aNqOkGfbLdyQcdokTdHhmcWJMA1Kknoa6jiJL/cp&#10;69fX2/0EAAD//wMAUEsDBBQABgAIAAAAIQBTb97b4AAAAAwBAAAPAAAAZHJzL2Rvd25yZXYueG1s&#10;TI/BTsMwDIbvSLxDZCRuLKXQdS1NpwnBaRKiKweOaZO10RqnNNnWvT3eCY7+/Ov352I924Gd9OSN&#10;QwGPiwiYxtYpg52Ar/r9YQXMB4lKDg61gIv2sC5vbwqZK3fGSp92oWNUgj6XAvoQxpxz3/baSr9w&#10;o0ba7d1kZaBx6ria5JnK7cDjKFpyKw3ShV6O+rXX7WF3tAI231i9mZ+P5rPaV6auswi3y4MQ93fz&#10;5gVY0HP4C8NVn9ShJKfGHVF5NghYJRkliSdx+gSMEnGaEmqu6DlLgJcF//9E+QsAAP//AwBQSwEC&#10;LQAUAAYACAAAACEAtoM4kv4AAADhAQAAEwAAAAAAAAAAAAAAAAAAAAAAW0NvbnRlbnRfVHlwZXNd&#10;LnhtbFBLAQItABQABgAIAAAAIQA4/SH/1gAAAJQBAAALAAAAAAAAAAAAAAAAAC8BAABfcmVscy8u&#10;cmVsc1BLAQItABQABgAIAAAAIQDm6UYH7QEAAMIDAAAOAAAAAAAAAAAAAAAAAC4CAABkcnMvZTJv&#10;RG9jLnhtbFBLAQItABQABgAIAAAAIQBTb97b4AAAAAwBAAAPAAAAAAAAAAAAAAAAAEcEAABkcnMv&#10;ZG93bnJldi54bWxQSwUGAAAAAAQABADzAAAAVAUAAAAA&#10;" filled="f" stroked="f">
                <v:textbox inset="0,0,0,0">
                  <w:txbxContent>
                    <w:p w14:paraId="73B72FFE" w14:textId="77777777" w:rsidR="00490F33" w:rsidRDefault="00490F33">
                      <w:pPr>
                        <w:tabs>
                          <w:tab w:val="right" w:pos="1944"/>
                        </w:tabs>
                        <w:spacing w:after="31" w:line="190" w:lineRule="exact"/>
                        <w:textAlignment w:val="baseline"/>
                        <w:rPr>
                          <w:rFonts w:ascii="Arial" w:eastAsia="Arial" w:hAnsi="Arial"/>
                          <w:b/>
                          <w:color w:val="5556A1"/>
                          <w:sz w:val="18"/>
                        </w:rPr>
                      </w:pPr>
                      <w:r>
                        <w:rPr>
                          <w:rFonts w:ascii="Arial" w:eastAsia="Arial" w:hAnsi="Arial"/>
                          <w:b/>
                          <w:color w:val="5556A1"/>
                          <w:sz w:val="18"/>
                        </w:rPr>
                        <w:t>142</w:t>
                      </w:r>
                      <w:r>
                        <w:rPr>
                          <w:rFonts w:ascii="Tahoma" w:eastAsia="Tahoma" w:hAnsi="Tahoma"/>
                          <w:color w:val="404042"/>
                          <w:sz w:val="14"/>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2002816" behindDoc="0" locked="0" layoutInCell="1" allowOverlap="1" wp14:anchorId="2D47DDC4" wp14:editId="39137920">
                <wp:simplePos x="0" y="0"/>
                <wp:positionH relativeFrom="page">
                  <wp:posOffset>545465</wp:posOffset>
                </wp:positionH>
                <wp:positionV relativeFrom="page">
                  <wp:posOffset>723900</wp:posOffset>
                </wp:positionV>
                <wp:extent cx="6480175" cy="0"/>
                <wp:effectExtent l="0" t="0" r="0" b="0"/>
                <wp:wrapNone/>
                <wp:docPr id="33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33F05" id="Line 60" o:spid="_x0000_s1026" style="position:absolute;z-index:25200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553.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IO0QEAAIUDAAAOAAAAZHJzL2Uyb0RvYy54bWysU01v2zAMvQ/YfxB0X+w0a5oZcXpI2l2y&#10;LUC7H8BIsi1MFgVJiZ1/P0r5WLfdhl0ESiQfHx+p5ePYG3ZUPmi0NZ9OSs6UFSi1bWv+/fX5w4Kz&#10;EMFKMGhVzU8q8MfV+3fLwVXqDjs0UnlGIDZUg6t5F6OriiKITvUQJuiUJWeDvodIV98W0sNA6L0p&#10;7spyXgzopfMoVAj0ujk7+SrjN40S8VvTBBWZqTlxi/n0+dyns1gtoWo9uE6LCw34BxY9aEtFb1Ab&#10;iMAOXv8F1WvhMWATJwL7AptGC5V7oG6m5R/dvHTgVO6FxAnuJlP4f7Di63HnmZY1n80+cWahpyFt&#10;tVVsnsUZXKgoZm13PrUnRvvitih+BGZx3YFtVSb5enKUN01yFr+lpEtwVGI/fEFJMXCImJUaG98n&#10;SNKAjXkgp9tA1BiZoMf5x0U5fbjnTFx9BVTXROdD/KywZ8mouSHSGRiO2xATEaiuIamOxWdtTJ63&#10;sWwg8Nl9mRMCGi2TM4UF3+7XxrMjpI0pH8rFU+6KPG/DEvIGQneOy67zLnk8WJmrdArk08WOoM3Z&#10;JlbGXlRKwqRNDdUe5Wnnr+rRrDP9y16mZXp7z9m/fs/qJwAAAP//AwBQSwMEFAAGAAgAAAAhAITk&#10;J9jeAAAACwEAAA8AAABkcnMvZG93bnJldi54bWxMj11LwzAUhu8F/0M4gncu7Zhj1qZDCupQBm4q&#10;eJk1x6aYnJQm2+q/9wwEvTzveXg/yuXonTjgELtACvJJBgKpCaajVsHb6/3VAkRMmox2gVDBN0ZY&#10;VudnpS5MONIGD9vUCjahWGgFNqW+kDI2Fr2Ok9Aj8e8zDF4nPodWmkEf2dw7Oc2yufS6I06wusfa&#10;YvO13XsFpl6tntZ1erSjexjeX56n8mPjlbq8GO9uQSQc0x8Mp/pcHSrutAt7MlE4BYvrGyZZz2e8&#10;6QTk2XwGYvcryaqU/zdUPwAAAP//AwBQSwECLQAUAAYACAAAACEAtoM4kv4AAADhAQAAEwAAAAAA&#10;AAAAAAAAAAAAAAAAW0NvbnRlbnRfVHlwZXNdLnhtbFBLAQItABQABgAIAAAAIQA4/SH/1gAAAJQB&#10;AAALAAAAAAAAAAAAAAAAAC8BAABfcmVscy8ucmVsc1BLAQItABQABgAIAAAAIQAmRjIO0QEAAIUD&#10;AAAOAAAAAAAAAAAAAAAAAC4CAABkcnMvZTJvRG9jLnhtbFBLAQItABQABgAIAAAAIQCE5CfY3gAA&#10;AAsBAAAPAAAAAAAAAAAAAAAAACsEAABkcnMvZG93bnJldi54bWxQSwUGAAAAAAQABADzAAAANgUA&#10;A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2003840" behindDoc="0" locked="0" layoutInCell="1" allowOverlap="1" wp14:anchorId="3B1AA10F" wp14:editId="07A18D87">
                <wp:simplePos x="0" y="0"/>
                <wp:positionH relativeFrom="page">
                  <wp:posOffset>545465</wp:posOffset>
                </wp:positionH>
                <wp:positionV relativeFrom="page">
                  <wp:posOffset>2092960</wp:posOffset>
                </wp:positionV>
                <wp:extent cx="6480175" cy="0"/>
                <wp:effectExtent l="0" t="0" r="0" b="0"/>
                <wp:wrapNone/>
                <wp:docPr id="33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889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1782F" id="Line 59" o:spid="_x0000_s1026" style="position:absolute;z-index:25200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164.8pt" to="553.2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R0AEAAIUDAAAOAAAAZHJzL2Uyb0RvYy54bWysU8Fu2zAMvQ/YPwi6L3batU2NOD0k7S7Z&#10;FqDdBzCSbAuTRUFS4uTvR8lJ2m23oheBEsnHx0dq/nDoDdsrHzTamk8nJWfKCpTatjX/9fL0ZcZZ&#10;iGAlGLSq5kcV+MPi86f54Cp1hR0aqTwjEBuqwdW8i9FVRRFEp3oIE3TKkrNB30Okq28L6WEg9N4U&#10;V2V5WwzopfMoVAj0uhqdfJHxm0aJ+LNpgorM1Jy4xXz6fG7TWSzmULUeXKfFiQa8g0UP2lLRC9QK&#10;IrCd1/9B9Vp4DNjEicC+wKbRQuUeqJtp+U83zx04lXshcYK7yBQ+Dlb82G8807Lm19c0Kgs9DWmt&#10;rWI390mcwYWKYpZ241N74mCf3RrF78AsLjuwrcokX46O8qYpo/grJV2CoxLb4TtKioFdxKzUofF9&#10;giQN2CEP5HgZiDpEJujx9uusnN7dcCbOvgKqc6LzIX5T2LNk1NwQ6QwM+3WIiQhU55BUx+KTNibP&#10;21g21Hw2uy9zQkCjZXKmsODb7dJ4toe0MeVdOXvMXZHnbVhCXkHoxrjsGnfJ487KXKVTIB9PdgRt&#10;RptYGXtSKQkzSrxFedz4s3o060z/tJdpmd7ec/br71n8AQAA//8DAFBLAwQUAAYACAAAACEAGqk9&#10;ot8AAAALAQAADwAAAGRycy9kb3ducmV2LnhtbEyPYUvDMBCGvwv+h3CC31y6qV1Xmw4VVJgguA39&#10;mjbXpthcSpJ19d+bgaAf7+7hvect1pPp2YjOd5YEzGcJMKTaqo5aAfvd01UGzAdJSvaWUMA3eliX&#10;52eFzJU90juO29CyGEI+lwJ0CEPOua81GulndkCKt8Y6I0McXcuVk8cYbnq+SJKUG9lR/KDlgI8a&#10;66/twQh4a0yy18+V2zTZwzS+fC6zj+pViMuL6f4OWMAp/MFw0o/qUEanyh5IedYLyG5XkRRwvVil&#10;wE7APElvgFW/K14W/H+H8gcAAP//AwBQSwECLQAUAAYACAAAACEAtoM4kv4AAADhAQAAEwAAAAAA&#10;AAAAAAAAAAAAAAAAW0NvbnRlbnRfVHlwZXNdLnhtbFBLAQItABQABgAIAAAAIQA4/SH/1gAAAJQB&#10;AAALAAAAAAAAAAAAAAAAAC8BAABfcmVscy8ucmVsc1BLAQItABQABgAIAAAAIQAx/KwR0AEAAIUD&#10;AAAOAAAAAAAAAAAAAAAAAC4CAABkcnMvZTJvRG9jLnhtbFBLAQItABQABgAIAAAAIQAaqT2i3wAA&#10;AAsBAAAPAAAAAAAAAAAAAAAAACoEAABkcnMvZG93bnJldi54bWxQSwUGAAAAAAQABADzAAAANgUA&#10;AAAA&#10;" strokecolor="#00708e" strokeweight=".7pt">
                <w10:wrap anchorx="page" anchory="page"/>
              </v:line>
            </w:pict>
          </mc:Fallback>
        </mc:AlternateContent>
      </w:r>
      <w:r>
        <w:rPr>
          <w:noProof/>
          <w:lang w:val="en-AU" w:eastAsia="en-AU"/>
        </w:rPr>
        <mc:AlternateContent>
          <mc:Choice Requires="wps">
            <w:drawing>
              <wp:anchor distT="0" distB="0" distL="114300" distR="114300" simplePos="0" relativeHeight="252004864" behindDoc="0" locked="0" layoutInCell="1" allowOverlap="1" wp14:anchorId="5BBF15AF" wp14:editId="4CAFC9C4">
                <wp:simplePos x="0" y="0"/>
                <wp:positionH relativeFrom="page">
                  <wp:posOffset>545465</wp:posOffset>
                </wp:positionH>
                <wp:positionV relativeFrom="page">
                  <wp:posOffset>723900</wp:posOffset>
                </wp:positionV>
                <wp:extent cx="0" cy="1369060"/>
                <wp:effectExtent l="0" t="0" r="0" b="0"/>
                <wp:wrapNone/>
                <wp:docPr id="33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906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77FCF" id="Line 58" o:spid="_x0000_s1026" style="position:absolute;z-index:25200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42.95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Jo0AEAAIUDAAAOAAAAZHJzL2Uyb0RvYy54bWysU02P2jAQvVfqf7B8LwmLlqURYQ+w2wtt&#10;kXb7AwbbSaw6Hss2BP59xw6w2/ZW9WLZ8/HmzZvx8vHUG3ZUPmi0NZ9OSs6UFSi1bWv+4/X504Kz&#10;EMFKMGhVzc8q8MfVxw/LwVXqDjs0UnlGIDZUg6t5F6OriiKITvUQJuiUJWeDvodIT98W0sNA6L0p&#10;7spyXgzopfMoVAhk3YxOvsr4TaNE/N40QUVmak7cYj59PvfpLFZLqFoPrtPiQgP+gUUP2lLRG9QG&#10;IrCD139B9Vp4DNjEicC+wKbRQuUeqJtp+Uc3Lx04lXshcYK7yRT+H6z4dtx5pmXNZ7MHziz0NKSt&#10;tordL5I4gwsVxaztzqf2xMm+uC2Kn4FZXHdgW5VJvp4d5U1TRvFbSnoERyX2w1eUFAOHiFmpU+P7&#10;BEkasFMeyPk2EHWKTIxGQdbpbP65nOdhFVBdE50P8YvCnqVLzQ2RzsBw3IaYiEB1DUl1LD5rY/K8&#10;jWVDzeez+zInBDRaJmcKC77dr41nR0gbUz6Ui6fcFXnehyXkDYRujMuucZc8HqzMVToF8ulyj6DN&#10;eCdWxl5USsKMEu9Rnnf+qh7NOtO/7GVapvfvnP32e1a/AAAA//8DAFBLAwQUAAYACAAAACEAUXTJ&#10;At4AAAAJAQAADwAAAGRycy9kb3ducmV2LnhtbEyPTUvDQBCG74L/YRnBm900amljNkUCarEItip4&#10;3GbHbHB3NmS3bfz3jl70OO88vB/lcvROHHCIXSAF00kGAqkJpqNWwevL3cUcREyajHaBUMEXRlhW&#10;pyelLkw40gYP29QKNqFYaAU2pb6QMjYWvY6T0CPx7yMMXic+h1aaQR/Z3DuZZ9lMet0RJ1jdY22x&#10;+dzuvQJTr1aPT3V6sKO7H96e17l833ilzs/G2xsQCcf0B8NPfa4OFXfahT2ZKJyC+fWCSdanV7yJ&#10;gV9hp+AyX8xAVqX8v6D6BgAA//8DAFBLAQItABQABgAIAAAAIQC2gziS/gAAAOEBAAATAAAAAAAA&#10;AAAAAAAAAAAAAABbQ29udGVudF9UeXBlc10ueG1sUEsBAi0AFAAGAAgAAAAhADj9If/WAAAAlAEA&#10;AAsAAAAAAAAAAAAAAAAALwEAAF9yZWxzLy5yZWxzUEsBAi0AFAAGAAgAAAAhAIzZAmjQAQAAhQMA&#10;AA4AAAAAAAAAAAAAAAAALgIAAGRycy9lMm9Eb2MueG1sUEsBAi0AFAAGAAgAAAAhAFF0yQLeAAAA&#10;CQEAAA8AAAAAAAAAAAAAAAAAKgQAAGRycy9kb3ducmV2LnhtbFBLBQYAAAAABAAEAPMAAAA1BQAA&#10;AAA=&#10;" strokecolor="#00708e" strokeweight=".5pt">
                <w10:wrap anchorx="page" anchory="page"/>
              </v:line>
            </w:pict>
          </mc:Fallback>
        </mc:AlternateContent>
      </w:r>
      <w:r w:rsidR="00083242">
        <w:rPr>
          <w:rFonts w:ascii="Arial" w:eastAsia="Arial" w:hAnsi="Arial"/>
          <w:i/>
          <w:color w:val="007896"/>
          <w:spacing w:val="1"/>
          <w:sz w:val="18"/>
        </w:rPr>
        <w:t>Implementation guidance</w:t>
      </w:r>
    </w:p>
    <w:p w14:paraId="5555271F" w14:textId="77777777" w:rsidR="009757A9" w:rsidRDefault="00083242">
      <w:pPr>
        <w:spacing w:before="162" w:line="240" w:lineRule="exact"/>
        <w:ind w:left="864" w:right="1224"/>
        <w:textAlignment w:val="baseline"/>
        <w:rPr>
          <w:rFonts w:ascii="Tahoma" w:eastAsia="Tahoma" w:hAnsi="Tahoma"/>
          <w:color w:val="404042"/>
          <w:spacing w:val="6"/>
          <w:sz w:val="18"/>
        </w:rPr>
      </w:pPr>
      <w:r>
        <w:rPr>
          <w:rFonts w:ascii="Tahoma" w:eastAsia="Tahoma" w:hAnsi="Tahoma"/>
          <w:color w:val="404042"/>
          <w:spacing w:val="6"/>
          <w:sz w:val="18"/>
        </w:rPr>
        <w:t>The Panel understands that the future of LSAY is currently under consideration, including how it may better meet the information needs of participating states and territories. Preliminary work is also underway to investigate the feasibility of linking student subject data to outcomes. We very much hope that LSAY is continued or expanded. The Panel considers that continued investment in longitudinal studies is essential to support our understanding of how young people move between schooling, further education and training, and employment. It is a good investment in better policy.</w:t>
      </w:r>
    </w:p>
    <w:p w14:paraId="3ECABE2F" w14:textId="77777777" w:rsidR="009757A9" w:rsidRDefault="009757A9">
      <w:pPr>
        <w:sectPr w:rsidR="009757A9">
          <w:pgSz w:w="11909" w:h="16838"/>
          <w:pgMar w:top="3778" w:right="0" w:bottom="9352" w:left="0" w:header="720" w:footer="720" w:gutter="0"/>
          <w:cols w:space="720"/>
        </w:sectPr>
      </w:pPr>
    </w:p>
    <w:p w14:paraId="02EED676"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55008" behindDoc="1" locked="0" layoutInCell="1" allowOverlap="1" wp14:anchorId="0EDC5353" wp14:editId="357558F1">
                <wp:simplePos x="0" y="0"/>
                <wp:positionH relativeFrom="page">
                  <wp:posOffset>539750</wp:posOffset>
                </wp:positionH>
                <wp:positionV relativeFrom="page">
                  <wp:posOffset>719455</wp:posOffset>
                </wp:positionV>
                <wp:extent cx="6492240" cy="8082915"/>
                <wp:effectExtent l="0" t="0" r="0" b="0"/>
                <wp:wrapSquare wrapText="bothSides"/>
                <wp:docPr id="33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808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5B0DD" w14:textId="77777777" w:rsidR="00490F33" w:rsidRDefault="00490F33">
                            <w:pPr>
                              <w:textAlignment w:val="baseline"/>
                            </w:pPr>
                            <w:r>
                              <w:rPr>
                                <w:noProof/>
                                <w:lang w:val="en-AU" w:eastAsia="en-AU"/>
                              </w:rPr>
                              <w:drawing>
                                <wp:inline distT="0" distB="0" distL="0" distR="0" wp14:anchorId="752733C7" wp14:editId="71A9D42C">
                                  <wp:extent cx="6492240" cy="8082915"/>
                                  <wp:effectExtent l="0" t="0" r="0" b="0"/>
                                  <wp:docPr id="240" name="Picture" descr="logo."/>
                                  <wp:cNvGraphicFramePr/>
                                  <a:graphic xmlns:a="http://schemas.openxmlformats.org/drawingml/2006/main">
                                    <a:graphicData uri="http://schemas.openxmlformats.org/drawingml/2006/picture">
                                      <pic:pic xmlns:pic="http://schemas.openxmlformats.org/drawingml/2006/picture">
                                        <pic:nvPicPr>
                                          <pic:cNvPr id="240" name="Picture" descr="logo."/>
                                          <pic:cNvPicPr preferRelativeResize="0"/>
                                        </pic:nvPicPr>
                                        <pic:blipFill>
                                          <a:blip r:embed="rId322"/>
                                          <a:stretch>
                                            <a:fillRect/>
                                          </a:stretch>
                                        </pic:blipFill>
                                        <pic:spPr>
                                          <a:xfrm>
                                            <a:off x="0" y="0"/>
                                            <a:ext cx="6492240" cy="808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C5353" id="Text Box 57" o:spid="_x0000_s1411" type="#_x0000_t202" style="position:absolute;margin-left:42.5pt;margin-top:56.65pt;width:511.2pt;height:636.45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3M8AEAAMMDAAAOAAAAZHJzL2Uyb0RvYy54bWysU8Fu2zAMvQ/YPwi6L07SNkuNOEXXosOA&#10;rhvQ9gMYWY6F2aJGKbGzrx8lx2m33YpdBJqiHt97pFdXfduIvSZv0BZyNplKoa3C0thtIZ+f7j4s&#10;pfABbAkNWl3Ig/byav3+3apzuZ5jjU2pSTCI9XnnClmH4PIs86rWLfgJOm35skJqIfAnbbOSoGP0&#10;tsnm0+ki65BKR6i095y9HS7lOuFXlVbhW1V5HURTSOYW0knp3MQzW68g3xK42qgjDXgDixaM5aYn&#10;qFsIIHZk/oFqjSL0WIWJwjbDqjJKJw2sZjb9S81jDU4nLWyOdyeb/P+DVQ/77yRMWcizs4UUFloe&#10;0pPug/iEvbj4GA3qnM+57tFxZeg5z4NOYr27R/XDC4s3NditvibCrtZQMsFZfJm9ejrg+Aiy6b5i&#10;yX1gFzAB9RW10T32QzA6D+pwGk7koji5OL+cz8/5SvHdcrqcX84uUg/Ix+eOfPissRUxKCTx9BM8&#10;7O99iHQgH0tiN4t3pmnSBjT2jwQXxkyiHxkP3EO/6QerlqlzFLfB8sCKCIfN4j+BgxrplxQdb1Uh&#10;/c8dkJai+WLZlbiCY0BjsBkDsIqfFjJIMYQ3YVjVnSOzrRl58N3iNTtXmaTphcWRMG9Kknrc6riK&#10;r79T1cu/t/4NAAD//wMAUEsDBBQABgAIAAAAIQDjcfXL4gAAAAwBAAAPAAAAZHJzL2Rvd25yZXYu&#10;eG1sTI/BTsMwEETvSPyDtUjcqJ0GQprGqSoEJyTUNBw4OvE2iRqvQ+y24e9xT3Db3RnNvsk3sxnY&#10;GSfXW5IQLQQwpMbqnloJn9XbQwrMeUVaDZZQwg862BS3N7nKtL1Qiee9b1kIIZcpCZ33Y8a5azo0&#10;yi3siBS0g52M8mGdWq4ndQnhZuBLIRJuVE/hQ6dGfOmwOe5PRsL2i8rX/vuj3pWHsq+qlaD35Cjl&#10;/d28XQPzOPs/M1zxAzoUgam2J9KODRLSp1DFh3sUx8Cuhkg8PwKrwxSnyRJ4kfP/JYpfAAAA//8D&#10;AFBLAQItABQABgAIAAAAIQC2gziS/gAAAOEBAAATAAAAAAAAAAAAAAAAAAAAAABbQ29udGVudF9U&#10;eXBlc10ueG1sUEsBAi0AFAAGAAgAAAAhADj9If/WAAAAlAEAAAsAAAAAAAAAAAAAAAAALwEAAF9y&#10;ZWxzLy5yZWxzUEsBAi0AFAAGAAgAAAAhAEgKzczwAQAAwwMAAA4AAAAAAAAAAAAAAAAALgIAAGRy&#10;cy9lMm9Eb2MueG1sUEsBAi0AFAAGAAgAAAAhAONx9cviAAAADAEAAA8AAAAAAAAAAAAAAAAASgQA&#10;AGRycy9kb3ducmV2LnhtbFBLBQYAAAAABAAEAPMAAABZBQAAAAA=&#10;" filled="f" stroked="f">
                <v:textbox inset="0,0,0,0">
                  <w:txbxContent>
                    <w:p w14:paraId="3A95B0DD" w14:textId="77777777" w:rsidR="00490F33" w:rsidRDefault="00490F33">
                      <w:pPr>
                        <w:textAlignment w:val="baseline"/>
                      </w:pPr>
                      <w:r>
                        <w:rPr>
                          <w:noProof/>
                          <w:lang w:val="en-AU" w:eastAsia="en-AU"/>
                        </w:rPr>
                        <w:drawing>
                          <wp:inline distT="0" distB="0" distL="0" distR="0" wp14:anchorId="752733C7" wp14:editId="71A9D42C">
                            <wp:extent cx="6492240" cy="8082915"/>
                            <wp:effectExtent l="0" t="0" r="0" b="0"/>
                            <wp:docPr id="240" name="Picture" descr="logo."/>
                            <wp:cNvGraphicFramePr/>
                            <a:graphic xmlns:a="http://schemas.openxmlformats.org/drawingml/2006/main">
                              <a:graphicData uri="http://schemas.openxmlformats.org/drawingml/2006/picture">
                                <pic:pic xmlns:pic="http://schemas.openxmlformats.org/drawingml/2006/picture">
                                  <pic:nvPicPr>
                                    <pic:cNvPr id="240" name="Picture" descr="logo."/>
                                    <pic:cNvPicPr preferRelativeResize="0"/>
                                  </pic:nvPicPr>
                                  <pic:blipFill>
                                    <a:blip r:embed="rId322"/>
                                    <a:stretch>
                                      <a:fillRect/>
                                    </a:stretch>
                                  </pic:blipFill>
                                  <pic:spPr>
                                    <a:xfrm>
                                      <a:off x="0" y="0"/>
                                      <a:ext cx="6492240" cy="808291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56032" behindDoc="1" locked="0" layoutInCell="1" allowOverlap="1" wp14:anchorId="71E1DB75" wp14:editId="00AD0368">
                <wp:simplePos x="0" y="0"/>
                <wp:positionH relativeFrom="page">
                  <wp:posOffset>4182110</wp:posOffset>
                </wp:positionH>
                <wp:positionV relativeFrom="page">
                  <wp:posOffset>951230</wp:posOffset>
                </wp:positionV>
                <wp:extent cx="2401570" cy="916940"/>
                <wp:effectExtent l="0" t="0" r="0" b="0"/>
                <wp:wrapSquare wrapText="bothSides"/>
                <wp:docPr id="33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C8D30" w14:textId="77777777" w:rsidR="00490F33" w:rsidRDefault="00490F33">
                            <w:pPr>
                              <w:spacing w:before="4" w:line="239" w:lineRule="exact"/>
                              <w:textAlignment w:val="baseline"/>
                              <w:rPr>
                                <w:rFonts w:ascii="Tahoma" w:eastAsia="Tahoma" w:hAnsi="Tahoma"/>
                                <w:color w:val="414042"/>
                                <w:sz w:val="18"/>
                              </w:rPr>
                            </w:pPr>
                            <w:r>
                              <w:rPr>
                                <w:rFonts w:ascii="Tahoma" w:eastAsia="Tahoma" w:hAnsi="Tahoma"/>
                                <w:color w:val="414042"/>
                                <w:sz w:val="18"/>
                              </w:rPr>
                              <w:t>The most recent cohort also saw the introduction of several new topics aimed at measuring soft skills, personality, wellbeing, caring duties, ‘gig’ work, homelessness and social support, as well as an expanded focus on volunteering and other topics.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1DB75" id="Text Box 56" o:spid="_x0000_s1412" type="#_x0000_t202" style="position:absolute;margin-left:329.3pt;margin-top:74.9pt;width:189.1pt;height:72.2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sp7wEAAMIDAAAOAAAAZHJzL2Uyb0RvYy54bWysU9tu2zAMfR+wfxD0vjhOm6w14hRdiw4D&#10;ugvQ7gNoWY6F2aJGKbGzrx8lJ1m3vQ17EShejg4PqfXN2Hdir8kbtKXMZ3MptFVYG7st5dfnhzdX&#10;UvgAtoYOrS7lQXt5s3n9aj24Qi+wxa7WJBjE+mJwpWxDcEWWedXqHvwMnbYcbJB6CHylbVYTDIze&#10;d9liPl9lA1LtCJX2nr33U1BuEn7TaBU+N43XQXSlZG4hnZTOKp7ZZg3FlsC1Rh1pwD+w6MFYfvQM&#10;dQ8BxI7MX1C9UYQemzBT2GfYNEbp1AN3k8//6OapBadTLyyOd2eZ/P+DVZ/2X0iYupQXF0spLPQ8&#10;pGc9BvEOR7FcRYEG5wvOe3KcGUb286BTs949ovrmhcW7FuxW3xLh0GqomWAeK7MXpROOjyDV8BFr&#10;fgd2ARPQ2FAf1WM9BKPzoA7n4UQuip2Ly3m+fMshxbHrfHV9maaXQXGqduTDe429iEYpiYef0GH/&#10;6ENkA8UpJT5m8cF0XVqAzv7m4MToSewj4Yl6GKtxUurqLEuF9YEbIpwWiz8CGy3SDykGXqpS+u87&#10;IC1F98GyKHEDTwadjOpkgFVcWsogxWTehWlTd47MtmXkSXaLtyxcY1JPUeGJxZEwL0pq9bjUcRNf&#10;3lPWr6+3+QkAAP//AwBQSwMEFAAGAAgAAAAhALODhI3gAAAADAEAAA8AAABkcnMvZG93bnJldi54&#10;bWxMj8FOwzAQRO9I/IO1SNyo3VCiJo1TVQhOSIg0HDg6sZtYjdchdtvw92xPcNvRPM3OFNvZDexs&#10;pmA9SlguBDCDrdcWOwmf9evDGliICrUaPBoJPybAtry9KVSu/QUrc97HjlEIhlxJ6GMcc85D2xun&#10;wsKPBsk7+MmpSHLquJ7UhcLdwBMhUu6URfrQq9E896Y97k9Owu4Lqxf7/d58VIfK1nUm8C09Snl/&#10;N+82wKKZ4x8M1/pUHUrq1PgT6sAGCenTOiWUjFVGG66EeEzpaiQk2SoBXhb8/4jyFwAA//8DAFBL&#10;AQItABQABgAIAAAAIQC2gziS/gAAAOEBAAATAAAAAAAAAAAAAAAAAAAAAABbQ29udGVudF9UeXBl&#10;c10ueG1sUEsBAi0AFAAGAAgAAAAhADj9If/WAAAAlAEAAAsAAAAAAAAAAAAAAAAALwEAAF9yZWxz&#10;Ly5yZWxzUEsBAi0AFAAGAAgAAAAhAHJemynvAQAAwgMAAA4AAAAAAAAAAAAAAAAALgIAAGRycy9l&#10;Mm9Eb2MueG1sUEsBAi0AFAAGAAgAAAAhALODhI3gAAAADAEAAA8AAAAAAAAAAAAAAAAASQQAAGRy&#10;cy9kb3ducmV2LnhtbFBLBQYAAAAABAAEAPMAAABWBQAAAAA=&#10;" filled="f" stroked="f">
                <v:textbox inset="0,0,0,0">
                  <w:txbxContent>
                    <w:p w14:paraId="1F5C8D30" w14:textId="77777777" w:rsidR="00490F33" w:rsidRDefault="00490F33">
                      <w:pPr>
                        <w:spacing w:before="4" w:line="239" w:lineRule="exact"/>
                        <w:textAlignment w:val="baseline"/>
                        <w:rPr>
                          <w:rFonts w:ascii="Tahoma" w:eastAsia="Tahoma" w:hAnsi="Tahoma"/>
                          <w:color w:val="414042"/>
                          <w:sz w:val="18"/>
                        </w:rPr>
                      </w:pPr>
                      <w:r>
                        <w:rPr>
                          <w:rFonts w:ascii="Tahoma" w:eastAsia="Tahoma" w:hAnsi="Tahoma"/>
                          <w:color w:val="414042"/>
                          <w:sz w:val="18"/>
                        </w:rPr>
                        <w:t>The most recent cohort also saw the introduction of several new topics aimed at measuring soft skills, personality, wellbeing, caring duties, ‘gig’ work, homelessness and social support, as well as an expanded focus on volunteering and other topics.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57056" behindDoc="1" locked="0" layoutInCell="1" allowOverlap="1" wp14:anchorId="08684F7A" wp14:editId="24BDB29F">
                <wp:simplePos x="0" y="0"/>
                <wp:positionH relativeFrom="page">
                  <wp:posOffset>847090</wp:posOffset>
                </wp:positionH>
                <wp:positionV relativeFrom="page">
                  <wp:posOffset>982980</wp:posOffset>
                </wp:positionV>
                <wp:extent cx="2847340" cy="858520"/>
                <wp:effectExtent l="0" t="0" r="0" b="0"/>
                <wp:wrapSquare wrapText="bothSides"/>
                <wp:docPr id="3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1A7DC"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9315F51" w14:textId="77777777" w:rsidR="00490F33" w:rsidRDefault="00490F33">
                            <w:pPr>
                              <w:spacing w:line="45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LONGITUDINAL SURVEYS</w:t>
                            </w:r>
                          </w:p>
                          <w:p w14:paraId="16226957" w14:textId="77777777" w:rsidR="00490F33" w:rsidRDefault="00490F33">
                            <w:pPr>
                              <w:spacing w:before="4" w:line="450" w:lineRule="exact"/>
                              <w:textAlignment w:val="baseline"/>
                              <w:rPr>
                                <w:rFonts w:ascii="Tahoma" w:eastAsia="Tahoma" w:hAnsi="Tahoma"/>
                                <w:color w:val="BF5B1F"/>
                                <w:spacing w:val="17"/>
                                <w:w w:val="95"/>
                                <w:sz w:val="38"/>
                              </w:rPr>
                            </w:pPr>
                            <w:r>
                              <w:rPr>
                                <w:rFonts w:ascii="Tahoma" w:eastAsia="Tahoma" w:hAnsi="Tahoma"/>
                                <w:color w:val="BF5B1F"/>
                                <w:spacing w:val="17"/>
                                <w:w w:val="95"/>
                                <w:sz w:val="38"/>
                              </w:rPr>
                              <w:t>OF AUSTRALIAN YOUTH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4F7A" id="Text Box 55" o:spid="_x0000_s1413" type="#_x0000_t202" style="position:absolute;margin-left:66.7pt;margin-top:77.4pt;width:224.2pt;height:67.6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Ll7wEAAMIDAAAOAAAAZHJzL2Uyb0RvYy54bWysU9tu2zAMfR+wfxD0vjjXNTDiFF2LDgO6&#10;C9DuAxhZjoXZokYpsbOvHyXHWbe+FXsRKF6ODg+pzXXfNuKoyRu0hZxNplJoq7A0dl/I70/379ZS&#10;+AC2hAatLuRJe3m9fftm07lcz7HGptQkGMT6vHOFrENweZZ5VesW/ASdthyskFoIfKV9VhJ0jN42&#10;2Xw6fZ91SKUjVNp79t4NQblN+FWlVfhaVV4H0RSSuYV0Ujp38cy2G8j3BK426kwDXsGiBWP50QvU&#10;HQQQBzIvoFqjCD1WYaKwzbCqjNKpB+5mNv2nm8canE69sDjeXWTy/w9WfTl+I2HKQi4WSykstDyk&#10;J90H8QF7sVpFgTrnc857dJwZevbzoFOz3j2g+uGFxdsa7F7fEGFXayiZ4CxWZs9KBxwfQXbdZyz5&#10;HTgETEB9RW1Uj/UQjM6DOl2GE7kods7Xy6vFkkOKY+vVejVP08sgH6sd+fBRYyuiUUji4Sd0OD74&#10;ENlAPqbExyzem6ZJC9DYvxycGD2JfSQ8UA/9rh+UWl+NsuywPHFDhMNi8Udgo0b6JUXHS1VI//MA&#10;pKVoPlkWJW7gaNBo7EYDrOLSQgYpBvM2DJt6cGT2NSMPslu8YeEqk3qKCg8szoR5UVKr56WOm/j8&#10;nrL+fL3tbwAAAP//AwBQSwMEFAAGAAgAAAAhALdZxvnfAAAACwEAAA8AAABkcnMvZG93bnJldi54&#10;bWxMj81OwzAQhO9IvIO1SNyo3V+1IU5VITghVaThwNGJt0nUeB1itw1v3+UEtxntp9mZdDu6Tlxw&#10;CK0nDdOJAoFUedtSreGzeHtagwjRkDWdJ9TwgwG22f1dahLrr5Tj5RBrwSEUEqOhibFPpAxVg86E&#10;ie+R+Hb0gzOR7VBLO5grh7tOzpRaSWda4g+N6fGlwep0ODsNuy/KX9vvffmRH/O2KDaK3lcnrR8f&#10;xt0ziIhj/IPhtz5Xh4w7lf5MNoiO/Xy+YJTFcsEbmFiupyxKDbONUiCzVP7fkN0AAAD//wMAUEsB&#10;Ai0AFAAGAAgAAAAhALaDOJL+AAAA4QEAABMAAAAAAAAAAAAAAAAAAAAAAFtDb250ZW50X1R5cGVz&#10;XS54bWxQSwECLQAUAAYACAAAACEAOP0h/9YAAACUAQAACwAAAAAAAAAAAAAAAAAvAQAAX3JlbHMv&#10;LnJlbHNQSwECLQAUAAYACAAAACEA2bIi5e8BAADCAwAADgAAAAAAAAAAAAAAAAAuAgAAZHJzL2Uy&#10;b0RvYy54bWxQSwECLQAUAAYACAAAACEAt1nG+d8AAAALAQAADwAAAAAAAAAAAAAAAABJBAAAZHJz&#10;L2Rvd25yZXYueG1sUEsFBgAAAAAEAAQA8wAAAFUFAAAAAA==&#10;" filled="f" stroked="f">
                <v:textbox inset="0,0,0,0">
                  <w:txbxContent>
                    <w:p w14:paraId="0F21A7DC" w14:textId="77777777" w:rsidR="00490F33" w:rsidRDefault="00490F33">
                      <w:pPr>
                        <w:spacing w:line="442"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19315F51" w14:textId="77777777" w:rsidR="00490F33" w:rsidRDefault="00490F33">
                      <w:pPr>
                        <w:spacing w:line="450" w:lineRule="exact"/>
                        <w:textAlignment w:val="baseline"/>
                        <w:rPr>
                          <w:rFonts w:ascii="Tahoma" w:eastAsia="Tahoma" w:hAnsi="Tahoma"/>
                          <w:color w:val="BF5B1F"/>
                          <w:spacing w:val="10"/>
                          <w:w w:val="95"/>
                          <w:sz w:val="38"/>
                        </w:rPr>
                      </w:pPr>
                      <w:r>
                        <w:rPr>
                          <w:rFonts w:ascii="Tahoma" w:eastAsia="Tahoma" w:hAnsi="Tahoma"/>
                          <w:color w:val="BF5B1F"/>
                          <w:spacing w:val="10"/>
                          <w:w w:val="95"/>
                          <w:sz w:val="38"/>
                        </w:rPr>
                        <w:t>LONGITUDINAL SURVEYS</w:t>
                      </w:r>
                    </w:p>
                    <w:p w14:paraId="16226957" w14:textId="77777777" w:rsidR="00490F33" w:rsidRDefault="00490F33">
                      <w:pPr>
                        <w:spacing w:before="4" w:line="450" w:lineRule="exact"/>
                        <w:textAlignment w:val="baseline"/>
                        <w:rPr>
                          <w:rFonts w:ascii="Tahoma" w:eastAsia="Tahoma" w:hAnsi="Tahoma"/>
                          <w:color w:val="BF5B1F"/>
                          <w:spacing w:val="17"/>
                          <w:w w:val="95"/>
                          <w:sz w:val="38"/>
                        </w:rPr>
                      </w:pPr>
                      <w:r>
                        <w:rPr>
                          <w:rFonts w:ascii="Tahoma" w:eastAsia="Tahoma" w:hAnsi="Tahoma"/>
                          <w:color w:val="BF5B1F"/>
                          <w:spacing w:val="17"/>
                          <w:w w:val="95"/>
                          <w:sz w:val="38"/>
                        </w:rPr>
                        <w:t>OF AUSTRALIAN YOUTH</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58080" behindDoc="1" locked="0" layoutInCell="1" allowOverlap="1" wp14:anchorId="1C7A3EB1" wp14:editId="18C3BB9F">
                <wp:simplePos x="0" y="0"/>
                <wp:positionH relativeFrom="page">
                  <wp:posOffset>4182110</wp:posOffset>
                </wp:positionH>
                <wp:positionV relativeFrom="page">
                  <wp:posOffset>1988185</wp:posOffset>
                </wp:positionV>
                <wp:extent cx="2484120" cy="901065"/>
                <wp:effectExtent l="0" t="0" r="0" b="0"/>
                <wp:wrapSquare wrapText="bothSides"/>
                <wp:docPr id="3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90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EE3B8" w14:textId="77777777" w:rsidR="00490F33" w:rsidRDefault="00490F33">
                            <w:pPr>
                              <w:spacing w:line="234" w:lineRule="exact"/>
                              <w:textAlignment w:val="baseline"/>
                              <w:rPr>
                                <w:rFonts w:ascii="Verdana" w:eastAsia="Verdana" w:hAnsi="Verdana"/>
                                <w:color w:val="414042"/>
                                <w:sz w:val="17"/>
                              </w:rPr>
                            </w:pPr>
                            <w:r>
                              <w:rPr>
                                <w:rFonts w:ascii="Verdana" w:eastAsia="Verdana" w:hAnsi="Verdana"/>
                                <w:color w:val="414042"/>
                                <w:sz w:val="17"/>
                              </w:rPr>
                              <w:t xml:space="preserve">For the first time, LSAY data will be linked </w:t>
                            </w:r>
                            <w:r>
                              <w:rPr>
                                <w:rFonts w:ascii="Tahoma" w:eastAsia="Tahoma" w:hAnsi="Tahoma"/>
                                <w:color w:val="414042"/>
                                <w:sz w:val="18"/>
                              </w:rPr>
                              <w:t>with administrative records, with additional linkages planned for the National Assessment Program – Literacy and Numeracy</w:t>
                            </w:r>
                          </w:p>
                          <w:p w14:paraId="2FE2FEE2" w14:textId="77777777" w:rsidR="00490F33" w:rsidRDefault="00490F33">
                            <w:pPr>
                              <w:spacing w:line="233" w:lineRule="exact"/>
                              <w:ind w:right="504"/>
                              <w:textAlignment w:val="baseline"/>
                              <w:rPr>
                                <w:rFonts w:ascii="Tahoma" w:eastAsia="Tahoma" w:hAnsi="Tahoma"/>
                                <w:color w:val="414042"/>
                                <w:sz w:val="18"/>
                              </w:rPr>
                            </w:pPr>
                            <w:r>
                              <w:rPr>
                                <w:rFonts w:ascii="Tahoma" w:eastAsia="Tahoma" w:hAnsi="Tahoma"/>
                                <w:color w:val="414042"/>
                                <w:sz w:val="18"/>
                              </w:rPr>
                              <w:t>(NAPLAN), senior secondary results and higher 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A3EB1" id="Text Box 54" o:spid="_x0000_s1414" type="#_x0000_t202" style="position:absolute;margin-left:329.3pt;margin-top:156.55pt;width:195.6pt;height:70.95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Ph7gEAAMIDAAAOAAAAZHJzL2Uyb0RvYy54bWysU9tu2zAMfR+wfxD0vji3FpkRp+hadBjQ&#10;XYB2H0DLcizMFjVKiZ19/Sg5zrrtbdiLQJHU4eEhtb0ZulYcNXmDtpCL2VwKbRVWxu4L+fX54c1G&#10;Ch/AVtCi1YU8aS9vdq9fbXuX6yU22FaaBINYn/eukE0ILs8yrxrdgZ+h05aDNVIHga+0zyqCntG7&#10;NlvO59dZj1Q5QqW9Z+/9GJS7hF/XWoXPde11EG0hmVtIJ6WzjGe220K+J3CNUWca8A8sOjCWi16g&#10;7iGAOJD5C6ozitBjHWYKuwzr2iideuBuFvM/unlqwOnUC4vj3UUm//9g1afjFxKmKuRqtZLCQsdD&#10;etZDEO9wEFfrKFDvfM55T44zw8B+HnRq1rtHVN+8sHjXgN3rWyLsGw0VE1zEl9mLpyOOjyBl/xEr&#10;rgOHgAloqKmL6rEegtF5UKfLcCIXxc7lerNeLDmkOPaWxbq+SiUgn1478uG9xk5Eo5DEw0/ocHz0&#10;IbKBfEqJxSw+mLZNC9Da3xycGD2JfSQ8Ug9DOYxKbTaTLCVWJ26IcFws/ghsNEg/pOh5qQrpvx+A&#10;tBTtB8uixA2cDJqMcjLAKn5ayCDFaN6FcVMPjsy+YeRRdou3LFxtUk9R4ZHFmTAvSmr1vNRxE1/e&#10;U9avr7f7CQAA//8DAFBLAwQUAAYACAAAACEAWD2O+uEAAAAMAQAADwAAAGRycy9kb3ducmV2Lnht&#10;bEyPwU7DMBBE70j8g7VI3Kgd2kRtyKaqEJyQEGk4cHRiN7Ear0PstuHvcU9wXO3TzJtiO9uBnfXk&#10;jSOEZCGAaWqdMtQhfNavD2tgPkhScnCkEX60h215e1PIXLkLVfq8Dx2LIeRzidCHMOac+7bXVvqF&#10;GzXF38FNVoZ4Th1Xk7zEcDvwRyEybqWh2NDLUT/3uj3uTxZh90XVi/l+bz6qQ2XqeiPoLTsi3t/N&#10;uydgQc/hD4arflSHMjo17kTKswEhS9dZRBGWyTIBdiXEahPXNAirNBXAy4L/H1H+AgAA//8DAFBL&#10;AQItABQABgAIAAAAIQC2gziS/gAAAOEBAAATAAAAAAAAAAAAAAAAAAAAAABbQ29udGVudF9UeXBl&#10;c10ueG1sUEsBAi0AFAAGAAgAAAAhADj9If/WAAAAlAEAAAsAAAAAAAAAAAAAAAAALwEAAF9yZWxz&#10;Ly5yZWxzUEsBAi0AFAAGAAgAAAAhAGCLI+HuAQAAwgMAAA4AAAAAAAAAAAAAAAAALgIAAGRycy9l&#10;Mm9Eb2MueG1sUEsBAi0AFAAGAAgAAAAhAFg9jvrhAAAADAEAAA8AAAAAAAAAAAAAAAAASAQAAGRy&#10;cy9kb3ducmV2LnhtbFBLBQYAAAAABAAEAPMAAABWBQAAAAA=&#10;" filled="f" stroked="f">
                <v:textbox inset="0,0,0,0">
                  <w:txbxContent>
                    <w:p w14:paraId="662EE3B8" w14:textId="77777777" w:rsidR="00490F33" w:rsidRDefault="00490F33">
                      <w:pPr>
                        <w:spacing w:line="234" w:lineRule="exact"/>
                        <w:textAlignment w:val="baseline"/>
                        <w:rPr>
                          <w:rFonts w:ascii="Verdana" w:eastAsia="Verdana" w:hAnsi="Verdana"/>
                          <w:color w:val="414042"/>
                          <w:sz w:val="17"/>
                        </w:rPr>
                      </w:pPr>
                      <w:r>
                        <w:rPr>
                          <w:rFonts w:ascii="Verdana" w:eastAsia="Verdana" w:hAnsi="Verdana"/>
                          <w:color w:val="414042"/>
                          <w:sz w:val="17"/>
                        </w:rPr>
                        <w:t xml:space="preserve">For the first time, LSAY data will be linked </w:t>
                      </w:r>
                      <w:r>
                        <w:rPr>
                          <w:rFonts w:ascii="Tahoma" w:eastAsia="Tahoma" w:hAnsi="Tahoma"/>
                          <w:color w:val="414042"/>
                          <w:sz w:val="18"/>
                        </w:rPr>
                        <w:t>with administrative records, with additional linkages planned for the National Assessment Program – Literacy and Numeracy</w:t>
                      </w:r>
                    </w:p>
                    <w:p w14:paraId="2FE2FEE2" w14:textId="77777777" w:rsidR="00490F33" w:rsidRDefault="00490F33">
                      <w:pPr>
                        <w:spacing w:line="233" w:lineRule="exact"/>
                        <w:ind w:right="504"/>
                        <w:textAlignment w:val="baseline"/>
                        <w:rPr>
                          <w:rFonts w:ascii="Tahoma" w:eastAsia="Tahoma" w:hAnsi="Tahoma"/>
                          <w:color w:val="414042"/>
                          <w:sz w:val="18"/>
                        </w:rPr>
                      </w:pPr>
                      <w:r>
                        <w:rPr>
                          <w:rFonts w:ascii="Tahoma" w:eastAsia="Tahoma" w:hAnsi="Tahoma"/>
                          <w:color w:val="414042"/>
                          <w:sz w:val="18"/>
                        </w:rPr>
                        <w:t>(NAPLAN), senior secondary results and higher education.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59104" behindDoc="1" locked="0" layoutInCell="1" allowOverlap="1" wp14:anchorId="28017E25" wp14:editId="5C511630">
                <wp:simplePos x="0" y="0"/>
                <wp:positionH relativeFrom="page">
                  <wp:posOffset>905510</wp:posOffset>
                </wp:positionH>
                <wp:positionV relativeFrom="page">
                  <wp:posOffset>2002790</wp:posOffset>
                </wp:positionV>
                <wp:extent cx="2459355" cy="607060"/>
                <wp:effectExtent l="0" t="0" r="0" b="0"/>
                <wp:wrapSquare wrapText="bothSides"/>
                <wp:docPr id="33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AAA97" w14:textId="77777777" w:rsidR="00490F33" w:rsidRDefault="00490F33">
                            <w:pPr>
                              <w:spacing w:line="237" w:lineRule="exact"/>
                              <w:textAlignment w:val="baseline"/>
                              <w:rPr>
                                <w:rFonts w:ascii="Tahoma" w:eastAsia="Tahoma" w:hAnsi="Tahoma"/>
                                <w:color w:val="414042"/>
                                <w:spacing w:val="6"/>
                                <w:sz w:val="18"/>
                              </w:rPr>
                            </w:pPr>
                            <w:r>
                              <w:rPr>
                                <w:rFonts w:ascii="Tahoma" w:eastAsia="Tahoma" w:hAnsi="Tahoma"/>
                                <w:color w:val="414042"/>
                                <w:spacing w:val="6"/>
                                <w:sz w:val="18"/>
                              </w:rPr>
                              <w:t>A key contributor to our understanding of student pathways is the Longitudinal Surveys of Australian Youth (LSAY), which began in 1995.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17E25" id="Text Box 53" o:spid="_x0000_s1415" type="#_x0000_t202" style="position:absolute;margin-left:71.3pt;margin-top:157.7pt;width:193.65pt;height:47.8pt;z-index:-251557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x88QEAAMIDAAAOAAAAZHJzL2Uyb0RvYy54bWysU1Fv0zAQfkfiP1h+p0lbWrao6TQ2DSGN&#10;gbTxA66O01gkPnN2m4xfz9lpyoA3xIt1Pp8/f/fd583V0LXiqMkbtKWcz3IptFVYGbsv5denuzcX&#10;UvgAtoIWrS7ls/byavv61aZ3hV5gg22lSTCI9UXvStmE4Ios86rRHfgZOm35sEbqIPCW9llF0DN6&#10;12aLPF9nPVLlCJX2nrO346HcJvy61ip8rmuvg2hLydxCWimtu7hm2w0UewLXGHWiAf/AogNj+dEz&#10;1C0EEAcyf0F1RhF6rMNMYZdhXRulUw/czTz/o5vHBpxOvbA43p1l8v8PVj0cv5AwVSmXy4UUFjoe&#10;0pMegniPg1gto0C98wXXPTquDAPnedCpWe/uUX3zwuJNA3avr4mwbzRUTHAeb2Yvro44PoLs+k9Y&#10;8TtwCJiAhpq6qB7rIRidB/V8Hk7koji5eLu6XK5WUig+W+fv8nWaXgbFdNuRDx80diIGpSQefkKH&#10;470PkQ0UU0l8zOKdadtkgNb+luDCmEnsI+GRehh2w6jUxeUkyw6rZ26IcDQWfwQOGqQfUvRsqlL6&#10;7wcgLUX70bIo0YFTQFOwmwKwiq+WMkgxhjdhdOrBkdk3jDzKbvGahatN6ikqPLI4EWajpFZPpo5O&#10;fLlPVb++3vYnAAAA//8DAFBLAwQUAAYACAAAACEA92dTWeAAAAALAQAADwAAAGRycy9kb3ducmV2&#10;LnhtbEyPQU+DQBCF7yb+h82YeLMLSIlQlqYxejIxUjz0uLBT2JSdRXbb4r93PenxZb689025XczI&#10;Ljg7bUlAvIqAIXVWaeoFfDavD0/AnJek5GgJBXyjg211e1PKQtkr1XjZ+56FEnKFFDB4PxWcu25A&#10;I93KTkjhdrSzkT7EuedqltdQbkaeRFHGjdQUFgY54fOA3Wl/NgJ2B6pf9Nd7+1Efa900eURv2UmI&#10;+7tltwHmcfF/MPzqB3WoglNrz6QcG0NOkyygAh7jdQosEOskz4G1AtI4joBXJf//Q/UDAAD//wMA&#10;UEsBAi0AFAAGAAgAAAAhALaDOJL+AAAA4QEAABMAAAAAAAAAAAAAAAAAAAAAAFtDb250ZW50X1R5&#10;cGVzXS54bWxQSwECLQAUAAYACAAAACEAOP0h/9YAAACUAQAACwAAAAAAAAAAAAAAAAAvAQAAX3Jl&#10;bHMvLnJlbHNQSwECLQAUAAYACAAAACEAaq7cfPEBAADCAwAADgAAAAAAAAAAAAAAAAAuAgAAZHJz&#10;L2Uyb0RvYy54bWxQSwECLQAUAAYACAAAACEA92dTWeAAAAALAQAADwAAAAAAAAAAAAAAAABLBAAA&#10;ZHJzL2Rvd25yZXYueG1sUEsFBgAAAAAEAAQA8wAAAFgFAAAAAA==&#10;" filled="f" stroked="f">
                <v:textbox inset="0,0,0,0">
                  <w:txbxContent>
                    <w:p w14:paraId="197AAA97" w14:textId="77777777" w:rsidR="00490F33" w:rsidRDefault="00490F33">
                      <w:pPr>
                        <w:spacing w:line="237" w:lineRule="exact"/>
                        <w:textAlignment w:val="baseline"/>
                        <w:rPr>
                          <w:rFonts w:ascii="Tahoma" w:eastAsia="Tahoma" w:hAnsi="Tahoma"/>
                          <w:color w:val="414042"/>
                          <w:spacing w:val="6"/>
                          <w:sz w:val="18"/>
                        </w:rPr>
                      </w:pPr>
                      <w:r>
                        <w:rPr>
                          <w:rFonts w:ascii="Tahoma" w:eastAsia="Tahoma" w:hAnsi="Tahoma"/>
                          <w:color w:val="414042"/>
                          <w:spacing w:val="6"/>
                          <w:sz w:val="18"/>
                        </w:rPr>
                        <w:t>A key contributor to our understanding of student pathways is the Longitudinal Surveys of Australian Youth (LSAY), which began in 1995.</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0128" behindDoc="1" locked="0" layoutInCell="1" allowOverlap="1" wp14:anchorId="2DCD0F3C" wp14:editId="2ECE4039">
                <wp:simplePos x="0" y="0"/>
                <wp:positionH relativeFrom="page">
                  <wp:posOffset>905510</wp:posOffset>
                </wp:positionH>
                <wp:positionV relativeFrom="page">
                  <wp:posOffset>2719070</wp:posOffset>
                </wp:positionV>
                <wp:extent cx="2800985" cy="3206750"/>
                <wp:effectExtent l="0" t="0" r="0" b="0"/>
                <wp:wrapSquare wrapText="bothSides"/>
                <wp:docPr id="33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320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CFC84" w14:textId="77777777" w:rsidR="00490F33" w:rsidRDefault="00490F33">
                            <w:pPr>
                              <w:spacing w:line="240" w:lineRule="exact"/>
                              <w:ind w:right="504"/>
                              <w:textAlignment w:val="baseline"/>
                              <w:rPr>
                                <w:rFonts w:ascii="Tahoma" w:eastAsia="Tahoma" w:hAnsi="Tahoma"/>
                                <w:color w:val="414042"/>
                                <w:spacing w:val="5"/>
                                <w:sz w:val="18"/>
                              </w:rPr>
                            </w:pPr>
                            <w:r>
                              <w:rPr>
                                <w:rFonts w:ascii="Tahoma" w:eastAsia="Tahoma" w:hAnsi="Tahoma"/>
                                <w:color w:val="414042"/>
                                <w:spacing w:val="5"/>
                                <w:sz w:val="18"/>
                              </w:rPr>
                              <w:t>LSAY tracks young people as they move from school into further study, work and other destinations. LSAY provides a rich source of information about young people and their pathways, helping researchers and policymakers make educated decisions about youth policies. Survey participants enter the study when they are about 15 years old and are contacted once a year until they are 25. Information on a wide range of school and post-school topics is collected, including:</w:t>
                            </w:r>
                          </w:p>
                          <w:p w14:paraId="2A90210E" w14:textId="77777777" w:rsidR="00490F33" w:rsidRDefault="00490F33">
                            <w:pPr>
                              <w:numPr>
                                <w:ilvl w:val="0"/>
                                <w:numId w:val="6"/>
                              </w:numPr>
                              <w:spacing w:before="86" w:line="240" w:lineRule="exact"/>
                              <w:ind w:left="216" w:right="144" w:hanging="216"/>
                              <w:textAlignment w:val="baseline"/>
                              <w:rPr>
                                <w:rFonts w:ascii="Tahoma" w:eastAsia="Tahoma" w:hAnsi="Tahoma"/>
                                <w:color w:val="414042"/>
                                <w:sz w:val="18"/>
                              </w:rPr>
                            </w:pPr>
                            <w:r>
                              <w:rPr>
                                <w:rFonts w:ascii="Tahoma" w:eastAsia="Tahoma" w:hAnsi="Tahoma"/>
                                <w:color w:val="414042"/>
                                <w:sz w:val="18"/>
                              </w:rPr>
                              <w:t>demographics, such as gender, country of birth, indigeneity, socioeconomic status and parents’ education and occupation levels</w:t>
                            </w:r>
                          </w:p>
                          <w:p w14:paraId="7650EC66" w14:textId="77777777" w:rsidR="00490F33" w:rsidRDefault="00490F33">
                            <w:pPr>
                              <w:numPr>
                                <w:ilvl w:val="0"/>
                                <w:numId w:val="6"/>
                              </w:numPr>
                              <w:spacing w:before="86" w:line="240" w:lineRule="exact"/>
                              <w:ind w:left="216" w:hanging="216"/>
                              <w:textAlignment w:val="baseline"/>
                              <w:rPr>
                                <w:rFonts w:ascii="Tahoma" w:eastAsia="Tahoma" w:hAnsi="Tahoma"/>
                                <w:color w:val="414042"/>
                                <w:spacing w:val="6"/>
                                <w:sz w:val="18"/>
                              </w:rPr>
                            </w:pPr>
                            <w:r>
                              <w:rPr>
                                <w:rFonts w:ascii="Tahoma" w:eastAsia="Tahoma" w:hAnsi="Tahoma"/>
                                <w:color w:val="414042"/>
                                <w:spacing w:val="6"/>
                                <w:sz w:val="18"/>
                              </w:rPr>
                              <w:t>education, including school characteristics, subject choice, post-school plans, higher education, and vocational education and training</w:t>
                            </w:r>
                          </w:p>
                          <w:p w14:paraId="198A0EDA" w14:textId="77777777" w:rsidR="00490F33" w:rsidRDefault="00490F33">
                            <w:pPr>
                              <w:numPr>
                                <w:ilvl w:val="0"/>
                                <w:numId w:val="6"/>
                              </w:numPr>
                              <w:spacing w:before="78" w:line="239" w:lineRule="exact"/>
                              <w:ind w:left="216" w:hanging="216"/>
                              <w:textAlignment w:val="baseline"/>
                              <w:rPr>
                                <w:rFonts w:ascii="Tahoma" w:eastAsia="Tahoma" w:hAnsi="Tahoma"/>
                                <w:color w:val="414042"/>
                                <w:sz w:val="18"/>
                              </w:rPr>
                            </w:pPr>
                            <w:r>
                              <w:rPr>
                                <w:rFonts w:ascii="Tahoma" w:eastAsia="Tahoma" w:hAnsi="Tahoma"/>
                                <w:color w:val="414042"/>
                                <w:sz w:val="18"/>
                              </w:rPr>
                              <w:t xml:space="preserve">employment, including hours worked, wages and </w:t>
                            </w:r>
                            <w:r>
                              <w:rPr>
                                <w:rFonts w:ascii="Verdana" w:eastAsia="Verdana" w:hAnsi="Verdana"/>
                                <w:color w:val="414042"/>
                                <w:sz w:val="17"/>
                              </w:rPr>
                              <w:t xml:space="preserve">benefits received, job-seeking methods and job </w:t>
                            </w:r>
                            <w:r>
                              <w:rPr>
                                <w:rFonts w:ascii="Tahoma" w:eastAsia="Tahoma" w:hAnsi="Tahoma"/>
                                <w:color w:val="414042"/>
                                <w:sz w:val="18"/>
                              </w:rPr>
                              <w:t>satisfaction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D0F3C" id="Text Box 52" o:spid="_x0000_s1416" type="#_x0000_t202" style="position:absolute;margin-left:71.3pt;margin-top:214.1pt;width:220.55pt;height:252.5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lc8AEAAMMDAAAOAAAAZHJzL2Uyb0RvYy54bWysU8Fu2zAMvQ/YPwi6L3YSpEuNOEXXosOA&#10;bh3Q7gMYWY6F2aJGKbGzrx8lJ2m33opdBIqint57pFZXQ9eKvSZv0JZyOsml0FZhZey2lD+e7j4s&#10;pfABbAUtWl3Kg/byav3+3ap3hZ5hg22lSTCI9UXvStmE4Ios86rRHfgJOm35sEbqIPCWtllF0DN6&#10;12azPL/IeqTKESrtPWdvx0O5Tvh1rVV4qGuvg2hLydxCWimtm7hm6xUUWwLXGHWkAW9g0YGx/OgZ&#10;6hYCiB2ZV1CdUYQe6zBR2GVY10bppIHVTPN/1Dw24HTSwuZ4d7bJ/z9Y9W3/nYSpSjmfT6Ww0HGT&#10;nvQQxCccxGIWDeqdL7ju0XFlGDjPjU5ivbtH9dMLizcN2K2+JsK+0VAxwWm8mb24OuL4CLLpv2LF&#10;78AuYAIaauqie+yHYHRu1OHcnMhFcXK2zPPL5UIKxWfzWX7xcZHal0Fxuu7Ih88aOxGDUhJ3P8HD&#10;/t6HSAeKU0l8zeKdads0Aa39K8GFMZPoR8Yj9zBshtGqy/RyFLfB6sCKCMfJ4p/AQYP0W4qep6qU&#10;/tcOSEvRfrHsShzBU0CnYHMKwCq+WsogxRjehHFUd47MtmHk0XeL1+xcbZKmZxZHwjwpSepxquMo&#10;vtynque/t/4DAAD//wMAUEsDBBQABgAIAAAAIQA55W0t4QAAAAsBAAAPAAAAZHJzL2Rvd25yZXYu&#10;eG1sTI/BTsMwEETvSPyDtUjcqNOkhDSNU1UITkioaThwdOJtYjVeh9htw99jTnAc7dPM22I7m4Fd&#10;cHLakoDlIgKG1FqlqRPwUb8+ZMCcl6TkYAkFfKODbXl7U8hc2StVeDn4joUScrkU0Hs/5py7tkcj&#10;3cKOSOF2tJORPsSp42qS11BuBh5HUcqN1BQWejnic4/t6XA2AnafVL3or/dmXx0rXdfriN7SkxD3&#10;d/NuA8zj7P9g+NUP6lAGp8aeSTk2hLyK04AKWMVZDCwQj1nyBKwRsE6SGHhZ8P8/lD8AAAD//wMA&#10;UEsBAi0AFAAGAAgAAAAhALaDOJL+AAAA4QEAABMAAAAAAAAAAAAAAAAAAAAAAFtDb250ZW50X1R5&#10;cGVzXS54bWxQSwECLQAUAAYACAAAACEAOP0h/9YAAACUAQAACwAAAAAAAAAAAAAAAAAvAQAAX3Jl&#10;bHMvLnJlbHNQSwECLQAUAAYACAAAACEAr2F5XPABAADDAwAADgAAAAAAAAAAAAAAAAAuAgAAZHJz&#10;L2Uyb0RvYy54bWxQSwECLQAUAAYACAAAACEAOeVtLeEAAAALAQAADwAAAAAAAAAAAAAAAABKBAAA&#10;ZHJzL2Rvd25yZXYueG1sUEsFBgAAAAAEAAQA8wAAAFgFAAAAAA==&#10;" filled="f" stroked="f">
                <v:textbox inset="0,0,0,0">
                  <w:txbxContent>
                    <w:p w14:paraId="1D9CFC84" w14:textId="77777777" w:rsidR="00490F33" w:rsidRDefault="00490F33">
                      <w:pPr>
                        <w:spacing w:line="240" w:lineRule="exact"/>
                        <w:ind w:right="504"/>
                        <w:textAlignment w:val="baseline"/>
                        <w:rPr>
                          <w:rFonts w:ascii="Tahoma" w:eastAsia="Tahoma" w:hAnsi="Tahoma"/>
                          <w:color w:val="414042"/>
                          <w:spacing w:val="5"/>
                          <w:sz w:val="18"/>
                        </w:rPr>
                      </w:pPr>
                      <w:r>
                        <w:rPr>
                          <w:rFonts w:ascii="Tahoma" w:eastAsia="Tahoma" w:hAnsi="Tahoma"/>
                          <w:color w:val="414042"/>
                          <w:spacing w:val="5"/>
                          <w:sz w:val="18"/>
                        </w:rPr>
                        <w:t>LSAY tracks young people as they move from school into further study, work and other destinations. LSAY provides a rich source of information about young people and their pathways, helping researchers and policymakers make educated decisions about youth policies. Survey participants enter the study when they are about 15 years old and are contacted once a year until they are 25. Information on a wide range of school and post-school topics is collected, including:</w:t>
                      </w:r>
                    </w:p>
                    <w:p w14:paraId="2A90210E" w14:textId="77777777" w:rsidR="00490F33" w:rsidRDefault="00490F33">
                      <w:pPr>
                        <w:numPr>
                          <w:ilvl w:val="0"/>
                          <w:numId w:val="6"/>
                        </w:numPr>
                        <w:spacing w:before="86" w:line="240" w:lineRule="exact"/>
                        <w:ind w:left="216" w:right="144" w:hanging="216"/>
                        <w:textAlignment w:val="baseline"/>
                        <w:rPr>
                          <w:rFonts w:ascii="Tahoma" w:eastAsia="Tahoma" w:hAnsi="Tahoma"/>
                          <w:color w:val="414042"/>
                          <w:sz w:val="18"/>
                        </w:rPr>
                      </w:pPr>
                      <w:r>
                        <w:rPr>
                          <w:rFonts w:ascii="Tahoma" w:eastAsia="Tahoma" w:hAnsi="Tahoma"/>
                          <w:color w:val="414042"/>
                          <w:sz w:val="18"/>
                        </w:rPr>
                        <w:t>demographics, such as gender, country of birth, indigeneity, socioeconomic status and parents’ education and occupation levels</w:t>
                      </w:r>
                    </w:p>
                    <w:p w14:paraId="7650EC66" w14:textId="77777777" w:rsidR="00490F33" w:rsidRDefault="00490F33">
                      <w:pPr>
                        <w:numPr>
                          <w:ilvl w:val="0"/>
                          <w:numId w:val="6"/>
                        </w:numPr>
                        <w:spacing w:before="86" w:line="240" w:lineRule="exact"/>
                        <w:ind w:left="216" w:hanging="216"/>
                        <w:textAlignment w:val="baseline"/>
                        <w:rPr>
                          <w:rFonts w:ascii="Tahoma" w:eastAsia="Tahoma" w:hAnsi="Tahoma"/>
                          <w:color w:val="414042"/>
                          <w:spacing w:val="6"/>
                          <w:sz w:val="18"/>
                        </w:rPr>
                      </w:pPr>
                      <w:r>
                        <w:rPr>
                          <w:rFonts w:ascii="Tahoma" w:eastAsia="Tahoma" w:hAnsi="Tahoma"/>
                          <w:color w:val="414042"/>
                          <w:spacing w:val="6"/>
                          <w:sz w:val="18"/>
                        </w:rPr>
                        <w:t>education, including school characteristics, subject choice, post-school plans, higher education, and vocational education and training</w:t>
                      </w:r>
                    </w:p>
                    <w:p w14:paraId="198A0EDA" w14:textId="77777777" w:rsidR="00490F33" w:rsidRDefault="00490F33">
                      <w:pPr>
                        <w:numPr>
                          <w:ilvl w:val="0"/>
                          <w:numId w:val="6"/>
                        </w:numPr>
                        <w:spacing w:before="78" w:line="239" w:lineRule="exact"/>
                        <w:ind w:left="216" w:hanging="216"/>
                        <w:textAlignment w:val="baseline"/>
                        <w:rPr>
                          <w:rFonts w:ascii="Tahoma" w:eastAsia="Tahoma" w:hAnsi="Tahoma"/>
                          <w:color w:val="414042"/>
                          <w:sz w:val="18"/>
                        </w:rPr>
                      </w:pPr>
                      <w:r>
                        <w:rPr>
                          <w:rFonts w:ascii="Tahoma" w:eastAsia="Tahoma" w:hAnsi="Tahoma"/>
                          <w:color w:val="414042"/>
                          <w:sz w:val="18"/>
                        </w:rPr>
                        <w:t xml:space="preserve">employment, including hours worked, wages and </w:t>
                      </w:r>
                      <w:r>
                        <w:rPr>
                          <w:rFonts w:ascii="Verdana" w:eastAsia="Verdana" w:hAnsi="Verdana"/>
                          <w:color w:val="414042"/>
                          <w:sz w:val="17"/>
                        </w:rPr>
                        <w:t xml:space="preserve">benefits received, job-seeking methods and job </w:t>
                      </w:r>
                      <w:r>
                        <w:rPr>
                          <w:rFonts w:ascii="Tahoma" w:eastAsia="Tahoma" w:hAnsi="Tahoma"/>
                          <w:color w:val="414042"/>
                          <w:sz w:val="18"/>
                        </w:rPr>
                        <w:t>satisfaction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1152" behindDoc="1" locked="0" layoutInCell="1" allowOverlap="1" wp14:anchorId="398292DD" wp14:editId="6148FF0D">
                <wp:simplePos x="0" y="0"/>
                <wp:positionH relativeFrom="page">
                  <wp:posOffset>914400</wp:posOffset>
                </wp:positionH>
                <wp:positionV relativeFrom="page">
                  <wp:posOffset>5960110</wp:posOffset>
                </wp:positionV>
                <wp:extent cx="2231390" cy="629920"/>
                <wp:effectExtent l="0" t="0" r="0" b="0"/>
                <wp:wrapSquare wrapText="bothSides"/>
                <wp:docPr id="33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A3992" w14:textId="77777777" w:rsidR="00490F33" w:rsidRDefault="00490F33">
                            <w:pPr>
                              <w:numPr>
                                <w:ilvl w:val="0"/>
                                <w:numId w:val="6"/>
                              </w:numPr>
                              <w:spacing w:before="32" w:line="237" w:lineRule="exact"/>
                              <w:ind w:left="216" w:hanging="216"/>
                              <w:textAlignment w:val="baseline"/>
                              <w:rPr>
                                <w:rFonts w:ascii="Tahoma" w:eastAsia="Tahoma" w:hAnsi="Tahoma"/>
                                <w:color w:val="414042"/>
                                <w:spacing w:val="-2"/>
                                <w:sz w:val="18"/>
                              </w:rPr>
                            </w:pPr>
                            <w:r>
                              <w:rPr>
                                <w:rFonts w:ascii="Tahoma" w:eastAsia="Tahoma" w:hAnsi="Tahoma"/>
                                <w:color w:val="414042"/>
                                <w:spacing w:val="-2"/>
                                <w:sz w:val="18"/>
                              </w:rPr>
                              <w:t xml:space="preserve">‘social’, which broadly includes living </w:t>
                            </w:r>
                            <w:r>
                              <w:rPr>
                                <w:rFonts w:ascii="Verdana" w:eastAsia="Verdana" w:hAnsi="Verdana"/>
                                <w:color w:val="414042"/>
                                <w:spacing w:val="-2"/>
                                <w:sz w:val="17"/>
                              </w:rPr>
                              <w:t xml:space="preserve">arrangements, marital status, financial difficulties, volunteering activities and </w:t>
                            </w:r>
                            <w:r>
                              <w:rPr>
                                <w:rFonts w:ascii="Tahoma" w:eastAsia="Tahoma" w:hAnsi="Tahoma"/>
                                <w:color w:val="414042"/>
                                <w:spacing w:val="-2"/>
                                <w:sz w:val="18"/>
                              </w:rPr>
                              <w:t>life satisfaction.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292DD" id="Text Box 51" o:spid="_x0000_s1417" type="#_x0000_t202" style="position:absolute;margin-left:1in;margin-top:469.3pt;width:175.7pt;height:49.6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n/7AEAAMIDAAAOAAAAZHJzL2Uyb0RvYy54bWysU8GO0zAQvSPxD5bvNG0qVjRqulp2tQhp&#10;gZV2+QDXsROL2GPGbpPy9YydpixwQ1ys8Xj8/N6b8fZ6tD07KgwGXM1XiyVnyklojGtr/vX5/s07&#10;zkIUrhE9OFXzkwr8evf61XbwlSqhg75RyAjEhWrwNe9i9FVRBNkpK8ICvHJ0qAGtiLTFtmhQDIRu&#10;+6JcLq+KAbDxCFKFQNm76ZDvMr7WSsYvWgcVWV9z4hbzinndp7XYbUXVovCdkWca4h9YWGEcPXqB&#10;uhNRsAOav6CskQgBdFxIsAVobaTKGkjNavmHmqdOeJW1kDnBX2wK/w9Wfj4+IjNNzddr8scJS016&#10;VmNk72Fkb1fJoMGHiuqePFXGkfLU6Cw2+AeQ3wJzcNsJ16obRBg6JRoimG8WL65OOCGB7IdP0NA7&#10;4hAhA40abXKP/GCETkROl+YkLpKSZblerTd0JOnsqtxsyty9QlTzbY8hflBgWQpqjtT8jC6ODyGS&#10;DiqdS9JjDu5N3+cB6N1vCSpMmcw+EZ6ox3E/Tk5tLrbsoTmRIIRpsOgjUNAB/uBsoKGqefh+EKg4&#10;6z86MiVN4BzgHOznQDhJV2seOZvC2zhN6sGjaTtCnmx3cEPGaZM1JYcnFmfCNChZ6nmo0yS+3Oeq&#10;X19v9xMAAP//AwBQSwMEFAAGAAgAAAAhAMSCDongAAAADAEAAA8AAABkcnMvZG93bnJldi54bWxM&#10;jzFPwzAUhHck/oP1kNioDQ0hCXGqCsGEhEjDwOjEbmI1fg6x24Z/z2OC8XSnu+/KzeJGdjJzsB4l&#10;3K4EMIOd1xZ7CR/Ny00GLESFWo0ejYRvE2BTXV6UqtD+jLU57WLPqARDoSQMMU4F56EbjFNh5SeD&#10;5O397FQkOfdcz+pM5W7kd0Kk3CmLtDCoyTwNpjvsjk7C9hPrZ/v11r7X+9o2TS7wNT1IeX21bB+B&#10;RbPEvzD84hM6VMTU+iPqwEbSSUJfooR8naXAKJHk9wmwliyxfsiAVyX/f6L6AQAA//8DAFBLAQIt&#10;ABQABgAIAAAAIQC2gziS/gAAAOEBAAATAAAAAAAAAAAAAAAAAAAAAABbQ29udGVudF9UeXBlc10u&#10;eG1sUEsBAi0AFAAGAAgAAAAhADj9If/WAAAAlAEAAAsAAAAAAAAAAAAAAAAALwEAAF9yZWxzLy5y&#10;ZWxzUEsBAi0AFAAGAAgAAAAhAAJLOf/sAQAAwgMAAA4AAAAAAAAAAAAAAAAALgIAAGRycy9lMm9E&#10;b2MueG1sUEsBAi0AFAAGAAgAAAAhAMSCDongAAAADAEAAA8AAAAAAAAAAAAAAAAARgQAAGRycy9k&#10;b3ducmV2LnhtbFBLBQYAAAAABAAEAPMAAABTBQAAAAA=&#10;" filled="f" stroked="f">
                <v:textbox inset="0,0,0,0">
                  <w:txbxContent>
                    <w:p w14:paraId="228A3992" w14:textId="77777777" w:rsidR="00490F33" w:rsidRDefault="00490F33">
                      <w:pPr>
                        <w:numPr>
                          <w:ilvl w:val="0"/>
                          <w:numId w:val="6"/>
                        </w:numPr>
                        <w:spacing w:before="32" w:line="237" w:lineRule="exact"/>
                        <w:ind w:left="216" w:hanging="216"/>
                        <w:textAlignment w:val="baseline"/>
                        <w:rPr>
                          <w:rFonts w:ascii="Tahoma" w:eastAsia="Tahoma" w:hAnsi="Tahoma"/>
                          <w:color w:val="414042"/>
                          <w:spacing w:val="-2"/>
                          <w:sz w:val="18"/>
                        </w:rPr>
                      </w:pPr>
                      <w:r>
                        <w:rPr>
                          <w:rFonts w:ascii="Tahoma" w:eastAsia="Tahoma" w:hAnsi="Tahoma"/>
                          <w:color w:val="414042"/>
                          <w:spacing w:val="-2"/>
                          <w:sz w:val="18"/>
                        </w:rPr>
                        <w:t xml:space="preserve">‘social’, which broadly includes living </w:t>
                      </w:r>
                      <w:r>
                        <w:rPr>
                          <w:rFonts w:ascii="Verdana" w:eastAsia="Verdana" w:hAnsi="Verdana"/>
                          <w:color w:val="414042"/>
                          <w:spacing w:val="-2"/>
                          <w:sz w:val="17"/>
                        </w:rPr>
                        <w:t xml:space="preserve">arrangements, marital status, financial difficulties, volunteering activities and </w:t>
                      </w:r>
                      <w:r>
                        <w:rPr>
                          <w:rFonts w:ascii="Tahoma" w:eastAsia="Tahoma" w:hAnsi="Tahoma"/>
                          <w:color w:val="414042"/>
                          <w:spacing w:val="-2"/>
                          <w:sz w:val="18"/>
                        </w:rPr>
                        <w:t>life satisfaction.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2176" behindDoc="1" locked="0" layoutInCell="1" allowOverlap="1" wp14:anchorId="486D7C99" wp14:editId="2B51E27C">
                <wp:simplePos x="0" y="0"/>
                <wp:positionH relativeFrom="page">
                  <wp:posOffset>905510</wp:posOffset>
                </wp:positionH>
                <wp:positionV relativeFrom="page">
                  <wp:posOffset>6702425</wp:posOffset>
                </wp:positionV>
                <wp:extent cx="2468880" cy="1524000"/>
                <wp:effectExtent l="0" t="0" r="0" b="0"/>
                <wp:wrapSquare wrapText="bothSides"/>
                <wp:docPr id="3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82704" w14:textId="77777777" w:rsidR="00490F33" w:rsidRDefault="00490F33">
                            <w:pPr>
                              <w:spacing w:line="239" w:lineRule="exact"/>
                              <w:textAlignment w:val="baseline"/>
                              <w:rPr>
                                <w:rFonts w:ascii="Tahoma" w:eastAsia="Tahoma" w:hAnsi="Tahoma"/>
                                <w:color w:val="414042"/>
                                <w:spacing w:val="6"/>
                                <w:sz w:val="18"/>
                              </w:rPr>
                            </w:pPr>
                            <w:r>
                              <w:rPr>
                                <w:rFonts w:ascii="Tahoma" w:eastAsia="Tahoma" w:hAnsi="Tahoma"/>
                                <w:color w:val="414042"/>
                                <w:spacing w:val="6"/>
                                <w:sz w:val="18"/>
                              </w:rPr>
                              <w:t>Nationally representative samples of over 10,000 young people start out in each cohort. Since 2003, participants have been recruited from Australian schools that take part in the Programme for International Student Assessment (PISA). The most recent cohort commenced in 2015, with the next data collection scheduled to start in September 2020 when the participants are around 21 years old.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D7C99" id="Text Box 50" o:spid="_x0000_s1418" type="#_x0000_t202" style="position:absolute;margin-left:71.3pt;margin-top:527.75pt;width:194.4pt;height:120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p8QEAAMMDAAAOAAAAZHJzL2Uyb0RvYy54bWysU8Fu2zAMvQ/YPwi6L3a8tkiNOEXXosOA&#10;bh3Q7gMYWY6F2aJGKbGzrx8lJ2m33opdBIqint57pJZXY9+JnSZv0FZyPsul0FZhbeymkj+e7j4s&#10;pPABbA0dWl3JvfbyavX+3XJwpS6wxa7WJBjE+nJwlWxDcGWWedXqHvwMnbZ82CD1EHhLm6wmGBi9&#10;77Iizy+yAal2hEp7z9nb6VCuEn7TaBUemsbrILpKMreQVkrrOq7ZagnlhsC1Rh1owBtY9GAsP3qC&#10;uoUAYkvmFVRvFKHHJswU9hk2jVE6aWA18/wfNY8tOJ20sDnenWzy/w9Wfdt9J2HqSn4sLqWw0HOT&#10;nvQYxCccxXkyaHC+5LpHx5Vh5Dw3Oon17h7VTy8s3rRgN/qaCIdWQ80E59Ha7MXV2BJf+giyHr5i&#10;ze/ANmACGhvqo3vsh2B0btT+1JzIRXGyOLtYLBZ8pPhsfl6c5Xlil0F5vO7Ih88aexGDShJ3P8HD&#10;7t6HSAfKY0l8zeKd6bo0AZ39K8GFMZPoR8YT9zCux8mqyyKqi3rWWO9ZEeE0WfwTOGiRfksx8FRV&#10;0v/aAmkpui+WXYkjeAzoGKyPAVjFVysZpJjCmzCN6taR2bSMPPlu8Zqda0zS9MziQJgnJUk9THUc&#10;xZf7VPX891Z/AAAA//8DAFBLAwQUAAYACAAAACEA97CRJuEAAAANAQAADwAAAGRycy9kb3ducmV2&#10;LnhtbEyPwU7DMBBE70j8g7VI3Kjd0EQ0jVNVCE5IiDQcenRiN7Ear0PstuHvWU5w25kdzb4ttrMb&#10;2MVMwXqUsFwIYAZbry12Ej7r14cnYCEq1GrwaCR8mwDb8vamULn2V6zMZR87RiUYciWhj3HMOQ9t&#10;b5wKCz8apN3RT05FklPH9aSuVO4GngiRcacs0oVejea5N+1pf3YSdgesXuzXe/NRHStb12uBb9lJ&#10;yvu7ebcBFs0c/8Lwi0/oUBJT48+oAxtIr5KMojSINE2BUSR9XK6ANWQla7J4WfD/X5Q/AAAA//8D&#10;AFBLAQItABQABgAIAAAAIQC2gziS/gAAAOEBAAATAAAAAAAAAAAAAAAAAAAAAABbQ29udGVudF9U&#10;eXBlc10ueG1sUEsBAi0AFAAGAAgAAAAhADj9If/WAAAAlAEAAAsAAAAAAAAAAAAAAAAALwEAAF9y&#10;ZWxzLy5yZWxzUEsBAi0AFAAGAAgAAAAhAGhAemnxAQAAwwMAAA4AAAAAAAAAAAAAAAAALgIAAGRy&#10;cy9lMm9Eb2MueG1sUEsBAi0AFAAGAAgAAAAhAPewkSbhAAAADQEAAA8AAAAAAAAAAAAAAAAASwQA&#10;AGRycy9kb3ducmV2LnhtbFBLBQYAAAAABAAEAPMAAABZBQAAAAA=&#10;" filled="f" stroked="f">
                <v:textbox inset="0,0,0,0">
                  <w:txbxContent>
                    <w:p w14:paraId="4F182704" w14:textId="77777777" w:rsidR="00490F33" w:rsidRDefault="00490F33">
                      <w:pPr>
                        <w:spacing w:line="239" w:lineRule="exact"/>
                        <w:textAlignment w:val="baseline"/>
                        <w:rPr>
                          <w:rFonts w:ascii="Tahoma" w:eastAsia="Tahoma" w:hAnsi="Tahoma"/>
                          <w:color w:val="414042"/>
                          <w:spacing w:val="6"/>
                          <w:sz w:val="18"/>
                        </w:rPr>
                      </w:pPr>
                      <w:r>
                        <w:rPr>
                          <w:rFonts w:ascii="Tahoma" w:eastAsia="Tahoma" w:hAnsi="Tahoma"/>
                          <w:color w:val="414042"/>
                          <w:spacing w:val="6"/>
                          <w:sz w:val="18"/>
                        </w:rPr>
                        <w:t>Nationally representative samples of over 10,000 young people start out in each cohort. Since 2003, participants have been recruited from Australian schools that take part in the Programme for International Student Assessment (PISA). The most recent cohort commenced in 2015, with the next data collection scheduled to start in September 2020 when the participants are around 21 years old.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3200" behindDoc="1" locked="0" layoutInCell="1" allowOverlap="1" wp14:anchorId="7F6A6DE8" wp14:editId="31076CB2">
                <wp:simplePos x="0" y="0"/>
                <wp:positionH relativeFrom="page">
                  <wp:posOffset>4182110</wp:posOffset>
                </wp:positionH>
                <wp:positionV relativeFrom="page">
                  <wp:posOffset>7277100</wp:posOffset>
                </wp:positionV>
                <wp:extent cx="2532380" cy="687070"/>
                <wp:effectExtent l="0" t="0" r="0" b="0"/>
                <wp:wrapSquare wrapText="bothSides"/>
                <wp:docPr id="32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3825D" w14:textId="77777777" w:rsidR="00490F33" w:rsidRDefault="00490F33">
                            <w:pPr>
                              <w:spacing w:before="2" w:line="177" w:lineRule="exact"/>
                              <w:textAlignment w:val="baseline"/>
                              <w:rPr>
                                <w:rFonts w:ascii="Tahoma" w:eastAsia="Tahoma" w:hAnsi="Tahoma"/>
                                <w:color w:val="000000"/>
                                <w:sz w:val="14"/>
                              </w:rPr>
                            </w:pPr>
                            <w:r>
                              <w:rPr>
                                <w:rFonts w:ascii="Tahoma" w:eastAsia="Tahoma" w:hAnsi="Tahoma"/>
                                <w:color w:val="000000"/>
                                <w:sz w:val="14"/>
                              </w:rPr>
                              <w:t xml:space="preserve">Source: Longitudinal Surveys of Australian Youth website, </w:t>
                            </w:r>
                            <w:hyperlink r:id="rId323">
                              <w:r>
                                <w:rPr>
                                  <w:rFonts w:ascii="Tahoma" w:eastAsia="Tahoma" w:hAnsi="Tahoma"/>
                                  <w:color w:val="0000FF"/>
                                  <w:sz w:val="14"/>
                                  <w:u w:val="single"/>
                                </w:rPr>
                                <w:t>https://www.lsay.edu.au</w:t>
                              </w:r>
                            </w:hyperlink>
                            <w:r>
                              <w:rPr>
                                <w:rFonts w:ascii="Tahoma" w:eastAsia="Tahoma" w:hAnsi="Tahoma"/>
                                <w:color w:val="000000"/>
                                <w:sz w:val="14"/>
                              </w:rPr>
                              <w:t xml:space="preserve">; and Forrest, C. and Scobie, C. (eds), ‘25 years of LSAY: Research from the Longitudinal Surveys of Australian Youth’, executive summary, </w:t>
                            </w:r>
                            <w:hyperlink r:id="rId324">
                              <w:r>
                                <w:rPr>
                                  <w:rFonts w:ascii="Tahoma" w:eastAsia="Tahoma" w:hAnsi="Tahoma"/>
                                  <w:color w:val="0000FF"/>
                                  <w:sz w:val="14"/>
                                  <w:u w:val="single"/>
                                </w:rPr>
                                <w:t>https://www.lsay.edu.au/__data/assets/pdf_</w:t>
                              </w:r>
                            </w:hyperlink>
                            <w:r>
                              <w:rPr>
                                <w:rFonts w:ascii="Tahoma" w:eastAsia="Tahoma" w:hAnsi="Tahoma"/>
                                <w:color w:val="000000"/>
                                <w:sz w:val="14"/>
                              </w:rPr>
                              <w:t xml:space="preserve"> </w:t>
                            </w:r>
                            <w:r>
                              <w:rPr>
                                <w:rFonts w:ascii="Verdana" w:eastAsia="Verdana" w:hAnsi="Verdana"/>
                                <w:color w:val="000000"/>
                                <w:sz w:val="13"/>
                              </w:rPr>
                              <w:t>file/0043/9659833/25-years</w:t>
                            </w:r>
                            <w:r>
                              <w:rPr>
                                <w:rFonts w:ascii="Tahoma" w:eastAsia="Tahoma" w:hAnsi="Tahoma"/>
                                <w:color w:val="000000"/>
                                <w:sz w:val="14"/>
                              </w:rPr>
                              <w:t>-of-LSAY-Executive-summary.pdf.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A6DE8" id="Text Box 49" o:spid="_x0000_s1419" type="#_x0000_t202" style="position:absolute;margin-left:329.3pt;margin-top:573pt;width:199.4pt;height:54.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5x8AEAAMIDAAAOAAAAZHJzL2Uyb0RvYy54bWysU21v0zAQ/o7Ef7D8nSZtYeuiptPYNIQ0&#10;BtLGD7g6TmOR+MzZbVJ+PWenKQO+Ib5Y53t5/Nxz5/X10LXioMkbtKWcz3IptFVYGbsr5dfn+zcr&#10;KXwAW0GLVpfyqL283rx+te5doRfYYFtpEgxifdG7UjYhuCLLvGp0B36GTlsO1kgdBL7SLqsIekbv&#10;2myR5xdZj1Q5QqW9Z+/dGJSbhF/XWoXPde11EG0pmVtIJ6VzG89ss4ZiR+Aao0404B9YdGAsP3qG&#10;uoMAYk/mL6jOKEKPdZgp7DKsa6N06oG7med/dPPUgNOpFxbHu7NM/v/BqsfDFxKmKuVywaOy0PGQ&#10;nvUQxHscxNurKFDvfMF5T44zw8B+HnRq1rsHVN+8sHjbgN3pGyLsGw0VE5zHyuxF6YjjI8i2/4QV&#10;vwP7gAloqKmL6rEegtF5UMfzcCIXxc7Fu+ViueKQ4tjF6jK/TNPLoJiqHfnwQWMnolFK4uEndDg8&#10;+BDZQDGlxMcs3pu2TQvQ2t8cnBg9iX0kPFIPw3YYlbpaTrJssTpyQ4TjYvFHYKNB+iFFz0tVSv99&#10;D6SlaD9aFiVu4GTQZGwnA6zi0lIGKUbzNoybundkdg0jj7JbvGHhapN6igqPLE6EeVFSq6eljpv4&#10;8p6yfn29zU8AAAD//wMAUEsDBBQABgAIAAAAIQAr4b5N4gAAAA4BAAAPAAAAZHJzL2Rvd25yZXYu&#10;eG1sTI/BTsMwEETvSPyDtZW4UbtREkoap6oQnJAQaThwdGI3iRqvQ+y24e/ZnuhtR/M0O5NvZzuw&#10;s5l871DCaimAGWyc7rGV8FW9Pa6B+aBQq8GhkfBrPGyL+7tcZdpdsDTnfWgZhaDPlIQuhDHj3Ded&#10;scov3WiQvIObrAokp5brSV0o3A48EiLlVvVIHzo1mpfONMf9yUrYfWP52v981J/loeyr6lnge3qU&#10;8mEx7zbAgpnDPwzX+lQdCupUuxNqzwYJabJOCSVjFae06oqI5CkGVtMVJXEEvMj57YziDwAA//8D&#10;AFBLAQItABQABgAIAAAAIQC2gziS/gAAAOEBAAATAAAAAAAAAAAAAAAAAAAAAABbQ29udGVudF9U&#10;eXBlc10ueG1sUEsBAi0AFAAGAAgAAAAhADj9If/WAAAAlAEAAAsAAAAAAAAAAAAAAAAALwEAAF9y&#10;ZWxzLy5yZWxzUEsBAi0AFAAGAAgAAAAhAMa6znHwAQAAwgMAAA4AAAAAAAAAAAAAAAAALgIAAGRy&#10;cy9lMm9Eb2MueG1sUEsBAi0AFAAGAAgAAAAhACvhvk3iAAAADgEAAA8AAAAAAAAAAAAAAAAASgQA&#10;AGRycy9kb3ducmV2LnhtbFBLBQYAAAAABAAEAPMAAABZBQAAAAA=&#10;" filled="f" stroked="f">
                <v:textbox inset="0,0,0,0">
                  <w:txbxContent>
                    <w:p w14:paraId="74A3825D" w14:textId="77777777" w:rsidR="00490F33" w:rsidRDefault="00490F33">
                      <w:pPr>
                        <w:spacing w:before="2" w:line="177" w:lineRule="exact"/>
                        <w:textAlignment w:val="baseline"/>
                        <w:rPr>
                          <w:rFonts w:ascii="Tahoma" w:eastAsia="Tahoma" w:hAnsi="Tahoma"/>
                          <w:color w:val="000000"/>
                          <w:sz w:val="14"/>
                        </w:rPr>
                      </w:pPr>
                      <w:r>
                        <w:rPr>
                          <w:rFonts w:ascii="Tahoma" w:eastAsia="Tahoma" w:hAnsi="Tahoma"/>
                          <w:color w:val="000000"/>
                          <w:sz w:val="14"/>
                        </w:rPr>
                        <w:t xml:space="preserve">Source: Longitudinal Surveys of Australian Youth website, </w:t>
                      </w:r>
                      <w:hyperlink r:id="rId325">
                        <w:r>
                          <w:rPr>
                            <w:rFonts w:ascii="Tahoma" w:eastAsia="Tahoma" w:hAnsi="Tahoma"/>
                            <w:color w:val="0000FF"/>
                            <w:sz w:val="14"/>
                            <w:u w:val="single"/>
                          </w:rPr>
                          <w:t>https://www.lsay.edu.au</w:t>
                        </w:r>
                      </w:hyperlink>
                      <w:r>
                        <w:rPr>
                          <w:rFonts w:ascii="Tahoma" w:eastAsia="Tahoma" w:hAnsi="Tahoma"/>
                          <w:color w:val="000000"/>
                          <w:sz w:val="14"/>
                        </w:rPr>
                        <w:t xml:space="preserve">; and Forrest, C. and Scobie, C. (eds), ‘25 years of LSAY: Research from the Longitudinal Surveys of Australian Youth’, executive summary, </w:t>
                      </w:r>
                      <w:hyperlink r:id="rId326">
                        <w:r>
                          <w:rPr>
                            <w:rFonts w:ascii="Tahoma" w:eastAsia="Tahoma" w:hAnsi="Tahoma"/>
                            <w:color w:val="0000FF"/>
                            <w:sz w:val="14"/>
                            <w:u w:val="single"/>
                          </w:rPr>
                          <w:t>https://www.lsay.edu.au/__data/assets/pdf_</w:t>
                        </w:r>
                      </w:hyperlink>
                      <w:r>
                        <w:rPr>
                          <w:rFonts w:ascii="Tahoma" w:eastAsia="Tahoma" w:hAnsi="Tahoma"/>
                          <w:color w:val="000000"/>
                          <w:sz w:val="14"/>
                        </w:rPr>
                        <w:t xml:space="preserve"> </w:t>
                      </w:r>
                      <w:r>
                        <w:rPr>
                          <w:rFonts w:ascii="Verdana" w:eastAsia="Verdana" w:hAnsi="Verdana"/>
                          <w:color w:val="000000"/>
                          <w:sz w:val="13"/>
                        </w:rPr>
                        <w:t>file/0043/9659833/25-years</w:t>
                      </w:r>
                      <w:r>
                        <w:rPr>
                          <w:rFonts w:ascii="Tahoma" w:eastAsia="Tahoma" w:hAnsi="Tahoma"/>
                          <w:color w:val="000000"/>
                          <w:sz w:val="14"/>
                        </w:rPr>
                        <w:t>-of-LSAY-Executive-summary.pdf.</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4224" behindDoc="1" locked="0" layoutInCell="1" allowOverlap="1" wp14:anchorId="04E1B59F" wp14:editId="620136C7">
                <wp:simplePos x="0" y="0"/>
                <wp:positionH relativeFrom="page">
                  <wp:posOffset>0</wp:posOffset>
                </wp:positionH>
                <wp:positionV relativeFrom="page">
                  <wp:posOffset>9693910</wp:posOffset>
                </wp:positionV>
                <wp:extent cx="7562215" cy="535305"/>
                <wp:effectExtent l="0" t="0" r="0" b="0"/>
                <wp:wrapSquare wrapText="bothSides"/>
                <wp:docPr id="3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215CB" w14:textId="77777777" w:rsidR="00490F33" w:rsidRDefault="00490F33">
                            <w:pPr>
                              <w:spacing w:before="13" w:after="640" w:line="180" w:lineRule="exact"/>
                              <w:ind w:left="7704"/>
                              <w:textAlignment w:val="baseline"/>
                              <w:rPr>
                                <w:rFonts w:ascii="Tahoma" w:eastAsia="Tahoma" w:hAnsi="Tahoma"/>
                                <w:color w:val="414042"/>
                                <w:spacing w:val="8"/>
                                <w:sz w:val="14"/>
                              </w:rPr>
                            </w:pPr>
                            <w:r>
                              <w:rPr>
                                <w:rFonts w:ascii="Tahoma" w:eastAsia="Tahoma" w:hAnsi="Tahoma"/>
                                <w:color w:val="414042"/>
                                <w:spacing w:val="8"/>
                                <w:sz w:val="14"/>
                              </w:rPr>
                              <w:t>Chapter 7: Creating evidence-based policy</w:t>
                            </w:r>
                            <w:r>
                              <w:rPr>
                                <w:rFonts w:ascii="Arial" w:eastAsia="Arial" w:hAnsi="Arial"/>
                                <w:b/>
                                <w:color w:val="5556A1"/>
                                <w:spacing w:val="8"/>
                                <w:sz w:val="18"/>
                              </w:rPr>
                              <w:t xml:space="preserve"> 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1B59F" id="Text Box 48" o:spid="_x0000_s1420" type="#_x0000_t202" style="position:absolute;margin-left:0;margin-top:763.3pt;width:595.45pt;height:42.15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wW8QEAAMIDAAAOAAAAZHJzL2Uyb0RvYy54bWysU9tu2zAMfR+wfxD0vthJmrYz4hRdiw4D&#10;ugvQ7gMYWY6F2aJGKbGzrx8lx1m3vQ17ESiKPDw8pNY3Q9eKgyZv0JZyPsul0FZhZeyulF+fH95c&#10;S+ED2ApatLqUR+3lzeb1q3XvCr3ABttKk2AQ64velbIJwRVZ5lWjO/AzdNryY43UQeAr7bKKoGf0&#10;rs0WeX6Z9UiVI1Tae/bej49yk/DrWqvwua69DqItJXML6aR0buOZbdZQ7AhcY9SJBvwDiw6M5aJn&#10;qHsIIPZk/oLqjCL0WIeZwi7DujZKpx64m3n+RzdPDTidemFxvDvL5P8frPp0+ELCVKVcLq6ksNDx&#10;kJ71EMQ7HMTFdRSod77guCfHkWFgPw86NevdI6pvXli8a8Du9C0R9o2GignOY2b2InXE8RFk23/E&#10;iuvAPmACGmrqonqsh2B0HtTxPJzIRbHzanW5WMxXUih+Wy1Xy3yVSkAxZTvy4b3GTkSjlMTDT+hw&#10;ePQhsoFiConFLD6Ytk0L0NrfHBwYPYl9JDxSD8N2GJV6ezHJssXqyA0RjovFH4GNBumHFD0vVSn9&#10;9z2QlqL9YFmUuIGTQZOxnQywilNLGaQYzbswburekdk1jDzKbvGWhatN6ikqPLI4EeZFSa2eljpu&#10;4st7ivr19TY/AQAA//8DAFBLAwQUAAYACAAAACEAFX+W2N4AAAALAQAADwAAAGRycy9kb3ducmV2&#10;LnhtbEyPwU7DMBBE70j8g7VI3KidSlgkxKkqBCckRJoeODqxm1iN1yF22/D3bE9wm91Zzb4pN4sf&#10;2dnO0QVUkK0EMItdMA57Bfvm7eEJWEwajR4DWgU/NsKmur0pdWHCBWt73qWeUQjGQisYUpoKzmM3&#10;WK/jKkwWyTuE2etE49xzM+sLhfuRr4WQ3GuH9GHQk30ZbHfcnbyC7RfWr+77o/2sD7Vrmlzguzwq&#10;dX+3bJ+BJbukv2O44hM6VMTUhhOayEYFVCTR9nEtJbCrn+UiB9aSkhkpXpX8f4fqFwAA//8DAFBL&#10;AQItABQABgAIAAAAIQC2gziS/gAAAOEBAAATAAAAAAAAAAAAAAAAAAAAAABbQ29udGVudF9UeXBl&#10;c10ueG1sUEsBAi0AFAAGAAgAAAAhADj9If/WAAAAlAEAAAsAAAAAAAAAAAAAAAAALwEAAF9yZWxz&#10;Ly5yZWxzUEsBAi0AFAAGAAgAAAAhAOBeHBbxAQAAwgMAAA4AAAAAAAAAAAAAAAAALgIAAGRycy9l&#10;Mm9Eb2MueG1sUEsBAi0AFAAGAAgAAAAhABV/ltjeAAAACwEAAA8AAAAAAAAAAAAAAAAASwQAAGRy&#10;cy9kb3ducmV2LnhtbFBLBQYAAAAABAAEAPMAAABWBQAAAAA=&#10;" filled="f" stroked="f">
                <v:textbox inset="0,0,0,0">
                  <w:txbxContent>
                    <w:p w14:paraId="3DC215CB" w14:textId="77777777" w:rsidR="00490F33" w:rsidRDefault="00490F33">
                      <w:pPr>
                        <w:spacing w:before="13" w:after="640" w:line="180" w:lineRule="exact"/>
                        <w:ind w:left="7704"/>
                        <w:textAlignment w:val="baseline"/>
                        <w:rPr>
                          <w:rFonts w:ascii="Tahoma" w:eastAsia="Tahoma" w:hAnsi="Tahoma"/>
                          <w:color w:val="414042"/>
                          <w:spacing w:val="8"/>
                          <w:sz w:val="14"/>
                        </w:rPr>
                      </w:pPr>
                      <w:r>
                        <w:rPr>
                          <w:rFonts w:ascii="Tahoma" w:eastAsia="Tahoma" w:hAnsi="Tahoma"/>
                          <w:color w:val="414042"/>
                          <w:spacing w:val="8"/>
                          <w:sz w:val="14"/>
                        </w:rPr>
                        <w:t>Chapter 7: Creating evidence-based policy</w:t>
                      </w:r>
                      <w:r>
                        <w:rPr>
                          <w:rFonts w:ascii="Arial" w:eastAsia="Arial" w:hAnsi="Arial"/>
                          <w:b/>
                          <w:color w:val="5556A1"/>
                          <w:spacing w:val="8"/>
                          <w:sz w:val="18"/>
                        </w:rPr>
                        <w:t xml:space="preserve"> 143</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5248" behindDoc="1" locked="0" layoutInCell="1" allowOverlap="1" wp14:anchorId="639F5BF7" wp14:editId="7397ED3E">
                <wp:simplePos x="0" y="0"/>
                <wp:positionH relativeFrom="page">
                  <wp:posOffset>0</wp:posOffset>
                </wp:positionH>
                <wp:positionV relativeFrom="page">
                  <wp:posOffset>10229215</wp:posOffset>
                </wp:positionV>
                <wp:extent cx="7562215" cy="462915"/>
                <wp:effectExtent l="0" t="0" r="0" b="0"/>
                <wp:wrapSquare wrapText="bothSides"/>
                <wp:docPr id="3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47077" w14:textId="77777777" w:rsidR="00490F33" w:rsidRDefault="00490F33">
                            <w:pPr>
                              <w:textAlignment w:val="baseline"/>
                            </w:pPr>
                            <w:r>
                              <w:rPr>
                                <w:noProof/>
                                <w:lang w:val="en-AU" w:eastAsia="en-AU"/>
                              </w:rPr>
                              <w:drawing>
                                <wp:inline distT="0" distB="0" distL="0" distR="0" wp14:anchorId="4AA4D8C9" wp14:editId="311D6FF6">
                                  <wp:extent cx="7562215" cy="462915"/>
                                  <wp:effectExtent l="0" t="0" r="0" b="0"/>
                                  <wp:docPr id="241" name="Picture"/>
                                  <wp:cNvGraphicFramePr/>
                                  <a:graphic xmlns:a="http://schemas.openxmlformats.org/drawingml/2006/main">
                                    <a:graphicData uri="http://schemas.openxmlformats.org/drawingml/2006/picture">
                                      <pic:pic xmlns:pic="http://schemas.openxmlformats.org/drawingml/2006/picture">
                                        <pic:nvPicPr>
                                          <pic:cNvPr id="241"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F5BF7" id="Text Box 47" o:spid="_x0000_s1421" type="#_x0000_t202" style="position:absolute;margin-left:0;margin-top:805.45pt;width:595.45pt;height:36.45pt;z-index:-251551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Ro7wEAAMIDAAAOAAAAZHJzL2Uyb0RvYy54bWysU9tu2zAMfR+wfxD0vjjx2nQ14hRdiw4D&#10;ugvQ9gMYWY6F2aJGKbGzrx8lx2m3vRV7ESiKPDw8pFZXQ9eKvSZv0JZyMZtLoa3CythtKZ8e7959&#10;kMIHsBW0aHUpD9rLq/XbN6veFTrHBttKk2AQ64velbIJwRVZ5lWjO/AzdNryY43UQeArbbOKoGf0&#10;rs3y+XyZ9UiVI1Tae/bejo9ynfDrWqvwra69DqItJXML6aR0buKZrVdQbAlcY9SRBryCRQfGctET&#10;1C0EEDsy/0B1RhF6rMNMYZdhXRulUw/czWL+VzcPDTidemFxvDvJ5P8frPq6/07CVKV8ny+lsNDx&#10;kB71EMRHHMTZRRSod77guAfHkWFgPw86NevdPaofXli8acBu9TUR9o2GigkuYmb2InXE8RFk03/B&#10;iuvALmACGmrqonqsh2B0HtThNJzIRbHz4nyZ54tzKRS/nS3zS7ZjCSimbEc+fNLYiWiUknj4CR32&#10;9z6MoVNILGbxzrQt+6Fo7R8OxoyexD4SHqmHYTOMSl2myrG3DVYHbohwXCz+CGw0SL+k6HmpSul/&#10;7oC0FO1ny6LEDZwMmozNZIBVnFrKIMVo3oRxU3eOzLZh5FF2i9csXG1ST88sjoR5UZIqx6WOm/jy&#10;nqKev976NwAAAP//AwBQSwMEFAAGAAgAAAAhADsG67/eAAAACwEAAA8AAABkcnMvZG93bnJldi54&#10;bWxMj0FPhDAQhe8m/odmTLy5LZoQQMpmY/RkYmTZg8dCZ6FZOkXa3cV/bznpbea9yZvvldvFjuyC&#10;szeOJCQbAQypc9pQL+HQvD1kwHxQpNXoCCX8oIdtdXtTqkK7K9V42YeexRDyhZIwhDAVnPtuQKv8&#10;xk1I0Tu62aoQ17nnelbXGG5H/ihEyq0yFD8MasKXAbvT/mwl7L6ofjXfH+1nfaxN0+SC3tOTlPd3&#10;y+4ZWMAl/B3Dih/RoYpMrTuT9myUEIuEqKaJyIGtfpKvU7tq2VMGvCr5/w7VLwAAAP//AwBQSwEC&#10;LQAUAAYACAAAACEAtoM4kv4AAADhAQAAEwAAAAAAAAAAAAAAAAAAAAAAW0NvbnRlbnRfVHlwZXNd&#10;LnhtbFBLAQItABQABgAIAAAAIQA4/SH/1gAAAJQBAAALAAAAAAAAAAAAAAAAAC8BAABfcmVscy8u&#10;cmVsc1BLAQItABQABgAIAAAAIQBJbZRo7wEAAMIDAAAOAAAAAAAAAAAAAAAAAC4CAABkcnMvZTJv&#10;RG9jLnhtbFBLAQItABQABgAIAAAAIQA7Buu/3gAAAAsBAAAPAAAAAAAAAAAAAAAAAEkEAABkcnMv&#10;ZG93bnJldi54bWxQSwUGAAAAAAQABADzAAAAVAUAAAAA&#10;" filled="f" stroked="f">
                <v:textbox inset="0,0,0,0">
                  <w:txbxContent>
                    <w:p w14:paraId="58D47077" w14:textId="77777777" w:rsidR="00490F33" w:rsidRDefault="00490F33">
                      <w:pPr>
                        <w:textAlignment w:val="baseline"/>
                      </w:pPr>
                      <w:r>
                        <w:rPr>
                          <w:noProof/>
                          <w:lang w:val="en-AU" w:eastAsia="en-AU"/>
                        </w:rPr>
                        <w:drawing>
                          <wp:inline distT="0" distB="0" distL="0" distR="0" wp14:anchorId="4AA4D8C9" wp14:editId="311D6FF6">
                            <wp:extent cx="7562215" cy="462915"/>
                            <wp:effectExtent l="0" t="0" r="0" b="0"/>
                            <wp:docPr id="241" name="Picture"/>
                            <wp:cNvGraphicFramePr/>
                            <a:graphic xmlns:a="http://schemas.openxmlformats.org/drawingml/2006/main">
                              <a:graphicData uri="http://schemas.openxmlformats.org/drawingml/2006/picture">
                                <pic:pic xmlns:pic="http://schemas.openxmlformats.org/drawingml/2006/picture">
                                  <pic:nvPicPr>
                                    <pic:cNvPr id="241" name="Picture"/>
                                    <pic:cNvPicPr preferRelativeResize="0"/>
                                  </pic:nvPicPr>
                                  <pic:blipFill>
                                    <a:blip r:embed="rId14"/>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p>
    <w:p w14:paraId="1FA627FD" w14:textId="77777777" w:rsidR="009757A9" w:rsidRDefault="009757A9">
      <w:pPr>
        <w:sectPr w:rsidR="009757A9">
          <w:pgSz w:w="11909" w:h="16838"/>
          <w:pgMar w:top="832" w:right="0" w:bottom="0" w:left="0" w:header="720" w:footer="720" w:gutter="0"/>
          <w:cols w:space="720"/>
        </w:sectPr>
      </w:pPr>
    </w:p>
    <w:p w14:paraId="4458D474" w14:textId="77777777" w:rsidR="009757A9" w:rsidRDefault="00083242">
      <w:pPr>
        <w:spacing w:before="13" w:line="289" w:lineRule="exact"/>
        <w:ind w:left="864"/>
        <w:textAlignment w:val="baseline"/>
        <w:rPr>
          <w:rFonts w:ascii="Tahoma" w:eastAsia="Tahoma" w:hAnsi="Tahoma"/>
          <w:b/>
          <w:color w:val="00708E"/>
          <w:spacing w:val="3"/>
          <w:sz w:val="23"/>
        </w:rPr>
      </w:pPr>
      <w:r>
        <w:rPr>
          <w:rFonts w:ascii="Tahoma" w:eastAsia="Tahoma" w:hAnsi="Tahoma"/>
          <w:b/>
          <w:color w:val="00708E"/>
          <w:spacing w:val="3"/>
          <w:sz w:val="23"/>
        </w:rPr>
        <w:lastRenderedPageBreak/>
        <w:t>Unique Student Identifier</w:t>
      </w:r>
    </w:p>
    <w:p w14:paraId="1EDB31D2" w14:textId="77777777" w:rsidR="009757A9" w:rsidRDefault="00083242">
      <w:pPr>
        <w:spacing w:before="154" w:line="240" w:lineRule="exact"/>
        <w:ind w:left="864" w:right="1152"/>
        <w:textAlignment w:val="baseline"/>
        <w:rPr>
          <w:rFonts w:ascii="Tahoma" w:eastAsia="Tahoma" w:hAnsi="Tahoma"/>
          <w:color w:val="404042"/>
          <w:sz w:val="18"/>
        </w:rPr>
      </w:pPr>
      <w:r>
        <w:rPr>
          <w:rFonts w:ascii="Tahoma" w:eastAsia="Tahoma" w:hAnsi="Tahoma"/>
          <w:color w:val="404042"/>
          <w:sz w:val="18"/>
        </w:rPr>
        <w:t>The Unique Student Identifier (USI) is a potential game changer. A USI is a number attached to a student that follows them through their educational journey, allowing researchers, educators and policymakers to follow the same (nonidentified) person across different datasets.</w:t>
      </w:r>
    </w:p>
    <w:p w14:paraId="5A130A4C" w14:textId="77777777" w:rsidR="009757A9" w:rsidRDefault="00083242">
      <w:pPr>
        <w:spacing w:before="168" w:line="240" w:lineRule="exact"/>
        <w:ind w:left="864" w:right="1368"/>
        <w:textAlignment w:val="baseline"/>
        <w:rPr>
          <w:rFonts w:ascii="Tahoma" w:eastAsia="Tahoma" w:hAnsi="Tahoma"/>
          <w:color w:val="404042"/>
          <w:sz w:val="18"/>
        </w:rPr>
      </w:pPr>
      <w:r>
        <w:rPr>
          <w:rFonts w:ascii="Tahoma" w:eastAsia="Tahoma" w:hAnsi="Tahoma"/>
          <w:color w:val="404042"/>
          <w:sz w:val="18"/>
        </w:rPr>
        <w:t>Under the National School Reform Agreement, all education ministers have agreed to implement a national USI to support better understanding of student progression and improve the national evidence base.</w:t>
      </w:r>
    </w:p>
    <w:p w14:paraId="277EEA9D" w14:textId="77777777" w:rsidR="009757A9" w:rsidRDefault="00083242">
      <w:pPr>
        <w:spacing w:before="173" w:line="240" w:lineRule="exact"/>
        <w:ind w:left="864" w:right="1152"/>
        <w:textAlignment w:val="baseline"/>
        <w:rPr>
          <w:rFonts w:ascii="Tahoma" w:eastAsia="Tahoma" w:hAnsi="Tahoma"/>
          <w:color w:val="404042"/>
          <w:sz w:val="18"/>
        </w:rPr>
      </w:pPr>
      <w:r>
        <w:rPr>
          <w:rFonts w:ascii="Tahoma" w:eastAsia="Tahoma" w:hAnsi="Tahoma"/>
          <w:color w:val="404042"/>
          <w:sz w:val="18"/>
        </w:rPr>
        <w:t>Currently, USIs are only used by the VET sector. Extending a national USI that travels with a student throughout their educational journey would provide rich and nuanced data that could be used to analyse pathways through, and beyond, school, further education and work.</w:t>
      </w:r>
    </w:p>
    <w:p w14:paraId="4AFB5D2E" w14:textId="77777777" w:rsidR="009757A9" w:rsidRDefault="00083242">
      <w:pPr>
        <w:spacing w:before="188" w:line="215" w:lineRule="exact"/>
        <w:ind w:left="864"/>
        <w:textAlignment w:val="baseline"/>
        <w:rPr>
          <w:rFonts w:ascii="Tahoma" w:eastAsia="Tahoma" w:hAnsi="Tahoma"/>
          <w:color w:val="404042"/>
          <w:spacing w:val="3"/>
          <w:sz w:val="18"/>
        </w:rPr>
      </w:pPr>
      <w:r>
        <w:rPr>
          <w:rFonts w:ascii="Tahoma" w:eastAsia="Tahoma" w:hAnsi="Tahoma"/>
          <w:color w:val="404042"/>
          <w:spacing w:val="3"/>
          <w:sz w:val="18"/>
        </w:rPr>
        <w:t>Benefits of a USI include the:</w:t>
      </w:r>
    </w:p>
    <w:p w14:paraId="283286E1" w14:textId="77777777" w:rsidR="009757A9" w:rsidRDefault="00083242">
      <w:pPr>
        <w:numPr>
          <w:ilvl w:val="0"/>
          <w:numId w:val="6"/>
        </w:numPr>
        <w:tabs>
          <w:tab w:val="clear" w:pos="216"/>
          <w:tab w:val="left" w:pos="1080"/>
        </w:tabs>
        <w:spacing w:before="88" w:line="240" w:lineRule="exact"/>
        <w:ind w:left="1080" w:right="1584" w:hanging="216"/>
        <w:textAlignment w:val="baseline"/>
        <w:rPr>
          <w:rFonts w:ascii="Tahoma" w:eastAsia="Tahoma" w:hAnsi="Tahoma"/>
          <w:color w:val="404042"/>
          <w:sz w:val="18"/>
        </w:rPr>
      </w:pPr>
      <w:r>
        <w:rPr>
          <w:rFonts w:ascii="Tahoma" w:eastAsia="Tahoma" w:hAnsi="Tahoma"/>
          <w:color w:val="404042"/>
          <w:sz w:val="18"/>
        </w:rPr>
        <w:t>ability to link existing datasets to track and monitor student movements, wellbeing, post-school destinations and outcomes</w:t>
      </w:r>
    </w:p>
    <w:p w14:paraId="356D1F0F" w14:textId="77777777" w:rsidR="009757A9" w:rsidRDefault="00083242">
      <w:pPr>
        <w:numPr>
          <w:ilvl w:val="0"/>
          <w:numId w:val="6"/>
        </w:numPr>
        <w:tabs>
          <w:tab w:val="clear" w:pos="216"/>
          <w:tab w:val="left" w:pos="1080"/>
        </w:tabs>
        <w:spacing w:before="109" w:line="221" w:lineRule="exact"/>
        <w:ind w:left="1080" w:hanging="216"/>
        <w:textAlignment w:val="baseline"/>
        <w:rPr>
          <w:rFonts w:ascii="Tahoma" w:eastAsia="Tahoma" w:hAnsi="Tahoma"/>
          <w:color w:val="404042"/>
          <w:spacing w:val="7"/>
          <w:sz w:val="18"/>
        </w:rPr>
      </w:pPr>
      <w:r>
        <w:rPr>
          <w:rFonts w:ascii="Tahoma" w:eastAsia="Tahoma" w:hAnsi="Tahoma"/>
          <w:color w:val="404042"/>
          <w:spacing w:val="7"/>
          <w:sz w:val="18"/>
        </w:rPr>
        <w:t>improved information-sharing capabilities between schools, sectors, and states and territories</w:t>
      </w:r>
    </w:p>
    <w:p w14:paraId="364D5A91" w14:textId="77777777" w:rsidR="009757A9" w:rsidRDefault="00083242">
      <w:pPr>
        <w:numPr>
          <w:ilvl w:val="0"/>
          <w:numId w:val="6"/>
        </w:numPr>
        <w:tabs>
          <w:tab w:val="clear" w:pos="216"/>
          <w:tab w:val="left" w:pos="1080"/>
        </w:tabs>
        <w:spacing w:before="100"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provision of a comprehensive record of progress and attainment to students, parents and teachers</w:t>
      </w:r>
    </w:p>
    <w:p w14:paraId="50983787" w14:textId="77777777" w:rsidR="009757A9" w:rsidRDefault="00083242">
      <w:pPr>
        <w:numPr>
          <w:ilvl w:val="0"/>
          <w:numId w:val="6"/>
        </w:numPr>
        <w:tabs>
          <w:tab w:val="clear" w:pos="216"/>
          <w:tab w:val="left" w:pos="1080"/>
        </w:tabs>
        <w:spacing w:before="106"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generation of more data on how people make pathway decisions from Year 10 onwards</w:t>
      </w:r>
    </w:p>
    <w:p w14:paraId="7A97217D" w14:textId="77777777"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better understanding of trends, impacts and emerging issues across pathways</w:t>
      </w:r>
    </w:p>
    <w:p w14:paraId="12ECA463" w14:textId="77777777" w:rsidR="009757A9" w:rsidRDefault="00083242">
      <w:pPr>
        <w:numPr>
          <w:ilvl w:val="0"/>
          <w:numId w:val="6"/>
        </w:numPr>
        <w:tabs>
          <w:tab w:val="clear" w:pos="216"/>
          <w:tab w:val="left" w:pos="1080"/>
        </w:tabs>
        <w:spacing w:before="86" w:line="240" w:lineRule="exact"/>
        <w:ind w:left="1080" w:right="1440" w:hanging="216"/>
        <w:textAlignment w:val="baseline"/>
        <w:rPr>
          <w:rFonts w:ascii="Tahoma" w:eastAsia="Tahoma" w:hAnsi="Tahoma"/>
          <w:color w:val="404042"/>
          <w:sz w:val="18"/>
        </w:rPr>
      </w:pPr>
      <w:r>
        <w:rPr>
          <w:rFonts w:ascii="Tahoma" w:eastAsia="Tahoma" w:hAnsi="Tahoma"/>
          <w:color w:val="404042"/>
          <w:sz w:val="18"/>
        </w:rPr>
        <w:t>identification and implementation of programs and interventions that best support successful outcomes for a variety of stakeholders</w:t>
      </w:r>
    </w:p>
    <w:p w14:paraId="1B6B13B4" w14:textId="77777777" w:rsidR="009757A9" w:rsidRDefault="00083242">
      <w:pPr>
        <w:numPr>
          <w:ilvl w:val="0"/>
          <w:numId w:val="6"/>
        </w:numPr>
        <w:tabs>
          <w:tab w:val="clear" w:pos="216"/>
          <w:tab w:val="left" w:pos="1080"/>
        </w:tabs>
        <w:spacing w:before="101" w:line="221" w:lineRule="exact"/>
        <w:ind w:left="1080" w:hanging="216"/>
        <w:textAlignment w:val="baseline"/>
        <w:rPr>
          <w:rFonts w:ascii="Tahoma" w:eastAsia="Tahoma" w:hAnsi="Tahoma"/>
          <w:color w:val="404042"/>
          <w:spacing w:val="6"/>
          <w:sz w:val="18"/>
        </w:rPr>
      </w:pPr>
      <w:r>
        <w:rPr>
          <w:rFonts w:ascii="Tahoma" w:eastAsia="Tahoma" w:hAnsi="Tahoma"/>
          <w:color w:val="404042"/>
          <w:spacing w:val="6"/>
          <w:sz w:val="18"/>
        </w:rPr>
        <w:t>better public policy based on evidence</w:t>
      </w:r>
    </w:p>
    <w:p w14:paraId="75DF9A88" w14:textId="77777777" w:rsidR="009757A9" w:rsidRDefault="00083242">
      <w:pPr>
        <w:numPr>
          <w:ilvl w:val="0"/>
          <w:numId w:val="6"/>
        </w:numPr>
        <w:tabs>
          <w:tab w:val="clear" w:pos="216"/>
          <w:tab w:val="left" w:pos="1080"/>
        </w:tabs>
        <w:spacing w:before="86" w:line="240" w:lineRule="exact"/>
        <w:ind w:left="1080" w:right="1368" w:hanging="216"/>
        <w:textAlignment w:val="baseline"/>
        <w:rPr>
          <w:rFonts w:ascii="Tahoma" w:eastAsia="Tahoma" w:hAnsi="Tahoma"/>
          <w:color w:val="404042"/>
          <w:sz w:val="18"/>
        </w:rPr>
      </w:pPr>
      <w:r>
        <w:rPr>
          <w:rFonts w:ascii="Tahoma" w:eastAsia="Tahoma" w:hAnsi="Tahoma"/>
          <w:color w:val="404042"/>
          <w:sz w:val="18"/>
        </w:rPr>
        <w:t>potential to support the implementation of national reforms such as an Education Passport, including by being linked to USI-validated transcripts.</w:t>
      </w:r>
    </w:p>
    <w:p w14:paraId="1E3851D0" w14:textId="77777777" w:rsidR="009757A9" w:rsidRDefault="00083242">
      <w:pPr>
        <w:spacing w:before="173" w:line="240"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t>The idea of a whole-of-education USI has been met with broad support from the stakeholders we consulted. In 2018, a Monash Commission report recommended “the introduction of a universal student number that covers all publicly subsidised education and training, to enable the development of a lifetime learning account to track and monitor acquired skills and qualifications, including micro-credits and micro-credentials.”</w:t>
      </w:r>
      <w:r>
        <w:rPr>
          <w:rFonts w:ascii="Tahoma" w:eastAsia="Tahoma" w:hAnsi="Tahoma"/>
          <w:color w:val="404042"/>
          <w:spacing w:val="6"/>
          <w:sz w:val="18"/>
          <w:vertAlign w:val="superscript"/>
        </w:rPr>
        <w:t>217</w:t>
      </w:r>
      <w:r>
        <w:rPr>
          <w:rFonts w:ascii="Tahoma" w:eastAsia="Tahoma" w:hAnsi="Tahoma"/>
          <w:color w:val="404042"/>
          <w:spacing w:val="6"/>
          <w:sz w:val="18"/>
        </w:rPr>
        <w:t xml:space="preserve"> The Panel strongly supports this proposal.</w:t>
      </w:r>
    </w:p>
    <w:p w14:paraId="71A75C85" w14:textId="77777777" w:rsidR="009757A9" w:rsidRDefault="00083242">
      <w:pPr>
        <w:spacing w:before="259" w:line="253" w:lineRule="exact"/>
        <w:ind w:left="864"/>
        <w:textAlignment w:val="baseline"/>
        <w:rPr>
          <w:rFonts w:ascii="Tahoma" w:eastAsia="Tahoma" w:hAnsi="Tahoma"/>
          <w:b/>
          <w:color w:val="000000"/>
          <w:sz w:val="20"/>
        </w:rPr>
      </w:pPr>
      <w:r>
        <w:rPr>
          <w:rFonts w:ascii="Tahoma" w:eastAsia="Tahoma" w:hAnsi="Tahoma"/>
          <w:b/>
          <w:color w:val="000000"/>
          <w:sz w:val="20"/>
        </w:rPr>
        <w:t xml:space="preserve">Unique Student Identifier for </w:t>
      </w:r>
      <w:r>
        <w:rPr>
          <w:rFonts w:ascii="Calibri" w:eastAsia="Calibri" w:hAnsi="Calibri"/>
          <w:b/>
          <w:color w:val="000000"/>
          <w:sz w:val="20"/>
        </w:rPr>
        <w:t>v</w:t>
      </w:r>
      <w:r>
        <w:rPr>
          <w:rFonts w:ascii="Arial" w:eastAsia="Arial" w:hAnsi="Arial"/>
          <w:b/>
          <w:color w:val="000000"/>
          <w:sz w:val="21"/>
        </w:rPr>
        <w:t xml:space="preserve">ocational education and </w:t>
      </w:r>
      <w:r>
        <w:rPr>
          <w:rFonts w:ascii="Calibri" w:eastAsia="Calibri" w:hAnsi="Calibri"/>
          <w:b/>
          <w:color w:val="000000"/>
          <w:sz w:val="20"/>
        </w:rPr>
        <w:t>t</w:t>
      </w:r>
      <w:r>
        <w:rPr>
          <w:rFonts w:ascii="Arial" w:eastAsia="Arial" w:hAnsi="Arial"/>
          <w:b/>
          <w:color w:val="000000"/>
          <w:sz w:val="21"/>
        </w:rPr>
        <w:t>raining students</w:t>
      </w:r>
    </w:p>
    <w:p w14:paraId="3C9550DA" w14:textId="77777777" w:rsidR="009757A9" w:rsidRDefault="00083242">
      <w:pPr>
        <w:spacing w:before="160"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The USI initiative commenced in 2015 and to date over 10 million vocational education and training (VET) USIs have been assigned to individuals. Currently, students undertaking nationally recognised vocational education and training require a USI in order to receive their qualification or statement of attainment. This includes nationally recognised training delivered by secondary schools. The USI gives students access to an online record of their nationally</w:t>
      </w:r>
    </w:p>
    <w:p w14:paraId="474BA2D2"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recognised training in the form of a USI transcript. This can be used when applying for a job, seeking a credit transfer or demonstrating prerequisites when undertaking further training.</w:t>
      </w:r>
    </w:p>
    <w:p w14:paraId="3BB23425" w14:textId="77777777" w:rsidR="009757A9" w:rsidRDefault="00083242">
      <w:pPr>
        <w:spacing w:before="165"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An independent review of the implementation of the USI initiative, commissioned by the Student Identifiers Registrar in 2018, noted that the intended objectives of the VET USI were being successfully addressed. All stakeholder groups consulted were largely positive about the deployment of the USI. The review concluded that the USI benefits are now more widely recognised. Consequently, there appears to be stronger support for extending the principles underpinning the initiative to other education sectors.</w:t>
      </w:r>
    </w:p>
    <w:p w14:paraId="3E8751D3" w14:textId="77777777" w:rsidR="009757A9" w:rsidRDefault="00083242">
      <w:pPr>
        <w:spacing w:before="176" w:after="859" w:line="240" w:lineRule="exact"/>
        <w:ind w:left="864" w:right="1008"/>
        <w:textAlignment w:val="baseline"/>
        <w:rPr>
          <w:rFonts w:ascii="Tahoma" w:eastAsia="Tahoma" w:hAnsi="Tahoma"/>
          <w:color w:val="404042"/>
          <w:sz w:val="18"/>
        </w:rPr>
      </w:pPr>
      <w:r>
        <w:rPr>
          <w:rFonts w:ascii="Tahoma" w:eastAsia="Tahoma" w:hAnsi="Tahoma"/>
          <w:color w:val="404042"/>
          <w:sz w:val="18"/>
        </w:rPr>
        <w:t>The Australian Government is working to extend the USI from VET students to higher education students. This project is a joint initiative across the Commonwealth Department of Education, Skills and Employment and the Student Identifiers Registrar. From 2021, new domestic and onshore international higher education students will receive a USI, and by 2023, all enrolled students, including those who commenced prior to 2021, will be issued a USI.</w:t>
      </w:r>
    </w:p>
    <w:p w14:paraId="685AD215" w14:textId="77777777" w:rsidR="009757A9" w:rsidRDefault="000D2E34">
      <w:pPr>
        <w:spacing w:before="74" w:line="172" w:lineRule="exact"/>
        <w:ind w:left="864"/>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2005888" behindDoc="0" locked="0" layoutInCell="1" allowOverlap="1" wp14:anchorId="26754D8D" wp14:editId="7D2CCE98">
                <wp:simplePos x="0" y="0"/>
                <wp:positionH relativeFrom="page">
                  <wp:posOffset>539750</wp:posOffset>
                </wp:positionH>
                <wp:positionV relativeFrom="page">
                  <wp:posOffset>9135110</wp:posOffset>
                </wp:positionV>
                <wp:extent cx="917575" cy="0"/>
                <wp:effectExtent l="0" t="0" r="0" b="0"/>
                <wp:wrapNone/>
                <wp:docPr id="32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48E05" id="Line 46" o:spid="_x0000_s1026" style="position:absolute;z-index:25200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9.3pt" to="114.75pt,7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ljzQEAAIUDAAAOAAAAZHJzL2Uyb0RvYy54bWysU01v2zAMvQ/YfxB0X+xkS7oacXpI1l2y&#10;LUC7H8BIsi1MFgVJiZ1/P0r5aLfdivkgiCL5+PhILx/G3rCj8kGjrfl0UnKmrECpbVvzn8+PHz5z&#10;FiJYCQatqvlJBf6wev9uObhKzbBDI5VnBGJDNbiadzG6qiiC6FQPYYJOWXI26HuIZPq2kB4GQu9N&#10;MSvLRTGgl86jUCHQ6+bs5KuM3zRKxB9NE1RkpubELebT53OfzmK1hKr14DotLjTgDSx60JaK3qA2&#10;EIEdvP4HqtfCY8AmTgT2BTaNFir3QN1My7+6eerAqdwLiRPcTabw/2DF9+POMy1r/nE258xCT0Pa&#10;aqvYp0USZ3Chopi13fnUnhjtk9ui+BWYxXUHtlWZ5PPJUd40ZRR/pCQjOCqxH76hpBg4RMxKjY3v&#10;EyRpwMY8kNNtIGqMTNDj/fRufke0xNVVQHXNcz7Erwp7li41N8Q548JxG2LiAdU1JJWx+KiNyeM2&#10;lg1EdlYu5jkjoNEyeVNc8O1+bTw7QtqY/OWuyPM6LEFvIHTnuOw675LHg5W5TKdAfrncI2hzvhMt&#10;Yy8qJWHOEu9Rnnb+qh7NOvO/7GVaptd2zn75e1a/AQAA//8DAFBLAwQUAAYACAAAACEAxV2HQt8A&#10;AAAMAQAADwAAAGRycy9kb3ducmV2LnhtbEyPwU7DMBBE70j8g7VIXFDrENLKhDgVqgQ3UClF9OjG&#10;SxIRr6PYbcLfsxwQHHd2NPOmWE2uEyccQutJw/U8AYFUedtSrWH3+jBTIEI0ZE3nCTV8YYBVeX5W&#10;mNz6kV7wtI214BAKudHQxNjnUoaqQWfC3PdI/PvwgzORz6GWdjAjh7tOpkmylM60xA2N6XHdYPW5&#10;PToNUiYqm97ex6fsKqh2v673j88brS8vpvs7EBGn+GeGH3xGh5KZDv5INohOg1rwlMh6dqOWINiR&#10;prcLEIdfSZaF/D+i/AYAAP//AwBQSwECLQAUAAYACAAAACEAtoM4kv4AAADhAQAAEwAAAAAAAAAA&#10;AAAAAAAAAAAAW0NvbnRlbnRfVHlwZXNdLnhtbFBLAQItABQABgAIAAAAIQA4/SH/1gAAAJQBAAAL&#10;AAAAAAAAAAAAAAAAAC8BAABfcmVscy8ucmVsc1BLAQItABQABgAIAAAAIQCvG7ljzQEAAIUDAAAO&#10;AAAAAAAAAAAAAAAAAC4CAABkcnMvZTJvRG9jLnhtbFBLAQItABQABgAIAAAAIQDFXYdC3wAAAAwB&#10;AAAPAAAAAAAAAAAAAAAAACcEAABkcnMvZG93bnJldi54bWxQSwUGAAAAAAQABADzAAAAMwUAAAAA&#10;" strokeweight=".95pt">
                <w10:wrap anchorx="page" anchory="page"/>
              </v:line>
            </w:pict>
          </mc:Fallback>
        </mc:AlternateContent>
      </w:r>
      <w:r w:rsidR="00083242">
        <w:rPr>
          <w:rFonts w:ascii="Tahoma" w:eastAsia="Tahoma" w:hAnsi="Tahoma"/>
          <w:color w:val="404042"/>
          <w:spacing w:val="4"/>
          <w:sz w:val="14"/>
        </w:rPr>
        <w:t>217 Monash Commission (2018), p. 16.</w:t>
      </w:r>
    </w:p>
    <w:p w14:paraId="7F3A65F0" w14:textId="77777777" w:rsidR="009757A9" w:rsidRDefault="00083242">
      <w:pPr>
        <w:tabs>
          <w:tab w:val="left" w:pos="1368"/>
        </w:tabs>
        <w:spacing w:before="637" w:after="636"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144</w:t>
      </w:r>
      <w:r>
        <w:rPr>
          <w:rFonts w:ascii="Tahoma" w:eastAsia="Tahoma" w:hAnsi="Tahoma"/>
          <w:color w:val="404042"/>
          <w:spacing w:val="4"/>
          <w:sz w:val="14"/>
        </w:rPr>
        <w:tab/>
        <w:t>Looking to the future</w:t>
      </w:r>
    </w:p>
    <w:p w14:paraId="7E65A11E" w14:textId="77777777" w:rsidR="009757A9" w:rsidRDefault="00083242">
      <w:pPr>
        <w:textAlignment w:val="baseline"/>
      </w:pPr>
      <w:r>
        <w:rPr>
          <w:noProof/>
          <w:lang w:val="en-AU" w:eastAsia="en-AU"/>
        </w:rPr>
        <w:drawing>
          <wp:inline distT="0" distB="0" distL="0" distR="0" wp14:anchorId="3AFE9C26" wp14:editId="54B92C41">
            <wp:extent cx="7562215" cy="462915"/>
            <wp:effectExtent l="0" t="0" r="0" b="0"/>
            <wp:docPr id="242" name="Picture"/>
            <wp:cNvGraphicFramePr/>
            <a:graphic xmlns:a="http://schemas.openxmlformats.org/drawingml/2006/main">
              <a:graphicData uri="http://schemas.openxmlformats.org/drawingml/2006/picture">
                <pic:pic xmlns:pic="http://schemas.openxmlformats.org/drawingml/2006/picture">
                  <pic:nvPicPr>
                    <pic:cNvPr id="242" name="Picture"/>
                    <pic:cNvPicPr preferRelativeResize="0"/>
                  </pic:nvPicPr>
                  <pic:blipFill>
                    <a:blip r:embed="rId327"/>
                    <a:stretch>
                      <a:fillRect/>
                    </a:stretch>
                  </pic:blipFill>
                  <pic:spPr>
                    <a:xfrm>
                      <a:off x="0" y="0"/>
                      <a:ext cx="7562215" cy="462915"/>
                    </a:xfrm>
                    <a:prstGeom prst="rect">
                      <a:avLst/>
                    </a:prstGeom>
                  </pic:spPr>
                </pic:pic>
              </a:graphicData>
            </a:graphic>
          </wp:inline>
        </w:drawing>
      </w:r>
    </w:p>
    <w:p w14:paraId="1BE302B2" w14:textId="77777777" w:rsidR="009757A9" w:rsidRDefault="009757A9">
      <w:pPr>
        <w:sectPr w:rsidR="009757A9">
          <w:pgSz w:w="11909" w:h="16838"/>
          <w:pgMar w:top="1080" w:right="0" w:bottom="0" w:left="0" w:header="720" w:footer="720" w:gutter="0"/>
          <w:cols w:space="720"/>
        </w:sectPr>
      </w:pPr>
    </w:p>
    <w:p w14:paraId="6EEB37CF" w14:textId="77777777" w:rsidR="009757A9" w:rsidRDefault="00083242">
      <w:pPr>
        <w:spacing w:after="540" w:line="239"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lastRenderedPageBreak/>
        <w:t>The next stage is to extend the USI into schools. The National School Reform Agreement commits the Commonwealth, state and territory governments to implementing a national USI by 2023 (the end of the agreement). The aim of the USI for the school sector is to support and improve understanding of student progression, and enhance the national evidence base.</w:t>
      </w:r>
    </w:p>
    <w:p w14:paraId="50C8F589" w14:textId="77777777" w:rsidR="009757A9" w:rsidRDefault="000D2E34">
      <w:pPr>
        <w:spacing w:before="107" w:line="299" w:lineRule="exact"/>
        <w:ind w:left="1296" w:right="1512"/>
        <w:textAlignment w:val="baseline"/>
        <w:rPr>
          <w:rFonts w:ascii="Tahoma" w:eastAsia="Tahoma" w:hAnsi="Tahoma"/>
          <w:i/>
          <w:color w:val="007994"/>
          <w:sz w:val="21"/>
        </w:rPr>
      </w:pPr>
      <w:r>
        <w:rPr>
          <w:noProof/>
          <w:lang w:val="en-AU" w:eastAsia="en-AU"/>
        </w:rPr>
        <mc:AlternateContent>
          <mc:Choice Requires="wps">
            <w:drawing>
              <wp:anchor distT="0" distB="0" distL="114300" distR="114300" simplePos="0" relativeHeight="252006912" behindDoc="0" locked="0" layoutInCell="1" allowOverlap="1" wp14:anchorId="5EE39A45" wp14:editId="5CA22F0B">
                <wp:simplePos x="0" y="0"/>
                <wp:positionH relativeFrom="page">
                  <wp:posOffset>826135</wp:posOffset>
                </wp:positionH>
                <wp:positionV relativeFrom="page">
                  <wp:posOffset>1649095</wp:posOffset>
                </wp:positionV>
                <wp:extent cx="5907405" cy="0"/>
                <wp:effectExtent l="0" t="0" r="0" b="0"/>
                <wp:wrapNone/>
                <wp:docPr id="32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80E43" id="Line 45" o:spid="_x0000_s1026" style="position:absolute;z-index:25200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29.85pt" to="530.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tL0AEAAIUDAAAOAAAAZHJzL2Uyb0RvYy54bWysU8Fu2zAMvQ/YPwi6L3bSpF2MOD0k6y7Z&#10;FqDtBzCSbAuTREFSYufvJ8lJ1q23YReBEsnHx0dq9ThoRU7CeYmmptNJSYkwDLk0bU1fX54+fabE&#10;BzAcFBpR07Pw9HH98cOqt5WYYYeKC0ciiPFVb2vahWCrovCsExr8BK0w0dmg0xDi1bUFd9BHdK2K&#10;WVneFz06bh0y4X183Y5Ous74TSNY+NE0XgSiahq5hXy6fB7SWaxXULUObCfZhQb8AwsN0sSiN6gt&#10;BCBHJ99BackcemzChKEusGkkE7mH2M20/Kub5w6syL1Ecby9yeT/Hyz7fto7InlN72ZzSgzoOKSd&#10;NILMF0mc3voqxmzM3qX22GCe7Q7ZT08MbjowrcgkX8425k1TRvFHSrp4G0sc+m/IYwwcA2alhsbp&#10;BBk1IEMeyPk2EDEEwuLjYlk+zMsFJezqK6C6Jlrnw1eBmiSjpiqSzsBw2vmQiEB1DUl1DD5JpfK8&#10;lSF9Te/vFmVO8KgkT84U5l172ChHTpA2pnxYLue5q+h5G5aQt+C7MS67xl1yeDQ8V+kE8C8XO4BU&#10;ox1ZKXNRKQkzSnxAft67q3px1pn+ZS/TMr295+zfv2f9CwAA//8DAFBLAwQUAAYACAAAACEAG39c&#10;cNwAAAAMAQAADwAAAGRycy9kb3ducmV2LnhtbEyPwU7DMAyG70i8Q2QkbizZYANK0wkN7bQLbEhc&#10;vca0hcapmqzr3h5PQoLjb3/6/Tlfjr5VA/WxCWxhOjGgiMvgGq4svO/WNw+gYkJ22AYmCyeKsCwu&#10;L3LMXDjyGw3bVCkp4ZihhTqlLtM6ljV5jJPQEcvuM/Qek8S+0q7Ho5T7Vs+MWWiPDcuFGjta1VR+&#10;bw/ewhrN7tVtNuErfsxPK0zavdBg7fXV+PwEKtGY/mA464s6FOK0Dwd2UbWSb81UUAuz+eM9qDNh&#10;FuYO1P53pItc/3+i+AEAAP//AwBQSwECLQAUAAYACAAAACEAtoM4kv4AAADhAQAAEwAAAAAAAAAA&#10;AAAAAAAAAAAAW0NvbnRlbnRfVHlwZXNdLnhtbFBLAQItABQABgAIAAAAIQA4/SH/1gAAAJQBAAAL&#10;AAAAAAAAAAAAAAAAAC8BAABfcmVscy8ucmVsc1BLAQItABQABgAIAAAAIQAumotL0AEAAIUDAAAO&#10;AAAAAAAAAAAAAAAAAC4CAABkcnMvZTJvRG9jLnhtbFBLAQItABQABgAIAAAAIQAbf1xw3AAAAAwB&#10;AAAPAAAAAAAAAAAAAAAAACoEAABkcnMvZG93bnJldi54bWxQSwUGAAAAAAQABADzAAAAMwUAAAAA&#10;" strokecolor="#007994" strokeweight=".5pt">
                <w10:wrap anchorx="page" anchory="page"/>
              </v:line>
            </w:pict>
          </mc:Fallback>
        </mc:AlternateContent>
      </w:r>
      <w:r w:rsidR="00083242">
        <w:rPr>
          <w:rFonts w:ascii="Tahoma" w:eastAsia="Tahoma" w:hAnsi="Tahoma"/>
          <w:i/>
          <w:color w:val="007994"/>
          <w:sz w:val="21"/>
        </w:rPr>
        <w:t>“This important development will directly assist both education providers and students in providing a readily accessible record of a student’s education pathway, as well as provide critical insights to inform education policy and funding priorities.”</w:t>
      </w:r>
    </w:p>
    <w:p w14:paraId="488073FE" w14:textId="77777777" w:rsidR="009757A9" w:rsidRDefault="00083242">
      <w:pPr>
        <w:spacing w:before="51" w:after="235" w:line="237" w:lineRule="exact"/>
        <w:ind w:left="5256"/>
        <w:textAlignment w:val="baseline"/>
        <w:rPr>
          <w:rFonts w:ascii="Tahoma" w:eastAsia="Tahoma" w:hAnsi="Tahoma"/>
          <w:i/>
          <w:color w:val="007994"/>
          <w:spacing w:val="3"/>
          <w:sz w:val="21"/>
        </w:rPr>
      </w:pPr>
      <w:r>
        <w:rPr>
          <w:rFonts w:ascii="Tahoma" w:eastAsia="Tahoma" w:hAnsi="Tahoma"/>
          <w:i/>
          <w:color w:val="007994"/>
          <w:spacing w:val="3"/>
          <w:sz w:val="21"/>
        </w:rPr>
        <w:t>Queensland Catholic Education Commission submission</w:t>
      </w:r>
    </w:p>
    <w:p w14:paraId="02EEAE58" w14:textId="77777777" w:rsidR="009757A9" w:rsidRDefault="000D2E34">
      <w:pPr>
        <w:spacing w:before="419" w:line="240" w:lineRule="exact"/>
        <w:ind w:left="864" w:right="936"/>
        <w:textAlignment w:val="baseline"/>
        <w:rPr>
          <w:rFonts w:ascii="Tahoma" w:eastAsia="Tahoma" w:hAnsi="Tahoma"/>
          <w:color w:val="404042"/>
          <w:sz w:val="18"/>
        </w:rPr>
      </w:pPr>
      <w:r>
        <w:rPr>
          <w:noProof/>
          <w:lang w:val="en-AU" w:eastAsia="en-AU"/>
        </w:rPr>
        <mc:AlternateContent>
          <mc:Choice Requires="wps">
            <w:drawing>
              <wp:anchor distT="0" distB="0" distL="114300" distR="114300" simplePos="0" relativeHeight="252007936" behindDoc="0" locked="0" layoutInCell="1" allowOverlap="1" wp14:anchorId="54F39B00" wp14:editId="208E3F52">
                <wp:simplePos x="0" y="0"/>
                <wp:positionH relativeFrom="page">
                  <wp:posOffset>826135</wp:posOffset>
                </wp:positionH>
                <wp:positionV relativeFrom="page">
                  <wp:posOffset>2621280</wp:posOffset>
                </wp:positionV>
                <wp:extent cx="5907405" cy="0"/>
                <wp:effectExtent l="0" t="0" r="0" b="0"/>
                <wp:wrapNone/>
                <wp:docPr id="3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6350">
                          <a:solidFill>
                            <a:srgbClr val="0079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90D9F" id="Line 44" o:spid="_x0000_s1026" style="position:absolute;z-index:25200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206.4pt" to="530.2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IDzwEAAIUDAAAOAAAAZHJzL2Uyb0RvYy54bWysU02P2yAQvVfqf0DcGztfu40VZw9Jt5e0&#10;jbTbHzABbKMCg4DEzr8v4CTttreqFzQwM2/evBnWT4NW5Cycl2hqOp2UlAjDkEvT1vT76/OHj5T4&#10;AIaDQiNqehGePm3ev1v3thIz7FBx4UgEMb7qbU27EGxVFJ51QoOfoBUmOht0GkK8urbgDvqIrlUx&#10;K8uHokfHrUMmvI+vu9FJNxm/aQQL35rGi0BUTSO3kE+Xz2M6i80aqtaB7SS70oB/YKFBmlj0DrWD&#10;AOTk5F9QWjKHHpswYagLbBrJRO4hdjMt/+jmpQMrci9RHG/vMvn/B8u+ng+OSF7T+WxOiQEdh7SX&#10;RpDFIonTW1/FmK05uNQeG8yL3SP74YnBbQemFZnk68XGvGnKKN6kpIu3scSx/4I8xsApYFZqaJxO&#10;kFEDMuSBXO4DEUMgLD4uV+XjolxSwm6+AqpbonU+fBaoSTJqqiLpDAznvQ+JCFS3kFTH4LNUKs9b&#10;GdLX9GG+LHOCRyV5cqYw79rjVjlyhrQx5eNqlXWIYG/CEvIOfDfGZde4Sw5PhucqnQD+6WoHkGq0&#10;I5AyV5WSMKPER+SXg7upF2ed6V/3Mi3T7/ec/ev3bH4CAAD//wMAUEsDBBQABgAIAAAAIQCGSqPH&#10;3AAAAAwBAAAPAAAAZHJzL2Rvd25yZXYueG1sTI9BS8NAEIXvgv9hGcGb3U2tRWI2RSo99aKt4HWa&#10;HZNodjZkt2n6752CoMf35uPNe8Vq8p0aaYhtYAvZzIAiroJrubbwvt/cPYKKCdlhF5gsnCnCqry+&#10;KjB34cRvNO5SrSSEY44WmpT6XOtYNeQxzkJPLLfPMHhMIodauwFPEu47PTdmqT22LB8a7GndUPW9&#10;O3oLGzT7V7fdhq/48XBeY9LuhUZrb2+m5ydQiab0B8OlvlSHUjodwpFdVJ3oe5MJamGRzWXDhTBL&#10;swB1+LV0Wej/I8ofAAAA//8DAFBLAQItABQABgAIAAAAIQC2gziS/gAAAOEBAAATAAAAAAAAAAAA&#10;AAAAAAAAAABbQ29udGVudF9UeXBlc10ueG1sUEsBAi0AFAAGAAgAAAAhADj9If/WAAAAlAEAAAsA&#10;AAAAAAAAAAAAAAAALwEAAF9yZWxzLy5yZWxzUEsBAi0AFAAGAAgAAAAhAJVBYgPPAQAAhQMAAA4A&#10;AAAAAAAAAAAAAAAALgIAAGRycy9lMm9Eb2MueG1sUEsBAi0AFAAGAAgAAAAhAIZKo8fcAAAADAEA&#10;AA8AAAAAAAAAAAAAAAAAKQQAAGRycy9kb3ducmV2LnhtbFBLBQYAAAAABAAEAPMAAAAyBQAAAAA=&#10;" strokecolor="#007994" strokeweight=".5pt">
                <w10:wrap anchorx="page" anchory="page"/>
              </v:line>
            </w:pict>
          </mc:Fallback>
        </mc:AlternateContent>
      </w:r>
      <w:r w:rsidR="00083242">
        <w:rPr>
          <w:rFonts w:ascii="Tahoma" w:eastAsia="Tahoma" w:hAnsi="Tahoma"/>
          <w:color w:val="404042"/>
          <w:sz w:val="18"/>
        </w:rPr>
        <w:t>The Panel understands that the intention of the USI for the schools sector is that it will apply from a student’s first year of formal schooling and follow them throughout their school education journey, including if they move to a different school in another sector or jurisdiction. It is a significant initiative that will allow us to understand pathways through education into employment as never before.</w:t>
      </w:r>
    </w:p>
    <w:p w14:paraId="19A31BFF" w14:textId="77777777" w:rsidR="009757A9" w:rsidRDefault="00083242">
      <w:pPr>
        <w:spacing w:before="384" w:line="286" w:lineRule="exact"/>
        <w:ind w:left="864"/>
        <w:textAlignment w:val="baseline"/>
        <w:rPr>
          <w:rFonts w:ascii="Arial" w:eastAsia="Arial" w:hAnsi="Arial"/>
          <w:b/>
          <w:color w:val="00708E"/>
          <w:spacing w:val="1"/>
          <w:sz w:val="25"/>
        </w:rPr>
      </w:pPr>
      <w:r>
        <w:rPr>
          <w:rFonts w:ascii="Arial" w:eastAsia="Arial" w:hAnsi="Arial"/>
          <w:b/>
          <w:color w:val="00708E"/>
          <w:spacing w:val="1"/>
          <w:sz w:val="25"/>
        </w:rPr>
        <w:t>Data integration projects</w:t>
      </w:r>
    </w:p>
    <w:p w14:paraId="2175B7B1" w14:textId="77777777" w:rsidR="009757A9" w:rsidRDefault="00083242">
      <w:pPr>
        <w:spacing w:before="143" w:line="240" w:lineRule="exact"/>
        <w:ind w:left="864" w:right="1008"/>
        <w:textAlignment w:val="baseline"/>
        <w:rPr>
          <w:rFonts w:ascii="Tahoma" w:eastAsia="Tahoma" w:hAnsi="Tahoma"/>
          <w:color w:val="404042"/>
          <w:spacing w:val="5"/>
          <w:sz w:val="18"/>
        </w:rPr>
      </w:pPr>
      <w:r>
        <w:rPr>
          <w:rFonts w:ascii="Tahoma" w:eastAsia="Tahoma" w:hAnsi="Tahoma"/>
          <w:color w:val="404042"/>
          <w:spacing w:val="5"/>
          <w:sz w:val="18"/>
        </w:rPr>
        <w:t>There are accelerating efforts underway across Australia to integrate data across sectors and systems. If successful, this will improve our understanding of the intersections of education and employment. These projects will offer exciting and valuable insights. They will highlight the potential of data integration to support improved understanding of career decisions and transitions between education sectors.</w:t>
      </w:r>
    </w:p>
    <w:p w14:paraId="3C14D8AB" w14:textId="77777777" w:rsidR="009757A9" w:rsidRDefault="00083242">
      <w:pPr>
        <w:spacing w:before="176" w:after="6374" w:line="240" w:lineRule="exact"/>
        <w:ind w:left="864" w:right="936"/>
        <w:textAlignment w:val="baseline"/>
        <w:rPr>
          <w:rFonts w:ascii="Tahoma" w:eastAsia="Tahoma" w:hAnsi="Tahoma"/>
          <w:color w:val="404042"/>
          <w:spacing w:val="3"/>
          <w:sz w:val="18"/>
        </w:rPr>
      </w:pPr>
      <w:r>
        <w:rPr>
          <w:rFonts w:ascii="Tahoma" w:eastAsia="Tahoma" w:hAnsi="Tahoma"/>
          <w:color w:val="404042"/>
          <w:spacing w:val="3"/>
          <w:sz w:val="18"/>
        </w:rPr>
        <w:t>At the Commonwealth level, there has been significant investment in the Jobs and Education Data Infrastructure (JEDI) project. Its goal is to integrate large quantities of education and employment data from a variety of sources with the objective of supporting individuals’ decision-making processes as they move through their education and work transitions. The project, as it evolves, should help senior secondary school students and their teachers to identify possible future jobs and the skills these will require. The success of JEDI will depend on the extent to which its rich data can be not just analysed for the convenience of researchers and policymakers, but designed with jobseekers in mind.</w:t>
      </w:r>
    </w:p>
    <w:p w14:paraId="06C8EA06" w14:textId="77777777" w:rsidR="009757A9" w:rsidRDefault="009757A9">
      <w:pPr>
        <w:spacing w:before="176" w:after="6374" w:line="240" w:lineRule="exact"/>
        <w:sectPr w:rsidR="009757A9">
          <w:pgSz w:w="11909" w:h="16838"/>
          <w:pgMar w:top="1080" w:right="0" w:bottom="0" w:left="0" w:header="720" w:footer="720" w:gutter="0"/>
          <w:cols w:space="720"/>
        </w:sectPr>
      </w:pPr>
    </w:p>
    <w:p w14:paraId="64C689BF" w14:textId="77777777" w:rsidR="009757A9" w:rsidRDefault="00083242">
      <w:pPr>
        <w:spacing w:after="640" w:line="193" w:lineRule="exact"/>
        <w:ind w:left="7704"/>
        <w:textAlignment w:val="baseline"/>
        <w:rPr>
          <w:rFonts w:ascii="Tahoma" w:eastAsia="Tahoma" w:hAnsi="Tahoma"/>
          <w:color w:val="404042"/>
          <w:spacing w:val="8"/>
          <w:sz w:val="14"/>
        </w:rPr>
      </w:pPr>
      <w:r>
        <w:rPr>
          <w:rFonts w:ascii="Tahoma" w:eastAsia="Tahoma" w:hAnsi="Tahoma"/>
          <w:color w:val="404042"/>
          <w:spacing w:val="8"/>
          <w:sz w:val="14"/>
        </w:rPr>
        <w:t>Chapter 7: Creating evidence-based policy</w:t>
      </w:r>
      <w:r>
        <w:rPr>
          <w:rFonts w:ascii="Arial" w:eastAsia="Arial" w:hAnsi="Arial"/>
          <w:b/>
          <w:color w:val="5556A1"/>
          <w:spacing w:val="8"/>
          <w:sz w:val="18"/>
        </w:rPr>
        <w:t xml:space="preserve"> 145</w:t>
      </w:r>
    </w:p>
    <w:p w14:paraId="2F9F4C9D" w14:textId="77777777" w:rsidR="009757A9" w:rsidRDefault="00083242">
      <w:pPr>
        <w:textAlignment w:val="baseline"/>
      </w:pPr>
      <w:r>
        <w:rPr>
          <w:noProof/>
          <w:lang w:val="en-AU" w:eastAsia="en-AU"/>
        </w:rPr>
        <w:drawing>
          <wp:inline distT="0" distB="0" distL="0" distR="0" wp14:anchorId="0C1FEAFC" wp14:editId="3F866FE2">
            <wp:extent cx="7562215" cy="462915"/>
            <wp:effectExtent l="0" t="0" r="0" b="0"/>
            <wp:docPr id="243" name="Picture"/>
            <wp:cNvGraphicFramePr/>
            <a:graphic xmlns:a="http://schemas.openxmlformats.org/drawingml/2006/main">
              <a:graphicData uri="http://schemas.openxmlformats.org/drawingml/2006/picture">
                <pic:pic xmlns:pic="http://schemas.openxmlformats.org/drawingml/2006/picture">
                  <pic:nvPicPr>
                    <pic:cNvPr id="243" name="Picture"/>
                    <pic:cNvPicPr preferRelativeResize="0"/>
                  </pic:nvPicPr>
                  <pic:blipFill>
                    <a:blip r:embed="rId207"/>
                    <a:stretch>
                      <a:fillRect/>
                    </a:stretch>
                  </pic:blipFill>
                  <pic:spPr>
                    <a:xfrm>
                      <a:off x="0" y="0"/>
                      <a:ext cx="7562215" cy="462915"/>
                    </a:xfrm>
                    <a:prstGeom prst="rect">
                      <a:avLst/>
                    </a:prstGeom>
                  </pic:spPr>
                </pic:pic>
              </a:graphicData>
            </a:graphic>
          </wp:inline>
        </w:drawing>
      </w:r>
    </w:p>
    <w:p w14:paraId="0D4AEFEA" w14:textId="77777777" w:rsidR="009757A9" w:rsidRDefault="009757A9">
      <w:pPr>
        <w:sectPr w:rsidR="009757A9">
          <w:type w:val="continuous"/>
          <w:pgSz w:w="11909" w:h="16838"/>
          <w:pgMar w:top="1080" w:right="0" w:bottom="0" w:left="0" w:header="720" w:footer="720" w:gutter="0"/>
          <w:cols w:space="720"/>
        </w:sectPr>
      </w:pPr>
    </w:p>
    <w:p w14:paraId="0EE2A56C"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66272" behindDoc="1" locked="0" layoutInCell="1" allowOverlap="1" wp14:anchorId="237EFCA2" wp14:editId="59AE89EC">
                <wp:simplePos x="0" y="0"/>
                <wp:positionH relativeFrom="page">
                  <wp:posOffset>539750</wp:posOffset>
                </wp:positionH>
                <wp:positionV relativeFrom="page">
                  <wp:posOffset>719455</wp:posOffset>
                </wp:positionV>
                <wp:extent cx="6492240" cy="5827395"/>
                <wp:effectExtent l="0" t="0" r="0" b="0"/>
                <wp:wrapSquare wrapText="bothSides"/>
                <wp:docPr id="3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5827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6BBD" w14:textId="77777777" w:rsidR="00490F33" w:rsidRDefault="00490F33">
                            <w:pPr>
                              <w:textAlignment w:val="baseline"/>
                            </w:pPr>
                            <w:r>
                              <w:rPr>
                                <w:noProof/>
                                <w:lang w:val="en-AU" w:eastAsia="en-AU"/>
                              </w:rPr>
                              <w:drawing>
                                <wp:inline distT="0" distB="0" distL="0" distR="0" wp14:anchorId="515CFB25" wp14:editId="771B9EEB">
                                  <wp:extent cx="6492240" cy="5827395"/>
                                  <wp:effectExtent l="0" t="0" r="0" b="0"/>
                                  <wp:docPr id="244" name="Picture"/>
                                  <wp:cNvGraphicFramePr/>
                                  <a:graphic xmlns:a="http://schemas.openxmlformats.org/drawingml/2006/main">
                                    <a:graphicData uri="http://schemas.openxmlformats.org/drawingml/2006/picture">
                                      <pic:pic xmlns:pic="http://schemas.openxmlformats.org/drawingml/2006/picture">
                                        <pic:nvPicPr>
                                          <pic:cNvPr id="244" name="Picture"/>
                                          <pic:cNvPicPr preferRelativeResize="0"/>
                                        </pic:nvPicPr>
                                        <pic:blipFill>
                                          <a:blip r:embed="rId328"/>
                                          <a:stretch>
                                            <a:fillRect/>
                                          </a:stretch>
                                        </pic:blipFill>
                                        <pic:spPr>
                                          <a:xfrm>
                                            <a:off x="0" y="0"/>
                                            <a:ext cx="6492240" cy="58273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FCA2" id="Text Box 43" o:spid="_x0000_s1422" type="#_x0000_t202" style="position:absolute;margin-left:42.5pt;margin-top:56.65pt;width:511.2pt;height:458.85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re8QEAAMMDAAAOAAAAZHJzL2Uyb0RvYy54bWysU9tu2zAMfR+wfxD0vjhx0qwx4hRdiw4D&#10;ugvQ7gNkWYqF2aJGKbGzrx8lx1m3vQ17ESiSOjw8pLY3Q9eyo0JvwJZ8MZtzpqyE2th9yb8+P7y5&#10;5swHYWvRglUlPynPb3avX217V6gcGmhrhYxArC96V/ImBFdkmZeN6oSfgVOWghqwE4GuuM9qFD2h&#10;d22Wz+frrAesHYJU3pP3fgzyXcLXWsnwWWuvAmtLTtxCOjGdVTyz3VYUexSuMfJMQ/wDi04YS0Uv&#10;UPciCHZA8xdUZySCBx1mEroMtDZSpR6om8X8j26eGuFU6oXE8e4ik/9/sPLT8QsyU5d8meecWdHR&#10;kJ7VENg7GNhqGQXqnS8o78lRZhjIT4NOzXr3CPKbZxbuGmH36hYR+kaJmggu4svsxdMRx0eQqv8I&#10;NdURhwAJaNDYRfVID0boNKjTZTiRiyTnerXJ8xWFJMWurvO3y81VqiGK6blDH94r6Fg0So40/QQv&#10;jo8+RDqimFJiNQsPpm3TBrT2NwclRk+iHxmP3MNQDaNUm/WkSwX1iTpCGDeLfgIZDeAPznraqpL7&#10;7weBirP2gyVV4gpOBk5GNRnCSnpa8sDZaN6FcVUPDs2+IeRRdwu3pJw2qaco8cjiTJg2JbV63uq4&#10;ii/vKevX39v9BAAA//8DAFBLAwQUAAYACAAAACEAVPeROeEAAAAMAQAADwAAAGRycy9kb3ducmV2&#10;LnhtbEyPQU/DMAyF70j8h8hI3FhSCmOUptOE4ISE6MqBY9p4bbXGKU22lX+Pd4Kb7ff0/L18PbtB&#10;HHEKvScNyUKBQGq87anV8Fm93qxAhGjImsETavjBAOvi8iI3mfUnKvG4ja3gEAqZ0dDFOGZShqZD&#10;Z8LCj0is7fzkTOR1aqWdzInD3SBvlVpKZ3riD50Z8bnDZr89OA2bLypf+u/3+qPclX1VPSp6W+61&#10;vr6aN08gIs7xzwxnfEaHgplqfyAbxKBhdc9VIt+TNAVxNiTq4Q5EzZNKEwWyyOX/EsUvAAAA//8D&#10;AFBLAQItABQABgAIAAAAIQC2gziS/gAAAOEBAAATAAAAAAAAAAAAAAAAAAAAAABbQ29udGVudF9U&#10;eXBlc10ueG1sUEsBAi0AFAAGAAgAAAAhADj9If/WAAAAlAEAAAsAAAAAAAAAAAAAAAAALwEAAF9y&#10;ZWxzLy5yZWxzUEsBAi0AFAAGAAgAAAAhAPGkit7xAQAAwwMAAA4AAAAAAAAAAAAAAAAALgIAAGRy&#10;cy9lMm9Eb2MueG1sUEsBAi0AFAAGAAgAAAAhAFT3kTnhAAAADAEAAA8AAAAAAAAAAAAAAAAASwQA&#10;AGRycy9kb3ducmV2LnhtbFBLBQYAAAAABAAEAPMAAABZBQAAAAA=&#10;" filled="f" stroked="f">
                <v:textbox inset="0,0,0,0">
                  <w:txbxContent>
                    <w:p w14:paraId="28466BBD" w14:textId="77777777" w:rsidR="00490F33" w:rsidRDefault="00490F33">
                      <w:pPr>
                        <w:textAlignment w:val="baseline"/>
                      </w:pPr>
                      <w:r>
                        <w:rPr>
                          <w:noProof/>
                          <w:lang w:val="en-AU" w:eastAsia="en-AU"/>
                        </w:rPr>
                        <w:drawing>
                          <wp:inline distT="0" distB="0" distL="0" distR="0" wp14:anchorId="515CFB25" wp14:editId="771B9EEB">
                            <wp:extent cx="6492240" cy="5827395"/>
                            <wp:effectExtent l="0" t="0" r="0" b="0"/>
                            <wp:docPr id="244" name="Picture"/>
                            <wp:cNvGraphicFramePr/>
                            <a:graphic xmlns:a="http://schemas.openxmlformats.org/drawingml/2006/main">
                              <a:graphicData uri="http://schemas.openxmlformats.org/drawingml/2006/picture">
                                <pic:pic xmlns:pic="http://schemas.openxmlformats.org/drawingml/2006/picture">
                                  <pic:nvPicPr>
                                    <pic:cNvPr id="244" name="Picture"/>
                                    <pic:cNvPicPr preferRelativeResize="0"/>
                                  </pic:nvPicPr>
                                  <pic:blipFill>
                                    <a:blip r:embed="rId328"/>
                                    <a:stretch>
                                      <a:fillRect/>
                                    </a:stretch>
                                  </pic:blipFill>
                                  <pic:spPr>
                                    <a:xfrm>
                                      <a:off x="0" y="0"/>
                                      <a:ext cx="6492240" cy="582739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7296" behindDoc="1" locked="0" layoutInCell="1" allowOverlap="1" wp14:anchorId="17EE0FFC" wp14:editId="22E7E395">
                <wp:simplePos x="0" y="0"/>
                <wp:positionH relativeFrom="page">
                  <wp:posOffset>835025</wp:posOffset>
                </wp:positionH>
                <wp:positionV relativeFrom="page">
                  <wp:posOffset>982980</wp:posOffset>
                </wp:positionV>
                <wp:extent cx="5873750" cy="857885"/>
                <wp:effectExtent l="0" t="0" r="0" b="0"/>
                <wp:wrapSquare wrapText="bothSides"/>
                <wp:docPr id="3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85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32FDC" w14:textId="77777777" w:rsidR="00490F33" w:rsidRDefault="00490F33">
                            <w:pPr>
                              <w:spacing w:line="441"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EFFB87B" w14:textId="77777777" w:rsidR="00490F33" w:rsidRDefault="00490F33">
                            <w:pPr>
                              <w:spacing w:line="449" w:lineRule="exact"/>
                              <w:textAlignment w:val="baseline"/>
                              <w:rPr>
                                <w:rFonts w:ascii="Tahoma" w:eastAsia="Tahoma" w:hAnsi="Tahoma"/>
                                <w:color w:val="BF5B1F"/>
                                <w:spacing w:val="24"/>
                                <w:w w:val="90"/>
                                <w:sz w:val="39"/>
                              </w:rPr>
                            </w:pPr>
                            <w:r>
                              <w:rPr>
                                <w:rFonts w:ascii="Tahoma" w:eastAsia="Tahoma" w:hAnsi="Tahoma"/>
                                <w:color w:val="BF5B1F"/>
                                <w:spacing w:val="24"/>
                                <w:w w:val="90"/>
                                <w:sz w:val="39"/>
                              </w:rPr>
                              <w:t>THE AUSTRALIAN GOVERNMENT’S JOBS AND</w:t>
                            </w:r>
                          </w:p>
                          <w:p w14:paraId="23550AF2" w14:textId="77777777" w:rsidR="00490F33" w:rsidRDefault="00490F33">
                            <w:pPr>
                              <w:spacing w:before="4" w:line="452" w:lineRule="exact"/>
                              <w:textAlignment w:val="baseline"/>
                              <w:rPr>
                                <w:rFonts w:ascii="Tahoma" w:eastAsia="Tahoma" w:hAnsi="Tahoma"/>
                                <w:color w:val="BF5B1F"/>
                                <w:spacing w:val="13"/>
                                <w:w w:val="90"/>
                                <w:sz w:val="39"/>
                              </w:rPr>
                            </w:pPr>
                            <w:r>
                              <w:rPr>
                                <w:rFonts w:ascii="Tahoma" w:eastAsia="Tahoma" w:hAnsi="Tahoma"/>
                                <w:color w:val="BF5B1F"/>
                                <w:spacing w:val="13"/>
                                <w:w w:val="90"/>
                                <w:sz w:val="39"/>
                              </w:rPr>
                              <w:t>EDUCATION DATA INFRASTRUCTURE (JEDI)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E0FFC" id="Text Box 42" o:spid="_x0000_s1423" type="#_x0000_t202" style="position:absolute;margin-left:65.75pt;margin-top:77.4pt;width:462.5pt;height:67.55pt;z-index:-251549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q58AEAAMIDAAAOAAAAZHJzL2Uyb0RvYy54bWysU9tu2zAMfR+wfxD0vjhJl8Uz4hRdiw4D&#10;ugvQ7gMYWY6F2aJGKbGzrx8lx1m3vQ17ESiSOjw8pDbXQ9eKoyZv0JZyMZtLoa3Cyth9Kb8+3b/K&#10;pfABbAUtWl3Kk/byevvyxaZ3hV5ig22lSTCI9UXvStmE4Ios86rRHfgZOm05WCN1EPhK+6wi6Bm9&#10;a7PlfP4m65EqR6i09+y9G4Nym/DrWqvwua69DqItJXML6aR07uKZbTdQ7AlcY9SZBvwDiw6M5aIX&#10;qDsIIA5k/oLqjCL0WIeZwi7DujZKpx64m8X8j24eG3A69cLieHeRyf8/WPXp+IWEqUp5tVxIYaHj&#10;IT3pIYh3OIjXyyhQ73zBeY+OM8PAfh50ata7B1TfvLB424Dd6xsi7BsNFRNcxJfZs6cjjo8gu/4j&#10;VlwHDgET0FBTF9VjPQSj86BOl+FELoqdq3x9tV5xSHEsX63zfJVKQDG9duTDe42diEYpiYef0OH4&#10;4ENkA8WUEotZvDdtmxagtb85ODF6EvtIeKQeht0wKvV2Pcmyw+rEDRGOi8UfgY0G6YcUPS9VKf33&#10;A5CWov1gWZS4gZNBk7GbDLCKn5YySDGat2Hc1IMjs28YeZTd4g0LV5vUU1R4ZHEmzIuSWj0vddzE&#10;5/eU9evrbX8CAAD//wMAUEsDBBQABgAIAAAAIQDy7reb4AAAAAwBAAAPAAAAZHJzL2Rvd25yZXYu&#10;eG1sTI/BTsMwEETvSPyDtUjcqN1CoibEqSoEJyREGg4cndhNrMbrELtt+Hu2p3Lb2R3Nvik2sxvY&#10;yUzBepSwXAhgBluvLXYSvuq3hzWwEBVqNXg0En5NgE15e1OoXPszVua0ix2jEAy5ktDHOOach7Y3&#10;ToWFHw3Sbe8npyLJqeN6UmcKdwNfCZFypyzSh16N5qU37WF3dBK231i92p+P5rPaV7auM4Hv6UHK&#10;+7t5+wwsmjlezXDBJ3QoianxR9SBDaQflwlZaUieqMPFIZKUVo2E1TrLgJcF/1+i/AMAAP//AwBQ&#10;SwECLQAUAAYACAAAACEAtoM4kv4AAADhAQAAEwAAAAAAAAAAAAAAAAAAAAAAW0NvbnRlbnRfVHlw&#10;ZXNdLnhtbFBLAQItABQABgAIAAAAIQA4/SH/1gAAAJQBAAALAAAAAAAAAAAAAAAAAC8BAABfcmVs&#10;cy8ucmVsc1BLAQItABQABgAIAAAAIQDoHvq58AEAAMIDAAAOAAAAAAAAAAAAAAAAAC4CAABkcnMv&#10;ZTJvRG9jLnhtbFBLAQItABQABgAIAAAAIQDy7reb4AAAAAwBAAAPAAAAAAAAAAAAAAAAAEoEAABk&#10;cnMvZG93bnJldi54bWxQSwUGAAAAAAQABADzAAAAVwUAAAAA&#10;" filled="f" stroked="f">
                <v:textbox inset="0,0,0,0">
                  <w:txbxContent>
                    <w:p w14:paraId="05732FDC" w14:textId="77777777" w:rsidR="00490F33" w:rsidRDefault="00490F33">
                      <w:pPr>
                        <w:spacing w:line="441" w:lineRule="exact"/>
                        <w:textAlignment w:val="baseline"/>
                        <w:rPr>
                          <w:rFonts w:ascii="Arial" w:eastAsia="Arial" w:hAnsi="Arial"/>
                          <w:b/>
                          <w:color w:val="BF5B1F"/>
                          <w:spacing w:val="7"/>
                          <w:w w:val="90"/>
                          <w:sz w:val="39"/>
                        </w:rPr>
                      </w:pPr>
                      <w:r>
                        <w:rPr>
                          <w:rFonts w:ascii="Arial" w:eastAsia="Arial" w:hAnsi="Arial"/>
                          <w:b/>
                          <w:color w:val="BF5B1F"/>
                          <w:spacing w:val="7"/>
                          <w:w w:val="90"/>
                          <w:sz w:val="39"/>
                        </w:rPr>
                        <w:t>CASE STUDY:</w:t>
                      </w:r>
                    </w:p>
                    <w:p w14:paraId="2EFFB87B" w14:textId="77777777" w:rsidR="00490F33" w:rsidRDefault="00490F33">
                      <w:pPr>
                        <w:spacing w:line="449" w:lineRule="exact"/>
                        <w:textAlignment w:val="baseline"/>
                        <w:rPr>
                          <w:rFonts w:ascii="Tahoma" w:eastAsia="Tahoma" w:hAnsi="Tahoma"/>
                          <w:color w:val="BF5B1F"/>
                          <w:spacing w:val="24"/>
                          <w:w w:val="90"/>
                          <w:sz w:val="39"/>
                        </w:rPr>
                      </w:pPr>
                      <w:r>
                        <w:rPr>
                          <w:rFonts w:ascii="Tahoma" w:eastAsia="Tahoma" w:hAnsi="Tahoma"/>
                          <w:color w:val="BF5B1F"/>
                          <w:spacing w:val="24"/>
                          <w:w w:val="90"/>
                          <w:sz w:val="39"/>
                        </w:rPr>
                        <w:t>THE AUSTRALIAN GOVERNMENT’S JOBS AND</w:t>
                      </w:r>
                    </w:p>
                    <w:p w14:paraId="23550AF2" w14:textId="77777777" w:rsidR="00490F33" w:rsidRDefault="00490F33">
                      <w:pPr>
                        <w:spacing w:before="4" w:line="452" w:lineRule="exact"/>
                        <w:textAlignment w:val="baseline"/>
                        <w:rPr>
                          <w:rFonts w:ascii="Tahoma" w:eastAsia="Tahoma" w:hAnsi="Tahoma"/>
                          <w:color w:val="BF5B1F"/>
                          <w:spacing w:val="13"/>
                          <w:w w:val="90"/>
                          <w:sz w:val="39"/>
                        </w:rPr>
                      </w:pPr>
                      <w:r>
                        <w:rPr>
                          <w:rFonts w:ascii="Tahoma" w:eastAsia="Tahoma" w:hAnsi="Tahoma"/>
                          <w:color w:val="BF5B1F"/>
                          <w:spacing w:val="13"/>
                          <w:w w:val="90"/>
                          <w:sz w:val="39"/>
                        </w:rPr>
                        <w:t>EDUCATION DATA INFRASTRUCTURE (JEDI) PROJECT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8320" behindDoc="1" locked="0" layoutInCell="1" allowOverlap="1" wp14:anchorId="351284F9" wp14:editId="228426FD">
                <wp:simplePos x="0" y="0"/>
                <wp:positionH relativeFrom="page">
                  <wp:posOffset>905510</wp:posOffset>
                </wp:positionH>
                <wp:positionV relativeFrom="page">
                  <wp:posOffset>2010410</wp:posOffset>
                </wp:positionV>
                <wp:extent cx="5330825" cy="600710"/>
                <wp:effectExtent l="0" t="0" r="0" b="0"/>
                <wp:wrapSquare wrapText="bothSides"/>
                <wp:docPr id="3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825" cy="60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0E393" w14:textId="77777777" w:rsidR="00490F33" w:rsidRDefault="00490F33">
                            <w:pPr>
                              <w:spacing w:line="234" w:lineRule="exact"/>
                              <w:jc w:val="both"/>
                              <w:textAlignment w:val="baseline"/>
                              <w:rPr>
                                <w:rFonts w:ascii="Tahoma" w:eastAsia="Tahoma" w:hAnsi="Tahoma"/>
                                <w:color w:val="404042"/>
                                <w:sz w:val="18"/>
                              </w:rPr>
                            </w:pPr>
                            <w:r>
                              <w:rPr>
                                <w:rFonts w:ascii="Tahoma" w:eastAsia="Tahoma" w:hAnsi="Tahoma"/>
                                <w:color w:val="404042"/>
                                <w:sz w:val="18"/>
                              </w:rPr>
                              <w:t>The Jobs and Education Data Infrastructure</w:t>
                            </w:r>
                            <w:r>
                              <w:rPr>
                                <w:rFonts w:ascii="Tahoma" w:eastAsia="Tahoma" w:hAnsi="Tahoma"/>
                                <w:color w:val="464140"/>
                                <w:sz w:val="18"/>
                              </w:rPr>
                              <w:t xml:space="preserve"> (JEDI) project – led by</w:t>
                            </w:r>
                            <w:r>
                              <w:rPr>
                                <w:rFonts w:ascii="Tahoma" w:eastAsia="Tahoma" w:hAnsi="Tahoma"/>
                                <w:color w:val="404042"/>
                                <w:sz w:val="18"/>
                              </w:rPr>
                              <w:t xml:space="preserve"> the</w:t>
                            </w:r>
                            <w:r>
                              <w:rPr>
                                <w:rFonts w:ascii="Tahoma" w:eastAsia="Tahoma" w:hAnsi="Tahoma"/>
                                <w:color w:val="464140"/>
                                <w:sz w:val="18"/>
                              </w:rPr>
                              <w:t xml:space="preserve"> Commonwealth Department </w:t>
                            </w:r>
                            <w:r>
                              <w:rPr>
                                <w:rFonts w:ascii="Tahoma" w:eastAsia="Tahoma" w:hAnsi="Tahoma"/>
                                <w:color w:val="404042"/>
                                <w:sz w:val="18"/>
                              </w:rPr>
                              <w:t>of Education, Skills and Employment</w:t>
                            </w:r>
                            <w:r>
                              <w:rPr>
                                <w:rFonts w:ascii="Tahoma" w:eastAsia="Tahoma" w:hAnsi="Tahoma"/>
                                <w:color w:val="464140"/>
                                <w:sz w:val="18"/>
                              </w:rPr>
                              <w:t xml:space="preserve"> – has developed a new</w:t>
                            </w:r>
                            <w:r>
                              <w:rPr>
                                <w:rFonts w:ascii="Tahoma" w:eastAsia="Tahoma" w:hAnsi="Tahoma"/>
                                <w:color w:val="404042"/>
                                <w:sz w:val="18"/>
                              </w:rPr>
                              <w:t xml:space="preserve"> approach to</w:t>
                            </w:r>
                            <w:r>
                              <w:rPr>
                                <w:rFonts w:ascii="Tahoma" w:eastAsia="Tahoma" w:hAnsi="Tahoma"/>
                                <w:color w:val="464140"/>
                                <w:sz w:val="18"/>
                              </w:rPr>
                              <w:t xml:space="preserve"> labour market analysis by </w:t>
                            </w:r>
                            <w:r>
                              <w:rPr>
                                <w:rFonts w:ascii="Tahoma" w:eastAsia="Tahoma" w:hAnsi="Tahoma"/>
                                <w:color w:val="404042"/>
                                <w:sz w:val="18"/>
                              </w:rPr>
                              <w:t>integrating education, skills and</w:t>
                            </w:r>
                            <w:r>
                              <w:rPr>
                                <w:rFonts w:ascii="Tahoma" w:eastAsia="Tahoma" w:hAnsi="Tahoma"/>
                                <w:color w:val="464140"/>
                                <w:sz w:val="18"/>
                              </w:rPr>
                              <w:t xml:space="preserve"> labour market data. It aims to</w:t>
                            </w:r>
                            <w:r>
                              <w:rPr>
                                <w:rFonts w:ascii="Tahoma" w:eastAsia="Tahoma" w:hAnsi="Tahoma"/>
                                <w:color w:val="404042"/>
                                <w:sz w:val="18"/>
                              </w:rPr>
                              <w:t xml:space="preserve"> transform</w:t>
                            </w:r>
                            <w:r>
                              <w:rPr>
                                <w:rFonts w:ascii="Tahoma" w:eastAsia="Tahoma" w:hAnsi="Tahoma"/>
                                <w:color w:val="464140"/>
                                <w:sz w:val="18"/>
                              </w:rPr>
                              <w:t xml:space="preserve"> data into meaningful and </w:t>
                            </w:r>
                            <w:r>
                              <w:rPr>
                                <w:rFonts w:ascii="Tahoma" w:eastAsia="Tahoma" w:hAnsi="Tahoma"/>
                                <w:color w:val="404042"/>
                                <w:sz w:val="18"/>
                              </w:rPr>
                              <w:t>accessible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84F9" id="Text Box 41" o:spid="_x0000_s1424" type="#_x0000_t202" style="position:absolute;margin-left:71.3pt;margin-top:158.3pt;width:419.75pt;height:47.3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sD7wEAAMIDAAAOAAAAZHJzL2Uyb0RvYy54bWysU8tu2zAQvBfoPxC815LtJnUEy0GaIEWB&#10;9AEk/QCKoiSiIpdd0pbcr++SstykvRW9EMvlcjgzu9xej6ZnB4Vegy35cpFzpqyEWtu25N+e7t9s&#10;OPNB2Fr0YFXJj8rz693rV9vBFWoFHfS1QkYg1heDK3kXgiuyzMtOGeEX4JSlwwbQiEBbbLMaxUDo&#10;ps9WeX6ZDYC1Q5DKe8reTYd8l/CbRsnwpWm8CqwvOXELacW0VnHNdltRtChcp+WJhvgHFkZoS4+e&#10;oe5EEGyP+i8ooyWChyYsJJgMmkZLlTSQmmX+h5rHTjiVtJA53p1t8v8PVn4+fEWm65KvV+SPFYaa&#10;9KTGwN7DyN4uo0GD8wXVPTqqDCPlqdFJrHcPIL97ZuG2E7ZVN4gwdErURDDdzJ5dnXB8BKmGT1DT&#10;O2IfIAGNDZroHvnBCJ2IHM/NiVwkJS/W63yzuuBM0tllnr9bpu5lophvO/ThgwLDYlBypOYndHF4&#10;8IF0UOlcEh+zcK/7Pg1Ab18kqDBmEvtIeKIexmqcnLrazLZUUB9JEMI0WPQRKOgAf3I20FCV3P/Y&#10;C1Sc9R8tmRIncA5wDqo5EFbS1ZIHzqbwNkyTuneo246QJ9st3JBxjU6aosMTixNhGpQk9TTUcRKf&#10;71PV76+3+wUAAP//AwBQSwMEFAAGAAgAAAAhAOUy8rDgAAAACwEAAA8AAABkcnMvZG93bnJldi54&#10;bWxMj8FOwzAMhu9IvENkJG4sTZmqrTSdpmmckBBdOXBMm6yN1jilybby9pgTu/mXP/3+XGxmN7CL&#10;mYL1KEEsEmAGW68tdhI+69enFbAQFWo1eDQSfkyATXl/V6hc+ytW5nKIHaMSDLmS0Mc45pyHtjdO&#10;hYUfDdLu6CenIsWp43pSVyp3A0+TJONOWaQLvRrNrjft6XB2ErZfWO3t93vzUR0rW9frBN+yk5SP&#10;D/P2BVg0c/yH4U+f1KEkp8afUQc2UF6mGaESnkVGAxHrVSqANRKWQqTAy4Lf/lD+AgAA//8DAFBL&#10;AQItABQABgAIAAAAIQC2gziS/gAAAOEBAAATAAAAAAAAAAAAAAAAAAAAAABbQ29udGVudF9UeXBl&#10;c10ueG1sUEsBAi0AFAAGAAgAAAAhADj9If/WAAAAlAEAAAsAAAAAAAAAAAAAAAAALwEAAF9yZWxz&#10;Ly5yZWxzUEsBAi0AFAAGAAgAAAAhAOiXOwPvAQAAwgMAAA4AAAAAAAAAAAAAAAAALgIAAGRycy9l&#10;Mm9Eb2MueG1sUEsBAi0AFAAGAAgAAAAhAOUy8rDgAAAACwEAAA8AAAAAAAAAAAAAAAAASQQAAGRy&#10;cy9kb3ducmV2LnhtbFBLBQYAAAAABAAEAPMAAABWBQAAAAA=&#10;" filled="f" stroked="f">
                <v:textbox inset="0,0,0,0">
                  <w:txbxContent>
                    <w:p w14:paraId="3F70E393" w14:textId="77777777" w:rsidR="00490F33" w:rsidRDefault="00490F33">
                      <w:pPr>
                        <w:spacing w:line="234" w:lineRule="exact"/>
                        <w:jc w:val="both"/>
                        <w:textAlignment w:val="baseline"/>
                        <w:rPr>
                          <w:rFonts w:ascii="Tahoma" w:eastAsia="Tahoma" w:hAnsi="Tahoma"/>
                          <w:color w:val="404042"/>
                          <w:sz w:val="18"/>
                        </w:rPr>
                      </w:pPr>
                      <w:r>
                        <w:rPr>
                          <w:rFonts w:ascii="Tahoma" w:eastAsia="Tahoma" w:hAnsi="Tahoma"/>
                          <w:color w:val="404042"/>
                          <w:sz w:val="18"/>
                        </w:rPr>
                        <w:t>The Jobs and Education Data Infrastructure</w:t>
                      </w:r>
                      <w:r>
                        <w:rPr>
                          <w:rFonts w:ascii="Tahoma" w:eastAsia="Tahoma" w:hAnsi="Tahoma"/>
                          <w:color w:val="464140"/>
                          <w:sz w:val="18"/>
                        </w:rPr>
                        <w:t xml:space="preserve"> (JEDI) project – led by</w:t>
                      </w:r>
                      <w:r>
                        <w:rPr>
                          <w:rFonts w:ascii="Tahoma" w:eastAsia="Tahoma" w:hAnsi="Tahoma"/>
                          <w:color w:val="404042"/>
                          <w:sz w:val="18"/>
                        </w:rPr>
                        <w:t xml:space="preserve"> the</w:t>
                      </w:r>
                      <w:r>
                        <w:rPr>
                          <w:rFonts w:ascii="Tahoma" w:eastAsia="Tahoma" w:hAnsi="Tahoma"/>
                          <w:color w:val="464140"/>
                          <w:sz w:val="18"/>
                        </w:rPr>
                        <w:t xml:space="preserve"> Commonwealth Department </w:t>
                      </w:r>
                      <w:r>
                        <w:rPr>
                          <w:rFonts w:ascii="Tahoma" w:eastAsia="Tahoma" w:hAnsi="Tahoma"/>
                          <w:color w:val="404042"/>
                          <w:sz w:val="18"/>
                        </w:rPr>
                        <w:t>of Education, Skills and Employment</w:t>
                      </w:r>
                      <w:r>
                        <w:rPr>
                          <w:rFonts w:ascii="Tahoma" w:eastAsia="Tahoma" w:hAnsi="Tahoma"/>
                          <w:color w:val="464140"/>
                          <w:sz w:val="18"/>
                        </w:rPr>
                        <w:t xml:space="preserve"> – has developed a new</w:t>
                      </w:r>
                      <w:r>
                        <w:rPr>
                          <w:rFonts w:ascii="Tahoma" w:eastAsia="Tahoma" w:hAnsi="Tahoma"/>
                          <w:color w:val="404042"/>
                          <w:sz w:val="18"/>
                        </w:rPr>
                        <w:t xml:space="preserve"> approach to</w:t>
                      </w:r>
                      <w:r>
                        <w:rPr>
                          <w:rFonts w:ascii="Tahoma" w:eastAsia="Tahoma" w:hAnsi="Tahoma"/>
                          <w:color w:val="464140"/>
                          <w:sz w:val="18"/>
                        </w:rPr>
                        <w:t xml:space="preserve"> labour market analysis by </w:t>
                      </w:r>
                      <w:r>
                        <w:rPr>
                          <w:rFonts w:ascii="Tahoma" w:eastAsia="Tahoma" w:hAnsi="Tahoma"/>
                          <w:color w:val="404042"/>
                          <w:sz w:val="18"/>
                        </w:rPr>
                        <w:t>integrating education, skills and</w:t>
                      </w:r>
                      <w:r>
                        <w:rPr>
                          <w:rFonts w:ascii="Tahoma" w:eastAsia="Tahoma" w:hAnsi="Tahoma"/>
                          <w:color w:val="464140"/>
                          <w:sz w:val="18"/>
                        </w:rPr>
                        <w:t xml:space="preserve"> labour market data. It aims to</w:t>
                      </w:r>
                      <w:r>
                        <w:rPr>
                          <w:rFonts w:ascii="Tahoma" w:eastAsia="Tahoma" w:hAnsi="Tahoma"/>
                          <w:color w:val="404042"/>
                          <w:sz w:val="18"/>
                        </w:rPr>
                        <w:t xml:space="preserve"> transform</w:t>
                      </w:r>
                      <w:r>
                        <w:rPr>
                          <w:rFonts w:ascii="Tahoma" w:eastAsia="Tahoma" w:hAnsi="Tahoma"/>
                          <w:color w:val="464140"/>
                          <w:sz w:val="18"/>
                        </w:rPr>
                        <w:t xml:space="preserve"> data into meaningful and </w:t>
                      </w:r>
                      <w:r>
                        <w:rPr>
                          <w:rFonts w:ascii="Tahoma" w:eastAsia="Tahoma" w:hAnsi="Tahoma"/>
                          <w:color w:val="404042"/>
                          <w:sz w:val="18"/>
                        </w:rPr>
                        <w:t>accessible information.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69344" behindDoc="1" locked="0" layoutInCell="1" allowOverlap="1" wp14:anchorId="42D88C48" wp14:editId="088A6DDE">
                <wp:simplePos x="0" y="0"/>
                <wp:positionH relativeFrom="page">
                  <wp:posOffset>895985</wp:posOffset>
                </wp:positionH>
                <wp:positionV relativeFrom="page">
                  <wp:posOffset>2726690</wp:posOffset>
                </wp:positionV>
                <wp:extent cx="5727065" cy="449580"/>
                <wp:effectExtent l="0" t="0" r="0" b="0"/>
                <wp:wrapSquare wrapText="bothSides"/>
                <wp:docPr id="31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7BD4" w14:textId="77777777" w:rsidR="00490F33" w:rsidRDefault="00490F33">
                            <w:pPr>
                              <w:spacing w:line="234" w:lineRule="exact"/>
                              <w:textAlignment w:val="baseline"/>
                              <w:rPr>
                                <w:rFonts w:ascii="Tahoma" w:eastAsia="Tahoma" w:hAnsi="Tahoma"/>
                                <w:color w:val="404042"/>
                                <w:sz w:val="18"/>
                              </w:rPr>
                            </w:pPr>
                            <w:r>
                              <w:rPr>
                                <w:rFonts w:ascii="Tahoma" w:eastAsia="Tahoma" w:hAnsi="Tahoma"/>
                                <w:color w:val="404042"/>
                                <w:sz w:val="18"/>
                              </w:rPr>
                              <w:t>JEDI will provide a single</w:t>
                            </w:r>
                            <w:r>
                              <w:rPr>
                                <w:rFonts w:ascii="Tahoma" w:eastAsia="Tahoma" w:hAnsi="Tahoma"/>
                                <w:color w:val="464140"/>
                                <w:sz w:val="18"/>
                              </w:rPr>
                              <w:t xml:space="preserve"> comprehensive source of up-to-date information</w:t>
                            </w:r>
                            <w:r>
                              <w:rPr>
                                <w:rFonts w:ascii="Tahoma" w:eastAsia="Tahoma" w:hAnsi="Tahoma"/>
                                <w:color w:val="404042"/>
                                <w:sz w:val="18"/>
                              </w:rPr>
                              <w:t xml:space="preserve"> about jobs,</w:t>
                            </w:r>
                            <w:r>
                              <w:rPr>
                                <w:rFonts w:ascii="Tahoma" w:eastAsia="Tahoma" w:hAnsi="Tahoma"/>
                                <w:color w:val="464140"/>
                                <w:sz w:val="18"/>
                              </w:rPr>
                              <w:t xml:space="preserve"> skills</w:t>
                            </w:r>
                            <w:r>
                              <w:rPr>
                                <w:rFonts w:ascii="Tahoma" w:eastAsia="Tahoma" w:hAnsi="Tahoma"/>
                                <w:color w:val="404042"/>
                                <w:sz w:val="18"/>
                              </w:rPr>
                              <w:t xml:space="preserve"> and education to answer the questions individuals,</w:t>
                            </w:r>
                            <w:r>
                              <w:rPr>
                                <w:rFonts w:ascii="Tahoma" w:eastAsia="Tahoma" w:hAnsi="Tahoma"/>
                                <w:color w:val="464140"/>
                                <w:sz w:val="18"/>
                              </w:rPr>
                              <w:t xml:space="preserve"> businesses, education providers and</w:t>
                            </w:r>
                            <w:r>
                              <w:rPr>
                                <w:rFonts w:ascii="Tahoma" w:eastAsia="Tahoma" w:hAnsi="Tahoma"/>
                                <w:color w:val="404042"/>
                                <w:sz w:val="18"/>
                              </w:rPr>
                              <w:t xml:space="preserve"> policymakers have about the changing labour market.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88C48" id="Text Box 40" o:spid="_x0000_s1425" type="#_x0000_t202" style="position:absolute;margin-left:70.55pt;margin-top:214.7pt;width:450.95pt;height:35.4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jq8gEAAMIDAAAOAAAAZHJzL2Uyb0RvYy54bWysU8Fu2zAMvQ/YPwi6L06ypG2MOEXXosOA&#10;rhvQ7gMYWY6F2aJGKbGzrx8lx2m33YZdBIqint57pNbXfduIgyZv0BZyNplKoa3C0thdIb8937+7&#10;ksIHsCU0aHUhj9rL683bN+vO5XqONTalJsEg1uedK2QdgsuzzKtat+An6LTlwwqphcBb2mUlQcfo&#10;bZPNp9OLrEMqHaHS3nP2bjiUm4RfVVqFL1XldRBNIZlbSCuldRvXbLOGfEfgaqNONOAfWLRgLD96&#10;hrqDAGJP5i+o1ihCj1WYKGwzrCqjdNLAambTP9Q81eB00sLmeHe2yf8/WPV4+ErClIV8P1tJYaHl&#10;Jj3rPogP2ItFMqhzPue6J8eVoec8NzqJ9e4B1XcvLN7WYHf6hgi7WkPJBGfR2uzV1dgSn/sIsu0+&#10;Y8nvwD5gAuoraqN77IdgdG7U8dycyEVxcnk5v5xeLKVQfLZYrJZXiVwG+XjbkQ8fNbYiBoUkbn5C&#10;h8ODD5EN5GNJfMzivWmaNACN/S3BhTGT2EfCA/XQb/vBqdUqiotytlgeWRDhMFj8ETiokX5K0fFQ&#10;FdL/2ANpKZpPlk2JEzgGNAbbMQCr+GohgxRDeBuGSd07MruakQfbLd6wcZVJml5YnAjzoCSpp6GO&#10;k/h6n6pevt7mFwAAAP//AwBQSwMEFAAGAAgAAAAhAExKA7zgAAAADAEAAA8AAABkcnMvZG93bnJl&#10;di54bWxMj8FOwzAQRO9I/IO1SNyonRAqmsapKgQnJEQaDj06sZtYjdchdtvw92xPcBzt0+ybYjO7&#10;gZ3NFKxHCclCADPYem2xk/BVvz08AwtRoVaDRyPhxwTYlLc3hcq1v2BlzrvYMSrBkCsJfYxjznlo&#10;e+NUWPjRIN0OfnIqUpw6rid1oXI38FSIJXfKIn3o1WheetMedycnYbvH6tV+fzSf1aGydb0S+L48&#10;Snl/N2/XwKKZ4x8MV31Sh5KcGn9CHdhAOUsSQiVk6SoDdiVE9kjzGglPQqTAy4L/H1H+AgAA//8D&#10;AFBLAQItABQABgAIAAAAIQC2gziS/gAAAOEBAAATAAAAAAAAAAAAAAAAAAAAAABbQ29udGVudF9U&#10;eXBlc10ueG1sUEsBAi0AFAAGAAgAAAAhADj9If/WAAAAlAEAAAsAAAAAAAAAAAAAAAAALwEAAF9y&#10;ZWxzLy5yZWxzUEsBAi0AFAAGAAgAAAAhAFg3WOryAQAAwgMAAA4AAAAAAAAAAAAAAAAALgIAAGRy&#10;cy9lMm9Eb2MueG1sUEsBAi0AFAAGAAgAAAAhAExKA7zgAAAADAEAAA8AAAAAAAAAAAAAAAAATAQA&#10;AGRycy9kb3ducmV2LnhtbFBLBQYAAAAABAAEAPMAAABZBQAAAAA=&#10;" filled="f" stroked="f">
                <v:textbox inset="0,0,0,0">
                  <w:txbxContent>
                    <w:p w14:paraId="27B77BD4" w14:textId="77777777" w:rsidR="00490F33" w:rsidRDefault="00490F33">
                      <w:pPr>
                        <w:spacing w:line="234" w:lineRule="exact"/>
                        <w:textAlignment w:val="baseline"/>
                        <w:rPr>
                          <w:rFonts w:ascii="Tahoma" w:eastAsia="Tahoma" w:hAnsi="Tahoma"/>
                          <w:color w:val="404042"/>
                          <w:sz w:val="18"/>
                        </w:rPr>
                      </w:pPr>
                      <w:r>
                        <w:rPr>
                          <w:rFonts w:ascii="Tahoma" w:eastAsia="Tahoma" w:hAnsi="Tahoma"/>
                          <w:color w:val="404042"/>
                          <w:sz w:val="18"/>
                        </w:rPr>
                        <w:t>JEDI will provide a single</w:t>
                      </w:r>
                      <w:r>
                        <w:rPr>
                          <w:rFonts w:ascii="Tahoma" w:eastAsia="Tahoma" w:hAnsi="Tahoma"/>
                          <w:color w:val="464140"/>
                          <w:sz w:val="18"/>
                        </w:rPr>
                        <w:t xml:space="preserve"> comprehensive source of up-to-date information</w:t>
                      </w:r>
                      <w:r>
                        <w:rPr>
                          <w:rFonts w:ascii="Tahoma" w:eastAsia="Tahoma" w:hAnsi="Tahoma"/>
                          <w:color w:val="404042"/>
                          <w:sz w:val="18"/>
                        </w:rPr>
                        <w:t xml:space="preserve"> about jobs,</w:t>
                      </w:r>
                      <w:r>
                        <w:rPr>
                          <w:rFonts w:ascii="Tahoma" w:eastAsia="Tahoma" w:hAnsi="Tahoma"/>
                          <w:color w:val="464140"/>
                          <w:sz w:val="18"/>
                        </w:rPr>
                        <w:t xml:space="preserve"> skills</w:t>
                      </w:r>
                      <w:r>
                        <w:rPr>
                          <w:rFonts w:ascii="Tahoma" w:eastAsia="Tahoma" w:hAnsi="Tahoma"/>
                          <w:color w:val="404042"/>
                          <w:sz w:val="18"/>
                        </w:rPr>
                        <w:t xml:space="preserve"> and education to answer the questions individuals,</w:t>
                      </w:r>
                      <w:r>
                        <w:rPr>
                          <w:rFonts w:ascii="Tahoma" w:eastAsia="Tahoma" w:hAnsi="Tahoma"/>
                          <w:color w:val="464140"/>
                          <w:sz w:val="18"/>
                        </w:rPr>
                        <w:t xml:space="preserve"> businesses, education providers and</w:t>
                      </w:r>
                      <w:r>
                        <w:rPr>
                          <w:rFonts w:ascii="Tahoma" w:eastAsia="Tahoma" w:hAnsi="Tahoma"/>
                          <w:color w:val="404042"/>
                          <w:sz w:val="18"/>
                        </w:rPr>
                        <w:t xml:space="preserve"> policymakers have about the changing labour market.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0368" behindDoc="1" locked="0" layoutInCell="1" allowOverlap="1" wp14:anchorId="41A58A9B" wp14:editId="06C3358D">
                <wp:simplePos x="0" y="0"/>
                <wp:positionH relativeFrom="page">
                  <wp:posOffset>905510</wp:posOffset>
                </wp:positionH>
                <wp:positionV relativeFrom="page">
                  <wp:posOffset>3293110</wp:posOffset>
                </wp:positionV>
                <wp:extent cx="5504180" cy="1221105"/>
                <wp:effectExtent l="0" t="0" r="0" b="0"/>
                <wp:wrapSquare wrapText="bothSides"/>
                <wp:docPr id="3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4180"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5E8D8" w14:textId="77777777" w:rsidR="00490F33" w:rsidRDefault="00490F33">
                            <w:pPr>
                              <w:spacing w:line="234" w:lineRule="exact"/>
                              <w:jc w:val="both"/>
                              <w:textAlignment w:val="baseline"/>
                              <w:rPr>
                                <w:rFonts w:ascii="Tahoma" w:eastAsia="Tahoma" w:hAnsi="Tahoma"/>
                                <w:color w:val="404042"/>
                                <w:sz w:val="18"/>
                              </w:rPr>
                            </w:pPr>
                            <w:r>
                              <w:rPr>
                                <w:rFonts w:ascii="Tahoma" w:eastAsia="Tahoma" w:hAnsi="Tahoma"/>
                                <w:color w:val="404042"/>
                                <w:sz w:val="18"/>
                              </w:rPr>
                              <w:t>The JEDI project will greatly improve</w:t>
                            </w:r>
                            <w:r>
                              <w:rPr>
                                <w:rFonts w:ascii="Tahoma" w:eastAsia="Tahoma" w:hAnsi="Tahoma"/>
                                <w:color w:val="464140"/>
                                <w:sz w:val="18"/>
                              </w:rPr>
                              <w:t xml:space="preserve"> the information that individuals</w:t>
                            </w:r>
                            <w:r>
                              <w:rPr>
                                <w:rFonts w:ascii="Tahoma" w:eastAsia="Tahoma" w:hAnsi="Tahoma"/>
                                <w:color w:val="404042"/>
                                <w:sz w:val="18"/>
                              </w:rPr>
                              <w:t xml:space="preserve"> have to inform their decisions on career pathways and education</w:t>
                            </w:r>
                            <w:r>
                              <w:rPr>
                                <w:rFonts w:ascii="Tahoma" w:eastAsia="Tahoma" w:hAnsi="Tahoma"/>
                                <w:color w:val="464140"/>
                                <w:sz w:val="18"/>
                              </w:rPr>
                              <w:t xml:space="preserve"> options. The current focus of the</w:t>
                            </w:r>
                            <w:r>
                              <w:rPr>
                                <w:rFonts w:ascii="Tahoma" w:eastAsia="Tahoma" w:hAnsi="Tahoma"/>
                                <w:color w:val="404042"/>
                                <w:sz w:val="18"/>
                              </w:rPr>
                              <w:t xml:space="preserve"> project includes:</w:t>
                            </w:r>
                          </w:p>
                          <w:p w14:paraId="4C52A88B" w14:textId="77777777" w:rsidR="00490F33" w:rsidRDefault="00490F33">
                            <w:pPr>
                              <w:numPr>
                                <w:ilvl w:val="0"/>
                                <w:numId w:val="6"/>
                              </w:numPr>
                              <w:spacing w:before="101" w:line="221" w:lineRule="exact"/>
                              <w:ind w:left="216" w:hanging="216"/>
                              <w:textAlignment w:val="baseline"/>
                              <w:rPr>
                                <w:rFonts w:ascii="Tahoma" w:eastAsia="Tahoma" w:hAnsi="Tahoma"/>
                                <w:color w:val="404042"/>
                                <w:spacing w:val="5"/>
                                <w:sz w:val="18"/>
                              </w:rPr>
                            </w:pPr>
                            <w:r>
                              <w:rPr>
                                <w:rFonts w:ascii="Tahoma" w:eastAsia="Tahoma" w:hAnsi="Tahoma"/>
                                <w:color w:val="404042"/>
                                <w:spacing w:val="5"/>
                                <w:sz w:val="18"/>
                              </w:rPr>
                              <w:t>a data-driven Australian skills classification</w:t>
                            </w:r>
                            <w:r>
                              <w:rPr>
                                <w:rFonts w:ascii="Tahoma" w:eastAsia="Tahoma" w:hAnsi="Tahoma"/>
                                <w:color w:val="464140"/>
                                <w:spacing w:val="5"/>
                                <w:sz w:val="18"/>
                              </w:rPr>
                              <w:t xml:space="preserve"> – a common</w:t>
                            </w:r>
                            <w:r>
                              <w:rPr>
                                <w:rFonts w:ascii="Tahoma" w:eastAsia="Tahoma" w:hAnsi="Tahoma"/>
                                <w:color w:val="404042"/>
                                <w:spacing w:val="5"/>
                                <w:sz w:val="18"/>
                              </w:rPr>
                              <w:t xml:space="preserve"> language for skills in Australia</w:t>
                            </w:r>
                          </w:p>
                          <w:p w14:paraId="1A18C2ED" w14:textId="77777777" w:rsidR="00490F33" w:rsidRDefault="00490F33">
                            <w:pPr>
                              <w:numPr>
                                <w:ilvl w:val="0"/>
                                <w:numId w:val="6"/>
                              </w:numPr>
                              <w:spacing w:before="86" w:line="240" w:lineRule="exact"/>
                              <w:ind w:left="216" w:right="936" w:hanging="216"/>
                              <w:textAlignment w:val="baseline"/>
                              <w:rPr>
                                <w:rFonts w:ascii="Tahoma" w:eastAsia="Tahoma" w:hAnsi="Tahoma"/>
                                <w:color w:val="404042"/>
                                <w:sz w:val="18"/>
                              </w:rPr>
                            </w:pPr>
                            <w:r>
                              <w:rPr>
                                <w:rFonts w:ascii="Tahoma" w:eastAsia="Tahoma" w:hAnsi="Tahoma"/>
                                <w:color w:val="404042"/>
                                <w:sz w:val="18"/>
                              </w:rPr>
                              <w:t>an employer tool to identify the skills employees need now and in the future to support workforce planning</w:t>
                            </w:r>
                          </w:p>
                          <w:p w14:paraId="42FABD30" w14:textId="77777777" w:rsidR="00490F33" w:rsidRDefault="00490F33">
                            <w:pPr>
                              <w:numPr>
                                <w:ilvl w:val="0"/>
                                <w:numId w:val="6"/>
                              </w:numPr>
                              <w:spacing w:before="87" w:line="235" w:lineRule="exact"/>
                              <w:ind w:left="216" w:hanging="216"/>
                              <w:jc w:val="both"/>
                              <w:textAlignment w:val="baseline"/>
                              <w:rPr>
                                <w:rFonts w:ascii="Tahoma" w:eastAsia="Tahoma" w:hAnsi="Tahoma"/>
                                <w:color w:val="404042"/>
                                <w:sz w:val="18"/>
                              </w:rPr>
                            </w:pPr>
                            <w:r>
                              <w:rPr>
                                <w:rFonts w:ascii="Tahoma" w:eastAsia="Tahoma" w:hAnsi="Tahoma"/>
                                <w:color w:val="404042"/>
                                <w:sz w:val="18"/>
                              </w:rPr>
                              <w:t>a tertiary provider tool to provide better information to tertiary providers about how their courses align to labour market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58A9B" id="Text Box 39" o:spid="_x0000_s1426" type="#_x0000_t202" style="position:absolute;margin-left:71.3pt;margin-top:259.3pt;width:433.4pt;height:96.15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Fa8AEAAMMDAAAOAAAAZHJzL2Uyb0RvYy54bWysU9tu2zAMfR+wfxD0vthOm6Ez4hRdiw4D&#10;ugvQ7gMYWY6F2aJGKbGzrx8lx2m3vQ17ESiKOjrnkFpfj30nDpq8QVvJYpFLoa3C2thdJb893b+5&#10;ksIHsDV0aHUlj9rL683rV+vBlXqJLXa1JsEg1peDq2QbgiuzzKtW9+AX6LTlwwaph8Bb2mU1wcDo&#10;fZct8/xtNiDVjlBp7zl7Nx3KTcJvGq3Cl6bxOoiukswtpJXSuo1rtllDuSNwrVEnGvAPLHowlh89&#10;Q91BALEn8xdUbxShxyYsFPYZNo1ROmlgNUX+h5rHFpxOWtgc7842+f8Hqz4fvpIwdSUvCm6VhZ6b&#10;9KTHIN7jKC7eRYMG50uue3RcGUbOc6OTWO8eUH33wuJtC3anb4hwaDXUTLCIN7MXVyccH0G2wyes&#10;+R3YB0xAY0N9dI/9EIzOjTqemxO5KE6uVvllccVHis+K5bIo8lV6A8r5uiMfPmjsRQwqSdz9BA+H&#10;Bx8iHSjnkviaxXvTdWkCOvtbggtjJtGPjCfuYdyOyarLPA1OFLfF+siKCKfJ4p/AQYv0U4qBp6qS&#10;/sceSEvRfbTsShzBOaA52M4BWMVXKxmkmMLbMI3q3pHZtYw8+W7xhp1rTNL0zOJEmCclST1NdRzF&#10;l/tU9fz3Nr8AAAD//wMAUEsDBBQABgAIAAAAIQDbQXf34AAAAAwBAAAPAAAAZHJzL2Rvd25yZXYu&#10;eG1sTI/BTsMwDIbvSLxDZCRuLOk0ylqaThOCExKiKweOaeO10RqnNNlW3p7sxG7+5U+/Pxeb2Q7s&#10;hJM3jiQkCwEMqXXaUCfhq357WAPzQZFWgyOU8IseNuXtTaFy7c5U4WkXOhZLyOdKQh/CmHPu2x6t&#10;8gs3IsXd3k1WhRinjutJnWO5HfhSiJRbZShe6NWILz22h93RSth+U/Vqfj6az2pfmbrOBL2nBynv&#10;7+btM7CAc/iH4aIf1aGMTo07kvZsiHm1TCMq4TFZx+FCCJGtgDUSnhKRAS8Lfv1E+QcAAP//AwBQ&#10;SwECLQAUAAYACAAAACEAtoM4kv4AAADhAQAAEwAAAAAAAAAAAAAAAAAAAAAAW0NvbnRlbnRfVHlw&#10;ZXNdLnhtbFBLAQItABQABgAIAAAAIQA4/SH/1gAAAJQBAAALAAAAAAAAAAAAAAAAAC8BAABfcmVs&#10;cy8ucmVsc1BLAQItABQABgAIAAAAIQBcbuFa8AEAAMMDAAAOAAAAAAAAAAAAAAAAAC4CAABkcnMv&#10;ZTJvRG9jLnhtbFBLAQItABQABgAIAAAAIQDbQXf34AAAAAwBAAAPAAAAAAAAAAAAAAAAAEoEAABk&#10;cnMvZG93bnJldi54bWxQSwUGAAAAAAQABADzAAAAVwUAAAAA&#10;" filled="f" stroked="f">
                <v:textbox inset="0,0,0,0">
                  <w:txbxContent>
                    <w:p w14:paraId="7FD5E8D8" w14:textId="77777777" w:rsidR="00490F33" w:rsidRDefault="00490F33">
                      <w:pPr>
                        <w:spacing w:line="234" w:lineRule="exact"/>
                        <w:jc w:val="both"/>
                        <w:textAlignment w:val="baseline"/>
                        <w:rPr>
                          <w:rFonts w:ascii="Tahoma" w:eastAsia="Tahoma" w:hAnsi="Tahoma"/>
                          <w:color w:val="404042"/>
                          <w:sz w:val="18"/>
                        </w:rPr>
                      </w:pPr>
                      <w:r>
                        <w:rPr>
                          <w:rFonts w:ascii="Tahoma" w:eastAsia="Tahoma" w:hAnsi="Tahoma"/>
                          <w:color w:val="404042"/>
                          <w:sz w:val="18"/>
                        </w:rPr>
                        <w:t>The JEDI project will greatly improve</w:t>
                      </w:r>
                      <w:r>
                        <w:rPr>
                          <w:rFonts w:ascii="Tahoma" w:eastAsia="Tahoma" w:hAnsi="Tahoma"/>
                          <w:color w:val="464140"/>
                          <w:sz w:val="18"/>
                        </w:rPr>
                        <w:t xml:space="preserve"> the information that individuals</w:t>
                      </w:r>
                      <w:r>
                        <w:rPr>
                          <w:rFonts w:ascii="Tahoma" w:eastAsia="Tahoma" w:hAnsi="Tahoma"/>
                          <w:color w:val="404042"/>
                          <w:sz w:val="18"/>
                        </w:rPr>
                        <w:t xml:space="preserve"> have to inform their decisions on career pathways and education</w:t>
                      </w:r>
                      <w:r>
                        <w:rPr>
                          <w:rFonts w:ascii="Tahoma" w:eastAsia="Tahoma" w:hAnsi="Tahoma"/>
                          <w:color w:val="464140"/>
                          <w:sz w:val="18"/>
                        </w:rPr>
                        <w:t xml:space="preserve"> options. The current focus of the</w:t>
                      </w:r>
                      <w:r>
                        <w:rPr>
                          <w:rFonts w:ascii="Tahoma" w:eastAsia="Tahoma" w:hAnsi="Tahoma"/>
                          <w:color w:val="404042"/>
                          <w:sz w:val="18"/>
                        </w:rPr>
                        <w:t xml:space="preserve"> project includes:</w:t>
                      </w:r>
                    </w:p>
                    <w:p w14:paraId="4C52A88B" w14:textId="77777777" w:rsidR="00490F33" w:rsidRDefault="00490F33">
                      <w:pPr>
                        <w:numPr>
                          <w:ilvl w:val="0"/>
                          <w:numId w:val="6"/>
                        </w:numPr>
                        <w:spacing w:before="101" w:line="221" w:lineRule="exact"/>
                        <w:ind w:left="216" w:hanging="216"/>
                        <w:textAlignment w:val="baseline"/>
                        <w:rPr>
                          <w:rFonts w:ascii="Tahoma" w:eastAsia="Tahoma" w:hAnsi="Tahoma"/>
                          <w:color w:val="404042"/>
                          <w:spacing w:val="5"/>
                          <w:sz w:val="18"/>
                        </w:rPr>
                      </w:pPr>
                      <w:r>
                        <w:rPr>
                          <w:rFonts w:ascii="Tahoma" w:eastAsia="Tahoma" w:hAnsi="Tahoma"/>
                          <w:color w:val="404042"/>
                          <w:spacing w:val="5"/>
                          <w:sz w:val="18"/>
                        </w:rPr>
                        <w:t>a data-driven Australian skills classification</w:t>
                      </w:r>
                      <w:r>
                        <w:rPr>
                          <w:rFonts w:ascii="Tahoma" w:eastAsia="Tahoma" w:hAnsi="Tahoma"/>
                          <w:color w:val="464140"/>
                          <w:spacing w:val="5"/>
                          <w:sz w:val="18"/>
                        </w:rPr>
                        <w:t xml:space="preserve"> – a common</w:t>
                      </w:r>
                      <w:r>
                        <w:rPr>
                          <w:rFonts w:ascii="Tahoma" w:eastAsia="Tahoma" w:hAnsi="Tahoma"/>
                          <w:color w:val="404042"/>
                          <w:spacing w:val="5"/>
                          <w:sz w:val="18"/>
                        </w:rPr>
                        <w:t xml:space="preserve"> language for skills in Australia</w:t>
                      </w:r>
                    </w:p>
                    <w:p w14:paraId="1A18C2ED" w14:textId="77777777" w:rsidR="00490F33" w:rsidRDefault="00490F33">
                      <w:pPr>
                        <w:numPr>
                          <w:ilvl w:val="0"/>
                          <w:numId w:val="6"/>
                        </w:numPr>
                        <w:spacing w:before="86" w:line="240" w:lineRule="exact"/>
                        <w:ind w:left="216" w:right="936" w:hanging="216"/>
                        <w:textAlignment w:val="baseline"/>
                        <w:rPr>
                          <w:rFonts w:ascii="Tahoma" w:eastAsia="Tahoma" w:hAnsi="Tahoma"/>
                          <w:color w:val="404042"/>
                          <w:sz w:val="18"/>
                        </w:rPr>
                      </w:pPr>
                      <w:r>
                        <w:rPr>
                          <w:rFonts w:ascii="Tahoma" w:eastAsia="Tahoma" w:hAnsi="Tahoma"/>
                          <w:color w:val="404042"/>
                          <w:sz w:val="18"/>
                        </w:rPr>
                        <w:t>an employer tool to identify the skills employees need now and in the future to support workforce planning</w:t>
                      </w:r>
                    </w:p>
                    <w:p w14:paraId="42FABD30" w14:textId="77777777" w:rsidR="00490F33" w:rsidRDefault="00490F33">
                      <w:pPr>
                        <w:numPr>
                          <w:ilvl w:val="0"/>
                          <w:numId w:val="6"/>
                        </w:numPr>
                        <w:spacing w:before="87" w:line="235" w:lineRule="exact"/>
                        <w:ind w:left="216" w:hanging="216"/>
                        <w:jc w:val="both"/>
                        <w:textAlignment w:val="baseline"/>
                        <w:rPr>
                          <w:rFonts w:ascii="Tahoma" w:eastAsia="Tahoma" w:hAnsi="Tahoma"/>
                          <w:color w:val="404042"/>
                          <w:sz w:val="18"/>
                        </w:rPr>
                      </w:pPr>
                      <w:r>
                        <w:rPr>
                          <w:rFonts w:ascii="Tahoma" w:eastAsia="Tahoma" w:hAnsi="Tahoma"/>
                          <w:color w:val="404042"/>
                          <w:sz w:val="18"/>
                        </w:rPr>
                        <w:t>a tertiary provider tool to provide better information to tertiary providers about how their courses align to labour market need.</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1392" behindDoc="1" locked="0" layoutInCell="1" allowOverlap="1" wp14:anchorId="09EA2284" wp14:editId="763ACF95">
                <wp:simplePos x="0" y="0"/>
                <wp:positionH relativeFrom="page">
                  <wp:posOffset>908050</wp:posOffset>
                </wp:positionH>
                <wp:positionV relativeFrom="page">
                  <wp:posOffset>4648835</wp:posOffset>
                </wp:positionV>
                <wp:extent cx="5633085" cy="249555"/>
                <wp:effectExtent l="0" t="0" r="0" b="0"/>
                <wp:wrapSquare wrapText="bothSides"/>
                <wp:docPr id="3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08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29D59" w14:textId="77777777" w:rsidR="00490F33" w:rsidRDefault="00490F33">
                            <w:pPr>
                              <w:spacing w:before="1" w:line="191" w:lineRule="exact"/>
                              <w:jc w:val="both"/>
                              <w:textAlignment w:val="baseline"/>
                              <w:rPr>
                                <w:rFonts w:ascii="Tahoma" w:eastAsia="Tahoma" w:hAnsi="Tahoma"/>
                                <w:color w:val="000000"/>
                                <w:sz w:val="14"/>
                              </w:rPr>
                            </w:pPr>
                            <w:r>
                              <w:rPr>
                                <w:rFonts w:ascii="Tahoma" w:eastAsia="Tahoma" w:hAnsi="Tahoma"/>
                                <w:color w:val="000000"/>
                                <w:sz w:val="14"/>
                              </w:rPr>
                              <w:t xml:space="preserve">Source: Commonwealth Department of Education, Skills and Employment, ‘Delivering skills for today and tomorrow’, webpage (accessed 1 May 2020), </w:t>
                            </w:r>
                            <w:hyperlink r:id="rId329">
                              <w:r>
                                <w:rPr>
                                  <w:rFonts w:ascii="Tahoma" w:eastAsia="Tahoma" w:hAnsi="Tahoma"/>
                                  <w:color w:val="0000FF"/>
                                  <w:sz w:val="14"/>
                                  <w:u w:val="single"/>
                                </w:rPr>
                                <w:t>https://www.employment.gov.au/delivering-skills-today-and-tomorrow.</w:t>
                              </w:r>
                            </w:hyperlink>
                            <w:r>
                              <w:rPr>
                                <w:rFonts w:ascii="Tahoma" w:eastAsia="Tahoma" w:hAnsi="Tahoma"/>
                                <w:color w:val="000000"/>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A2284" id="Text Box 38" o:spid="_x0000_s1427" type="#_x0000_t202" style="position:absolute;margin-left:71.5pt;margin-top:366.05pt;width:443.55pt;height:19.65pt;z-index:-251545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dz8QEAAMIDAAAOAAAAZHJzL2Uyb0RvYy54bWysU9tu2zAMfR+wfxD0vthJmi4z4hRdiw4D&#10;ugvQ7gMYWY6F2aJGKbGzrx8lJ2m7vg17ESiKOjrnkFpdDV0r9pq8QVvK6SSXQluFlbHbUv54vHu3&#10;lMIHsBW0aHUpD9rLq/XbN6veFXqGDbaVJsEg1he9K2UTgiuyzKtGd+An6LTlwxqpg8Bb2mYVQc/o&#10;XZvN8vwy65EqR6i095y9HQ/lOuHXtVbhW117HURbSuYW0kpp3cQ1W6+g2BK4xqgjDfgHFh0Yy4+e&#10;oW4hgNiReQXVGUXosQ4ThV2GdW2UThpYzTT/S81DA04nLWyOd2eb/P+DVV/330mYqpTz6XspLHTc&#10;pEc9BPERBzFfRoN65wuue3BcGQbOc6OTWO/uUf30wuJNA3arr4mwbzRUTHAab2bPro44PoJs+i9Y&#10;8TuwC5iAhpq66B77IRidG3U4NydyUZxcXM7n+XIhheKz2cWHxWKRnoDidNuRD580diIGpSRufkKH&#10;/b0PkQ0Up5L4mMU707ZpAFr7IsGFMZPYR8Ij9TBshuTURZ7ERW0brA4siHAcLP4IHDRIv6XoeahK&#10;6X/tgLQU7WfLpsQJPAV0CjanAKziq6UMUozhTRgndefIbBtGHm23eM3G1SZpemJxJMyDkqQehzpO&#10;4vN9qnr6eus/AAAA//8DAFBLAwQUAAYACAAAACEAabb/UOEAAAAMAQAADwAAAGRycy9kb3ducmV2&#10;LnhtbEyPwU7DMBBE70j8g7VI3KidpmppGqeqEJyQEGk4cHRiN7Ear0PstuHv2Z7KbWd3NPsm306u&#10;Z2czButRQjITwAw2XltsJXxVb0/PwEJUqFXv0Uj4NQG2xf1drjLtL1ia8z62jEIwZEpCF+OQcR6a&#10;zjgVZn4wSLeDH52KJMeW61FdKNz1fC7EkjtlkT50ajAvnWmO+5OTsPvG8tX+fNSf5aG0VbUW+L48&#10;Svn4MO02wKKZ4s0MV3xCh4KYan9CHVhPepFSlyhhlc4TYFeHSAVNNa1WyQJ4kfP/JYo/AAAA//8D&#10;AFBLAQItABQABgAIAAAAIQC2gziS/gAAAOEBAAATAAAAAAAAAAAAAAAAAAAAAABbQ29udGVudF9U&#10;eXBlc10ueG1sUEsBAi0AFAAGAAgAAAAhADj9If/WAAAAlAEAAAsAAAAAAAAAAAAAAAAALwEAAF9y&#10;ZWxzLy5yZWxzUEsBAi0AFAAGAAgAAAAhABHUF3PxAQAAwgMAAA4AAAAAAAAAAAAAAAAALgIAAGRy&#10;cy9lMm9Eb2MueG1sUEsBAi0AFAAGAAgAAAAhAGm2/1DhAAAADAEAAA8AAAAAAAAAAAAAAAAASwQA&#10;AGRycy9kb3ducmV2LnhtbFBLBQYAAAAABAAEAPMAAABZBQAAAAA=&#10;" filled="f" stroked="f">
                <v:textbox inset="0,0,0,0">
                  <w:txbxContent>
                    <w:p w14:paraId="22129D59" w14:textId="77777777" w:rsidR="00490F33" w:rsidRDefault="00490F33">
                      <w:pPr>
                        <w:spacing w:before="1" w:line="191" w:lineRule="exact"/>
                        <w:jc w:val="both"/>
                        <w:textAlignment w:val="baseline"/>
                        <w:rPr>
                          <w:rFonts w:ascii="Tahoma" w:eastAsia="Tahoma" w:hAnsi="Tahoma"/>
                          <w:color w:val="000000"/>
                          <w:sz w:val="14"/>
                        </w:rPr>
                      </w:pPr>
                      <w:r>
                        <w:rPr>
                          <w:rFonts w:ascii="Tahoma" w:eastAsia="Tahoma" w:hAnsi="Tahoma"/>
                          <w:color w:val="000000"/>
                          <w:sz w:val="14"/>
                        </w:rPr>
                        <w:t xml:space="preserve">Source: Commonwealth Department of Education, Skills and Employment, ‘Delivering skills for today and tomorrow’, webpage (accessed 1 May 2020), </w:t>
                      </w:r>
                      <w:hyperlink r:id="rId330">
                        <w:r>
                          <w:rPr>
                            <w:rFonts w:ascii="Tahoma" w:eastAsia="Tahoma" w:hAnsi="Tahoma"/>
                            <w:color w:val="0000FF"/>
                            <w:sz w:val="14"/>
                            <w:u w:val="single"/>
                          </w:rPr>
                          <w:t>https://www.employment.gov.au/delivering-skills-today-and-tomorrow.</w:t>
                        </w:r>
                      </w:hyperlink>
                      <w:r>
                        <w:rPr>
                          <w:rFonts w:ascii="Tahoma" w:eastAsia="Tahoma" w:hAnsi="Tahoma"/>
                          <w:color w:val="000000"/>
                          <w:sz w:val="14"/>
                        </w:rPr>
                        <w:t xml:space="preserve"> </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2416" behindDoc="1" locked="0" layoutInCell="1" allowOverlap="1" wp14:anchorId="493A78B8" wp14:editId="633612C4">
                <wp:simplePos x="0" y="0"/>
                <wp:positionH relativeFrom="page">
                  <wp:posOffset>0</wp:posOffset>
                </wp:positionH>
                <wp:positionV relativeFrom="page">
                  <wp:posOffset>7139940</wp:posOffset>
                </wp:positionV>
                <wp:extent cx="7562215" cy="1859915"/>
                <wp:effectExtent l="0" t="0" r="0" b="0"/>
                <wp:wrapSquare wrapText="bothSides"/>
                <wp:docPr id="3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859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D2E7" w14:textId="77777777" w:rsidR="00490F33" w:rsidRDefault="00490F33">
                            <w:pPr>
                              <w:spacing w:line="236" w:lineRule="exact"/>
                              <w:ind w:left="864" w:right="1152"/>
                              <w:textAlignment w:val="baseline"/>
                              <w:rPr>
                                <w:rFonts w:ascii="Tahoma" w:eastAsia="Tahoma" w:hAnsi="Tahoma"/>
                                <w:color w:val="404042"/>
                                <w:sz w:val="18"/>
                              </w:rPr>
                            </w:pPr>
                            <w:r>
                              <w:rPr>
                                <w:rFonts w:ascii="Tahoma" w:eastAsia="Tahoma" w:hAnsi="Tahoma"/>
                                <w:color w:val="404042"/>
                                <w:sz w:val="18"/>
                              </w:rPr>
                              <w:t>Another major project, Pathways of the Future, is underway in New South Wales. One of its major goals is to present integrated data in a form that can support students, teachers and careers advisers. Other jurisdictions have similar plans afoot.</w:t>
                            </w:r>
                          </w:p>
                          <w:p w14:paraId="54AED098" w14:textId="77777777" w:rsidR="00490F33" w:rsidRDefault="00490F33">
                            <w:pPr>
                              <w:spacing w:before="168" w:after="1089" w:line="240" w:lineRule="exact"/>
                              <w:ind w:left="864" w:right="1368"/>
                              <w:textAlignment w:val="baseline"/>
                              <w:rPr>
                                <w:rFonts w:ascii="Tahoma" w:eastAsia="Tahoma" w:hAnsi="Tahoma"/>
                                <w:color w:val="404042"/>
                                <w:sz w:val="18"/>
                              </w:rPr>
                            </w:pPr>
                            <w:r>
                              <w:rPr>
                                <w:rFonts w:ascii="Tahoma" w:eastAsia="Tahoma" w:hAnsi="Tahoma"/>
                                <w:color w:val="404042"/>
                                <w:sz w:val="18"/>
                              </w:rPr>
                              <w:t>The Panel considers that these sorts of projects should be further encouraged, and efforts should be accelerated to overcome the barriers to such projects, including legislative frameworks and data availability. Understandably, concerns around the use of personal information</w:t>
                            </w:r>
                            <w:r>
                              <w:rPr>
                                <w:rFonts w:ascii="Tahoma" w:eastAsia="Tahoma" w:hAnsi="Tahoma"/>
                                <w:color w:val="404042"/>
                                <w:sz w:val="18"/>
                                <w:vertAlign w:val="superscript"/>
                              </w:rPr>
                              <w:t>218</w:t>
                            </w:r>
                            <w:r>
                              <w:rPr>
                                <w:rFonts w:ascii="Tahoma" w:eastAsia="Tahoma" w:hAnsi="Tahoma"/>
                                <w:color w:val="404042"/>
                                <w:sz w:val="18"/>
                              </w:rPr>
                              <w:t xml:space="preserve"> need to be alleviated by ensuring that individual privacy is paramount and that personal information on students and providers remains 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78B8" id="Text Box 37" o:spid="_x0000_s1428" type="#_x0000_t202" style="position:absolute;margin-left:0;margin-top:562.2pt;width:595.45pt;height:146.45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lu8QEAAMMDAAAOAAAAZHJzL2Uyb0RvYy54bWysU9tu2zAMfR+wfxD0vjhOl7Q14hRdiw4D&#10;ugvQ7gMYWY6F2aJGKbGzrx8lx1m3vQ17ESiKPDw8pNY3Q9eKgyZv0JYyn82l0FZhZeyulF+fH95c&#10;SeED2ApatLqUR+3lzeb1q3XvCr3ABttKk2AQ64velbIJwRVZ5lWjO/AzdNryY43UQeAr7bKKoGf0&#10;rs0W8/kq65EqR6i09+y9Hx/lJuHXtVbhc117HURbSuYW0knp3MYz26yh2BG4xqgTDfgHFh0Yy0XP&#10;UPcQQOzJ/AXVGUXosQ4zhV2GdW2UTj1wN/n8j26eGnA69cLieHeWyf8/WPXp8IWEqUp5ka+ksNDx&#10;kJ71EMQ7HMTFZRSod77guCfHkWFgPw86NevdI6pvXli8a8Du9C0R9o2GignmMTN7kTri+Aiy7T9i&#10;xXVgHzABDTV1UT3WQzA6D+p4Hk7koth5uVwtFvlSCsVv+dXy+povsQYUU7ojH95r7EQ0Skk8/QQP&#10;h0cfxtApJFaz+GDalv1QtPY3B2NGT6IfGY/cw7AdklRv54tJly1WR+6IcNws/glsNEg/pOh5q0rp&#10;v++BtBTtB8uqxBWcDJqM7WSAVZxayiDFaN6FcVX3jsyuYeRRd4u3rFxtUk9R4pHFiTBvSlLltNVx&#10;FV/eU9Svv7f5CQAA//8DAFBLAwQUAAYACAAAACEAlCcIm+AAAAALAQAADwAAAGRycy9kb3ducmV2&#10;LnhtbEyPwU7DMBBE70j8g7VI3KidEhUS4lQVghMSahoOHJ3YTazG6xC7bfh7tqdy290Zzb4p1rMb&#10;2MlMwXqUkCwEMIOt1xY7CV/1+8MzsBAVajV4NBJ+TYB1eXtTqFz7M1bmtIsdoxAMuZLQxzjmnIe2&#10;N06FhR8Nkrb3k1OR1qnjelJnCncDXwqx4k5ZpA+9Gs1rb9rD7ugkbL6xerM/n8222le2rjOBH6uD&#10;lPd38+YFWDRzvJrhgk/oUBJT44+oAxskUJFI12SZpsAuepKJDFhDU5o8PQIvC/6/Q/kHAAD//wMA&#10;UEsBAi0AFAAGAAgAAAAhALaDOJL+AAAA4QEAABMAAAAAAAAAAAAAAAAAAAAAAFtDb250ZW50X1R5&#10;cGVzXS54bWxQSwECLQAUAAYACAAAACEAOP0h/9YAAACUAQAACwAAAAAAAAAAAAAAAAAvAQAAX3Jl&#10;bHMvLnJlbHNQSwECLQAUAAYACAAAACEAJbyZbvEBAADDAwAADgAAAAAAAAAAAAAAAAAuAgAAZHJz&#10;L2Uyb0RvYy54bWxQSwECLQAUAAYACAAAACEAlCcIm+AAAAALAQAADwAAAAAAAAAAAAAAAABLBAAA&#10;ZHJzL2Rvd25yZXYueG1sUEsFBgAAAAAEAAQA8wAAAFgFAAAAAA==&#10;" filled="f" stroked="f">
                <v:textbox inset="0,0,0,0">
                  <w:txbxContent>
                    <w:p w14:paraId="73B3D2E7" w14:textId="77777777" w:rsidR="00490F33" w:rsidRDefault="00490F33">
                      <w:pPr>
                        <w:spacing w:line="236" w:lineRule="exact"/>
                        <w:ind w:left="864" w:right="1152"/>
                        <w:textAlignment w:val="baseline"/>
                        <w:rPr>
                          <w:rFonts w:ascii="Tahoma" w:eastAsia="Tahoma" w:hAnsi="Tahoma"/>
                          <w:color w:val="404042"/>
                          <w:sz w:val="18"/>
                        </w:rPr>
                      </w:pPr>
                      <w:r>
                        <w:rPr>
                          <w:rFonts w:ascii="Tahoma" w:eastAsia="Tahoma" w:hAnsi="Tahoma"/>
                          <w:color w:val="404042"/>
                          <w:sz w:val="18"/>
                        </w:rPr>
                        <w:t>Another major project, Pathways of the Future, is underway in New South Wales. One of its major goals is to present integrated data in a form that can support students, teachers and careers advisers. Other jurisdictions have similar plans afoot.</w:t>
                      </w:r>
                    </w:p>
                    <w:p w14:paraId="54AED098" w14:textId="77777777" w:rsidR="00490F33" w:rsidRDefault="00490F33">
                      <w:pPr>
                        <w:spacing w:before="168" w:after="1089" w:line="240" w:lineRule="exact"/>
                        <w:ind w:left="864" w:right="1368"/>
                        <w:textAlignment w:val="baseline"/>
                        <w:rPr>
                          <w:rFonts w:ascii="Tahoma" w:eastAsia="Tahoma" w:hAnsi="Tahoma"/>
                          <w:color w:val="404042"/>
                          <w:sz w:val="18"/>
                        </w:rPr>
                      </w:pPr>
                      <w:r>
                        <w:rPr>
                          <w:rFonts w:ascii="Tahoma" w:eastAsia="Tahoma" w:hAnsi="Tahoma"/>
                          <w:color w:val="404042"/>
                          <w:sz w:val="18"/>
                        </w:rPr>
                        <w:t>The Panel considers that these sorts of projects should be further encouraged, and efforts should be accelerated to overcome the barriers to such projects, including legislative frameworks and data availability. Understandably, concerns around the use of personal information</w:t>
                      </w:r>
                      <w:r>
                        <w:rPr>
                          <w:rFonts w:ascii="Tahoma" w:eastAsia="Tahoma" w:hAnsi="Tahoma"/>
                          <w:color w:val="404042"/>
                          <w:sz w:val="18"/>
                          <w:vertAlign w:val="superscript"/>
                        </w:rPr>
                        <w:t>218</w:t>
                      </w:r>
                      <w:r>
                        <w:rPr>
                          <w:rFonts w:ascii="Tahoma" w:eastAsia="Tahoma" w:hAnsi="Tahoma"/>
                          <w:color w:val="404042"/>
                          <w:sz w:val="18"/>
                        </w:rPr>
                        <w:t xml:space="preserve"> need to be alleviated by ensuring that individual privacy is paramount and that personal information on students and providers remains confidential.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3440" behindDoc="1" locked="0" layoutInCell="1" allowOverlap="1" wp14:anchorId="2C7AE6EF" wp14:editId="01FA30BA">
                <wp:simplePos x="0" y="0"/>
                <wp:positionH relativeFrom="page">
                  <wp:posOffset>0</wp:posOffset>
                </wp:positionH>
                <wp:positionV relativeFrom="page">
                  <wp:posOffset>8999855</wp:posOffset>
                </wp:positionV>
                <wp:extent cx="7562215" cy="1229360"/>
                <wp:effectExtent l="0" t="0" r="0" b="0"/>
                <wp:wrapSquare wrapText="bothSides"/>
                <wp:docPr id="3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229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DAE6A" w14:textId="77777777" w:rsidR="00490F33" w:rsidRDefault="00490F33">
                            <w:pPr>
                              <w:spacing w:before="56" w:line="196" w:lineRule="exact"/>
                              <w:ind w:left="1080" w:right="1008" w:hanging="288"/>
                              <w:textAlignment w:val="baseline"/>
                              <w:rPr>
                                <w:rFonts w:ascii="Tahoma" w:eastAsia="Tahoma" w:hAnsi="Tahoma"/>
                                <w:color w:val="404042"/>
                                <w:sz w:val="14"/>
                              </w:rPr>
                            </w:pPr>
                            <w:r>
                              <w:rPr>
                                <w:rFonts w:ascii="Tahoma" w:eastAsia="Tahoma" w:hAnsi="Tahoma"/>
                                <w:color w:val="404042"/>
                                <w:sz w:val="14"/>
                              </w:rPr>
                              <w:t xml:space="preserve">218 Productivity Commission (2016), </w:t>
                            </w:r>
                            <w:r>
                              <w:rPr>
                                <w:rFonts w:ascii="Arial" w:eastAsia="Arial" w:hAnsi="Arial"/>
                                <w:i/>
                                <w:color w:val="404042"/>
                                <w:sz w:val="14"/>
                              </w:rPr>
                              <w:t>National Education Evidence Base</w:t>
                            </w:r>
                            <w:r>
                              <w:rPr>
                                <w:rFonts w:ascii="Tahoma" w:eastAsia="Tahoma" w:hAnsi="Tahoma"/>
                                <w:color w:val="404042"/>
                                <w:sz w:val="14"/>
                              </w:rPr>
                              <w:t xml:space="preserve">, Productivity Commission Inquiry Report No. 80, 9 December 2016, p. 9, </w:t>
                            </w:r>
                            <w:hyperlink r:id="rId331">
                              <w:r>
                                <w:rPr>
                                  <w:rFonts w:ascii="Tahoma" w:eastAsia="Tahoma" w:hAnsi="Tahoma"/>
                                  <w:color w:val="0000FF"/>
                                  <w:sz w:val="14"/>
                                  <w:u w:val="single"/>
                                </w:rPr>
                                <w:t>https:// www.pc.gov.au/inquiries/completed/education-evidence/report/education-evidence.pdf</w:t>
                              </w:r>
                            </w:hyperlink>
                            <w:r>
                              <w:rPr>
                                <w:rFonts w:ascii="Tahoma" w:eastAsia="Tahoma" w:hAnsi="Tahoma"/>
                                <w:color w:val="404042"/>
                                <w:sz w:val="14"/>
                              </w:rPr>
                              <w:t>.</w:t>
                            </w:r>
                          </w:p>
                          <w:p w14:paraId="4B29066D" w14:textId="77777777" w:rsidR="00490F33" w:rsidRDefault="00490F33">
                            <w:pPr>
                              <w:tabs>
                                <w:tab w:val="left" w:pos="1368"/>
                              </w:tabs>
                              <w:spacing w:before="646" w:after="636" w:line="196" w:lineRule="exact"/>
                              <w:ind w:left="792"/>
                              <w:textAlignment w:val="baseline"/>
                              <w:rPr>
                                <w:rFonts w:ascii="Arial" w:eastAsia="Arial" w:hAnsi="Arial"/>
                                <w:b/>
                                <w:color w:val="5556A1"/>
                                <w:spacing w:val="1"/>
                                <w:sz w:val="18"/>
                              </w:rPr>
                            </w:pPr>
                            <w:r>
                              <w:rPr>
                                <w:rFonts w:ascii="Arial" w:eastAsia="Arial" w:hAnsi="Arial"/>
                                <w:b/>
                                <w:color w:val="5556A1"/>
                                <w:spacing w:val="1"/>
                                <w:sz w:val="18"/>
                              </w:rPr>
                              <w:t>146</w:t>
                            </w:r>
                            <w:r>
                              <w:rPr>
                                <w:rFonts w:ascii="Tahoma" w:eastAsia="Tahoma" w:hAnsi="Tahoma"/>
                                <w:color w:val="404042"/>
                                <w:spacing w:val="1"/>
                                <w:sz w:val="14"/>
                              </w:rPr>
                              <w:tab/>
                              <w:t>Looking to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AE6EF" id="Text Box 36" o:spid="_x0000_s1429" type="#_x0000_t202" style="position:absolute;margin-left:0;margin-top:708.65pt;width:595.45pt;height:96.8pt;z-index:-251543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lK8QEAAMMDAAAOAAAAZHJzL2Uyb0RvYy54bWysU1Fv0zAQfkfiP1h+p2lTVljUdBqbhpDG&#10;QNr4AVfHaSwSnzm7Tcqv5+w0ZYM3xIt1Pp8/f/fd5/XV0LXioMkbtKVczOZSaKuwMnZXym9Pd2/e&#10;S+ED2ApatLqUR+3l1eb1q3XvCp1jg22lSTCI9UXvStmE4Ios86rRHfgZOm35sEbqIPCWdllF0DN6&#10;12b5fL7KeqTKESrtPWdvx0O5Sfh1rVX4UtdeB9GWkrmFtFJat3HNNmsodgSuMepEA/6BRQfG8qNn&#10;qFsIIPZk/oLqjCL0WIeZwi7DujZKpx64m8X8j24eG3A69cLieHeWyf8/WPVw+ErCVKVcLi6ksNDx&#10;kJ70EMQHHMRyFQXqnS+47tFxZRg4z4NOzXp3j+q7FxZvGrA7fU2EfaOhYoKLeDN7dnXE8RFk23/G&#10;it+BfcAENNTURfVYD8HoPKjjeTiRi+Lku4tVnkeOis8WeX65XKXxZVBM1x358FFjJ2JQSuLpJ3g4&#10;3PsQ6UAxlcTXLN6Ztk0OaO2LBBfGTKIfGY/cw7AdklRv58tJly1WR+6IcHQW/wQOGqSfUvTsqlL6&#10;H3sgLUX7ybIq0YJTQFOwnQKwiq+WMkgxhjdhtOrekdk1jDzqbvGalatN6ilKPLI4EWanpFZPro5W&#10;fL5PVb//3uYXAAAA//8DAFBLAwQUAAYACAAAACEAUv1+mt8AAAALAQAADwAAAGRycy9kb3ducmV2&#10;LnhtbEyPQU/DMAyF70j8h8hI3FhSQIWWptOE4ISE6MqBY9p4bbXGKU22lX+Pd4Lbs5/1/L1ivbhR&#10;HHEOgycNyUqBQGq9HajT8Fm/3jyCCNGQNaMn1PCDAdbl5UVhcutPVOFxGzvBIRRyo6GPccqlDG2P&#10;zoSVn5DY2/nZmcjj3Ek7mxOHu1HeKpVKZwbiD72Z8LnHdr89OA2bL6pehu/35qPaVUNdZ4re0r3W&#10;11fL5glExCX+HcMZn9GhZKbGH8gGMWrgIpG398nDHYizn2QqA9GwShNWsizk/w7lLwAAAP//AwBQ&#10;SwECLQAUAAYACAAAACEAtoM4kv4AAADhAQAAEwAAAAAAAAAAAAAAAAAAAAAAW0NvbnRlbnRfVHlw&#10;ZXNdLnhtbFBLAQItABQABgAIAAAAIQA4/SH/1gAAAJQBAAALAAAAAAAAAAAAAAAAAC8BAABfcmVs&#10;cy8ucmVsc1BLAQItABQABgAIAAAAIQDU1glK8QEAAMMDAAAOAAAAAAAAAAAAAAAAAC4CAABkcnMv&#10;ZTJvRG9jLnhtbFBLAQItABQABgAIAAAAIQBS/X6a3wAAAAsBAAAPAAAAAAAAAAAAAAAAAEsEAABk&#10;cnMvZG93bnJldi54bWxQSwUGAAAAAAQABADzAAAAVwUAAAAA&#10;" filled="f" stroked="f">
                <v:textbox inset="0,0,0,0">
                  <w:txbxContent>
                    <w:p w14:paraId="7C4DAE6A" w14:textId="77777777" w:rsidR="00490F33" w:rsidRDefault="00490F33">
                      <w:pPr>
                        <w:spacing w:before="56" w:line="196" w:lineRule="exact"/>
                        <w:ind w:left="1080" w:right="1008" w:hanging="288"/>
                        <w:textAlignment w:val="baseline"/>
                        <w:rPr>
                          <w:rFonts w:ascii="Tahoma" w:eastAsia="Tahoma" w:hAnsi="Tahoma"/>
                          <w:color w:val="404042"/>
                          <w:sz w:val="14"/>
                        </w:rPr>
                      </w:pPr>
                      <w:r>
                        <w:rPr>
                          <w:rFonts w:ascii="Tahoma" w:eastAsia="Tahoma" w:hAnsi="Tahoma"/>
                          <w:color w:val="404042"/>
                          <w:sz w:val="14"/>
                        </w:rPr>
                        <w:t xml:space="preserve">218 Productivity Commission (2016), </w:t>
                      </w:r>
                      <w:r>
                        <w:rPr>
                          <w:rFonts w:ascii="Arial" w:eastAsia="Arial" w:hAnsi="Arial"/>
                          <w:i/>
                          <w:color w:val="404042"/>
                          <w:sz w:val="14"/>
                        </w:rPr>
                        <w:t>National Education Evidence Base</w:t>
                      </w:r>
                      <w:r>
                        <w:rPr>
                          <w:rFonts w:ascii="Tahoma" w:eastAsia="Tahoma" w:hAnsi="Tahoma"/>
                          <w:color w:val="404042"/>
                          <w:sz w:val="14"/>
                        </w:rPr>
                        <w:t xml:space="preserve">, Productivity Commission Inquiry Report No. 80, 9 December 2016, p. 9, </w:t>
                      </w:r>
                      <w:hyperlink r:id="rId332">
                        <w:r>
                          <w:rPr>
                            <w:rFonts w:ascii="Tahoma" w:eastAsia="Tahoma" w:hAnsi="Tahoma"/>
                            <w:color w:val="0000FF"/>
                            <w:sz w:val="14"/>
                            <w:u w:val="single"/>
                          </w:rPr>
                          <w:t>https:// www.pc.gov.au/inquiries/completed/education-evidence/report/education-evidence.pdf</w:t>
                        </w:r>
                      </w:hyperlink>
                      <w:r>
                        <w:rPr>
                          <w:rFonts w:ascii="Tahoma" w:eastAsia="Tahoma" w:hAnsi="Tahoma"/>
                          <w:color w:val="404042"/>
                          <w:sz w:val="14"/>
                        </w:rPr>
                        <w:t>.</w:t>
                      </w:r>
                    </w:p>
                    <w:p w14:paraId="4B29066D" w14:textId="77777777" w:rsidR="00490F33" w:rsidRDefault="00490F33">
                      <w:pPr>
                        <w:tabs>
                          <w:tab w:val="left" w:pos="1368"/>
                        </w:tabs>
                        <w:spacing w:before="646" w:after="636" w:line="196" w:lineRule="exact"/>
                        <w:ind w:left="792"/>
                        <w:textAlignment w:val="baseline"/>
                        <w:rPr>
                          <w:rFonts w:ascii="Arial" w:eastAsia="Arial" w:hAnsi="Arial"/>
                          <w:b/>
                          <w:color w:val="5556A1"/>
                          <w:spacing w:val="1"/>
                          <w:sz w:val="18"/>
                        </w:rPr>
                      </w:pPr>
                      <w:r>
                        <w:rPr>
                          <w:rFonts w:ascii="Arial" w:eastAsia="Arial" w:hAnsi="Arial"/>
                          <w:b/>
                          <w:color w:val="5556A1"/>
                          <w:spacing w:val="1"/>
                          <w:sz w:val="18"/>
                        </w:rPr>
                        <w:t>146</w:t>
                      </w:r>
                      <w:r>
                        <w:rPr>
                          <w:rFonts w:ascii="Tahoma" w:eastAsia="Tahoma" w:hAnsi="Tahoma"/>
                          <w:color w:val="404042"/>
                          <w:spacing w:val="1"/>
                          <w:sz w:val="14"/>
                        </w:rPr>
                        <w:tab/>
                        <w:t>Looking to the future</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4464" behindDoc="1" locked="0" layoutInCell="1" allowOverlap="1" wp14:anchorId="762BF123" wp14:editId="0ECEB3F2">
                <wp:simplePos x="0" y="0"/>
                <wp:positionH relativeFrom="page">
                  <wp:posOffset>0</wp:posOffset>
                </wp:positionH>
                <wp:positionV relativeFrom="page">
                  <wp:posOffset>10229215</wp:posOffset>
                </wp:positionV>
                <wp:extent cx="7562215" cy="462915"/>
                <wp:effectExtent l="0" t="0" r="0" b="0"/>
                <wp:wrapSquare wrapText="bothSides"/>
                <wp:docPr id="3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74453" w14:textId="77777777" w:rsidR="00490F33" w:rsidRDefault="00490F33">
                            <w:pPr>
                              <w:textAlignment w:val="baseline"/>
                            </w:pPr>
                            <w:r>
                              <w:rPr>
                                <w:noProof/>
                                <w:lang w:val="en-AU" w:eastAsia="en-AU"/>
                              </w:rPr>
                              <w:drawing>
                                <wp:inline distT="0" distB="0" distL="0" distR="0" wp14:anchorId="79AC8D76" wp14:editId="6BBBDDE0">
                                  <wp:extent cx="7562215" cy="462915"/>
                                  <wp:effectExtent l="0" t="0" r="0" b="0"/>
                                  <wp:docPr id="245" name="Picture"/>
                                  <wp:cNvGraphicFramePr/>
                                  <a:graphic xmlns:a="http://schemas.openxmlformats.org/drawingml/2006/main">
                                    <a:graphicData uri="http://schemas.openxmlformats.org/drawingml/2006/picture">
                                      <pic:pic xmlns:pic="http://schemas.openxmlformats.org/drawingml/2006/picture">
                                        <pic:nvPicPr>
                                          <pic:cNvPr id="245" name="Picture"/>
                                          <pic:cNvPicPr preferRelativeResize="0"/>
                                        </pic:nvPicPr>
                                        <pic:blipFill>
                                          <a:blip r:embed="rId333"/>
                                          <a:stretch>
                                            <a:fillRect/>
                                          </a:stretch>
                                        </pic:blipFill>
                                        <pic:spPr>
                                          <a:xfrm>
                                            <a:off x="0" y="0"/>
                                            <a:ext cx="7562215" cy="4629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BF123" id="Text Box 35" o:spid="_x0000_s1430" type="#_x0000_t202" style="position:absolute;margin-left:0;margin-top:805.45pt;width:595.45pt;height:36.45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W6G8AEAAMIDAAAOAAAAZHJzL2Uyb0RvYy54bWysU9tu2zAMfR+wfxD0vthJk2wz4hRdiw4D&#10;ugvQ7gMYWY6F2aJGKbGzrx8lx1m3vQ17ESiKPDw8pDbXQ9eKoyZv0JZyPsul0FZhZey+lF+f7l+9&#10;kcIHsBW0aHUpT9rL6+3LF5veFXqBDbaVJsEg1he9K2UTgiuyzKtGd+Bn6LTlxxqpg8BX2mcVQc/o&#10;XZst8nyd9UiVI1Tae/bejY9ym/DrWqvwua69DqItJXML6aR07uKZbTdQ7AlcY9SZBvwDiw6M5aIX&#10;qDsIIA5k/oLqjCL0WIeZwi7DujZKpx64m3n+RzePDTidemFxvLvI5P8frPp0/ELCVKW8mi+lsNDx&#10;kJ70EMQ7HMTVKgrUO19w3KPjyDCwnwedmvXuAdU3LyzeNmD3+oYI+0ZDxQTnMTN7ljri+Aiy6z9i&#10;xXXgEDABDTV1UT3WQzA6D+p0GU7kotj5erVeLOYrKRS/LdeLt2zHElBM2Y58eK+xE9EoJfHwEzoc&#10;H3wYQ6eQWMzivWlb9kPR2t8cjBk9iX0kPFIPw25ISi3z5STLDqsTN0Q4LhZ/BDYapB9S9LxUpfTf&#10;D0BaivaDZVHiBk4GTcZuMsAqTi1lkGI0b8O4qQdHZt8w8ii7xRsWrjapp6jwyOJMmBclqXJe6riJ&#10;z+8p6tfX2/4EAAD//wMAUEsDBBQABgAIAAAAIQA7Buu/3gAAAAsBAAAPAAAAZHJzL2Rvd25yZXYu&#10;eG1sTI9BT4QwEIXvJv6HZky8uS2aEEDKZmP0ZGJk2YPHQmehWTpF2t3Ff2856W3mvcmb75XbxY7s&#10;grM3jiQkGwEMqXPaUC/h0Lw9ZMB8UKTV6Agl/KCHbXV7U6pCuyvVeNmHnsUQ8oWSMIQwFZz7bkCr&#10;/MZNSNE7utmqENe553pW1xhuR/4oRMqtMhQ/DGrClwG70/5sJey+qH413x/tZ32sTdPkgt7Tk5T3&#10;d8vuGVjAJfwdw4of0aGKTK07k/ZslBCLhKimiciBrX6Sr1O7atlTBrwq+f8O1S8AAAD//wMAUEsB&#10;Ai0AFAAGAAgAAAAhALaDOJL+AAAA4QEAABMAAAAAAAAAAAAAAAAAAAAAAFtDb250ZW50X1R5cGVz&#10;XS54bWxQSwECLQAUAAYACAAAACEAOP0h/9YAAACUAQAACwAAAAAAAAAAAAAAAAAvAQAAX3JlbHMv&#10;LnJlbHNQSwECLQAUAAYACAAAACEAVt1uhvABAADCAwAADgAAAAAAAAAAAAAAAAAuAgAAZHJzL2Uy&#10;b0RvYy54bWxQSwECLQAUAAYACAAAACEAOwbrv94AAAALAQAADwAAAAAAAAAAAAAAAABKBAAAZHJz&#10;L2Rvd25yZXYueG1sUEsFBgAAAAAEAAQA8wAAAFUFAAAAAA==&#10;" filled="f" stroked="f">
                <v:textbox inset="0,0,0,0">
                  <w:txbxContent>
                    <w:p w14:paraId="13074453" w14:textId="77777777" w:rsidR="00490F33" w:rsidRDefault="00490F33">
                      <w:pPr>
                        <w:textAlignment w:val="baseline"/>
                      </w:pPr>
                      <w:r>
                        <w:rPr>
                          <w:noProof/>
                          <w:lang w:val="en-AU" w:eastAsia="en-AU"/>
                        </w:rPr>
                        <w:drawing>
                          <wp:inline distT="0" distB="0" distL="0" distR="0" wp14:anchorId="79AC8D76" wp14:editId="6BBBDDE0">
                            <wp:extent cx="7562215" cy="462915"/>
                            <wp:effectExtent l="0" t="0" r="0" b="0"/>
                            <wp:docPr id="245" name="Picture"/>
                            <wp:cNvGraphicFramePr/>
                            <a:graphic xmlns:a="http://schemas.openxmlformats.org/drawingml/2006/main">
                              <a:graphicData uri="http://schemas.openxmlformats.org/drawingml/2006/picture">
                                <pic:pic xmlns:pic="http://schemas.openxmlformats.org/drawingml/2006/picture">
                                  <pic:nvPicPr>
                                    <pic:cNvPr id="245" name="Picture"/>
                                    <pic:cNvPicPr preferRelativeResize="0"/>
                                  </pic:nvPicPr>
                                  <pic:blipFill>
                                    <a:blip r:embed="rId333"/>
                                    <a:stretch>
                                      <a:fillRect/>
                                    </a:stretch>
                                  </pic:blipFill>
                                  <pic:spPr>
                                    <a:xfrm>
                                      <a:off x="0" y="0"/>
                                      <a:ext cx="7562215" cy="462915"/>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2008960" behindDoc="0" locked="0" layoutInCell="1" allowOverlap="1" wp14:anchorId="2ADA086F" wp14:editId="098242AD">
                <wp:simplePos x="0" y="0"/>
                <wp:positionH relativeFrom="page">
                  <wp:posOffset>539750</wp:posOffset>
                </wp:positionH>
                <wp:positionV relativeFrom="page">
                  <wp:posOffset>9006840</wp:posOffset>
                </wp:positionV>
                <wp:extent cx="917575" cy="0"/>
                <wp:effectExtent l="0" t="0" r="0" b="0"/>
                <wp:wrapNone/>
                <wp:docPr id="31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EC9C5" id="Line 34" o:spid="_x0000_s1026" style="position:absolute;z-index:2520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09.2pt" to="114.75pt,7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mBzgEAAIUDAAAOAAAAZHJzL2Uyb0RvYy54bWysU01v2zAMvQ/YfxB0X2wnS7sacXpI1l2y&#10;LUDbH8BIsi1MFgVJiZN/P0r5WLfdhvkgiCL5+PhILx6Pg2EH5YNG2/BqUnKmrECpbdfw15enD584&#10;CxGsBINWNfykAn9cvn+3GF2tptijkcozArGhHl3D+xhdXRRB9GqAMEGnLDlb9ANEMn1XSA8joQ+m&#10;mJblXTGil86jUCHQ6/rs5MuM37ZKxO9tG1RkpuHELebT53OXzmK5gLrz4HotLjTgH1gMoC0VvUGt&#10;IQLbe/0X1KCFx4BtnAgcCmxbLVTugbqpyj+6ee7BqdwLiRPcTabw/2DFt8PWMy0bPqtmnFkYaEgb&#10;bRWbfUzijC7UFLOyW5/aE0f77DYofgRmcdWD7VQm+XJylFeljOK3lGQERyV241eUFAP7iFmpY+uH&#10;BEkasGMeyOk2EHWMTNDjQ3U/v59zJq6uAuprnvMhflE4sHRpuCHOGRcOmxATD6ivIamMxSdtTB63&#10;sWwkstPybp4zAhotkzfFBd/tVsazA6SNyV/uijxvwxL0GkJ/jsuu8y553FuZy/QK5OfLPYI25zvR&#10;MvaiUhLmLPEO5Wnrr+rRrDP/y16mZXpr5+xff8/yJwAAAP//AwBQSwMEFAAGAAgAAAAhAAOFb5ff&#10;AAAADAEAAA8AAABkcnMvZG93bnJldi54bWxMj8FOwzAQRO9I/IO1lbgg6jRKKxPiVKgS3EDQgujR&#10;jbdJRLyOYrcJf89yQHDc2dHMm2I9uU6ccQitJw2LeQICqfK2pVrD2+7hRoEI0ZA1nSfU8IUB1uXl&#10;RWFy60d6xfM21oJDKORGQxNjn0sZqgadCXPfI/Hv6AdnIp9DLe1gRg53nUyTZCWdaYkbGtPjpsHq&#10;c3tyGqRMVDa9f4xP2XVQ7X5T7x+fX7S+mk33dyAiTvHPDD/4jA4lMx38iWwQnQa15CmR9WyhMhDs&#10;SNPbJYjDryTLQv4fUX4DAAD//wMAUEsBAi0AFAAGAAgAAAAhALaDOJL+AAAA4QEAABMAAAAAAAAA&#10;AAAAAAAAAAAAAFtDb250ZW50X1R5cGVzXS54bWxQSwECLQAUAAYACAAAACEAOP0h/9YAAACUAQAA&#10;CwAAAAAAAAAAAAAAAAAvAQAAX3JlbHMvLnJlbHNQSwECLQAUAAYACAAAACEAGVG5gc4BAACFAwAA&#10;DgAAAAAAAAAAAAAAAAAuAgAAZHJzL2Uyb0RvYy54bWxQSwECLQAUAAYACAAAACEAA4Vvl98AAAAM&#10;AQAADwAAAAAAAAAAAAAAAAAoBAAAZHJzL2Rvd25yZXYueG1sUEsFBgAAAAAEAAQA8wAAADQFAAAA&#10;AA==&#10;" strokeweight=".95pt">
                <w10:wrap anchorx="page" anchory="page"/>
              </v:line>
            </w:pict>
          </mc:Fallback>
        </mc:AlternateContent>
      </w:r>
    </w:p>
    <w:p w14:paraId="27F0E9AA" w14:textId="77777777" w:rsidR="009757A9" w:rsidRDefault="009757A9">
      <w:pPr>
        <w:sectPr w:rsidR="009757A9">
          <w:pgSz w:w="11909" w:h="16838"/>
          <w:pgMar w:top="832" w:right="0" w:bottom="0" w:left="0" w:header="720" w:footer="720" w:gutter="0"/>
          <w:cols w:space="720"/>
        </w:sectPr>
      </w:pPr>
    </w:p>
    <w:p w14:paraId="6040F8E5"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0" distR="0" simplePos="0" relativeHeight="251775488" behindDoc="1" locked="0" layoutInCell="1" allowOverlap="1" wp14:anchorId="65448ABD" wp14:editId="118B4EBA">
                <wp:simplePos x="0" y="0"/>
                <wp:positionH relativeFrom="page">
                  <wp:posOffset>0</wp:posOffset>
                </wp:positionH>
                <wp:positionV relativeFrom="page">
                  <wp:posOffset>0</wp:posOffset>
                </wp:positionV>
                <wp:extent cx="7562215" cy="10692130"/>
                <wp:effectExtent l="0" t="0" r="0" b="0"/>
                <wp:wrapSquare wrapText="bothSides"/>
                <wp:docPr id="3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77F32" w14:textId="77777777" w:rsidR="00490F33" w:rsidRDefault="00490F33">
                            <w:pPr>
                              <w:textAlignment w:val="baseline"/>
                            </w:pPr>
                            <w:r>
                              <w:rPr>
                                <w:noProof/>
                                <w:lang w:val="en-AU" w:eastAsia="en-AU"/>
                              </w:rPr>
                              <w:drawing>
                                <wp:inline distT="0" distB="0" distL="0" distR="0" wp14:anchorId="213BDDE0" wp14:editId="10BBABD3">
                                  <wp:extent cx="7562215" cy="10692130"/>
                                  <wp:effectExtent l="0" t="0" r="0" b="0"/>
                                  <wp:docPr id="246" name="Picture"/>
                                  <wp:cNvGraphicFramePr/>
                                  <a:graphic xmlns:a="http://schemas.openxmlformats.org/drawingml/2006/main">
                                    <a:graphicData uri="http://schemas.openxmlformats.org/drawingml/2006/picture">
                                      <pic:pic xmlns:pic="http://schemas.openxmlformats.org/drawingml/2006/picture">
                                        <pic:nvPicPr>
                                          <pic:cNvPr id="246" name="Picture"/>
                                          <pic:cNvPicPr preferRelativeResize="0"/>
                                        </pic:nvPicPr>
                                        <pic:blipFill>
                                          <a:blip r:embed="rId334"/>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48ABD" id="Text Box 33" o:spid="_x0000_s1431" type="#_x0000_t202" style="position:absolute;margin-left:0;margin-top:0;width:595.45pt;height:841.9pt;z-index:-251540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xGt8gEAAMQDAAAOAAAAZHJzL2Uyb0RvYy54bWysU9uO0zAQfUfiHyy/01xKC0RNV8uuFiEt&#10;C9IuH+A4TmKReMzYbVK+nrHTlAXeEC/WeDw+PnPmeHc1DT07KnQaTMmzVcqZMhJqbdqSf326e/WW&#10;M+eFqUUPRpX8pBy/2r98sRttoXLooK8VMgIxrhhtyTvvbZEkTnZqEG4FVhk6bAAH4WmLbVKjGAl9&#10;6JM8TbfJCFhbBKmco+ztfMj3Eb9plPSfm8Ypz/qSEzcfV4xrFdZkvxNFi8J2Wp5piH9gMQht6NEL&#10;1K3wgh1Q/wU1aIngoPErCUMCTaOlij1QN1n6RzePnbAq9kLiOHuRyf0/WPlw/IJM1yVfZzlnRgw0&#10;pCc1efYeJrZeB4FG6wqqe7RU6SfK06Bjs87eg/zmmIGbTphWXSPC2ClRE8Es3EyeXZ1xXACpxk9Q&#10;0zvi4CECTQ0OQT3SgxE6Dep0GU7gIin5ZrPN82zDmaSzLN2+y7N1nF8iiuW+Rec/KBhYCEqONP6I&#10;L473zgc+olhKwnMG7nTfRwv05rcEFYZM5B8oz+T9VE1Rq9fpZhGmgvpELSHM1qKvQEEH+IOzkWxV&#10;cvf9IFBx1n80JEvw4BLgElRLIIykqyX3nM3hjZ+9erCo246QZ+ENXJN0jY49BY1nFmfCZJXY6tnW&#10;wYvP97Hq1+fb/wQ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ALzEa3yAQAAxAMAAA4AAAAAAAAAAAAAAAAALgIAAGRycy9l&#10;Mm9Eb2MueG1sUEsBAi0AFAAGAAgAAAAhAHsiySLdAAAABwEAAA8AAAAAAAAAAAAAAAAATAQAAGRy&#10;cy9kb3ducmV2LnhtbFBLBQYAAAAABAAEAPMAAABWBQAAAAA=&#10;" filled="f" stroked="f">
                <v:textbox inset="0,0,0,0">
                  <w:txbxContent>
                    <w:p w14:paraId="39977F32" w14:textId="77777777" w:rsidR="00490F33" w:rsidRDefault="00490F33">
                      <w:pPr>
                        <w:textAlignment w:val="baseline"/>
                      </w:pPr>
                      <w:r>
                        <w:rPr>
                          <w:noProof/>
                          <w:lang w:val="en-AU" w:eastAsia="en-AU"/>
                        </w:rPr>
                        <w:drawing>
                          <wp:inline distT="0" distB="0" distL="0" distR="0" wp14:anchorId="213BDDE0" wp14:editId="10BBABD3">
                            <wp:extent cx="7562215" cy="10692130"/>
                            <wp:effectExtent l="0" t="0" r="0" b="0"/>
                            <wp:docPr id="246" name="Picture"/>
                            <wp:cNvGraphicFramePr/>
                            <a:graphic xmlns:a="http://schemas.openxmlformats.org/drawingml/2006/main">
                              <a:graphicData uri="http://schemas.openxmlformats.org/drawingml/2006/picture">
                                <pic:pic xmlns:pic="http://schemas.openxmlformats.org/drawingml/2006/picture">
                                  <pic:nvPicPr>
                                    <pic:cNvPr id="246" name="Picture"/>
                                    <pic:cNvPicPr preferRelativeResize="0"/>
                                  </pic:nvPicPr>
                                  <pic:blipFill>
                                    <a:blip r:embed="rId334"/>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6512" behindDoc="1" locked="0" layoutInCell="1" allowOverlap="1" wp14:anchorId="2857F5C9" wp14:editId="517CED0C">
                <wp:simplePos x="0" y="0"/>
                <wp:positionH relativeFrom="page">
                  <wp:posOffset>847090</wp:posOffset>
                </wp:positionH>
                <wp:positionV relativeFrom="page">
                  <wp:posOffset>982980</wp:posOffset>
                </wp:positionV>
                <wp:extent cx="4511040" cy="857885"/>
                <wp:effectExtent l="0" t="0" r="0" b="0"/>
                <wp:wrapSquare wrapText="bothSides"/>
                <wp:docPr id="3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85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00FA5" w14:textId="77777777" w:rsidR="00490F33" w:rsidRDefault="00490F33">
                            <w:pPr>
                              <w:spacing w:line="442" w:lineRule="exact"/>
                              <w:textAlignment w:val="baseline"/>
                              <w:rPr>
                                <w:rFonts w:ascii="Arial" w:eastAsia="Arial" w:hAnsi="Arial"/>
                                <w:b/>
                                <w:color w:val="BF5B1F"/>
                                <w:spacing w:val="6"/>
                                <w:w w:val="90"/>
                                <w:sz w:val="39"/>
                              </w:rPr>
                            </w:pPr>
                            <w:r>
                              <w:rPr>
                                <w:rFonts w:ascii="Arial" w:eastAsia="Arial" w:hAnsi="Arial"/>
                                <w:b/>
                                <w:color w:val="BF5B1F"/>
                                <w:spacing w:val="6"/>
                                <w:w w:val="90"/>
                                <w:sz w:val="39"/>
                              </w:rPr>
                              <w:t>CASE STUDY:</w:t>
                            </w:r>
                          </w:p>
                          <w:p w14:paraId="3154FBFE" w14:textId="77777777" w:rsidR="00490F33" w:rsidRDefault="00490F33">
                            <w:pPr>
                              <w:spacing w:line="434" w:lineRule="exact"/>
                              <w:textAlignment w:val="baseline"/>
                              <w:rPr>
                                <w:rFonts w:ascii="Tahoma" w:eastAsia="Tahoma" w:hAnsi="Tahoma"/>
                                <w:color w:val="BF5B1F"/>
                                <w:spacing w:val="20"/>
                                <w:w w:val="90"/>
                                <w:sz w:val="38"/>
                              </w:rPr>
                            </w:pPr>
                            <w:r>
                              <w:rPr>
                                <w:rFonts w:ascii="Tahoma" w:eastAsia="Tahoma" w:hAnsi="Tahoma"/>
                                <w:color w:val="BF5B1F"/>
                                <w:spacing w:val="20"/>
                                <w:w w:val="90"/>
                                <w:sz w:val="38"/>
                              </w:rPr>
                              <w:t>PATHWAYS FOR THE FUTURE RESEARCH</w:t>
                            </w:r>
                          </w:p>
                          <w:p w14:paraId="24540AF4" w14:textId="77777777" w:rsidR="00490F33" w:rsidRDefault="00490F33">
                            <w:pPr>
                              <w:spacing w:before="20" w:line="450" w:lineRule="exact"/>
                              <w:textAlignment w:val="baseline"/>
                              <w:rPr>
                                <w:rFonts w:ascii="Tahoma" w:eastAsia="Tahoma" w:hAnsi="Tahoma"/>
                                <w:color w:val="BF5B1F"/>
                                <w:spacing w:val="23"/>
                                <w:w w:val="90"/>
                                <w:sz w:val="38"/>
                              </w:rPr>
                            </w:pPr>
                            <w:r>
                              <w:rPr>
                                <w:rFonts w:ascii="Tahoma" w:eastAsia="Tahoma" w:hAnsi="Tahoma"/>
                                <w:color w:val="BF5B1F"/>
                                <w:spacing w:val="23"/>
                                <w:w w:val="90"/>
                                <w:sz w:val="38"/>
                              </w:rPr>
                              <w:t>PROJECT, NEW SOUTH 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7F5C9" id="Text Box 32" o:spid="_x0000_s1432" type="#_x0000_t202" style="position:absolute;margin-left:66.7pt;margin-top:77.4pt;width:355.2pt;height:67.55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7iZ8AEAAMIDAAAOAAAAZHJzL2Uyb0RvYy54bWysU9tu2zAMfR+wfxD0vthOky4w4hRdiw4D&#10;ugvQ7gNkWYqF2aJGKbGzrx8lx1m3vQ17ESiSOjw8pLY3Y9+xo0JvwFa8WOScKSuhMXZf8a/PD282&#10;nPkgbCM6sKriJ+X5ze71q+3gSrWEFrpGISMQ68vBVbwNwZVZ5mWreuEX4JSloAbsRaAr7rMGxUDo&#10;fZct8/w6GwAbhyCV9+S9n4J8l/C1VjJ81tqrwLqKE7eQTkxnHc9stxXlHoVrjTzTEP/AohfGUtEL&#10;1L0Igh3Q/AXVG4ngQYeFhD4DrY1UqQfqpsj/6OapFU6lXkgc7y4y+f8HKz8dvyAzTcWvioIzK3oa&#10;0rMaA3sHI7taRoEG50vKe3KUGUby06BTs949gvzmmYW7Vti9ukWEoVWiIYJFfJm9eDrh+AhSDx+h&#10;oTriECABjRr7qB7pwQidBnW6DCdykeRcrYsiX1FIUmyzfrvZrFMJUc6vHfrwXkHPolFxpOEndHF8&#10;9CGyEeWcEotZeDBdlxags785KDF6EvtIeKIexnpMSq3y61mWGpoTNYQwLRZ9BDJawB+cDbRUFfff&#10;DwIVZ90HS6LEDZwNnI16NoSV9LTigbPJvAvTph4cmn1LyJPsFm5JOG1ST1HhicWZMC1KavW81HET&#10;X95T1q+vt/sJAAD//wMAUEsDBBQABgAIAAAAIQB0h14N3wAAAAsBAAAPAAAAZHJzL2Rvd25yZXYu&#10;eG1sTI9BT4NAEIXvJv6HzZh4s4sFG0CWpjF6MjFSPHhcYAqbsrPIblv8944nvb2X+fLmvWK72FGc&#10;cfbGkYL7VQQCqXWdoV7BR/1yl4LwQVOnR0eo4Bs9bMvrq0LnnbtQhed96AWHkM+1giGEKZfStwNa&#10;7VduQuLbwc1WB7ZzL7tZXzjcjnIdRRtptSH+MOgJnwZsj/uTVbD7pOrZfL0179WhMnWdRfS6OSp1&#10;e7PsHkEEXMIfDL/1uTqU3KlxJ+q8GNnHccIoi4eENzCRJjGLRsE6zTKQZSH/byh/AAAA//8DAFBL&#10;AQItABQABgAIAAAAIQC2gziS/gAAAOEBAAATAAAAAAAAAAAAAAAAAAAAAABbQ29udGVudF9UeXBl&#10;c10ueG1sUEsBAi0AFAAGAAgAAAAhADj9If/WAAAAlAEAAAsAAAAAAAAAAAAAAAAALwEAAF9yZWxz&#10;Ly5yZWxzUEsBAi0AFAAGAAgAAAAhAGxXuJnwAQAAwgMAAA4AAAAAAAAAAAAAAAAALgIAAGRycy9l&#10;Mm9Eb2MueG1sUEsBAi0AFAAGAAgAAAAhAHSHXg3fAAAACwEAAA8AAAAAAAAAAAAAAAAASgQAAGRy&#10;cy9kb3ducmV2LnhtbFBLBQYAAAAABAAEAPMAAABWBQAAAAA=&#10;" filled="f" stroked="f">
                <v:textbox inset="0,0,0,0">
                  <w:txbxContent>
                    <w:p w14:paraId="44B00FA5" w14:textId="77777777" w:rsidR="00490F33" w:rsidRDefault="00490F33">
                      <w:pPr>
                        <w:spacing w:line="442" w:lineRule="exact"/>
                        <w:textAlignment w:val="baseline"/>
                        <w:rPr>
                          <w:rFonts w:ascii="Arial" w:eastAsia="Arial" w:hAnsi="Arial"/>
                          <w:b/>
                          <w:color w:val="BF5B1F"/>
                          <w:spacing w:val="6"/>
                          <w:w w:val="90"/>
                          <w:sz w:val="39"/>
                        </w:rPr>
                      </w:pPr>
                      <w:r>
                        <w:rPr>
                          <w:rFonts w:ascii="Arial" w:eastAsia="Arial" w:hAnsi="Arial"/>
                          <w:b/>
                          <w:color w:val="BF5B1F"/>
                          <w:spacing w:val="6"/>
                          <w:w w:val="90"/>
                          <w:sz w:val="39"/>
                        </w:rPr>
                        <w:t>CASE STUDY:</w:t>
                      </w:r>
                    </w:p>
                    <w:p w14:paraId="3154FBFE" w14:textId="77777777" w:rsidR="00490F33" w:rsidRDefault="00490F33">
                      <w:pPr>
                        <w:spacing w:line="434" w:lineRule="exact"/>
                        <w:textAlignment w:val="baseline"/>
                        <w:rPr>
                          <w:rFonts w:ascii="Tahoma" w:eastAsia="Tahoma" w:hAnsi="Tahoma"/>
                          <w:color w:val="BF5B1F"/>
                          <w:spacing w:val="20"/>
                          <w:w w:val="90"/>
                          <w:sz w:val="38"/>
                        </w:rPr>
                      </w:pPr>
                      <w:r>
                        <w:rPr>
                          <w:rFonts w:ascii="Tahoma" w:eastAsia="Tahoma" w:hAnsi="Tahoma"/>
                          <w:color w:val="BF5B1F"/>
                          <w:spacing w:val="20"/>
                          <w:w w:val="90"/>
                          <w:sz w:val="38"/>
                        </w:rPr>
                        <w:t>PATHWAYS FOR THE FUTURE RESEARCH</w:t>
                      </w:r>
                    </w:p>
                    <w:p w14:paraId="24540AF4" w14:textId="77777777" w:rsidR="00490F33" w:rsidRDefault="00490F33">
                      <w:pPr>
                        <w:spacing w:before="20" w:line="450" w:lineRule="exact"/>
                        <w:textAlignment w:val="baseline"/>
                        <w:rPr>
                          <w:rFonts w:ascii="Tahoma" w:eastAsia="Tahoma" w:hAnsi="Tahoma"/>
                          <w:color w:val="BF5B1F"/>
                          <w:spacing w:val="23"/>
                          <w:w w:val="90"/>
                          <w:sz w:val="38"/>
                        </w:rPr>
                      </w:pPr>
                      <w:r>
                        <w:rPr>
                          <w:rFonts w:ascii="Tahoma" w:eastAsia="Tahoma" w:hAnsi="Tahoma"/>
                          <w:color w:val="BF5B1F"/>
                          <w:spacing w:val="23"/>
                          <w:w w:val="90"/>
                          <w:sz w:val="38"/>
                        </w:rPr>
                        <w:t>PROJECT, NEW SOUTH WALES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7536" behindDoc="1" locked="0" layoutInCell="1" allowOverlap="1" wp14:anchorId="409EB4B5" wp14:editId="23876B4F">
                <wp:simplePos x="0" y="0"/>
                <wp:positionH relativeFrom="page">
                  <wp:posOffset>905510</wp:posOffset>
                </wp:positionH>
                <wp:positionV relativeFrom="page">
                  <wp:posOffset>1996440</wp:posOffset>
                </wp:positionV>
                <wp:extent cx="5723890" cy="485140"/>
                <wp:effectExtent l="0" t="0" r="0" b="0"/>
                <wp:wrapSquare wrapText="bothSides"/>
                <wp:docPr id="3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D804F" w14:textId="77777777" w:rsidR="00490F33" w:rsidRDefault="00490F33">
                            <w:pPr>
                              <w:spacing w:before="5" w:after="33" w:line="240" w:lineRule="exact"/>
                              <w:jc w:val="both"/>
                              <w:textAlignment w:val="baseline"/>
                              <w:rPr>
                                <w:rFonts w:ascii="Verdana" w:eastAsia="Verdana" w:hAnsi="Verdana"/>
                                <w:color w:val="404042"/>
                                <w:sz w:val="18"/>
                              </w:rPr>
                            </w:pPr>
                            <w:r>
                              <w:rPr>
                                <w:rFonts w:ascii="Verdana" w:eastAsia="Verdana" w:hAnsi="Verdana"/>
                                <w:color w:val="404042"/>
                                <w:sz w:val="18"/>
                              </w:rPr>
                              <w:t>Young people can take many different</w:t>
                            </w:r>
                            <w:r>
                              <w:rPr>
                                <w:rFonts w:ascii="Verdana" w:eastAsia="Verdana" w:hAnsi="Verdana"/>
                                <w:color w:val="464140"/>
                                <w:sz w:val="18"/>
                              </w:rPr>
                              <w:t xml:space="preserve"> paths from study to work.</w:t>
                            </w:r>
                            <w:r>
                              <w:rPr>
                                <w:rFonts w:ascii="Verdana" w:eastAsia="Verdana" w:hAnsi="Verdana"/>
                                <w:color w:val="404042"/>
                                <w:sz w:val="18"/>
                              </w:rPr>
                              <w:t xml:space="preserve"> To give</w:t>
                            </w:r>
                            <w:r>
                              <w:rPr>
                                <w:rFonts w:ascii="Verdana" w:eastAsia="Verdana" w:hAnsi="Verdana"/>
                                <w:color w:val="464140"/>
                                <w:sz w:val="18"/>
                              </w:rPr>
                              <w:t xml:space="preserve"> current and future NSW students </w:t>
                            </w:r>
                            <w:r>
                              <w:rPr>
                                <w:rFonts w:ascii="Verdana" w:eastAsia="Verdana" w:hAnsi="Verdana"/>
                                <w:color w:val="404042"/>
                                <w:sz w:val="18"/>
                              </w:rPr>
                              <w:t>comprehensive information about</w:t>
                            </w:r>
                            <w:r>
                              <w:rPr>
                                <w:rFonts w:ascii="Verdana" w:eastAsia="Verdana" w:hAnsi="Verdana"/>
                                <w:color w:val="464140"/>
                                <w:sz w:val="18"/>
                              </w:rPr>
                              <w:t xml:space="preserve"> the outcomes of different</w:t>
                            </w:r>
                            <w:r>
                              <w:rPr>
                                <w:rFonts w:ascii="Verdana" w:eastAsia="Verdana" w:hAnsi="Verdana"/>
                                <w:color w:val="404042"/>
                                <w:sz w:val="18"/>
                              </w:rPr>
                              <w:t xml:space="preserve"> educational</w:t>
                            </w:r>
                            <w:r>
                              <w:rPr>
                                <w:rFonts w:ascii="Verdana" w:eastAsia="Verdana" w:hAnsi="Verdana"/>
                                <w:color w:val="464140"/>
                                <w:sz w:val="18"/>
                              </w:rPr>
                              <w:t xml:space="preserve"> pathways, the NSW Department </w:t>
                            </w:r>
                            <w:r>
                              <w:rPr>
                                <w:rFonts w:ascii="Tahoma" w:eastAsia="Tahoma" w:hAnsi="Tahoma"/>
                                <w:color w:val="404042"/>
                                <w:sz w:val="18"/>
                              </w:rPr>
                              <w:t>of Education has commissioned the</w:t>
                            </w:r>
                            <w:r>
                              <w:rPr>
                                <w:rFonts w:ascii="Tahoma" w:eastAsia="Tahoma" w:hAnsi="Tahoma"/>
                                <w:color w:val="464140"/>
                                <w:sz w:val="18"/>
                              </w:rPr>
                              <w:t xml:space="preserve"> Pathways for the Future research</w:t>
                            </w:r>
                            <w:r>
                              <w:rPr>
                                <w:rFonts w:ascii="Tahoma" w:eastAsia="Tahoma" w:hAnsi="Tahoma"/>
                                <w:color w:val="404042"/>
                                <w:sz w:val="18"/>
                              </w:rPr>
                              <w:t xml:space="preserve">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B4B5" id="Text Box 31" o:spid="_x0000_s1433" type="#_x0000_t202" style="position:absolute;margin-left:71.3pt;margin-top:157.2pt;width:450.7pt;height:38.2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gd8AEAAMIDAAAOAAAAZHJzL2Uyb0RvYy54bWysU1Fv0zAQfkfiP1h+p0najpWo6TQ2DSGN&#10;gbTxAxzHSSwSnzm7Tcqv5+w0ZWNviBfrfD5//r7vzturse/YQaHTYAqeLVLOlJFQadMU/PvT3bsN&#10;Z84LU4kOjCr4UTl+tXv7ZjvYXC2hha5SyAjEuHywBW+9t3mSONmqXrgFWGXosAbshactNkmFYiD0&#10;vkuWafo+GQAriyCVc5S9nQ75LuLXtZL+a1075VlXcOLm44pxLcOa7LYib1DYVssTDfEPLHqhDT16&#10;hroVXrA96ldQvZYIDmq/kNAnUNdaqqiB1GTpX2oeW2FV1ELmOHu2yf0/WPlw+IZMVwVfZeSPET01&#10;6UmNnn2Eka2yYNBgXU51j5Yq/Uh5anQU6+w9yB+OGbhphWnUNSIMrRIVEYw3k2dXJxwXQMrhC1T0&#10;jth7iEBjjX1wj/xghE5EjufmBC6SkheXy9XmAx1JOltvLrJ17F4i8vm2Rec/KehZCAqO1PyILg73&#10;zpMOKp1LwmMG7nTXxQHozIsEFYZMZB8IT9T9WI7RqXV6OdtSQnUkQQjTYNFHoKAF/MXZQENVcPdz&#10;L1Bx1n02ZEqYwDnAOSjnQBhJVwvuOZvCGz9N6t6iblpCnmw3cE3G1TpqCg5PLE6EaVCi1NNQh0l8&#10;vo9Vf77e7jcAAAD//wMAUEsDBBQABgAIAAAAIQAYtisR4AAAAAwBAAAPAAAAZHJzL2Rvd25yZXYu&#10;eG1sTI/BTsMwEETvSPyDtUjcqN1iRW2IU1UITkiINBw4OrGbWI3XIXbb8PdsT3Cc2afZmWI7+4Gd&#10;7RRdQAXLhQBmsQ3GYafgs359WAOLSaPRQ0Cr4MdG2Ja3N4XOTbhgZc/71DEKwZhrBX1KY855bHvr&#10;dVyE0SLdDmHyOpGcOm4mfaFwP/CVEBn32iF96PVon3vbHvcnr2D3hdWL+35vPqpD5ep6I/AtOyp1&#10;fzfvnoAlO6c/GK71qTqU1KkJJzSRDaTlKiNUweNSSmBXQkhJ8xqyNmINvCz4/xHlLwAAAP//AwBQ&#10;SwECLQAUAAYACAAAACEAtoM4kv4AAADhAQAAEwAAAAAAAAAAAAAAAAAAAAAAW0NvbnRlbnRfVHlw&#10;ZXNdLnhtbFBLAQItABQABgAIAAAAIQA4/SH/1gAAAJQBAAALAAAAAAAAAAAAAAAAAC8BAABfcmVs&#10;cy8ucmVsc1BLAQItABQABgAIAAAAIQAbdSgd8AEAAMIDAAAOAAAAAAAAAAAAAAAAAC4CAABkcnMv&#10;ZTJvRG9jLnhtbFBLAQItABQABgAIAAAAIQAYtisR4AAAAAwBAAAPAAAAAAAAAAAAAAAAAEoEAABk&#10;cnMvZG93bnJldi54bWxQSwUGAAAAAAQABADzAAAAVwUAAAAA&#10;" filled="f" stroked="f">
                <v:textbox inset="0,0,0,0">
                  <w:txbxContent>
                    <w:p w14:paraId="560D804F" w14:textId="77777777" w:rsidR="00490F33" w:rsidRDefault="00490F33">
                      <w:pPr>
                        <w:spacing w:before="5" w:after="33" w:line="240" w:lineRule="exact"/>
                        <w:jc w:val="both"/>
                        <w:textAlignment w:val="baseline"/>
                        <w:rPr>
                          <w:rFonts w:ascii="Verdana" w:eastAsia="Verdana" w:hAnsi="Verdana"/>
                          <w:color w:val="404042"/>
                          <w:sz w:val="18"/>
                        </w:rPr>
                      </w:pPr>
                      <w:r>
                        <w:rPr>
                          <w:rFonts w:ascii="Verdana" w:eastAsia="Verdana" w:hAnsi="Verdana"/>
                          <w:color w:val="404042"/>
                          <w:sz w:val="18"/>
                        </w:rPr>
                        <w:t>Young people can take many different</w:t>
                      </w:r>
                      <w:r>
                        <w:rPr>
                          <w:rFonts w:ascii="Verdana" w:eastAsia="Verdana" w:hAnsi="Verdana"/>
                          <w:color w:val="464140"/>
                          <w:sz w:val="18"/>
                        </w:rPr>
                        <w:t xml:space="preserve"> paths from study to work.</w:t>
                      </w:r>
                      <w:r>
                        <w:rPr>
                          <w:rFonts w:ascii="Verdana" w:eastAsia="Verdana" w:hAnsi="Verdana"/>
                          <w:color w:val="404042"/>
                          <w:sz w:val="18"/>
                        </w:rPr>
                        <w:t xml:space="preserve"> To give</w:t>
                      </w:r>
                      <w:r>
                        <w:rPr>
                          <w:rFonts w:ascii="Verdana" w:eastAsia="Verdana" w:hAnsi="Verdana"/>
                          <w:color w:val="464140"/>
                          <w:sz w:val="18"/>
                        </w:rPr>
                        <w:t xml:space="preserve"> current and future NSW students </w:t>
                      </w:r>
                      <w:r>
                        <w:rPr>
                          <w:rFonts w:ascii="Verdana" w:eastAsia="Verdana" w:hAnsi="Verdana"/>
                          <w:color w:val="404042"/>
                          <w:sz w:val="18"/>
                        </w:rPr>
                        <w:t>comprehensive information about</w:t>
                      </w:r>
                      <w:r>
                        <w:rPr>
                          <w:rFonts w:ascii="Verdana" w:eastAsia="Verdana" w:hAnsi="Verdana"/>
                          <w:color w:val="464140"/>
                          <w:sz w:val="18"/>
                        </w:rPr>
                        <w:t xml:space="preserve"> the outcomes of different</w:t>
                      </w:r>
                      <w:r>
                        <w:rPr>
                          <w:rFonts w:ascii="Verdana" w:eastAsia="Verdana" w:hAnsi="Verdana"/>
                          <w:color w:val="404042"/>
                          <w:sz w:val="18"/>
                        </w:rPr>
                        <w:t xml:space="preserve"> educational</w:t>
                      </w:r>
                      <w:r>
                        <w:rPr>
                          <w:rFonts w:ascii="Verdana" w:eastAsia="Verdana" w:hAnsi="Verdana"/>
                          <w:color w:val="464140"/>
                          <w:sz w:val="18"/>
                        </w:rPr>
                        <w:t xml:space="preserve"> pathways, the NSW Department </w:t>
                      </w:r>
                      <w:r>
                        <w:rPr>
                          <w:rFonts w:ascii="Tahoma" w:eastAsia="Tahoma" w:hAnsi="Tahoma"/>
                          <w:color w:val="404042"/>
                          <w:sz w:val="18"/>
                        </w:rPr>
                        <w:t>of Education has commissioned the</w:t>
                      </w:r>
                      <w:r>
                        <w:rPr>
                          <w:rFonts w:ascii="Tahoma" w:eastAsia="Tahoma" w:hAnsi="Tahoma"/>
                          <w:color w:val="464140"/>
                          <w:sz w:val="18"/>
                        </w:rPr>
                        <w:t xml:space="preserve"> Pathways for the Future research</w:t>
                      </w:r>
                      <w:r>
                        <w:rPr>
                          <w:rFonts w:ascii="Tahoma" w:eastAsia="Tahoma" w:hAnsi="Tahoma"/>
                          <w:color w:val="404042"/>
                          <w:sz w:val="18"/>
                        </w:rPr>
                        <w:t xml:space="preserve"> project.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8560" behindDoc="1" locked="0" layoutInCell="1" allowOverlap="1" wp14:anchorId="1D2C6A3A" wp14:editId="4BF3F335">
                <wp:simplePos x="0" y="0"/>
                <wp:positionH relativeFrom="page">
                  <wp:posOffset>905510</wp:posOffset>
                </wp:positionH>
                <wp:positionV relativeFrom="page">
                  <wp:posOffset>2574290</wp:posOffset>
                </wp:positionV>
                <wp:extent cx="5556250" cy="754380"/>
                <wp:effectExtent l="0" t="0" r="0" b="0"/>
                <wp:wrapSquare wrapText="bothSides"/>
                <wp:docPr id="30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879A3" w14:textId="77777777" w:rsidR="00490F33" w:rsidRDefault="00490F33">
                            <w:pPr>
                              <w:spacing w:after="4" w:line="236" w:lineRule="exact"/>
                              <w:textAlignment w:val="baseline"/>
                              <w:rPr>
                                <w:rFonts w:ascii="Tahoma" w:eastAsia="Tahoma" w:hAnsi="Tahoma"/>
                                <w:color w:val="404042"/>
                                <w:spacing w:val="5"/>
                                <w:sz w:val="18"/>
                              </w:rPr>
                            </w:pPr>
                            <w:r>
                              <w:rPr>
                                <w:rFonts w:ascii="Tahoma" w:eastAsia="Tahoma" w:hAnsi="Tahoma"/>
                                <w:color w:val="404042"/>
                                <w:spacing w:val="5"/>
                                <w:sz w:val="18"/>
                              </w:rPr>
                              <w:t>This retrospective cohort study</w:t>
                            </w:r>
                            <w:r>
                              <w:rPr>
                                <w:rFonts w:ascii="Tahoma" w:eastAsia="Tahoma" w:hAnsi="Tahoma"/>
                                <w:color w:val="464140"/>
                                <w:spacing w:val="5"/>
                                <w:sz w:val="18"/>
                              </w:rPr>
                              <w:t xml:space="preserve"> utilises data on the pathways of 3.5</w:t>
                            </w:r>
                            <w:r>
                              <w:rPr>
                                <w:rFonts w:ascii="Tahoma" w:eastAsia="Tahoma" w:hAnsi="Tahoma"/>
                                <w:color w:val="404042"/>
                                <w:spacing w:val="5"/>
                                <w:sz w:val="18"/>
                              </w:rPr>
                              <w:t xml:space="preserve"> million young</w:t>
                            </w:r>
                            <w:r>
                              <w:rPr>
                                <w:rFonts w:ascii="Tahoma" w:eastAsia="Tahoma" w:hAnsi="Tahoma"/>
                                <w:color w:val="464140"/>
                                <w:spacing w:val="5"/>
                                <w:sz w:val="18"/>
                              </w:rPr>
                              <w:t xml:space="preserve"> people aged 15 to 24 </w:t>
                            </w:r>
                            <w:r>
                              <w:rPr>
                                <w:rFonts w:ascii="Tahoma" w:eastAsia="Tahoma" w:hAnsi="Tahoma"/>
                                <w:color w:val="404042"/>
                                <w:spacing w:val="5"/>
                                <w:sz w:val="18"/>
                              </w:rPr>
                              <w:t>in New South Wales over a 20</w:t>
                            </w:r>
                            <w:r>
                              <w:rPr>
                                <w:rFonts w:ascii="Tahoma" w:eastAsia="Tahoma" w:hAnsi="Tahoma"/>
                                <w:color w:val="464140"/>
                                <w:spacing w:val="5"/>
                                <w:sz w:val="18"/>
                              </w:rPr>
                              <w:t>-year period from 1996 to 2016. Analysis</w:t>
                            </w:r>
                            <w:r>
                              <w:rPr>
                                <w:rFonts w:ascii="Tahoma" w:eastAsia="Tahoma" w:hAnsi="Tahoma"/>
                                <w:color w:val="404042"/>
                                <w:spacing w:val="5"/>
                                <w:sz w:val="18"/>
                              </w:rPr>
                              <w:t xml:space="preserve"> will disaggregate the pathways according to student characteristics</w:t>
                            </w:r>
                            <w:r>
                              <w:rPr>
                                <w:rFonts w:ascii="Tahoma" w:eastAsia="Tahoma" w:hAnsi="Tahoma"/>
                                <w:color w:val="464140"/>
                                <w:spacing w:val="5"/>
                                <w:sz w:val="18"/>
                              </w:rPr>
                              <w:t xml:space="preserve"> and educational choices, look at what</w:t>
                            </w:r>
                            <w:r>
                              <w:rPr>
                                <w:rFonts w:ascii="Tahoma" w:eastAsia="Tahoma" w:hAnsi="Tahoma"/>
                                <w:color w:val="404042"/>
                                <w:spacing w:val="5"/>
                                <w:sz w:val="18"/>
                              </w:rPr>
                              <w:t xml:space="preserve"> constitutes ‘successful’ and ‘unsuccessful’ pathways,</w:t>
                            </w:r>
                            <w:r>
                              <w:rPr>
                                <w:rFonts w:ascii="Tahoma" w:eastAsia="Tahoma" w:hAnsi="Tahoma"/>
                                <w:color w:val="464140"/>
                                <w:spacing w:val="5"/>
                                <w:sz w:val="18"/>
                              </w:rPr>
                              <w:t xml:space="preserve"> and identify the trends and issues that</w:t>
                            </w:r>
                            <w:r>
                              <w:rPr>
                                <w:rFonts w:ascii="Tahoma" w:eastAsia="Tahoma" w:hAnsi="Tahoma"/>
                                <w:color w:val="404042"/>
                                <w:spacing w:val="5"/>
                                <w:sz w:val="18"/>
                              </w:rPr>
                              <w:t xml:space="preserve"> impact on post-school labour market participation.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C6A3A" id="Text Box 30" o:spid="_x0000_s1434" type="#_x0000_t202" style="position:absolute;margin-left:71.3pt;margin-top:202.7pt;width:437.5pt;height:59.4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W8gEAAMIDAAAOAAAAZHJzL2Uyb0RvYy54bWysU9tu2zAMfR+wfxD0vthJmi4z4hRdiw4D&#10;ugvQ7gMYWY6F2aJGKbGzrx8lJ2m7vg17ESiKOjrnkFpdDV0r9pq8QVvK6SSXQluFlbHbUv54vHu3&#10;lMIHsBW0aHUpD9rLq/XbN6veFXqGDbaVJsEg1he9K2UTgiuyzKtGd+An6LTlwxqpg8Bb2mYVQc/o&#10;XZvN8vwy65EqR6i095y9HQ/lOuHXtVbhW117HURbSuYW0kpp3cQ1W6+g2BK4xqgjDfgHFh0Yy4+e&#10;oW4hgNiReQXVGUXosQ4ThV2GdW2UThpYzTT/S81DA04nLWyOd2eb/P+DVV/330mYqpTz/IMUFjpu&#10;0qMegviIg5gng3rnC657cFwZBs5zo5NY7+5R/fTC4k0DdquvibBvNFRMcBqtzZ5djS3xhY8gm/4L&#10;VvwO7AImoKGmLrrHfghG50Ydzs2JXBQnF4vF5WzBR4rP3i8u5stELoPidNuRD580diIGpSRufkKH&#10;/b0PkQ0Up5L4mMU707ZpAFr7IsGFMZPYR8Ij9TBshuTURb6M4qKcDVYHFkQ4DhZ/BA4apN9S9DxU&#10;pfS/dkBaivazZVPiBJ4COgWbUwBW8dVSBinG8CaMk7pzZLYNI4+2W7xm42qTND2xOBLmQUlSj0Md&#10;J/H5PlU9fb31HwAAAP//AwBQSwMEFAAGAAgAAAAhAGD9oXfgAAAADAEAAA8AAABkcnMvZG93bnJl&#10;di54bWxMj8FOwzAMhu9IvENkJG4sWdUVVppOE4ITEqIrhx3TxmujNU5psq28PdkJjr/96ffnYjPb&#10;gZ1x8saRhOVCAENqnTbUSfiq3x6egPmgSKvBEUr4QQ+b8vamULl2F6rwvAsdiyXkcyWhD2HMOfdt&#10;j1b5hRuR4u7gJqtCjFPH9aQusdwOPBEi41YZihd6NeJLj+1xd7IStnuqXs33R/NZHSpT12tB79lR&#10;yvu7efsMLOAc/mC46kd1KKNT406kPRtiTpMsohJSsUqBXQmxfIyjRsIqSRPgZcH/P1H+AgAA//8D&#10;AFBLAQItABQABgAIAAAAIQC2gziS/gAAAOEBAAATAAAAAAAAAAAAAAAAAAAAAABbQ29udGVudF9U&#10;eXBlc10ueG1sUEsBAi0AFAAGAAgAAAAhADj9If/WAAAAlAEAAAsAAAAAAAAAAAAAAAAALwEAAF9y&#10;ZWxzLy5yZWxzUEsBAi0AFAAGAAgAAAAhAAj5fNbyAQAAwgMAAA4AAAAAAAAAAAAAAAAALgIAAGRy&#10;cy9lMm9Eb2MueG1sUEsBAi0AFAAGAAgAAAAhAGD9oXfgAAAADAEAAA8AAAAAAAAAAAAAAAAATAQA&#10;AGRycy9kb3ducmV2LnhtbFBLBQYAAAAABAAEAPMAAABZBQAAAAA=&#10;" filled="f" stroked="f">
                <v:textbox inset="0,0,0,0">
                  <w:txbxContent>
                    <w:p w14:paraId="247879A3" w14:textId="77777777" w:rsidR="00490F33" w:rsidRDefault="00490F33">
                      <w:pPr>
                        <w:spacing w:after="4" w:line="236" w:lineRule="exact"/>
                        <w:textAlignment w:val="baseline"/>
                        <w:rPr>
                          <w:rFonts w:ascii="Tahoma" w:eastAsia="Tahoma" w:hAnsi="Tahoma"/>
                          <w:color w:val="404042"/>
                          <w:spacing w:val="5"/>
                          <w:sz w:val="18"/>
                        </w:rPr>
                      </w:pPr>
                      <w:r>
                        <w:rPr>
                          <w:rFonts w:ascii="Tahoma" w:eastAsia="Tahoma" w:hAnsi="Tahoma"/>
                          <w:color w:val="404042"/>
                          <w:spacing w:val="5"/>
                          <w:sz w:val="18"/>
                        </w:rPr>
                        <w:t>This retrospective cohort study</w:t>
                      </w:r>
                      <w:r>
                        <w:rPr>
                          <w:rFonts w:ascii="Tahoma" w:eastAsia="Tahoma" w:hAnsi="Tahoma"/>
                          <w:color w:val="464140"/>
                          <w:spacing w:val="5"/>
                          <w:sz w:val="18"/>
                        </w:rPr>
                        <w:t xml:space="preserve"> utilises data on the pathways of 3.5</w:t>
                      </w:r>
                      <w:r>
                        <w:rPr>
                          <w:rFonts w:ascii="Tahoma" w:eastAsia="Tahoma" w:hAnsi="Tahoma"/>
                          <w:color w:val="404042"/>
                          <w:spacing w:val="5"/>
                          <w:sz w:val="18"/>
                        </w:rPr>
                        <w:t xml:space="preserve"> million young</w:t>
                      </w:r>
                      <w:r>
                        <w:rPr>
                          <w:rFonts w:ascii="Tahoma" w:eastAsia="Tahoma" w:hAnsi="Tahoma"/>
                          <w:color w:val="464140"/>
                          <w:spacing w:val="5"/>
                          <w:sz w:val="18"/>
                        </w:rPr>
                        <w:t xml:space="preserve"> people aged 15 to 24 </w:t>
                      </w:r>
                      <w:r>
                        <w:rPr>
                          <w:rFonts w:ascii="Tahoma" w:eastAsia="Tahoma" w:hAnsi="Tahoma"/>
                          <w:color w:val="404042"/>
                          <w:spacing w:val="5"/>
                          <w:sz w:val="18"/>
                        </w:rPr>
                        <w:t>in New South Wales over a 20</w:t>
                      </w:r>
                      <w:r>
                        <w:rPr>
                          <w:rFonts w:ascii="Tahoma" w:eastAsia="Tahoma" w:hAnsi="Tahoma"/>
                          <w:color w:val="464140"/>
                          <w:spacing w:val="5"/>
                          <w:sz w:val="18"/>
                        </w:rPr>
                        <w:t>-year period from 1996 to 2016. Analysis</w:t>
                      </w:r>
                      <w:r>
                        <w:rPr>
                          <w:rFonts w:ascii="Tahoma" w:eastAsia="Tahoma" w:hAnsi="Tahoma"/>
                          <w:color w:val="404042"/>
                          <w:spacing w:val="5"/>
                          <w:sz w:val="18"/>
                        </w:rPr>
                        <w:t xml:space="preserve"> will disaggregate the pathways according to student characteristics</w:t>
                      </w:r>
                      <w:r>
                        <w:rPr>
                          <w:rFonts w:ascii="Tahoma" w:eastAsia="Tahoma" w:hAnsi="Tahoma"/>
                          <w:color w:val="464140"/>
                          <w:spacing w:val="5"/>
                          <w:sz w:val="18"/>
                        </w:rPr>
                        <w:t xml:space="preserve"> and educational choices, look at what</w:t>
                      </w:r>
                      <w:r>
                        <w:rPr>
                          <w:rFonts w:ascii="Tahoma" w:eastAsia="Tahoma" w:hAnsi="Tahoma"/>
                          <w:color w:val="404042"/>
                          <w:spacing w:val="5"/>
                          <w:sz w:val="18"/>
                        </w:rPr>
                        <w:t xml:space="preserve"> constitutes ‘successful’ and ‘unsuccessful’ pathways,</w:t>
                      </w:r>
                      <w:r>
                        <w:rPr>
                          <w:rFonts w:ascii="Tahoma" w:eastAsia="Tahoma" w:hAnsi="Tahoma"/>
                          <w:color w:val="464140"/>
                          <w:spacing w:val="5"/>
                          <w:sz w:val="18"/>
                        </w:rPr>
                        <w:t xml:space="preserve"> and identify the trends and issues that</w:t>
                      </w:r>
                      <w:r>
                        <w:rPr>
                          <w:rFonts w:ascii="Tahoma" w:eastAsia="Tahoma" w:hAnsi="Tahoma"/>
                          <w:color w:val="404042"/>
                          <w:spacing w:val="5"/>
                          <w:sz w:val="18"/>
                        </w:rPr>
                        <w:t xml:space="preserve"> impact on post-school labour market participation.</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79584" behindDoc="1" locked="0" layoutInCell="1" allowOverlap="1" wp14:anchorId="68C624AC" wp14:editId="1479D452">
                <wp:simplePos x="0" y="0"/>
                <wp:positionH relativeFrom="page">
                  <wp:posOffset>905510</wp:posOffset>
                </wp:positionH>
                <wp:positionV relativeFrom="page">
                  <wp:posOffset>3445510</wp:posOffset>
                </wp:positionV>
                <wp:extent cx="5717540" cy="906780"/>
                <wp:effectExtent l="0" t="0" r="0" b="0"/>
                <wp:wrapSquare wrapText="bothSides"/>
                <wp:docPr id="30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02EE2" w14:textId="77777777" w:rsidR="00490F33" w:rsidRDefault="00490F33">
                            <w:pPr>
                              <w:spacing w:line="235" w:lineRule="exact"/>
                              <w:textAlignment w:val="baseline"/>
                              <w:rPr>
                                <w:rFonts w:ascii="Tahoma" w:eastAsia="Tahoma" w:hAnsi="Tahoma"/>
                                <w:color w:val="404042"/>
                                <w:sz w:val="18"/>
                              </w:rPr>
                            </w:pPr>
                            <w:r>
                              <w:rPr>
                                <w:rFonts w:ascii="Tahoma" w:eastAsia="Tahoma" w:hAnsi="Tahoma"/>
                                <w:color w:val="404042"/>
                                <w:sz w:val="18"/>
                              </w:rPr>
                              <w:t>Findings from early analysis indicate</w:t>
                            </w:r>
                            <w:r>
                              <w:rPr>
                                <w:rFonts w:ascii="Tahoma" w:eastAsia="Tahoma" w:hAnsi="Tahoma"/>
                                <w:color w:val="464140"/>
                                <w:sz w:val="18"/>
                              </w:rPr>
                              <w:t xml:space="preserve"> that there is no ‘common’</w:t>
                            </w:r>
                            <w:r>
                              <w:rPr>
                                <w:rFonts w:ascii="Tahoma" w:eastAsia="Tahoma" w:hAnsi="Tahoma"/>
                                <w:color w:val="404042"/>
                                <w:sz w:val="18"/>
                              </w:rPr>
                              <w:t xml:space="preserve"> pathway for NSW students, and pathways </w:t>
                            </w:r>
                            <w:r>
                              <w:rPr>
                                <w:rFonts w:ascii="Verdana" w:eastAsia="Verdana" w:hAnsi="Verdana"/>
                                <w:color w:val="404042"/>
                                <w:sz w:val="18"/>
                              </w:rPr>
                              <w:t>to employment are varied. The findings</w:t>
                            </w:r>
                            <w:r>
                              <w:rPr>
                                <w:rFonts w:ascii="Verdana" w:eastAsia="Verdana" w:hAnsi="Verdana"/>
                                <w:color w:val="464140"/>
                                <w:sz w:val="18"/>
                              </w:rPr>
                              <w:t xml:space="preserve"> have been used to inform</w:t>
                            </w:r>
                            <w:r>
                              <w:rPr>
                                <w:rFonts w:ascii="Verdana" w:eastAsia="Verdana" w:hAnsi="Verdana"/>
                                <w:color w:val="404042"/>
                                <w:sz w:val="18"/>
                              </w:rPr>
                              <w:t xml:space="preserve"> the launch of the Educational Pathways </w:t>
                            </w:r>
                            <w:r>
                              <w:rPr>
                                <w:rFonts w:ascii="Tahoma" w:eastAsia="Tahoma" w:hAnsi="Tahoma"/>
                                <w:color w:val="404042"/>
                                <w:sz w:val="18"/>
                              </w:rPr>
                              <w:t>Pilot Program in 24 NSW high schools</w:t>
                            </w:r>
                            <w:r>
                              <w:rPr>
                                <w:rFonts w:ascii="Tahoma" w:eastAsia="Tahoma" w:hAnsi="Tahoma"/>
                                <w:color w:val="464140"/>
                                <w:sz w:val="18"/>
                              </w:rPr>
                              <w:t xml:space="preserve"> in areas experiencing high</w:t>
                            </w:r>
                            <w:r>
                              <w:rPr>
                                <w:rFonts w:ascii="Tahoma" w:eastAsia="Tahoma" w:hAnsi="Tahoma"/>
                                <w:color w:val="404042"/>
                                <w:sz w:val="18"/>
                              </w:rPr>
                              <w:t xml:space="preserve"> youth unemployment. The pilot includes </w:t>
                            </w:r>
                            <w:r>
                              <w:rPr>
                                <w:rFonts w:ascii="Verdana" w:eastAsia="Verdana" w:hAnsi="Verdana"/>
                                <w:color w:val="404042"/>
                                <w:sz w:val="18"/>
                              </w:rPr>
                              <w:t xml:space="preserve">nine initiatives that ensure students find a suitable pathway into further education and training. The </w:t>
                            </w:r>
                            <w:r>
                              <w:rPr>
                                <w:rFonts w:ascii="Tahoma" w:eastAsia="Tahoma" w:hAnsi="Tahoma"/>
                                <w:color w:val="404042"/>
                                <w:sz w:val="18"/>
                              </w:rPr>
                              <w:t>initiatives focus on boosting school-based apprenticeships and traineeships, enhancing career advice and helping disadvantaged 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624AC" id="Text Box 29" o:spid="_x0000_s1435" type="#_x0000_t202" style="position:absolute;margin-left:71.3pt;margin-top:271.3pt;width:450.2pt;height:71.4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Ew8AEAAMIDAAAOAAAAZHJzL2Uyb0RvYy54bWysU9tu2zAMfR+wfxD0vtjJ2qY14hRdiw4D&#10;ugvQ7gMYWY6F2aJGKbGzrx8lx1m7vg17EShejg4PqdX10LVir8kbtKWcz3IptFVYGbst5fen+3eX&#10;UvgAtoIWrS7lQXt5vX77ZtW7Qi+wwbbSJBjE+qJ3pWxCcEWWedXoDvwMnbYcrJE6CHylbVYR9Ize&#10;tdkizy+yHqlyhEp7z967MSjXCb+utQpf69rrINpSMreQTkrnJp7ZegXFlsA1Rh1pwD+w6MBYfvQE&#10;dQcBxI7MK6jOKEKPdZgp7DKsa6N06oG7med/dfPYgNOpFxbHu5NM/v/Bqi/7byRMVcr3OY/KQsdD&#10;etJDEB9wEIurKFDvfMF5j44zw8B+HnRq1rsHVD+8sHjbgN3qGyLsGw0VE5zHyuxZ6YjjI8im/4wV&#10;vwO7gAloqKmL6rEegtF5UIfTcCIXxc7z5Xx5fsYhxbGr/GJ5maaXQTFVO/Lho8ZORKOUxMNP6LB/&#10;8CGygWJKiY9ZvDdtmxagtS8cnBg9iX0kPFIPw2ZISp3lJ1k2WB24IcJxsfgjsNEg/ZKi56Uqpf+5&#10;A9JStJ8sixI3cDJoMjaTAVZxaSmDFKN5G8ZN3Tky24aRR9kt3rBwtUk9RYVHFkfCvCip1eNSx018&#10;fk9Zf77e+jcAAAD//wMAUEsDBBQABgAIAAAAIQAscV0i3wAAAAwBAAAPAAAAZHJzL2Rvd25yZXYu&#10;eG1sTI89T8MwEIZ3JP6DdUhs1G5Jo5LGqSoEExIiDQOjE18Tq/E5xG4b/j0uS9nu1T16P/LNZHt2&#10;wtEbRxLmMwEMqXHaUCvhs3p9WAHzQZFWvSOU8IMeNsXtTa4y7c5U4mkXWhZNyGdKQhfCkHHumw6t&#10;8jM3IMXf3o1WhSjHlutRnaO57flCiJRbZSgmdGrA5w6bw+5oJWy/qHwx3+/1R7kvTVU9CXpLD1Le&#10;303bNbCAU7jCcKkfq0MRO9XuSNqzPupkkUZUwvLvuBAieYzzagnpapkAL3L+f0TxCwAA//8DAFBL&#10;AQItABQABgAIAAAAIQC2gziS/gAAAOEBAAATAAAAAAAAAAAAAAAAAAAAAABbQ29udGVudF9UeXBl&#10;c10ueG1sUEsBAi0AFAAGAAgAAAAhADj9If/WAAAAlAEAAAsAAAAAAAAAAAAAAAAALwEAAF9yZWxz&#10;Ly5yZWxzUEsBAi0AFAAGAAgAAAAhAIN1wTDwAQAAwgMAAA4AAAAAAAAAAAAAAAAALgIAAGRycy9l&#10;Mm9Eb2MueG1sUEsBAi0AFAAGAAgAAAAhACxxXSLfAAAADAEAAA8AAAAAAAAAAAAAAAAASgQAAGRy&#10;cy9kb3ducmV2LnhtbFBLBQYAAAAABAAEAPMAAABWBQAAAAA=&#10;" filled="f" stroked="f">
                <v:textbox inset="0,0,0,0">
                  <w:txbxContent>
                    <w:p w14:paraId="56302EE2" w14:textId="77777777" w:rsidR="00490F33" w:rsidRDefault="00490F33">
                      <w:pPr>
                        <w:spacing w:line="235" w:lineRule="exact"/>
                        <w:textAlignment w:val="baseline"/>
                        <w:rPr>
                          <w:rFonts w:ascii="Tahoma" w:eastAsia="Tahoma" w:hAnsi="Tahoma"/>
                          <w:color w:val="404042"/>
                          <w:sz w:val="18"/>
                        </w:rPr>
                      </w:pPr>
                      <w:r>
                        <w:rPr>
                          <w:rFonts w:ascii="Tahoma" w:eastAsia="Tahoma" w:hAnsi="Tahoma"/>
                          <w:color w:val="404042"/>
                          <w:sz w:val="18"/>
                        </w:rPr>
                        <w:t>Findings from early analysis indicate</w:t>
                      </w:r>
                      <w:r>
                        <w:rPr>
                          <w:rFonts w:ascii="Tahoma" w:eastAsia="Tahoma" w:hAnsi="Tahoma"/>
                          <w:color w:val="464140"/>
                          <w:sz w:val="18"/>
                        </w:rPr>
                        <w:t xml:space="preserve"> that there is no ‘common’</w:t>
                      </w:r>
                      <w:r>
                        <w:rPr>
                          <w:rFonts w:ascii="Tahoma" w:eastAsia="Tahoma" w:hAnsi="Tahoma"/>
                          <w:color w:val="404042"/>
                          <w:sz w:val="18"/>
                        </w:rPr>
                        <w:t xml:space="preserve"> pathway for NSW students, and pathways </w:t>
                      </w:r>
                      <w:r>
                        <w:rPr>
                          <w:rFonts w:ascii="Verdana" w:eastAsia="Verdana" w:hAnsi="Verdana"/>
                          <w:color w:val="404042"/>
                          <w:sz w:val="18"/>
                        </w:rPr>
                        <w:t>to employment are varied. The findings</w:t>
                      </w:r>
                      <w:r>
                        <w:rPr>
                          <w:rFonts w:ascii="Verdana" w:eastAsia="Verdana" w:hAnsi="Verdana"/>
                          <w:color w:val="464140"/>
                          <w:sz w:val="18"/>
                        </w:rPr>
                        <w:t xml:space="preserve"> have been used to inform</w:t>
                      </w:r>
                      <w:r>
                        <w:rPr>
                          <w:rFonts w:ascii="Verdana" w:eastAsia="Verdana" w:hAnsi="Verdana"/>
                          <w:color w:val="404042"/>
                          <w:sz w:val="18"/>
                        </w:rPr>
                        <w:t xml:space="preserve"> the launch of the Educational Pathways </w:t>
                      </w:r>
                      <w:r>
                        <w:rPr>
                          <w:rFonts w:ascii="Tahoma" w:eastAsia="Tahoma" w:hAnsi="Tahoma"/>
                          <w:color w:val="404042"/>
                          <w:sz w:val="18"/>
                        </w:rPr>
                        <w:t>Pilot Program in 24 NSW high schools</w:t>
                      </w:r>
                      <w:r>
                        <w:rPr>
                          <w:rFonts w:ascii="Tahoma" w:eastAsia="Tahoma" w:hAnsi="Tahoma"/>
                          <w:color w:val="464140"/>
                          <w:sz w:val="18"/>
                        </w:rPr>
                        <w:t xml:space="preserve"> in areas experiencing high</w:t>
                      </w:r>
                      <w:r>
                        <w:rPr>
                          <w:rFonts w:ascii="Tahoma" w:eastAsia="Tahoma" w:hAnsi="Tahoma"/>
                          <w:color w:val="404042"/>
                          <w:sz w:val="18"/>
                        </w:rPr>
                        <w:t xml:space="preserve"> youth unemployment. The pilot includes </w:t>
                      </w:r>
                      <w:r>
                        <w:rPr>
                          <w:rFonts w:ascii="Verdana" w:eastAsia="Verdana" w:hAnsi="Verdana"/>
                          <w:color w:val="404042"/>
                          <w:sz w:val="18"/>
                        </w:rPr>
                        <w:t xml:space="preserve">nine initiatives that ensure students find a suitable pathway into further education and training. The </w:t>
                      </w:r>
                      <w:r>
                        <w:rPr>
                          <w:rFonts w:ascii="Tahoma" w:eastAsia="Tahoma" w:hAnsi="Tahoma"/>
                          <w:color w:val="404042"/>
                          <w:sz w:val="18"/>
                        </w:rPr>
                        <w:t>initiatives focus on boosting school-based apprenticeships and traineeships, enhancing career advice and helping disadvantaged students.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80608" behindDoc="1" locked="0" layoutInCell="1" allowOverlap="1" wp14:anchorId="20D30E9B" wp14:editId="5BE4085B">
                <wp:simplePos x="0" y="0"/>
                <wp:positionH relativeFrom="page">
                  <wp:posOffset>908050</wp:posOffset>
                </wp:positionH>
                <wp:positionV relativeFrom="page">
                  <wp:posOffset>4466590</wp:posOffset>
                </wp:positionV>
                <wp:extent cx="5599430" cy="601980"/>
                <wp:effectExtent l="0" t="0" r="0" b="0"/>
                <wp:wrapSquare wrapText="bothSides"/>
                <wp:docPr id="30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E5FDF" w14:textId="77777777" w:rsidR="00490F33" w:rsidRDefault="00490F33">
                            <w:pPr>
                              <w:spacing w:line="235" w:lineRule="exact"/>
                              <w:textAlignment w:val="baseline"/>
                              <w:rPr>
                                <w:rFonts w:ascii="Tahoma" w:eastAsia="Tahoma" w:hAnsi="Tahoma"/>
                                <w:color w:val="404042"/>
                                <w:sz w:val="18"/>
                              </w:rPr>
                            </w:pPr>
                            <w:r>
                              <w:rPr>
                                <w:rFonts w:ascii="Tahoma" w:eastAsia="Tahoma" w:hAnsi="Tahoma"/>
                                <w:color w:val="404042"/>
                                <w:sz w:val="18"/>
                              </w:rPr>
                              <w:t xml:space="preserve">Further insights from the project will be synthesised into a report and a digital tool to help visualise and explore pathways. These tools will be used to empower students, parents, educators, careers advisers </w:t>
                            </w:r>
                            <w:r>
                              <w:rPr>
                                <w:rFonts w:ascii="Verdana" w:eastAsia="Verdana" w:hAnsi="Verdana"/>
                                <w:color w:val="404042"/>
                                <w:sz w:val="18"/>
                              </w:rPr>
                              <w:t>and employers with the best available information on the impact of different pathway choices and the experiences of different student groups.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0E9B" id="Text Box 28" o:spid="_x0000_s1436" type="#_x0000_t202" style="position:absolute;margin-left:71.5pt;margin-top:351.7pt;width:440.9pt;height:47.4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UP8AEAAMIDAAAOAAAAZHJzL2Uyb0RvYy54bWysU9tu2zAMfR+wfxD0vthJL0uMOEXXosOA&#10;rhvQ9gMYWY6F2aJGKbGzrx8lJ2m3vRV7ESiKOjrnkFpeDV0rdpq8QVvK6SSXQluFlbGbUj4/3X2Y&#10;S+ED2ApatLqUe+3l1er9u2XvCj3DBttKk2AQ64velbIJwRVZ5lWjO/ATdNryYY3UQeAtbbKKoGf0&#10;rs1meX6Z9UiVI1Tae87ejodylfDrWqvwra69DqItJXMLaaW0ruOarZZQbAhcY9SBBryBRQfG8qMn&#10;qFsIILZk/oHqjCL0WIeJwi7DujZKJw2sZpr/peaxAaeTFjbHu5NN/v/BqofddxKmKuVZ/lEKCx03&#10;6UkPQXzCQczm0aDe+YLrHh1XhoHz3Ogk1rt7VD+8sHjTgN3oayLsGw0VE5zGm9mrqyOOjyDr/itW&#10;/A5sAyagoaYuusd+CEbnRu1PzYlcFCcvLhaL8zM+Unx2mU8X89S9DIrjbUc+fNbYiRiUkrj5CR12&#10;9z5ENlAcS+JjFu9M26YBaO0fCS6MmcQ+Eh6ph2E9JKfOp+nlqG2N1Z4FEY6DxR+BgwbplxQ9D1Up&#10;/c8tkJai/WLZlDiBx4COwfoYgFV8tZRBijG8CeOkbh2ZTcPIo+0Wr9m42iRNLywOhHlQktTDUMdJ&#10;fL1PVS9fb/UbAAD//wMAUEsDBBQABgAIAAAAIQCac0kz4AAAAAwBAAAPAAAAZHJzL2Rvd25yZXYu&#10;eG1sTI/BTsMwEETvSPyDtZW4UbtpVNoQp6oQnJAQaThwdGI3sRqvQ+y24e/ZnuhxZkez8/Lt5Hp2&#10;NmOwHiUs5gKYwcZri62Er+rtcQ0sRIVa9R6NhF8TYFvc3+Uq0/6CpTnvY8uoBEOmJHQxDhnnoemM&#10;U2HuB4N0O/jRqUhybLke1YXKXc8TIVbcKYv0oVODeelMc9yfnITdN5av9uej/iwPpa2qjcD31VHK&#10;h9m0ewYWzRT/w3CdT9OhoE21P6EOrCedLoklSngSyxTYNSGSlGhqsjbrBHiR81uI4g8AAP//AwBQ&#10;SwECLQAUAAYACAAAACEAtoM4kv4AAADhAQAAEwAAAAAAAAAAAAAAAAAAAAAAW0NvbnRlbnRfVHlw&#10;ZXNdLnhtbFBLAQItABQABgAIAAAAIQA4/SH/1gAAAJQBAAALAAAAAAAAAAAAAAAAAC8BAABfcmVs&#10;cy8ucmVsc1BLAQItABQABgAIAAAAIQC2xDUP8AEAAMIDAAAOAAAAAAAAAAAAAAAAAC4CAABkcnMv&#10;ZTJvRG9jLnhtbFBLAQItABQABgAIAAAAIQCac0kz4AAAAAwBAAAPAAAAAAAAAAAAAAAAAEoEAABk&#10;cnMvZG93bnJldi54bWxQSwUGAAAAAAQABADzAAAAVwUAAAAA&#10;" filled="f" stroked="f">
                <v:textbox inset="0,0,0,0">
                  <w:txbxContent>
                    <w:p w14:paraId="7D9E5FDF" w14:textId="77777777" w:rsidR="00490F33" w:rsidRDefault="00490F33">
                      <w:pPr>
                        <w:spacing w:line="235" w:lineRule="exact"/>
                        <w:textAlignment w:val="baseline"/>
                        <w:rPr>
                          <w:rFonts w:ascii="Tahoma" w:eastAsia="Tahoma" w:hAnsi="Tahoma"/>
                          <w:color w:val="404042"/>
                          <w:sz w:val="18"/>
                        </w:rPr>
                      </w:pPr>
                      <w:r>
                        <w:rPr>
                          <w:rFonts w:ascii="Tahoma" w:eastAsia="Tahoma" w:hAnsi="Tahoma"/>
                          <w:color w:val="404042"/>
                          <w:sz w:val="18"/>
                        </w:rPr>
                        <w:t xml:space="preserve">Further insights from the project will be synthesised into a report and a digital tool to help visualise and explore pathways. These tools will be used to empower students, parents, educators, careers advisers </w:t>
                      </w:r>
                      <w:r>
                        <w:rPr>
                          <w:rFonts w:ascii="Verdana" w:eastAsia="Verdana" w:hAnsi="Verdana"/>
                          <w:color w:val="404042"/>
                          <w:sz w:val="18"/>
                        </w:rPr>
                        <w:t>and employers with the best available information on the impact of different pathway choices and the experiences of different student groups.</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81632" behindDoc="1" locked="0" layoutInCell="1" allowOverlap="1" wp14:anchorId="56215FCD" wp14:editId="59652605">
                <wp:simplePos x="0" y="0"/>
                <wp:positionH relativeFrom="page">
                  <wp:posOffset>905510</wp:posOffset>
                </wp:positionH>
                <wp:positionV relativeFrom="page">
                  <wp:posOffset>5186045</wp:posOffset>
                </wp:positionV>
                <wp:extent cx="5748020" cy="297180"/>
                <wp:effectExtent l="0" t="0" r="0" b="0"/>
                <wp:wrapSquare wrapText="bothSides"/>
                <wp:docPr id="30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768A5" w14:textId="77777777" w:rsidR="00490F33" w:rsidRDefault="00490F33">
                            <w:pPr>
                              <w:spacing w:line="229" w:lineRule="exact"/>
                              <w:jc w:val="both"/>
                              <w:textAlignment w:val="baseline"/>
                              <w:rPr>
                                <w:rFonts w:ascii="Tahoma" w:eastAsia="Tahoma" w:hAnsi="Tahoma"/>
                                <w:color w:val="404042"/>
                                <w:sz w:val="18"/>
                              </w:rPr>
                            </w:pPr>
                            <w:r>
                              <w:rPr>
                                <w:rFonts w:ascii="Tahoma" w:eastAsia="Tahoma" w:hAnsi="Tahoma"/>
                                <w:color w:val="404042"/>
                                <w:sz w:val="18"/>
                              </w:rPr>
                              <w:t xml:space="preserve">The broader research will be used to inform system and local government policies and programs that help </w:t>
                            </w:r>
                            <w:r>
                              <w:rPr>
                                <w:rFonts w:ascii="Verdana" w:eastAsia="Verdana" w:hAnsi="Verdana"/>
                                <w:color w:val="404042"/>
                                <w:sz w:val="18"/>
                              </w:rPr>
                              <w:t>young people transition through the education system and find meaningful 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15FCD" id="Text Box 27" o:spid="_x0000_s1437" type="#_x0000_t202" style="position:absolute;margin-left:71.3pt;margin-top:408.35pt;width:452.6pt;height:23.4pt;z-index:-251534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37wEAAMIDAAAOAAAAZHJzL2Uyb0RvYy54bWysU1Fv0zAQfkfiP1h+p0nLWEvUdBqbhpDG&#10;QNr4AVfHaSwSnzm7Tcqv5+w03YA3xIt1Pp8/f9935/XV0LXioMkbtKWcz3IptFVYGbsr5benuzcr&#10;KXwAW0GLVpfyqL282rx+te5doRfYYFtpEgxifdG7UjYhuCLLvGp0B36GTls+rJE6CLylXVYR9Ize&#10;tdkizy+zHqlyhEp7z9nb8VBuEn5daxW+1LXXQbSlZG4hrZTWbVyzzRqKHYFrjDrRgH9g0YGx/OgZ&#10;6hYCiD2Zv6A6owg91mGmsMuwro3SSQOrmed/qHlswOmkhc3x7myT/3+w6uHwlYSpSvk2v5TCQsdN&#10;etJDEB9wEItlNKh3vuC6R8eVYeA8NzqJ9e4e1XcvLN40YHf6mgj7RkPFBOfxZvbi6ojjI8i2/4wV&#10;vwP7gAloqKmL7rEfgtG5UcdzcyIXxcl3y4tVvuAjxWeL98v5KnUvg2K67ciHjxo7EYNSEjc/ocPh&#10;3ofIBoqpJD5m8c60bRqA1v6W4MKYSewj4ZF6GLZDcupinsRFbVusjiyIcBws/ggcNEg/peh5qErp&#10;f+yBtBTtJ8umxAmcApqC7RSAVXy1lEGKMbwJ46TuHZldw8ij7Rav2bjaJE3PLE6EeVCS1NNQx0l8&#10;uU9Vz19v8wsAAP//AwBQSwMEFAAGAAgAAAAhAJzQ6/PgAAAADAEAAA8AAABkcnMvZG93bnJldi54&#10;bWxMj8FOwzAQRO9I/IO1SNyo3VLcEuJUFYITEiINB45O7CZW43WI3Tb8PdsTHGf2aXYm30y+Zyc7&#10;RhdQwXwmgFlsgnHYKvisXu/WwGLSaHQf0Cr4sRE2xfVVrjMTzlja0y61jEIwZlpBl9KQcR6bznod&#10;Z2GwSLd9GL1OJMeWm1GfKdz3fCGE5F47pA+dHuxzZ5vD7ugVbL+wfHHf7/VHuS9dVT0KfJMHpW5v&#10;pu0TsGSn9AfDpT5Vh4I61eGIJrKe9HIhCVWwnssVsAshlitaU5Ml7x+AFzn/P6L4BQAA//8DAFBL&#10;AQItABQABgAIAAAAIQC2gziS/gAAAOEBAAATAAAAAAAAAAAAAAAAAAAAAABbQ29udGVudF9UeXBl&#10;c10ueG1sUEsBAi0AFAAGAAgAAAAhADj9If/WAAAAlAEAAAsAAAAAAAAAAAAAAAAALwEAAF9yZWxz&#10;Ly5yZWxzUEsBAi0AFAAGAAgAAAAhAP9onDfvAQAAwgMAAA4AAAAAAAAAAAAAAAAALgIAAGRycy9l&#10;Mm9Eb2MueG1sUEsBAi0AFAAGAAgAAAAhAJzQ6/PgAAAADAEAAA8AAAAAAAAAAAAAAAAASQQAAGRy&#10;cy9kb3ducmV2LnhtbFBLBQYAAAAABAAEAPMAAABWBQAAAAA=&#10;" filled="f" stroked="f">
                <v:textbox inset="0,0,0,0">
                  <w:txbxContent>
                    <w:p w14:paraId="4A4768A5" w14:textId="77777777" w:rsidR="00490F33" w:rsidRDefault="00490F33">
                      <w:pPr>
                        <w:spacing w:line="229" w:lineRule="exact"/>
                        <w:jc w:val="both"/>
                        <w:textAlignment w:val="baseline"/>
                        <w:rPr>
                          <w:rFonts w:ascii="Tahoma" w:eastAsia="Tahoma" w:hAnsi="Tahoma"/>
                          <w:color w:val="404042"/>
                          <w:sz w:val="18"/>
                        </w:rPr>
                      </w:pPr>
                      <w:r>
                        <w:rPr>
                          <w:rFonts w:ascii="Tahoma" w:eastAsia="Tahoma" w:hAnsi="Tahoma"/>
                          <w:color w:val="404042"/>
                          <w:sz w:val="18"/>
                        </w:rPr>
                        <w:t xml:space="preserve">The broader research will be used to inform system and local government policies and programs that help </w:t>
                      </w:r>
                      <w:r>
                        <w:rPr>
                          <w:rFonts w:ascii="Verdana" w:eastAsia="Verdana" w:hAnsi="Verdana"/>
                          <w:color w:val="404042"/>
                          <w:sz w:val="18"/>
                        </w:rPr>
                        <w:t>young people transition through the education system and find meaningful employment.</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82656" behindDoc="1" locked="0" layoutInCell="1" allowOverlap="1" wp14:anchorId="187072E6" wp14:editId="2CF4964E">
                <wp:simplePos x="0" y="0"/>
                <wp:positionH relativeFrom="page">
                  <wp:posOffset>905510</wp:posOffset>
                </wp:positionH>
                <wp:positionV relativeFrom="page">
                  <wp:posOffset>5632450</wp:posOffset>
                </wp:positionV>
                <wp:extent cx="5681345" cy="463550"/>
                <wp:effectExtent l="0" t="0" r="0" b="0"/>
                <wp:wrapSquare wrapText="bothSides"/>
                <wp:docPr id="30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34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ADD2" w14:textId="77777777" w:rsidR="00490F33" w:rsidRDefault="00490F33">
                            <w:pPr>
                              <w:spacing w:line="180" w:lineRule="exact"/>
                              <w:jc w:val="both"/>
                              <w:textAlignment w:val="baseline"/>
                              <w:rPr>
                                <w:rFonts w:ascii="Tahoma" w:eastAsia="Tahoma" w:hAnsi="Tahoma"/>
                                <w:color w:val="000000"/>
                                <w:sz w:val="13"/>
                              </w:rPr>
                            </w:pPr>
                            <w:r>
                              <w:rPr>
                                <w:rFonts w:ascii="Tahoma" w:eastAsia="Tahoma" w:hAnsi="Tahoma"/>
                                <w:color w:val="000000"/>
                                <w:sz w:val="13"/>
                              </w:rPr>
                              <w:t xml:space="preserve">Source: NSW eTendering, ‘Department of Education: Expression of Interest –Pathways for the Future – Reform Project’, webpage (accessed 1 May 2020), </w:t>
                            </w:r>
                            <w:hyperlink r:id="rId335">
                              <w:r>
                                <w:rPr>
                                  <w:rFonts w:ascii="Tahoma" w:eastAsia="Tahoma" w:hAnsi="Tahoma"/>
                                  <w:color w:val="0000FF"/>
                                  <w:sz w:val="13"/>
                                  <w:u w:val="single"/>
                                </w:rPr>
                                <w:t>https://tenders.nsw.gov.au/doe/?event=public.rft.showArchived&amp;RFTUUID=96378B16-D58F-116B-CEB7908F898018D8;</w:t>
                              </w:r>
                            </w:hyperlink>
                            <w:r>
                              <w:rPr>
                                <w:rFonts w:ascii="Tahoma" w:eastAsia="Tahoma" w:hAnsi="Tahoma"/>
                                <w:color w:val="000000"/>
                                <w:sz w:val="13"/>
                              </w:rPr>
                              <w:t xml:space="preserve"> and Training Services NSW, ‘NSW research project: Pathways for the Future’, webpage (accessed 1 May 2020), https://www.training.nsw.gov.au/ programs_services/funded_other/pftf/index.html.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072E6" id="Text Box 26" o:spid="_x0000_s1438" type="#_x0000_t202" style="position:absolute;margin-left:71.3pt;margin-top:443.5pt;width:447.35pt;height:36.5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Ql8AEAAMIDAAAOAAAAZHJzL2Uyb0RvYy54bWysU9tu2zAMfR+wfxD0vjh3FEacomvRYUC3&#10;FWj3AYwsx8JsUaOU2NnXj5LjrFvfir0IFEUdHR4eba77thFHTd6gLeRsMpVCW4WlsftCfn++/3Al&#10;hQ9gS2jQ6kKetJfX2/fvNp3L9RxrbEpNgkGszztXyDoEl2eZV7VuwU/QacuHFVILgbe0z0qCjtHb&#10;JptPp+usQyododLec/ZuOJTbhF9VWoVvVeV1EE0hmVtIK6V1F9dsu4F8T+Bqo8404A0sWjCWH71A&#10;3UEAcSDzCqo1itBjFSYK2wyryiideuBuZtN/unmqwenUC4vj3UUm//9g1dfjIwlTFnIxXUlhoeUh&#10;Pes+iI/Yi/k6CtQ5n3Pdk+PK0HOeB52a9e4B1Q8vLN7WYPf6hgi7WkPJBGfxZvbi6oDjI8iu+4Il&#10;vwOHgAmor6iN6rEegtF5UKfLcCIXxcnV+mq2WDJHxWfL9WK1StPLIB9vO/Lhk8ZWxKCQxMNP6HB8&#10;8CGygXwsiY9ZvDdNkwzQ2L8SXBgziX0kPFAP/a5PSi1n81GWHZYnbohwMBZ/BA5qpF9SdGyqQvqf&#10;ByAtRfPZsijRgWNAY7AbA7CKrxYySDGEt2Fw6sGR2deMPMhu8YaFq0zqKSo8sDgTZqOkVs+mjk58&#10;uU9Vf77e9jcAAAD//wMAUEsDBBQABgAIAAAAIQDm11VC4AAAAAwBAAAPAAAAZHJzL2Rvd25yZXYu&#10;eG1sTI/BTsMwEETvSPyDtZW4UbstStMQp6oQnJAQaThwdOJtYjVeh9htw9/jnspxtE+zb/LtZHt2&#10;xtEbRxIWcwEMqXHaUCvhq3p7TIH5oEir3hFK+EUP2+L+LleZdhcq8bwPLYsl5DMloQthyDj3TYdW&#10;+bkbkOLt4EarQoxjy/WoLrHc9nwpRMKtMhQ/dGrAlw6b4/5kJey+qXw1Px/1Z3koTVVtBL0nRykf&#10;ZtPuGVjAKdxguOpHdSiiU+1OpD3rY35aJhGVkKbrOOpKiNV6BayWsEmEAF7k/P+I4g8AAP//AwBQ&#10;SwECLQAUAAYACAAAACEAtoM4kv4AAADhAQAAEwAAAAAAAAAAAAAAAAAAAAAAW0NvbnRlbnRfVHlw&#10;ZXNdLnhtbFBLAQItABQABgAIAAAAIQA4/SH/1gAAAJQBAAALAAAAAAAAAAAAAAAAAC8BAABfcmVs&#10;cy8ucmVsc1BLAQItABQABgAIAAAAIQDAaxQl8AEAAMIDAAAOAAAAAAAAAAAAAAAAAC4CAABkcnMv&#10;ZTJvRG9jLnhtbFBLAQItABQABgAIAAAAIQDm11VC4AAAAAwBAAAPAAAAAAAAAAAAAAAAAEoEAABk&#10;cnMvZG93bnJldi54bWxQSwUGAAAAAAQABADzAAAAVwUAAAAA&#10;" filled="f" stroked="f">
                <v:textbox inset="0,0,0,0">
                  <w:txbxContent>
                    <w:p w14:paraId="2E7BADD2" w14:textId="77777777" w:rsidR="00490F33" w:rsidRDefault="00490F33">
                      <w:pPr>
                        <w:spacing w:line="180" w:lineRule="exact"/>
                        <w:jc w:val="both"/>
                        <w:textAlignment w:val="baseline"/>
                        <w:rPr>
                          <w:rFonts w:ascii="Tahoma" w:eastAsia="Tahoma" w:hAnsi="Tahoma"/>
                          <w:color w:val="000000"/>
                          <w:sz w:val="13"/>
                        </w:rPr>
                      </w:pPr>
                      <w:r>
                        <w:rPr>
                          <w:rFonts w:ascii="Tahoma" w:eastAsia="Tahoma" w:hAnsi="Tahoma"/>
                          <w:color w:val="000000"/>
                          <w:sz w:val="13"/>
                        </w:rPr>
                        <w:t xml:space="preserve">Source: NSW eTendering, ‘Department of Education: Expression of Interest –Pathways for the Future – Reform Project’, webpage (accessed 1 May 2020), </w:t>
                      </w:r>
                      <w:hyperlink r:id="rId336">
                        <w:r>
                          <w:rPr>
                            <w:rFonts w:ascii="Tahoma" w:eastAsia="Tahoma" w:hAnsi="Tahoma"/>
                            <w:color w:val="0000FF"/>
                            <w:sz w:val="13"/>
                            <w:u w:val="single"/>
                          </w:rPr>
                          <w:t>https://tenders.nsw.gov.au/doe/?event=public.rft.showArchived&amp;RFTUUID=96378B16-D58F-116B-CEB7908F898018D8;</w:t>
                        </w:r>
                      </w:hyperlink>
                      <w:r>
                        <w:rPr>
                          <w:rFonts w:ascii="Tahoma" w:eastAsia="Tahoma" w:hAnsi="Tahoma"/>
                          <w:color w:val="000000"/>
                          <w:sz w:val="13"/>
                        </w:rPr>
                        <w:t xml:space="preserve"> and Training Services NSW, ‘NSW research project: Pathways for the Future’, webpage (accessed 1 May 2020), https://www.training.nsw.gov.au/ programs_services/funded_other/pftf/index.html.</w:t>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83680" behindDoc="1" locked="0" layoutInCell="1" allowOverlap="1" wp14:anchorId="3E370361" wp14:editId="5F89804B">
                <wp:simplePos x="0" y="0"/>
                <wp:positionH relativeFrom="page">
                  <wp:posOffset>4898390</wp:posOffset>
                </wp:positionH>
                <wp:positionV relativeFrom="page">
                  <wp:posOffset>9693910</wp:posOffset>
                </wp:positionV>
                <wp:extent cx="2124075" cy="137795"/>
                <wp:effectExtent l="0" t="0" r="0" b="0"/>
                <wp:wrapSquare wrapText="bothSides"/>
                <wp:docPr id="30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1288D" w14:textId="77777777" w:rsidR="00490F33" w:rsidRDefault="00490F33">
                            <w:pPr>
                              <w:spacing w:after="21" w:line="193" w:lineRule="exact"/>
                              <w:textAlignment w:val="baseline"/>
                              <w:rPr>
                                <w:rFonts w:ascii="Tahoma" w:eastAsia="Tahoma" w:hAnsi="Tahoma"/>
                                <w:color w:val="404042"/>
                                <w:spacing w:val="9"/>
                                <w:sz w:val="13"/>
                              </w:rPr>
                            </w:pPr>
                            <w:r>
                              <w:rPr>
                                <w:rFonts w:ascii="Tahoma" w:eastAsia="Tahoma" w:hAnsi="Tahoma"/>
                                <w:color w:val="404042"/>
                                <w:spacing w:val="9"/>
                                <w:sz w:val="13"/>
                              </w:rPr>
                              <w:t>Chapter 7: Creating evidence-based policy</w:t>
                            </w:r>
                            <w:r>
                              <w:rPr>
                                <w:rFonts w:ascii="Arial" w:eastAsia="Arial" w:hAnsi="Arial"/>
                                <w:b/>
                                <w:color w:val="5556A1"/>
                                <w:spacing w:val="9"/>
                                <w:sz w:val="18"/>
                              </w:rPr>
                              <w:t xml:space="preserve"> 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70361" id="Text Box 25" o:spid="_x0000_s1439" type="#_x0000_t202" style="position:absolute;margin-left:385.7pt;margin-top:763.3pt;width:167.25pt;height:10.85pt;z-index:-251532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gb8QEAAMIDAAAOAAAAZHJzL2Uyb0RvYy54bWysU9uO0zAQfUfiHyy/01zapRA1XS27WoS0&#10;XKRdPsBxnMQi8Zix26R8PWOnKQu8IV6s8Xh8fObM8e56Gnp2VOg0mJJnq5QzZSTU2rQl//p0/+oN&#10;Z84LU4sejCr5STl+vX/5YjfaQuXQQV8rZARiXDHaknfe2yJJnOzUINwKrDJ02AAOwtMW26RGMRL6&#10;0Cd5mr5ORsDaIkjlHGXv5kO+j/hNo6T/3DROedaXnLj5uGJcq7Am+50oWhS20/JMQ/wDi0FoQ49e&#10;oO6EF+yA+i+oQUsEB41fSRgSaBotVeyBusnSP7p57IRVsRcSx9mLTO7/wcpPxy/IdF3ydbrhzIiB&#10;hvSkJs/ewcTyqyDQaF1BdY+WKv1EeRp0bNbZB5DfHDNw2wnTqhtEGDslaiKYhZvJs6szjgsg1fgR&#10;anpHHDxEoKnBIahHejBCp0GdLsMJXCQl8yzfpNsrziSdZevt9m0kl4hiuW3R+fcKBhaCkiMNP6KL&#10;44PzgY0olpLwmIF73ffRAL35LUGFIRPZB8IzdT9VU1Rqk60XWSqoT9QQwmws+ggUdIA/OBvJVCV3&#10;3w8CFWf9B0OiBAcuAS5BtQTCSLpacs/ZHN762akHi7rtCHmW3cANCdfo2FNQeGZxJkxGia2eTR2c&#10;+Hwfq359vf1PAAAA//8DAFBLAwQUAAYACAAAACEABd7xgOIAAAAOAQAADwAAAGRycy9kb3ducmV2&#10;LnhtbEyPwU7DMAyG70i8Q2Qkbizt2LqtazpNCE5IiK4cdkwbr43WOKXJtvL2pCc42v+n35+z3Wg6&#10;dsXBaUsC4lkEDKm2SlMj4Kt8e1oDc16Skp0lFPCDDnb5/V0mU2VvVOD14BsWSsilUkDrfZ9y7uoW&#10;jXQz2yOF7GQHI30Yh4arQd5Cuen4PIoSbqSmcKGVPb60WJ8PFyNgf6TiVX9/VJ/FqdBluYnoPTkL&#10;8fgw7rfAPI7+D4ZJP6hDHpwqeyHlWCdgtYoXAQ3Bcp4kwCYkjpYbYNW0W6yfgecZ//9G/gsAAP//&#10;AwBQSwECLQAUAAYACAAAACEAtoM4kv4AAADhAQAAEwAAAAAAAAAAAAAAAAAAAAAAW0NvbnRlbnRf&#10;VHlwZXNdLnhtbFBLAQItABQABgAIAAAAIQA4/SH/1gAAAJQBAAALAAAAAAAAAAAAAAAAAC8BAABf&#10;cmVscy8ucmVsc1BLAQItABQABgAIAAAAIQDLjJgb8QEAAMIDAAAOAAAAAAAAAAAAAAAAAC4CAABk&#10;cnMvZTJvRG9jLnhtbFBLAQItABQABgAIAAAAIQAF3vGA4gAAAA4BAAAPAAAAAAAAAAAAAAAAAEsE&#10;AABkcnMvZG93bnJldi54bWxQSwUGAAAAAAQABADzAAAAWgUAAAAA&#10;" filled="f" stroked="f">
                <v:textbox inset="0,0,0,0">
                  <w:txbxContent>
                    <w:p w14:paraId="6BE1288D" w14:textId="77777777" w:rsidR="00490F33" w:rsidRDefault="00490F33">
                      <w:pPr>
                        <w:spacing w:after="21" w:line="193" w:lineRule="exact"/>
                        <w:textAlignment w:val="baseline"/>
                        <w:rPr>
                          <w:rFonts w:ascii="Tahoma" w:eastAsia="Tahoma" w:hAnsi="Tahoma"/>
                          <w:color w:val="404042"/>
                          <w:spacing w:val="9"/>
                          <w:sz w:val="13"/>
                        </w:rPr>
                      </w:pPr>
                      <w:r>
                        <w:rPr>
                          <w:rFonts w:ascii="Tahoma" w:eastAsia="Tahoma" w:hAnsi="Tahoma"/>
                          <w:color w:val="404042"/>
                          <w:spacing w:val="9"/>
                          <w:sz w:val="13"/>
                        </w:rPr>
                        <w:t>Chapter 7: Creating evidence-based policy</w:t>
                      </w:r>
                      <w:r>
                        <w:rPr>
                          <w:rFonts w:ascii="Arial" w:eastAsia="Arial" w:hAnsi="Arial"/>
                          <w:b/>
                          <w:color w:val="5556A1"/>
                          <w:spacing w:val="9"/>
                          <w:sz w:val="18"/>
                        </w:rPr>
                        <w:t xml:space="preserve"> 147</w:t>
                      </w:r>
                    </w:p>
                  </w:txbxContent>
                </v:textbox>
                <w10:wrap type="square" anchorx="page" anchory="page"/>
              </v:shape>
            </w:pict>
          </mc:Fallback>
        </mc:AlternateContent>
      </w:r>
    </w:p>
    <w:p w14:paraId="379956BD" w14:textId="77777777" w:rsidR="009757A9" w:rsidRDefault="009757A9">
      <w:pPr>
        <w:sectPr w:rsidR="009757A9">
          <w:pgSz w:w="11909" w:h="16838"/>
          <w:pgMar w:top="0" w:right="1440" w:bottom="0" w:left="1440" w:header="720" w:footer="720" w:gutter="0"/>
          <w:cols w:space="720"/>
        </w:sectPr>
      </w:pPr>
    </w:p>
    <w:p w14:paraId="10A15992" w14:textId="18FC521C" w:rsidR="009757A9" w:rsidRDefault="000D2E34">
      <w:pPr>
        <w:spacing w:before="2" w:line="215" w:lineRule="exact"/>
        <w:ind w:left="864"/>
        <w:textAlignment w:val="baseline"/>
        <w:rPr>
          <w:rFonts w:ascii="Arial" w:eastAsia="Arial" w:hAnsi="Arial"/>
          <w:i/>
          <w:color w:val="007896"/>
          <w:spacing w:val="1"/>
          <w:sz w:val="18"/>
        </w:rPr>
      </w:pPr>
      <w:r>
        <w:rPr>
          <w:noProof/>
          <w:lang w:val="en-AU" w:eastAsia="en-AU"/>
        </w:rPr>
        <w:lastRenderedPageBreak/>
        <mc:AlternateContent>
          <mc:Choice Requires="wps">
            <w:drawing>
              <wp:anchor distT="0" distB="307975" distL="545465" distR="536575" simplePos="0" relativeHeight="251784704" behindDoc="1" locked="0" layoutInCell="1" allowOverlap="1" wp14:anchorId="390BB834" wp14:editId="0A59FD89">
                <wp:simplePos x="0" y="0"/>
                <wp:positionH relativeFrom="page">
                  <wp:posOffset>545465</wp:posOffset>
                </wp:positionH>
                <wp:positionV relativeFrom="page">
                  <wp:posOffset>723900</wp:posOffset>
                </wp:positionV>
                <wp:extent cx="6480175" cy="1521460"/>
                <wp:effectExtent l="0" t="0" r="15875" b="21590"/>
                <wp:wrapSquare wrapText="bothSides"/>
                <wp:docPr id="3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521460"/>
                        </a:xfrm>
                        <a:prstGeom prst="rect">
                          <a:avLst/>
                        </a:prstGeom>
                        <a:solidFill>
                          <a:srgbClr val="DFE6EB"/>
                        </a:solidFill>
                        <a:ln w="9525">
                          <a:solidFill>
                            <a:srgbClr val="000000"/>
                          </a:solidFill>
                          <a:miter lim="800000"/>
                          <a:headEnd/>
                          <a:tailEnd/>
                        </a:ln>
                      </wps:spPr>
                      <wps:txbx>
                        <w:txbxContent>
                          <w:p w14:paraId="4AA30FD5"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BB834" id="Text Box 24" o:spid="_x0000_s1440" type="#_x0000_t202" style="position:absolute;left:0;text-align:left;margin-left:42.95pt;margin-top:57pt;width:510.25pt;height:119.8pt;z-index:-251531776;visibility:visible;mso-wrap-style:square;mso-width-percent:0;mso-height-percent:0;mso-wrap-distance-left:42.95pt;mso-wrap-distance-top:0;mso-wrap-distance-right:42.25pt;mso-wrap-distance-bottom:24.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y9RLAIAAE0EAAAOAAAAZHJzL2Uyb0RvYy54bWysVNuO0zAQfUfiHyy/0yTdtpSo6Wq3F4S0&#10;XKRdPsBxnMTC8RjbbVK+nrHTltUCL4g8WGN75njmnJmsbodOkaOwToIuaDZJKRGaQyV1U9CvT/s3&#10;S0qcZ7piCrQo6Ek4ert+/WrVm1xMoQVVCUsQRLu8NwVtvTd5kjjeio65CRih8bIG2zGPW9sklWU9&#10;oncqmabpIunBVsYCF87h6Xa8pOuIX9eC+8917YQnqqCYm4+rjWsZ1mS9YnljmWklP6fB/iGLjkmN&#10;j16htswzcrDyN6hOcgsOaj/h0CVQ15KLWANWk6UvqnlsmRGxFiTHmStN7v/B8k/HL5bIqqA36Q0l&#10;mnUo0pMYPLmHgUxngaDeuBz9Hg16+gHPUehYrDMPwL85omHTMt2IO2uhbwWrMMEsRCbPQkccF0DK&#10;/iNU+A47eIhAQ227wB7yQRAdhTpdxQm5cDxczJZp9nZOCce7bD7NZosoX8LyS7ixzr8X0JFgFNSi&#10;+hGeHR+cD+mw/OISXnOgZLWXSsWNbcqNsuTIsFO2+91idx8reOGmNOkL+m4+nY8M/BUijd+fIDrp&#10;seWV7Aq6vDqxPPC201VsSM+kGm1MWekzkYG7kUU/lEMUbZZdFSqhOiG3FsYex5lEowX7g5Ie+7ug&#10;7vuBWUGJ+qBRnzAMF8NejPJiMM0xtKCektHc+HFoDsbKpkXksQM03KGGtYzsBrHHLM4JY89G0s/z&#10;FYbi+T56/foLrH8CAAD//wMAUEsDBBQABgAIAAAAIQBiCzQB4QAAAAsBAAAPAAAAZHJzL2Rvd25y&#10;ZXYueG1sTI9BT4NAEIXvJv6HzZh4swttIYgsTWM00Xiy2kNvA2xhU3aWsFuK/97pSY8z896b7xWb&#10;2fZi0qM3jhTEiwiEpto1hloF31+vDxkIH5Aa7B1pBT/aw6a8vSkwb9yFPvW0C63gEPI5KuhCGHIp&#10;fd1pi37hBk18O7rRYuBxbGUz4oXDbS+XUZRKi4b4Q4eDfu50fdqdLWMsp+NLe9rix1uSxsP73lTZ&#10;wSh1fzdvn0AEPYc/MVzx2QMlM1XuTI0XvYIseWQl7+M1d7oK4ihdg6gUrJJVCrIs5P8O5S8AAAD/&#10;/wMAUEsBAi0AFAAGAAgAAAAhALaDOJL+AAAA4QEAABMAAAAAAAAAAAAAAAAAAAAAAFtDb250ZW50&#10;X1R5cGVzXS54bWxQSwECLQAUAAYACAAAACEAOP0h/9YAAACUAQAACwAAAAAAAAAAAAAAAAAvAQAA&#10;X3JlbHMvLnJlbHNQSwECLQAUAAYACAAAACEAN58vUSwCAABNBAAADgAAAAAAAAAAAAAAAAAuAgAA&#10;ZHJzL2Uyb0RvYy54bWxQSwECLQAUAAYACAAAACEAYgs0AeEAAAALAQAADwAAAAAAAAAAAAAAAACG&#10;BAAAZHJzL2Rvd25yZXYueG1sUEsFBgAAAAAEAAQA8wAAAJQFAAAAAA==&#10;" fillcolor="#dfe6eb">
                <v:textbox inset="0,0,0,0">
                  <w:txbxContent>
                    <w:p w14:paraId="4AA30FD5"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786752" behindDoc="1" locked="0" layoutInCell="1" allowOverlap="1" wp14:anchorId="4C085AC1" wp14:editId="5792BC90">
                <wp:simplePos x="0" y="0"/>
                <wp:positionH relativeFrom="page">
                  <wp:posOffset>597535</wp:posOffset>
                </wp:positionH>
                <wp:positionV relativeFrom="page">
                  <wp:posOffset>965835</wp:posOffset>
                </wp:positionV>
                <wp:extent cx="6428105" cy="1130935"/>
                <wp:effectExtent l="0" t="0" r="0" b="0"/>
                <wp:wrapSquare wrapText="bothSides"/>
                <wp:docPr id="30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1130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CDB83"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20</w:t>
                            </w:r>
                          </w:p>
                          <w:p w14:paraId="52BE234E" w14:textId="77777777" w:rsidR="00490F33" w:rsidRDefault="00490F33">
                            <w:pPr>
                              <w:spacing w:before="160" w:after="129" w:line="240" w:lineRule="exact"/>
                              <w:ind w:left="504" w:right="648"/>
                              <w:textAlignment w:val="baseline"/>
                              <w:rPr>
                                <w:rFonts w:ascii="Tahoma" w:eastAsia="Tahoma" w:hAnsi="Tahoma"/>
                                <w:color w:val="404042"/>
                                <w:sz w:val="18"/>
                              </w:rPr>
                            </w:pPr>
                            <w:r>
                              <w:rPr>
                                <w:rFonts w:ascii="Tahoma" w:eastAsia="Tahoma" w:hAnsi="Tahoma"/>
                                <w:color w:val="404042"/>
                                <w:sz w:val="18"/>
                              </w:rPr>
                              <w:t>Data integration projects across sectors and states and territories should be leveraged to provide insights into how and why people move through different parts of the education system and labour market across their lifetimes and, to this end, Education Council should accelerate the development of a Unique Student Identifier to understand better the routes by which students, from Year 10 onwards, move into tertiary education, training and 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85AC1" id="Text Box 22" o:spid="_x0000_s1441" type="#_x0000_t202" style="position:absolute;left:0;text-align:left;margin-left:47.05pt;margin-top:76.05pt;width:506.15pt;height:89.05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HoV8AEAAMMDAAAOAAAAZHJzL2Uyb0RvYy54bWysU8Fu2zAMvQ/YPwi6L7aTtuiMOEXXosOA&#10;bh3Q7gMYWY6F2aJGKbGzrx8lJ2m33YpeBJqiHt97pJdXY9+JnSZv0FaymOVSaKuwNnZTyR9Pdx8u&#10;pfABbA0dWl3JvfbyavX+3XJwpZ5ji12tSTCI9eXgKtmG4Mos86rVPfgZOm35skHqIfAnbbKaYGD0&#10;vsvmeX6RDUi1I1Tae87eTpdylfCbRqvw0DReB9FVkrmFdFI61/HMVksoNwSuNepAA17BogdjuekJ&#10;6hYCiC2Z/6B6owg9NmGmsM+waYzSSQOrKfJ/1Dy24HTSwuZ4d7LJvx2s+rb7TsLUlVzkhRQWeh7S&#10;kx6D+ISjmM+jQYPzJdc9Oq4MI+d50Emsd/eofnph8aYFu9HXRDi0GmomWMSX2YunE46PIOvhK9bc&#10;B7YBE9DYUB/dYz8Eo/Og9qfhRC6Kkxdn88siP5dC8V1RLPKPi/PUA8rjc0c+fNbYixhUknj6CR52&#10;9z5EOlAeS2I3i3em69IGdPavBBfGTKIfGU/cw7gek1VnReocxa2x3rMiwmmz+E/goEX6LcXAW1VJ&#10;/2sLpKXovlh2Ja7gMaBjsD4GYBU/rWSQYgpvwrSqW0dm0zLy5LvFa3auMUnTM4sDYd6UJPWw1XEV&#10;X36nqud/b/UHAAD//wMAUEsDBBQABgAIAAAAIQBJR7/F4AAAAAsBAAAPAAAAZHJzL2Rvd25yZXYu&#10;eG1sTI89T8MwEIZ3JP6DdUhs1E5aIhriVBWCCQmRhoHRid3EanwOsduGf891Ktt9PHrvuWIzu4Gd&#10;zBSsRwnJQgAz2HptsZPwVb89PAELUaFWg0cj4dcE2JS3N4XKtT9jZU672DEKwZArCX2MY855aHvj&#10;VFj40SDt9n5yKlI7dVxP6kzhbuCpEBl3yiJd6NVoXnrTHnZHJ2H7jdWr/floPqt9Zet6LfA9O0h5&#10;fzdvn4FFM8crDBd9UoeSnBp/RB3YIGG9Soik+WNKxQVIRLYC1khYLkUKvCz4/x/KPwAAAP//AwBQ&#10;SwECLQAUAAYACAAAACEAtoM4kv4AAADhAQAAEwAAAAAAAAAAAAAAAAAAAAAAW0NvbnRlbnRfVHlw&#10;ZXNdLnhtbFBLAQItABQABgAIAAAAIQA4/SH/1gAAAJQBAAALAAAAAAAAAAAAAAAAAC8BAABfcmVs&#10;cy8ucmVsc1BLAQItABQABgAIAAAAIQDg8HoV8AEAAMMDAAAOAAAAAAAAAAAAAAAAAC4CAABkcnMv&#10;ZTJvRG9jLnhtbFBLAQItABQABgAIAAAAIQBJR7/F4AAAAAsBAAAPAAAAAAAAAAAAAAAAAEoEAABk&#10;cnMvZG93bnJldi54bWxQSwUGAAAAAAQABADzAAAAVwUAAAAA&#10;" filled="f" stroked="f">
                <v:textbox inset="0,0,0,0">
                  <w:txbxContent>
                    <w:p w14:paraId="6D3CDB83" w14:textId="77777777" w:rsidR="00490F33" w:rsidRDefault="00490F33">
                      <w:pPr>
                        <w:spacing w:before="10" w:line="277" w:lineRule="exact"/>
                        <w:ind w:left="504"/>
                        <w:textAlignment w:val="baseline"/>
                        <w:rPr>
                          <w:rFonts w:ascii="Arial" w:eastAsia="Arial" w:hAnsi="Arial"/>
                          <w:b/>
                          <w:color w:val="00708E"/>
                          <w:spacing w:val="-1"/>
                          <w:sz w:val="25"/>
                        </w:rPr>
                      </w:pPr>
                      <w:r>
                        <w:rPr>
                          <w:rFonts w:ascii="Arial" w:eastAsia="Arial" w:hAnsi="Arial"/>
                          <w:b/>
                          <w:color w:val="00708E"/>
                          <w:spacing w:val="-1"/>
                          <w:sz w:val="25"/>
                        </w:rPr>
                        <w:t>Recommendation 20</w:t>
                      </w:r>
                    </w:p>
                    <w:p w14:paraId="52BE234E" w14:textId="77777777" w:rsidR="00490F33" w:rsidRDefault="00490F33">
                      <w:pPr>
                        <w:spacing w:before="160" w:after="129" w:line="240" w:lineRule="exact"/>
                        <w:ind w:left="504" w:right="648"/>
                        <w:textAlignment w:val="baseline"/>
                        <w:rPr>
                          <w:rFonts w:ascii="Tahoma" w:eastAsia="Tahoma" w:hAnsi="Tahoma"/>
                          <w:color w:val="404042"/>
                          <w:sz w:val="18"/>
                        </w:rPr>
                      </w:pPr>
                      <w:r>
                        <w:rPr>
                          <w:rFonts w:ascii="Tahoma" w:eastAsia="Tahoma" w:hAnsi="Tahoma"/>
                          <w:color w:val="404042"/>
                          <w:sz w:val="18"/>
                        </w:rPr>
                        <w:t>Data integration projects across sectors and states and territories should be leveraged to provide insights into how and why people move through different parts of the education system and labour market across their lifetimes and, to this end, Education Council should accelerate the development of a Unique Student Identifier to understand better the routes by which students, from Year 10 onwards, move into tertiary education, training and employment.</w:t>
                      </w:r>
                    </w:p>
                  </w:txbxContent>
                </v:textbox>
                <w10:wrap type="square" anchorx="page" anchory="page"/>
              </v:shape>
            </w:pict>
          </mc:Fallback>
        </mc:AlternateContent>
      </w:r>
      <w:r>
        <w:rPr>
          <w:noProof/>
          <w:lang w:val="en-AU" w:eastAsia="en-AU"/>
        </w:rPr>
        <mc:AlternateContent>
          <mc:Choice Requires="wps">
            <w:drawing>
              <wp:anchor distT="0" distB="0" distL="114300" distR="114300" simplePos="0" relativeHeight="252009984" behindDoc="0" locked="0" layoutInCell="1" allowOverlap="1" wp14:anchorId="56DCFBC5" wp14:editId="6850915E">
                <wp:simplePos x="0" y="0"/>
                <wp:positionH relativeFrom="page">
                  <wp:posOffset>545465</wp:posOffset>
                </wp:positionH>
                <wp:positionV relativeFrom="page">
                  <wp:posOffset>723900</wp:posOffset>
                </wp:positionV>
                <wp:extent cx="6480175" cy="0"/>
                <wp:effectExtent l="0" t="0" r="0" b="0"/>
                <wp:wrapNone/>
                <wp:docPr id="29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830EA" id="Line 20" o:spid="_x0000_s1026" style="position:absolute;z-index:2520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553.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l0QEAAIUDAAAOAAAAZHJzL2Uyb0RvYy54bWysU01v2zAMvQ/YfxB0X+xka5sacXpI2l2y&#10;LUDbH8BIsi1MFgVJiZ1/P0r5WLfdil0ESiQfHx+pxcPYG3ZQPmi0NZ9OSs6UFSi1bWv++vL0ac5Z&#10;iGAlGLSq5kcV+MPy44fF4Co1ww6NVJ4RiA3V4GrexeiqogiiUz2ECTplydmg7yHS1beF9DAQem+K&#10;WVneFgN66TwKFQK9rk9Ovsz4TaNE/NE0QUVmak7cYj59PnfpLJYLqFoPrtPiTAPewaIHbanoFWoN&#10;Edje63+gei08BmziRGBfYNNooXIP1M20/Kub5w6cyr2QOMFdZQr/D1Z8P2w907Lms/t7ziz0NKSN&#10;torNsjiDCxXFrOzWp/bEaJ/dBsXPwCyuOrCtyiRfjo7ypknO4o+UdAmOSuyGbygpBvYRs1Jj4/sE&#10;SRqwMQ/keB2IGiMT9Hj7ZV5O7244ExdfAdUl0fkQvyrsWTJqboh0BobDJsREBKpLSKpj8Ukbk+dt&#10;LBsI/PNNmRMCGi2TM4UF3+5WxrMDpI0p78r5Y+6KPG/DEvIaQneKy67TLnncW5mrdArk49mOoM3J&#10;JlbGnlVKwqRNDdUO5XHrL+rRrDP9816mZXp7z9m/f8/yFwAAAP//AwBQSwMEFAAGAAgAAAAhAITk&#10;J9jeAAAACwEAAA8AAABkcnMvZG93bnJldi54bWxMj11LwzAUhu8F/0M4gncu7Zhj1qZDCupQBm4q&#10;eJk1x6aYnJQm2+q/9wwEvTzveXg/yuXonTjgELtACvJJBgKpCaajVsHb6/3VAkRMmox2gVDBN0ZY&#10;VudnpS5MONIGD9vUCjahWGgFNqW+kDI2Fr2Ok9Aj8e8zDF4nPodWmkEf2dw7Oc2yufS6I06wusfa&#10;YvO13XsFpl6tntZ1erSjexjeX56n8mPjlbq8GO9uQSQc0x8Mp/pcHSrutAt7MlE4BYvrGyZZz2e8&#10;6QTk2XwGYvcryaqU/zdUPwAAAP//AwBQSwECLQAUAAYACAAAACEAtoM4kv4AAADhAQAAEwAAAAAA&#10;AAAAAAAAAAAAAAAAW0NvbnRlbnRfVHlwZXNdLnhtbFBLAQItABQABgAIAAAAIQA4/SH/1gAAAJQB&#10;AAALAAAAAAAAAAAAAAAAAC8BAABfcmVscy8ucmVsc1BLAQItABQABgAIAAAAIQD7Cs+l0QEAAIUD&#10;AAAOAAAAAAAAAAAAAAAAAC4CAABkcnMvZTJvRG9jLnhtbFBLAQItABQABgAIAAAAIQCE5CfY3gAA&#10;AAsBAAAPAAAAAAAAAAAAAAAAACsEAABkcnMvZG93bnJldi54bWxQSwUGAAAAAAQABADzAAAANgUA&#10;AAAA&#10;" strokecolor="#00708e" strokeweight=".5pt">
                <w10:wrap anchorx="page" anchory="page"/>
              </v:line>
            </w:pict>
          </mc:Fallback>
        </mc:AlternateContent>
      </w:r>
      <w:r>
        <w:rPr>
          <w:noProof/>
          <w:lang w:val="en-AU" w:eastAsia="en-AU"/>
        </w:rPr>
        <mc:AlternateContent>
          <mc:Choice Requires="wps">
            <w:drawing>
              <wp:anchor distT="0" distB="0" distL="114300" distR="114300" simplePos="0" relativeHeight="252011008" behindDoc="0" locked="0" layoutInCell="1" allowOverlap="1" wp14:anchorId="63D221C7" wp14:editId="0F66A923">
                <wp:simplePos x="0" y="0"/>
                <wp:positionH relativeFrom="page">
                  <wp:posOffset>545465</wp:posOffset>
                </wp:positionH>
                <wp:positionV relativeFrom="page">
                  <wp:posOffset>2245360</wp:posOffset>
                </wp:positionV>
                <wp:extent cx="6480175" cy="0"/>
                <wp:effectExtent l="0" t="0" r="0" b="0"/>
                <wp:wrapNone/>
                <wp:docPr id="29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889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C09A9" id="Line 19" o:spid="_x0000_s1026" style="position:absolute;z-index:25201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176.8pt" to="553.2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G60AEAAIUDAAAOAAAAZHJzL2Uyb0RvYy54bWysU8Fu2zAMvQ/YPwi6L3aCrU2MOD0k7S7Z&#10;FqDdBzCSbAuTRUFS4uTvR8lJ1q23YheBEsnHx0dq+XDqDTsqHzTamk8nJWfKCpTatjX/+fL0ac5Z&#10;iGAlGLSq5mcV+MPq44fl4Co1ww6NVJ4RiA3V4GrexeiqogiiUz2ECTplydmg7yHS1beF9DAQem+K&#10;WVneFQN66TwKFQK9bkYnX2X8plEi/miaoCIzNSduMZ8+n/t0FqslVK0H12lxoQHvYNGDtlT0BrWB&#10;COzg9RuoXguPAZs4EdgX2DRaqNwDdTMt/+nmuQOnci8kTnA3mcL/gxXfjzvPtKz5bEGjstDTkLba&#10;KjZdJHEGFyqKWdudT+2Jk312WxS/ArO47sC2KpN8OTvKm6aM4q+UdAmOSuyHbygpBg4Rs1KnxvcJ&#10;kjRgpzyQ820g6hSZoMe7z/Nyev+FM3H1FVBdE50P8avCniWj5oZIZ2A4bkNMRKC6hqQ6Fp+0MXne&#10;xrKh5vP5oswJAY2WyZnCgm/3a+PZEdLGlPfl/DF3RZ7XYQl5A6Eb47Jr3CWPBytzlU6BfLzYEbQZ&#10;bWJl7EWlJMwo8R7leeev6tGsM/3LXqZlen3P2X9+z+o3AAAA//8DAFBLAwQUAAYACAAAACEA8jw7&#10;4t8AAAALAQAADwAAAGRycy9kb3ducmV2LnhtbEyPYUvDMBCGvwv+h3CC31w657pamw4VVJgguA39&#10;mjbXpthcSpJ19d+bgaAf7+7hvect1pPp2YjOd5YEzGcJMKTaqo5aAfvd01UGzAdJSvaWUMA3eliX&#10;52eFzJU90juO29CyGEI+lwJ0CEPOua81GulndkCKt8Y6I0McXcuVk8cYbnp+nSQpN7Kj+EHLAR81&#10;1l/bgxHw1phkr58rt2myh2l8+VxlH9WrEJcX0/0dsIBT+IPhpB/VoYxOlT2Q8qwXkC1vIylgsVyk&#10;wE7APElvgFW/K14W/H+H8gcAAP//AwBQSwECLQAUAAYACAAAACEAtoM4kv4AAADhAQAAEwAAAAAA&#10;AAAAAAAAAAAAAAAAW0NvbnRlbnRfVHlwZXNdLnhtbFBLAQItABQABgAIAAAAIQA4/SH/1gAAAJQB&#10;AAALAAAAAAAAAAAAAAAAAC8BAABfcmVscy8ucmVsc1BLAQItABQABgAIAAAAIQDssFG60AEAAIUD&#10;AAAOAAAAAAAAAAAAAAAAAC4CAABkcnMvZTJvRG9jLnhtbFBLAQItABQABgAIAAAAIQDyPDvi3wAA&#10;AAsBAAAPAAAAAAAAAAAAAAAAACoEAABkcnMvZG93bnJldi54bWxQSwUGAAAAAAQABADzAAAANgUA&#10;AAAA&#10;" strokecolor="#00708e" strokeweight=".7pt">
                <w10:wrap anchorx="page" anchory="page"/>
              </v:line>
            </w:pict>
          </mc:Fallback>
        </mc:AlternateContent>
      </w:r>
      <w:r>
        <w:rPr>
          <w:noProof/>
          <w:lang w:val="en-AU" w:eastAsia="en-AU"/>
        </w:rPr>
        <mc:AlternateContent>
          <mc:Choice Requires="wps">
            <w:drawing>
              <wp:anchor distT="0" distB="0" distL="114300" distR="114300" simplePos="0" relativeHeight="252012032" behindDoc="0" locked="0" layoutInCell="1" allowOverlap="1" wp14:anchorId="70734F05" wp14:editId="12AB7292">
                <wp:simplePos x="0" y="0"/>
                <wp:positionH relativeFrom="page">
                  <wp:posOffset>545465</wp:posOffset>
                </wp:positionH>
                <wp:positionV relativeFrom="page">
                  <wp:posOffset>723900</wp:posOffset>
                </wp:positionV>
                <wp:extent cx="0" cy="1521460"/>
                <wp:effectExtent l="0" t="0" r="0" b="0"/>
                <wp:wrapNone/>
                <wp:docPr id="29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1460"/>
                        </a:xfrm>
                        <a:prstGeom prst="line">
                          <a:avLst/>
                        </a:prstGeom>
                        <a:noFill/>
                        <a:ln w="6350">
                          <a:solidFill>
                            <a:srgbClr val="00708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76331" id="Line 18" o:spid="_x0000_s1026" style="position:absolute;z-index:25201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57pt" to="42.95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at0AEAAIUDAAAOAAAAZHJzL2Uyb0RvYy54bWysU02P2yAQvVfqf0DcG9tpN5tacfaQ7PaS&#10;tpF2+wMmgG1UYBCQ2Pn3BZxkt+2t6gXBfLx582ZYPYxakZNwXqJpaDUrKRGGIZema+iPl6cPS0p8&#10;AMNBoRENPQtPH9bv360GW4s59qi4cCSCGF8PtqF9CLYuCs96ocHP0AoTnS06DSE+XVdwB0NE16qY&#10;l+WiGNBx65AJ76N1OznpOuO3rWDhe9t6EYhqaOQW8unyeUhnsV5B3TmwvWQXGvAPLDRIE4veoLYQ&#10;gByd/AtKS+bQYxtmDHWBbSuZyD3Ebqryj26ee7Ai9xLF8fYmk/9/sOzbae+I5A2df76nxICOQ9pJ&#10;I0i1TOIM1tcxZmP2LrXHRvNsd8h+emJw04PpRCb5crYxr0oZxW8p6eFtLHEYviKPMXAMmJUaW6cT&#10;ZNSAjHkg59tAxBgIm4wsWqu7efVpkYdVQH1NtM6HLwI1SZeGqkg6A8Np50MiAvU1JNUx+CSVyvNW&#10;hgwNXXy8K3OCRyV5cqYw77rDRjlygrQx5X25fMxdRc/bsIS8Bd9Pcdk17ZLDo+G5Si+AP17uAaSa&#10;7pGVMheVkjCTxAfk5727qhdnnelf9jIt09t3zn79PetfAAAA//8DAFBLAwQUAAYACAAAACEAN1I7&#10;PN8AAAAJAQAADwAAAGRycy9kb3ducmV2LnhtbEyPTUsDMRCG74L/IYzgzWbb2tKumy2yoBZFsK2C&#10;x3QzbhaTybJJ2/XfO3rR47zz8H4Uq8E7ccQ+toEUjEcZCKQ6mJYaBa+7u6sFiJg0Ge0CoYIvjLAq&#10;z88KnZtwog0et6kRbEIx1wpsSl0uZawteh1HoUPi30fovU589o00vT6xuXdykmVz6XVLnGB1h5XF&#10;+nN78ApMtV4/PlfpwQ7uvn97eZrI941X6vJiuL0BkXBIfzD81OfqUHKnfTiQicIpWMyWTLI+vuZN&#10;DPwKewXT2XQOsizk/wXlNwAAAP//AwBQSwECLQAUAAYACAAAACEAtoM4kv4AAADhAQAAEwAAAAAA&#10;AAAAAAAAAAAAAAAAW0NvbnRlbnRfVHlwZXNdLnhtbFBLAQItABQABgAIAAAAIQA4/SH/1gAAAJQB&#10;AAALAAAAAAAAAAAAAAAAAC8BAABfcmVscy8ucmVsc1BLAQItABQABgAIAAAAIQDsTWat0AEAAIUD&#10;AAAOAAAAAAAAAAAAAAAAAC4CAABkcnMvZTJvRG9jLnhtbFBLAQItABQABgAIAAAAIQA3Ujs83wAA&#10;AAkBAAAPAAAAAAAAAAAAAAAAACoEAABkcnMvZG93bnJldi54bWxQSwUGAAAAAAQABADzAAAANgUA&#10;AAAA&#10;" strokecolor="#00708e" strokeweight=".5pt">
                <w10:wrap anchorx="page" anchory="page"/>
              </v:line>
            </w:pict>
          </mc:Fallback>
        </mc:AlternateContent>
      </w:r>
      <w:r w:rsidR="00083242">
        <w:rPr>
          <w:rFonts w:ascii="Arial" w:eastAsia="Arial" w:hAnsi="Arial"/>
          <w:i/>
          <w:color w:val="007896"/>
          <w:spacing w:val="1"/>
          <w:sz w:val="18"/>
        </w:rPr>
        <w:t>Implementation guidance</w:t>
      </w:r>
    </w:p>
    <w:p w14:paraId="18F5DF67" w14:textId="42BC1DF8" w:rsidR="009757A9" w:rsidRDefault="00083242">
      <w:pPr>
        <w:spacing w:before="162" w:line="240" w:lineRule="exact"/>
        <w:ind w:left="864" w:right="1008"/>
        <w:textAlignment w:val="baseline"/>
        <w:rPr>
          <w:rFonts w:ascii="Tahoma" w:eastAsia="Tahoma" w:hAnsi="Tahoma"/>
          <w:color w:val="404042"/>
          <w:sz w:val="18"/>
        </w:rPr>
      </w:pPr>
      <w:r>
        <w:rPr>
          <w:rFonts w:ascii="Tahoma" w:eastAsia="Tahoma" w:hAnsi="Tahoma"/>
          <w:color w:val="404042"/>
          <w:sz w:val="18"/>
        </w:rPr>
        <w:t>The Panel commends all Australian governments for their commitment to develop and implement a USI for schooling. We were pleased that so many ministers spoke positively of the initiative. We remain concerned, however, about the speed of implementation. We urge Education Council to undertake rigorous efforts to complete this work.</w:t>
      </w:r>
    </w:p>
    <w:p w14:paraId="2B883016" w14:textId="2783EE83" w:rsidR="009757A9" w:rsidRDefault="00083242">
      <w:pPr>
        <w:spacing w:before="173" w:line="240" w:lineRule="exact"/>
        <w:ind w:left="864" w:right="864"/>
        <w:jc w:val="both"/>
        <w:textAlignment w:val="baseline"/>
        <w:rPr>
          <w:rFonts w:ascii="Tahoma" w:eastAsia="Tahoma" w:hAnsi="Tahoma"/>
          <w:color w:val="404042"/>
          <w:sz w:val="18"/>
        </w:rPr>
      </w:pPr>
      <w:r>
        <w:rPr>
          <w:rFonts w:ascii="Tahoma" w:eastAsia="Tahoma" w:hAnsi="Tahoma"/>
          <w:color w:val="404042"/>
          <w:sz w:val="18"/>
        </w:rPr>
        <w:t>The Panel also urges Education Council to ensure that the USI for schooling is compatible with that used across the VET and higher education sectors of the education system. This would ensure the greatest benefits both for individuals and for policymakers from this important reform.</w:t>
      </w:r>
    </w:p>
    <w:p w14:paraId="22A98247" w14:textId="787A1C02" w:rsidR="009757A9" w:rsidRDefault="00083242">
      <w:pPr>
        <w:spacing w:before="168" w:line="240" w:lineRule="exact"/>
        <w:ind w:left="864" w:right="864"/>
        <w:textAlignment w:val="baseline"/>
        <w:rPr>
          <w:rFonts w:ascii="Tahoma" w:eastAsia="Tahoma" w:hAnsi="Tahoma"/>
          <w:color w:val="404042"/>
          <w:sz w:val="18"/>
        </w:rPr>
      </w:pPr>
      <w:r>
        <w:rPr>
          <w:rFonts w:ascii="Tahoma" w:eastAsia="Tahoma" w:hAnsi="Tahoma"/>
          <w:color w:val="404042"/>
          <w:sz w:val="18"/>
        </w:rPr>
        <w:t>Existing projects, such as the Australian Government’s Jobs and Education Data Infrastructure project, the NSW Tertiary Pathways Project and the Queensland Next Step post-school destination surveys, should continue to be supported within jurisdictions. They are a source of copious information.</w:t>
      </w:r>
    </w:p>
    <w:p w14:paraId="5BF79FCE" w14:textId="4D40AFD4" w:rsidR="009757A9" w:rsidRDefault="00083242">
      <w:pPr>
        <w:spacing w:before="173" w:after="979" w:line="240" w:lineRule="exact"/>
        <w:ind w:left="864" w:right="1152"/>
        <w:textAlignment w:val="baseline"/>
        <w:rPr>
          <w:rFonts w:ascii="Tahoma" w:eastAsia="Tahoma" w:hAnsi="Tahoma"/>
          <w:color w:val="404042"/>
          <w:sz w:val="18"/>
        </w:rPr>
      </w:pPr>
      <w:r>
        <w:rPr>
          <w:rFonts w:ascii="Tahoma" w:eastAsia="Tahoma" w:hAnsi="Tahoma"/>
          <w:color w:val="404042"/>
          <w:sz w:val="18"/>
        </w:rPr>
        <w:t>Given that different elements of education sector and labour market data are held by different levels of government, consideration should also be given to promoting greater cross-jurisdictional sharing of data to support a more sophisticated understanding of pathways.</w:t>
      </w:r>
    </w:p>
    <w:p w14:paraId="45BA7CA6" w14:textId="77777777" w:rsidR="009757A9" w:rsidRDefault="009757A9">
      <w:pPr>
        <w:spacing w:before="173" w:after="979" w:line="240" w:lineRule="exact"/>
        <w:sectPr w:rsidR="009757A9">
          <w:pgSz w:w="11909" w:h="16838"/>
          <w:pgMar w:top="4003" w:right="0" w:bottom="0" w:left="0" w:header="720" w:footer="720" w:gutter="0"/>
          <w:cols w:space="720"/>
        </w:sectPr>
      </w:pPr>
    </w:p>
    <w:p w14:paraId="1E4CCBD7" w14:textId="13464AD3" w:rsidR="009757A9" w:rsidRDefault="00083242">
      <w:pPr>
        <w:spacing w:after="139"/>
        <w:ind w:right="5535"/>
        <w:textAlignment w:val="baseline"/>
      </w:pPr>
      <w:r>
        <w:rPr>
          <w:noProof/>
          <w:lang w:val="en-AU" w:eastAsia="en-AU"/>
        </w:rPr>
        <w:drawing>
          <wp:inline distT="0" distB="0" distL="0" distR="0" wp14:anchorId="56571957" wp14:editId="4A21338F">
            <wp:extent cx="4047490" cy="4047490"/>
            <wp:effectExtent l="0" t="0" r="0" b="0"/>
            <wp:docPr id="249" name="Picture"/>
            <wp:cNvGraphicFramePr/>
            <a:graphic xmlns:a="http://schemas.openxmlformats.org/drawingml/2006/main">
              <a:graphicData uri="http://schemas.openxmlformats.org/drawingml/2006/picture">
                <pic:pic xmlns:pic="http://schemas.openxmlformats.org/drawingml/2006/picture">
                  <pic:nvPicPr>
                    <pic:cNvPr id="249" name="Picture"/>
                    <pic:cNvPicPr preferRelativeResize="0"/>
                  </pic:nvPicPr>
                  <pic:blipFill>
                    <a:blip r:embed="rId337"/>
                    <a:stretch>
                      <a:fillRect/>
                    </a:stretch>
                  </pic:blipFill>
                  <pic:spPr>
                    <a:xfrm>
                      <a:off x="0" y="0"/>
                      <a:ext cx="4047490" cy="4047490"/>
                    </a:xfrm>
                    <a:prstGeom prst="rect">
                      <a:avLst/>
                    </a:prstGeom>
                  </pic:spPr>
                </pic:pic>
              </a:graphicData>
            </a:graphic>
          </wp:inline>
        </w:drawing>
      </w:r>
    </w:p>
    <w:p w14:paraId="0334C14A" w14:textId="45A623C5" w:rsidR="009757A9" w:rsidRDefault="00FE74F0">
      <w:pPr>
        <w:tabs>
          <w:tab w:val="left" w:pos="1368"/>
        </w:tabs>
        <w:spacing w:after="636" w:line="190" w:lineRule="exact"/>
        <w:ind w:left="864"/>
        <w:textAlignment w:val="baseline"/>
        <w:rPr>
          <w:rFonts w:ascii="Arial" w:eastAsia="Arial" w:hAnsi="Arial"/>
          <w:b/>
          <w:color w:val="5556A1"/>
          <w:spacing w:val="4"/>
          <w:sz w:val="18"/>
        </w:rPr>
      </w:pPr>
      <w:r>
        <w:rPr>
          <w:noProof/>
          <w:lang w:val="en-AU" w:eastAsia="en-AU"/>
        </w:rPr>
        <w:drawing>
          <wp:anchor distT="0" distB="0" distL="114300" distR="114300" simplePos="0" relativeHeight="252102144" behindDoc="1" locked="0" layoutInCell="1" allowOverlap="1" wp14:anchorId="08FDEB60" wp14:editId="11B7088C">
            <wp:simplePos x="0" y="0"/>
            <wp:positionH relativeFrom="page">
              <wp:align>right</wp:align>
            </wp:positionH>
            <wp:positionV relativeFrom="paragraph">
              <wp:posOffset>482600</wp:posOffset>
            </wp:positionV>
            <wp:extent cx="7562215" cy="462915"/>
            <wp:effectExtent l="0" t="0" r="635" b="0"/>
            <wp:wrapNone/>
            <wp:docPr id="250" name="Picture"/>
            <wp:cNvGraphicFramePr/>
            <a:graphic xmlns:a="http://schemas.openxmlformats.org/drawingml/2006/main">
              <a:graphicData uri="http://schemas.openxmlformats.org/drawingml/2006/picture">
                <pic:pic xmlns:pic="http://schemas.openxmlformats.org/drawingml/2006/picture">
                  <pic:nvPicPr>
                    <pic:cNvPr id="250" name="Picture"/>
                    <pic:cNvPicPr preferRelativeResize="0"/>
                  </pic:nvPicPr>
                  <pic:blipFill>
                    <a:blip r:embed="rId33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r w:rsidR="00083242">
        <w:rPr>
          <w:rFonts w:ascii="Arial" w:eastAsia="Arial" w:hAnsi="Arial"/>
          <w:b/>
          <w:color w:val="5556A1"/>
          <w:spacing w:val="4"/>
          <w:sz w:val="18"/>
        </w:rPr>
        <w:t>148</w:t>
      </w:r>
      <w:r w:rsidR="00083242">
        <w:rPr>
          <w:rFonts w:ascii="Tahoma" w:eastAsia="Tahoma" w:hAnsi="Tahoma"/>
          <w:color w:val="404042"/>
          <w:spacing w:val="4"/>
          <w:sz w:val="14"/>
        </w:rPr>
        <w:tab/>
        <w:t>Looking to the future</w:t>
      </w:r>
    </w:p>
    <w:p w14:paraId="19E7E09E" w14:textId="79900519" w:rsidR="009757A9" w:rsidRDefault="009757A9">
      <w:pPr>
        <w:textAlignment w:val="baseline"/>
      </w:pPr>
    </w:p>
    <w:p w14:paraId="6FA0D1BC" w14:textId="77777777" w:rsidR="009757A9" w:rsidRDefault="009757A9">
      <w:pPr>
        <w:sectPr w:rsidR="009757A9">
          <w:type w:val="continuous"/>
          <w:pgSz w:w="11909" w:h="16838"/>
          <w:pgMar w:top="4003" w:right="0" w:bottom="0" w:left="0" w:header="720" w:footer="720" w:gutter="0"/>
          <w:cols w:space="720"/>
        </w:sectPr>
      </w:pPr>
    </w:p>
    <w:p w14:paraId="079AFCF5" w14:textId="77777777" w:rsidR="009757A9" w:rsidRDefault="00083242">
      <w:pPr>
        <w:spacing w:before="2" w:line="456" w:lineRule="exact"/>
        <w:ind w:left="864"/>
        <w:textAlignment w:val="baseline"/>
        <w:rPr>
          <w:rFonts w:ascii="Tahoma" w:eastAsia="Tahoma" w:hAnsi="Tahoma"/>
          <w:b/>
          <w:color w:val="00708E"/>
          <w:spacing w:val="21"/>
          <w:w w:val="90"/>
          <w:sz w:val="38"/>
        </w:rPr>
      </w:pPr>
      <w:r>
        <w:rPr>
          <w:rFonts w:ascii="Tahoma" w:eastAsia="Tahoma" w:hAnsi="Tahoma"/>
          <w:b/>
          <w:color w:val="00708E"/>
          <w:spacing w:val="21"/>
          <w:w w:val="90"/>
          <w:sz w:val="38"/>
        </w:rPr>
        <w:lastRenderedPageBreak/>
        <w:t>AFTERWORD – REFORM IN A TIME OF PANDEMIC</w:t>
      </w:r>
    </w:p>
    <w:p w14:paraId="5FE6E698" w14:textId="77777777" w:rsidR="009757A9" w:rsidRDefault="00083242">
      <w:pPr>
        <w:spacing w:before="24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When the panel members and their hard-working secretariat prepared for the Christmas break last year, we did so with a sense of quiet accomplishment. A great deal of the hard work for the review had already been done. Initial discussions had been held with all Commonwealth, state and territory ministers. Research had been contracted, a large number of consultations conducted around the country, and a swag of submissions received. We had met together to argue and debate the issues on five occasions. All of us felt that we were on track to deliver a substantive report to COAG Education Council on time.</w:t>
      </w:r>
    </w:p>
    <w:p w14:paraId="382939C6" w14:textId="77777777" w:rsidR="009757A9" w:rsidRDefault="00083242">
      <w:pPr>
        <w:spacing w:before="178" w:line="240" w:lineRule="exact"/>
        <w:ind w:left="864" w:right="1584"/>
        <w:textAlignment w:val="baseline"/>
        <w:rPr>
          <w:rFonts w:ascii="Tahoma" w:eastAsia="Tahoma" w:hAnsi="Tahoma"/>
          <w:color w:val="404042"/>
          <w:sz w:val="18"/>
        </w:rPr>
      </w:pPr>
      <w:r>
        <w:rPr>
          <w:rFonts w:ascii="Tahoma" w:eastAsia="Tahoma" w:hAnsi="Tahoma"/>
          <w:color w:val="404042"/>
          <w:sz w:val="18"/>
        </w:rPr>
        <w:t>As each of us prepared to celebrate New Year’s Eve in our own way, the first news was being reported of cases of pneumonia of unknown cause being detected in Wuhan, China. With many Australian states already battling an overwhelming bushfire crisis, an outbreak of flu more than 8,000 kilometres away seemed comparatively inconsequential. How wrong we were.</w:t>
      </w:r>
    </w:p>
    <w:p w14:paraId="209A31A1" w14:textId="77777777" w:rsidR="009757A9" w:rsidRDefault="00083242">
      <w:pPr>
        <w:spacing w:before="168" w:line="240" w:lineRule="exact"/>
        <w:ind w:left="864" w:right="1152"/>
        <w:textAlignment w:val="baseline"/>
        <w:rPr>
          <w:rFonts w:ascii="Tahoma" w:eastAsia="Tahoma" w:hAnsi="Tahoma"/>
          <w:color w:val="404042"/>
          <w:sz w:val="18"/>
        </w:rPr>
      </w:pPr>
      <w:r>
        <w:rPr>
          <w:rFonts w:ascii="Tahoma" w:eastAsia="Tahoma" w:hAnsi="Tahoma"/>
          <w:color w:val="404042"/>
          <w:sz w:val="18"/>
        </w:rPr>
        <w:t>By the end of January, as the first cases were being reported in Australia, the World Health Organization (WHO) declared a public health emergency. On 11 February, the new coronavirus was given a name: COVID-19. On 11 March, with a rapid increase in cases outside China now evident, the WHO belatedly announced a pandemic.</w:t>
      </w:r>
    </w:p>
    <w:p w14:paraId="566EB904"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COVID-19 has presented Australia, along with the rest of the world, with both health and economic crises. Its multifarious implications threatened to overtake and overwhelm the finalisation of our report. Events moved lightning fast. On 10 March, we conducted an energetic youth forum in Wagga Wagga that brought together senior secondary students in that city with others from the ACT, New South Wales, Tasmania, Queensland, Western Australia and Victoria. A few days later, when I reported the Panel’s preliminary findings to the Australian Education Senior Officials Committee, the meeting was conducted by videoconference. By 23 March, as we approached our seventh panel discussion, it was clear that travelling to meet face to face was no longer appropriate. Since then, we have held our meetings online or by telephone.</w:t>
      </w:r>
    </w:p>
    <w:p w14:paraId="70BCABE3"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As I write, the world is reporting around 3.5 million cases and almost 250,000 deaths. Both figures are almost certainly gross underestimates. In Australia, where reporting is far more reliable, we have now conducted more than 600,000 tests and identified almost 7,000 cases. Tragically, at the time of writing 95 Australians, most elderly, have died of COVID-19.</w:t>
      </w:r>
    </w:p>
    <w:p w14:paraId="111B10B7"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The constant threat of community transmission of the virus, the consequent need for physical distancing, and the imposition of various levels of ‘lockdown’ in Australian states and territories, have had profound implications. Schools have been at the forefront of political and public debate. How safe is the school environment; should schools stay open for students or close down? In all jurisdictions, to varying degrees, education has been significantly disrupted. For many weeks, most schools, public, Catholic and independent, have been open only to meet the needs of essential workers and vulnerable students.</w:t>
      </w:r>
    </w:p>
    <w:p w14:paraId="565CE9A9" w14:textId="77777777" w:rsidR="009757A9" w:rsidRDefault="00083242">
      <w:pPr>
        <w:spacing w:before="178"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Hopefully, an end to that situation is now in sight with schools progressively reopening their gates to more students. Nevertheless, the impact of the crisis has substantially increased the pressures that senior secondary students experience as they approach the end of their final school year. Concerns about how the senior school certificate will be assessed and how an ATAR score will be calculated have this year exacerbated the stress that students normally feel.</w:t>
      </w:r>
    </w:p>
    <w:p w14:paraId="457CE68A"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For the Panel, the uncertainties of the situation have presented a particular dilemma. Given the inevitable focus of education ministers on addressing their immediate challenges, what interest would they have in reading a report focused on medium-term reform? Perhaps mid-2020 would be the worst time to suggest to COAG Education Council that senior secondary pathways to further education, training and employment could be significantly enhanced by bold new approaches? Perhaps our report should be postponed to a more auspicious occasion?</w:t>
      </w:r>
    </w:p>
    <w:p w14:paraId="63A5166B" w14:textId="77777777" w:rsidR="009757A9" w:rsidRDefault="00083242">
      <w:pPr>
        <w:spacing w:before="167" w:after="1095"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Yet, collectively, we strongly reject that proposition. Rather, we are of the view that the Australian experience of COVID-19, and particularly its impact on education delivery, means that the report we submit is more important and relevant than ever. We have learned much from the experience of schools and the efforts of many remarkable teachers in pivoting the structures of learning in response to emergency. While we necessarily await a considered evaluation, some key characteristics of the experience already suggest that the recommendations we make are now more, rather than less, salient.</w:t>
      </w:r>
    </w:p>
    <w:p w14:paraId="4F5A025A" w14:textId="77777777" w:rsidR="009757A9" w:rsidRDefault="00083242">
      <w:pPr>
        <w:spacing w:after="634" w:line="199" w:lineRule="exact"/>
        <w:ind w:left="9864"/>
        <w:textAlignment w:val="baseline"/>
        <w:rPr>
          <w:rFonts w:ascii="Tahoma" w:eastAsia="Tahoma" w:hAnsi="Tahoma"/>
          <w:color w:val="404042"/>
          <w:spacing w:val="16"/>
          <w:sz w:val="14"/>
        </w:rPr>
      </w:pPr>
      <w:r>
        <w:rPr>
          <w:rFonts w:ascii="Tahoma" w:eastAsia="Tahoma" w:hAnsi="Tahoma"/>
          <w:color w:val="404042"/>
          <w:spacing w:val="16"/>
          <w:sz w:val="14"/>
        </w:rPr>
        <w:t>Afterword</w:t>
      </w:r>
      <w:r>
        <w:rPr>
          <w:rFonts w:ascii="Arial" w:eastAsia="Arial" w:hAnsi="Arial"/>
          <w:b/>
          <w:color w:val="5556A1"/>
          <w:spacing w:val="16"/>
          <w:sz w:val="18"/>
        </w:rPr>
        <w:t xml:space="preserve"> 149</w:t>
      </w:r>
    </w:p>
    <w:p w14:paraId="4B191DB9" w14:textId="77777777" w:rsidR="009757A9" w:rsidRDefault="00083242">
      <w:pPr>
        <w:textAlignment w:val="baseline"/>
      </w:pPr>
      <w:r>
        <w:rPr>
          <w:noProof/>
          <w:lang w:val="en-AU" w:eastAsia="en-AU"/>
        </w:rPr>
        <w:drawing>
          <wp:inline distT="0" distB="0" distL="0" distR="0" wp14:anchorId="552E6290" wp14:editId="6F8815B6">
            <wp:extent cx="7562215" cy="462915"/>
            <wp:effectExtent l="0" t="0" r="0" b="0"/>
            <wp:docPr id="251" name="Picture"/>
            <wp:cNvGraphicFramePr/>
            <a:graphic xmlns:a="http://schemas.openxmlformats.org/drawingml/2006/main">
              <a:graphicData uri="http://schemas.openxmlformats.org/drawingml/2006/picture">
                <pic:pic xmlns:pic="http://schemas.openxmlformats.org/drawingml/2006/picture">
                  <pic:nvPicPr>
                    <pic:cNvPr id="251" name="Picture"/>
                    <pic:cNvPicPr preferRelativeResize="0"/>
                  </pic:nvPicPr>
                  <pic:blipFill>
                    <a:blip r:embed="rId28"/>
                    <a:stretch>
                      <a:fillRect/>
                    </a:stretch>
                  </pic:blipFill>
                  <pic:spPr>
                    <a:xfrm>
                      <a:off x="0" y="0"/>
                      <a:ext cx="7562215" cy="462915"/>
                    </a:xfrm>
                    <a:prstGeom prst="rect">
                      <a:avLst/>
                    </a:prstGeom>
                  </pic:spPr>
                </pic:pic>
              </a:graphicData>
            </a:graphic>
          </wp:inline>
        </w:drawing>
      </w:r>
    </w:p>
    <w:p w14:paraId="1D9612AF" w14:textId="77777777" w:rsidR="009757A9" w:rsidRDefault="009757A9">
      <w:pPr>
        <w:sectPr w:rsidR="009757A9">
          <w:pgSz w:w="11909" w:h="16838"/>
          <w:pgMar w:top="1060" w:right="0" w:bottom="0" w:left="0" w:header="720" w:footer="720" w:gutter="0"/>
          <w:cols w:space="720"/>
        </w:sectPr>
      </w:pPr>
    </w:p>
    <w:p w14:paraId="21577A33" w14:textId="77777777" w:rsidR="009757A9" w:rsidRDefault="00083242">
      <w:pPr>
        <w:spacing w:line="240" w:lineRule="exact"/>
        <w:ind w:left="864" w:right="936"/>
        <w:textAlignment w:val="baseline"/>
        <w:rPr>
          <w:rFonts w:ascii="Tahoma" w:eastAsia="Tahoma" w:hAnsi="Tahoma"/>
          <w:color w:val="404042"/>
          <w:spacing w:val="4"/>
          <w:sz w:val="18"/>
        </w:rPr>
      </w:pPr>
      <w:r>
        <w:rPr>
          <w:rFonts w:ascii="Tahoma" w:eastAsia="Tahoma" w:hAnsi="Tahoma"/>
          <w:color w:val="404042"/>
          <w:spacing w:val="4"/>
          <w:sz w:val="18"/>
        </w:rPr>
        <w:lastRenderedPageBreak/>
        <w:t>The experience of moving to online learning has highlighted the fact that at-risk cohorts are particularly disadvantaged in accessing equal educational opportunity. The Rapid Response Information Forum, chaired by Australia’s Chief Scientist Alan Finkel, has concluded that almost half of Australia’s students will have their educational outcomes worsened if existing remote learning arrangements continue long-term. Students from low socioeconomic status backgrounds, Indigenous youth, those with English as a second language, those with special learning needs, and rural and remote students are at particular risk of losing out from online learning.</w:t>
      </w:r>
      <w:r>
        <w:rPr>
          <w:rFonts w:ascii="Tahoma" w:eastAsia="Tahoma" w:hAnsi="Tahoma"/>
          <w:color w:val="404042"/>
          <w:spacing w:val="4"/>
          <w:sz w:val="18"/>
          <w:vertAlign w:val="superscript"/>
        </w:rPr>
        <w:t>219</w:t>
      </w:r>
      <w:r>
        <w:rPr>
          <w:rFonts w:ascii="Tahoma" w:eastAsia="Tahoma" w:hAnsi="Tahoma"/>
          <w:color w:val="404042"/>
          <w:spacing w:val="4"/>
          <w:sz w:val="10"/>
        </w:rPr>
        <w:t xml:space="preserve"> </w:t>
      </w:r>
    </w:p>
    <w:p w14:paraId="33F7B9F7" w14:textId="77777777" w:rsidR="009757A9" w:rsidRDefault="00083242">
      <w:pPr>
        <w:spacing w:before="168"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That not unexpected outcome reinforces why the Panel has included digital literacy as a foundational skill and why it needs to be accorded similar status as English and mathematics. Students in the workforce will increasingly need to communicate, conduct business and seek information online. Disadvantaged students, who often do not have the same capacity as others to work from home, and whose families cannot afford laptops and tablets, will need particular support. We need to know how education can overcome the disadvantages compounded by the digital divide. This could be a strong immediate focus of our suggested national Transition from School Program. It would allow collaborative demonstration projects to evaluate the efficacy of new forms of student supports for online study, with the goal of improving opportunities for at-risk groups.</w:t>
      </w:r>
    </w:p>
    <w:p w14:paraId="41A5FE7D" w14:textId="77777777" w:rsidR="009757A9" w:rsidRDefault="00083242">
      <w:pPr>
        <w:spacing w:before="173" w:line="240" w:lineRule="exact"/>
        <w:ind w:left="864" w:right="936"/>
        <w:textAlignment w:val="baseline"/>
        <w:rPr>
          <w:rFonts w:ascii="Tahoma" w:eastAsia="Tahoma" w:hAnsi="Tahoma"/>
          <w:color w:val="404042"/>
          <w:spacing w:val="5"/>
          <w:sz w:val="18"/>
        </w:rPr>
      </w:pPr>
      <w:r>
        <w:rPr>
          <w:rFonts w:ascii="Tahoma" w:eastAsia="Tahoma" w:hAnsi="Tahoma"/>
          <w:color w:val="404042"/>
          <w:spacing w:val="5"/>
          <w:sz w:val="18"/>
        </w:rPr>
        <w:t>It’s not all bad news. The move to remote learning, undertaken at breakneck speed, has been challenging. Yet it has already revealed some of the tangible benefits of online education. Perhaps we can now start to imagine a new normal in which aspects of online education will be more deeply embedded in blended learning at school. For senior students, it would be good preparation for tertiary education in which much of the teaching already combines face-to-face with online materials and tuition. It opens up a whole world of web-based micro-learning, much of which can be credentialed. It would also provide important upskilling for the workplace. It seems likely that companies employing large numbers of administrative and professional staff will increasingly have to consider staggering start times and rosters. Employers will expect that their people have the capacity, skills and discipline to work remotely from home.</w:t>
      </w:r>
    </w:p>
    <w:p w14:paraId="1820DF5F" w14:textId="77777777" w:rsidR="009757A9" w:rsidRDefault="00083242">
      <w:pPr>
        <w:spacing w:before="168" w:line="240" w:lineRule="exact"/>
        <w:ind w:left="864" w:right="1080"/>
        <w:textAlignment w:val="baseline"/>
        <w:rPr>
          <w:rFonts w:ascii="Tahoma" w:eastAsia="Tahoma" w:hAnsi="Tahoma"/>
          <w:color w:val="404042"/>
          <w:spacing w:val="4"/>
          <w:sz w:val="18"/>
        </w:rPr>
      </w:pPr>
      <w:r>
        <w:rPr>
          <w:rFonts w:ascii="Tahoma" w:eastAsia="Tahoma" w:hAnsi="Tahoma"/>
          <w:color w:val="404042"/>
          <w:spacing w:val="4"/>
          <w:sz w:val="18"/>
        </w:rPr>
        <w:t>Experience of COVID-19 has also reinforced the fact that although many universities continue to use the ATAR as a convenient means of ranking applicants, they are increasingly moving beyond that single number to get a broader assessment of student ability. Already many universities have indicated that, whatever happens this year, they will be making offers using a range of alternative admissions processes to facilitate access to university for Year 12 students. Many are looking to provide their own bridging or foundational courses to help support students before they enter their degree course. TAFEs, together with private providers, are also showing increasing flexibility on how they accept students into certificated courses and then provide them with any additional support they may need. As in so many areas of the economy, Australia’s experience of the virus is accelerating changes that were already underway. Acceptance of a broader measure of student assessment, captured in a Learner Profile, seems closer than ever. The singular dominance of the ATAR is unlikely to survive COVID-19.</w:t>
      </w:r>
    </w:p>
    <w:p w14:paraId="402610CF" w14:textId="77777777" w:rsidR="009757A9" w:rsidRDefault="00083242">
      <w:pPr>
        <w:spacing w:before="173" w:line="240" w:lineRule="exact"/>
        <w:ind w:left="864" w:right="1080"/>
        <w:textAlignment w:val="baseline"/>
        <w:rPr>
          <w:rFonts w:ascii="Tahoma" w:eastAsia="Tahoma" w:hAnsi="Tahoma"/>
          <w:color w:val="404042"/>
          <w:spacing w:val="5"/>
          <w:sz w:val="18"/>
        </w:rPr>
      </w:pPr>
      <w:r>
        <w:rPr>
          <w:rFonts w:ascii="Tahoma" w:eastAsia="Tahoma" w:hAnsi="Tahoma"/>
          <w:color w:val="404042"/>
          <w:spacing w:val="5"/>
          <w:sz w:val="18"/>
        </w:rPr>
        <w:t>The unexpected dependence that schools have had to place on digital technology, and its rapid acceptance as a key part of the education experience, also has the potential to create a new normal in integrating students’ school-based learnings with capabilities gained in the wider world. The capacity of teachers to structure online feedback from employers and coaches for whom students work, volunteer or play sport has the potential to contribute significantly to teachers’ capacity to evidence the range of capabilities that students will need for workplace success and active citizenship. It allows the proposed Learner Profile to capture more easily a student’s experience outside school.</w:t>
      </w:r>
    </w:p>
    <w:p w14:paraId="0F5FB21D" w14:textId="77777777" w:rsidR="009757A9" w:rsidRDefault="00083242">
      <w:pPr>
        <w:spacing w:before="168" w:after="1881" w:line="240" w:lineRule="exact"/>
        <w:ind w:left="864" w:right="936"/>
        <w:textAlignment w:val="baseline"/>
        <w:rPr>
          <w:rFonts w:ascii="Tahoma" w:eastAsia="Tahoma" w:hAnsi="Tahoma"/>
          <w:color w:val="404042"/>
          <w:spacing w:val="6"/>
          <w:sz w:val="18"/>
        </w:rPr>
      </w:pPr>
      <w:r>
        <w:rPr>
          <w:rFonts w:ascii="Tahoma" w:eastAsia="Tahoma" w:hAnsi="Tahoma"/>
          <w:color w:val="404042"/>
          <w:spacing w:val="6"/>
          <w:sz w:val="18"/>
        </w:rPr>
        <w:t>Similarly, the imperative for schools to have more substantive collaboration with industry bodies and local employers can be built, at least in part, on ‘virtual’ partnerships. So, too, can the need to provide much more informed career guidance. Schools have adapted to these significant changes far faster than imagined. Some have been much better prepared than others. But, to varying extents, all schools have now gained frontline experience of how online capacity can be embedded in educational experience, particularly for senior secondary pupils as they prepare for further education, skills training or work.</w:t>
      </w:r>
    </w:p>
    <w:p w14:paraId="6540BF00" w14:textId="77777777" w:rsidR="009757A9" w:rsidRDefault="000D2E34">
      <w:pPr>
        <w:spacing w:before="74" w:line="172" w:lineRule="exact"/>
        <w:ind w:left="864"/>
        <w:textAlignment w:val="baseline"/>
        <w:rPr>
          <w:rFonts w:ascii="Tahoma" w:eastAsia="Tahoma" w:hAnsi="Tahoma"/>
          <w:color w:val="404042"/>
          <w:spacing w:val="4"/>
          <w:sz w:val="14"/>
        </w:rPr>
      </w:pPr>
      <w:r>
        <w:rPr>
          <w:noProof/>
          <w:lang w:val="en-AU" w:eastAsia="en-AU"/>
        </w:rPr>
        <mc:AlternateContent>
          <mc:Choice Requires="wps">
            <w:drawing>
              <wp:anchor distT="0" distB="0" distL="114300" distR="114300" simplePos="0" relativeHeight="252013056" behindDoc="0" locked="0" layoutInCell="1" allowOverlap="1" wp14:anchorId="52B5DA6E" wp14:editId="25899CC8">
                <wp:simplePos x="0" y="0"/>
                <wp:positionH relativeFrom="page">
                  <wp:posOffset>539750</wp:posOffset>
                </wp:positionH>
                <wp:positionV relativeFrom="page">
                  <wp:posOffset>9135110</wp:posOffset>
                </wp:positionV>
                <wp:extent cx="917575" cy="0"/>
                <wp:effectExtent l="0" t="0" r="0" b="0"/>
                <wp:wrapNone/>
                <wp:docPr id="29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9DAD5" id="Line 17" o:spid="_x0000_s1026" style="position:absolute;z-index:25201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19.3pt" to="114.75pt,7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mwzAEAAIUDAAAOAAAAZHJzL2Uyb0RvYy54bWysU8GO2jAQvVfqP1i+lwQkoBsR9gDdXmiL&#10;tNsPGGyHWHU8lm1I+PuOHaDb7m3VHCyPZ+bNmzeT1ePQGXZWPmi0NZ9OSs6UFSi1Pdb858vTp8+c&#10;hQhWgkGran5RgT+uP35Y9a5SM2zRSOUZgdhQ9a7mbYyuKoogWtVBmKBTlpwN+g4imf5YSA89oXem&#10;mJXloujRS+dRqBDodTs6+TrjN40S8UfTBBWZqTlxi/n0+Tyks1ivoDp6cK0WVxrwDhYdaEtF71Bb&#10;iMBOXr+B6rTwGLCJE4FdgU2jhco9UDfT8p9unltwKvdC4gR3lyn8P1jx/bz3TMuazx4WnFnoaEg7&#10;bRWbLpM4vQsVxWzs3qf2xGCf3Q7Fr8AsblqwR5VJvlwc5U1TRvFXSjKCoxKH/htKioFTxKzU0Pgu&#10;QZIGbMgDudwHoobIBD0+TJfz5ZwzcXMVUN3ynA/xq8KOpUvNDXHOuHDehZh4QHULSWUsPmlj8riN&#10;ZT2RnZWLec4IaLRM3hQX/PGwMZ6dIW1M/nJX5HkdlqC3ENoxLrvGXfJ4sjKXaRXIL9d7BG3GO9Ey&#10;9qpSEmaU+IDysvc39WjWmf91L9MyvbZz9p+/Z/0bAAD//wMAUEsDBBQABgAIAAAAIQDFXYdC3wAA&#10;AAwBAAAPAAAAZHJzL2Rvd25yZXYueG1sTI/BTsMwEETvSPyDtUhcUOsQ0sqEOBWqBDdQKUX06MZL&#10;EhGvo9htwt+zHBAcd3Y086ZYTa4TJxxC60nD9TwBgVR521KtYff6MFMgQjRkTecJNXxhgFV5flaY&#10;3PqRXvC0jbXgEAq50dDE2OdShqpBZ8Lc90j8+/CDM5HPoZZ2MCOHu06mSbKUzrTEDY3pcd1g9bk9&#10;Og1SJiqb3t7Hp+wqqHa/rvePzxutLy+m+zsQEaf4Z4YffEaHkpkO/kg2iE6DWvCUyHp2o5Yg2JGm&#10;twsQh19JloX8P6L8BgAA//8DAFBLAQItABQABgAIAAAAIQC2gziS/gAAAOEBAAATAAAAAAAAAAAA&#10;AAAAAAAAAABbQ29udGVudF9UeXBlc10ueG1sUEsBAi0AFAAGAAgAAAAhADj9If/WAAAAlAEAAAsA&#10;AAAAAAAAAAAAAAAALwEAAF9yZWxzLy5yZWxzUEsBAi0AFAAGAAgAAAAhAOm+ObDMAQAAhQMAAA4A&#10;AAAAAAAAAAAAAAAALgIAAGRycy9lMm9Eb2MueG1sUEsBAi0AFAAGAAgAAAAhAMVdh0LfAAAADAEA&#10;AA8AAAAAAAAAAAAAAAAAJgQAAGRycy9kb3ducmV2LnhtbFBLBQYAAAAABAAEAPMAAAAyBQAAAAA=&#10;" strokeweight=".95pt">
                <w10:wrap anchorx="page" anchory="page"/>
              </v:line>
            </w:pict>
          </mc:Fallback>
        </mc:AlternateContent>
      </w:r>
      <w:r w:rsidR="00083242">
        <w:rPr>
          <w:rFonts w:ascii="Tahoma" w:eastAsia="Tahoma" w:hAnsi="Tahoma"/>
          <w:color w:val="404042"/>
          <w:spacing w:val="4"/>
          <w:sz w:val="14"/>
        </w:rPr>
        <w:t>219 Rapid Research Information Forum (2020).</w:t>
      </w:r>
    </w:p>
    <w:p w14:paraId="7FEC533D" w14:textId="77777777" w:rsidR="009757A9" w:rsidRDefault="00083242">
      <w:pPr>
        <w:tabs>
          <w:tab w:val="left" w:pos="1368"/>
        </w:tabs>
        <w:spacing w:before="635"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150</w:t>
      </w:r>
      <w:r>
        <w:rPr>
          <w:rFonts w:ascii="Tahoma" w:eastAsia="Tahoma" w:hAnsi="Tahoma"/>
          <w:color w:val="404042"/>
          <w:spacing w:val="4"/>
          <w:sz w:val="14"/>
        </w:rPr>
        <w:tab/>
        <w:t>Looking to the future</w:t>
      </w:r>
    </w:p>
    <w:p w14:paraId="28424F1C" w14:textId="77777777" w:rsidR="009757A9" w:rsidRDefault="00083242">
      <w:pPr>
        <w:textAlignment w:val="baseline"/>
      </w:pPr>
      <w:r>
        <w:rPr>
          <w:noProof/>
          <w:lang w:val="en-AU" w:eastAsia="en-AU"/>
        </w:rPr>
        <w:drawing>
          <wp:inline distT="0" distB="0" distL="0" distR="0" wp14:anchorId="2B5070EF" wp14:editId="48095737">
            <wp:extent cx="7562215" cy="462915"/>
            <wp:effectExtent l="0" t="0" r="0" b="0"/>
            <wp:docPr id="252" name="Picture"/>
            <wp:cNvGraphicFramePr/>
            <a:graphic xmlns:a="http://schemas.openxmlformats.org/drawingml/2006/main">
              <a:graphicData uri="http://schemas.openxmlformats.org/drawingml/2006/picture">
                <pic:pic xmlns:pic="http://schemas.openxmlformats.org/drawingml/2006/picture">
                  <pic:nvPicPr>
                    <pic:cNvPr id="252" name="Picture"/>
                    <pic:cNvPicPr preferRelativeResize="0"/>
                  </pic:nvPicPr>
                  <pic:blipFill>
                    <a:blip r:embed="rId38"/>
                    <a:stretch>
                      <a:fillRect/>
                    </a:stretch>
                  </pic:blipFill>
                  <pic:spPr>
                    <a:xfrm>
                      <a:off x="0" y="0"/>
                      <a:ext cx="7562215" cy="462915"/>
                    </a:xfrm>
                    <a:prstGeom prst="rect">
                      <a:avLst/>
                    </a:prstGeom>
                  </pic:spPr>
                </pic:pic>
              </a:graphicData>
            </a:graphic>
          </wp:inline>
        </w:drawing>
      </w:r>
    </w:p>
    <w:p w14:paraId="12E1BA12" w14:textId="77777777" w:rsidR="009757A9" w:rsidRDefault="009757A9">
      <w:pPr>
        <w:sectPr w:rsidR="009757A9">
          <w:pgSz w:w="11909" w:h="16838"/>
          <w:pgMar w:top="1080" w:right="0" w:bottom="0" w:left="0" w:header="720" w:footer="720" w:gutter="0"/>
          <w:cols w:space="720"/>
        </w:sectPr>
      </w:pPr>
    </w:p>
    <w:p w14:paraId="78ABF04B" w14:textId="77777777" w:rsidR="009757A9" w:rsidRDefault="00083242">
      <w:pPr>
        <w:spacing w:line="240" w:lineRule="exact"/>
        <w:ind w:right="144"/>
        <w:textAlignment w:val="baseline"/>
        <w:rPr>
          <w:rFonts w:ascii="Tahoma" w:eastAsia="Tahoma" w:hAnsi="Tahoma"/>
          <w:color w:val="404042"/>
          <w:spacing w:val="5"/>
          <w:sz w:val="18"/>
        </w:rPr>
      </w:pPr>
      <w:r>
        <w:rPr>
          <w:rFonts w:ascii="Tahoma" w:eastAsia="Tahoma" w:hAnsi="Tahoma"/>
          <w:color w:val="404042"/>
          <w:spacing w:val="5"/>
          <w:sz w:val="18"/>
        </w:rPr>
        <w:lastRenderedPageBreak/>
        <w:t>Never has this been more necessary because the future of work has rarely been more uncertain. Sectors that seem to have promised so much just a few months ago – tourism, education services, hospitality and retail – now face enormous challenges to recover from the devastating impact of COVID-19. Apprentices are particularly susceptible to economic shock. Conversely, demand from other sectors, particularly for health and care workers, seems likely to increase. We know that students who left school during the 2008 global financial crisis had greater difficulty finding work and building careers than their predecessors, and we should expect the same experience again as the world economy falls into recession and then slowly recovers.</w:t>
      </w:r>
    </w:p>
    <w:p w14:paraId="772E7071" w14:textId="77777777" w:rsidR="009757A9" w:rsidRDefault="00083242">
      <w:pPr>
        <w:spacing w:before="168" w:after="585" w:line="240" w:lineRule="exact"/>
        <w:ind w:right="72"/>
        <w:textAlignment w:val="baseline"/>
        <w:rPr>
          <w:rFonts w:ascii="Tahoma" w:eastAsia="Tahoma" w:hAnsi="Tahoma"/>
          <w:color w:val="404042"/>
          <w:sz w:val="18"/>
        </w:rPr>
      </w:pPr>
      <w:r>
        <w:rPr>
          <w:rFonts w:ascii="Tahoma" w:eastAsia="Tahoma" w:hAnsi="Tahoma"/>
          <w:color w:val="404042"/>
          <w:sz w:val="18"/>
        </w:rPr>
        <w:t>We must not let these students of 2020 down. Nor those who follow closely in their footsteps. The Panel believes that the recommendations that we have made can play a significant part in helping schools transition to providing more effective pathways for their students. They can help to ensure that we do not let this tragic crisis go to waste.</w:t>
      </w:r>
    </w:p>
    <w:p w14:paraId="4B9CA15A" w14:textId="77777777" w:rsidR="009757A9" w:rsidRDefault="00083242">
      <w:pPr>
        <w:spacing w:after="533"/>
        <w:ind w:left="110" w:right="8036"/>
        <w:textAlignment w:val="baseline"/>
      </w:pPr>
      <w:r>
        <w:rPr>
          <w:noProof/>
          <w:lang w:val="en-AU" w:eastAsia="en-AU"/>
        </w:rPr>
        <w:drawing>
          <wp:inline distT="0" distB="0" distL="0" distR="0" wp14:anchorId="2963C361" wp14:editId="734B3761">
            <wp:extent cx="1228090" cy="484505"/>
            <wp:effectExtent l="0" t="0" r="0" b="0"/>
            <wp:docPr id="253" name="Picture"/>
            <wp:cNvGraphicFramePr/>
            <a:graphic xmlns:a="http://schemas.openxmlformats.org/drawingml/2006/main">
              <a:graphicData uri="http://schemas.openxmlformats.org/drawingml/2006/picture">
                <pic:pic xmlns:pic="http://schemas.openxmlformats.org/drawingml/2006/picture">
                  <pic:nvPicPr>
                    <pic:cNvPr id="253" name="Picture"/>
                    <pic:cNvPicPr preferRelativeResize="0"/>
                  </pic:nvPicPr>
                  <pic:blipFill>
                    <a:blip r:embed="rId26"/>
                    <a:stretch>
                      <a:fillRect/>
                    </a:stretch>
                  </pic:blipFill>
                  <pic:spPr>
                    <a:xfrm>
                      <a:off x="0" y="0"/>
                      <a:ext cx="1228090" cy="484505"/>
                    </a:xfrm>
                    <a:prstGeom prst="rect">
                      <a:avLst/>
                    </a:prstGeom>
                  </pic:spPr>
                </pic:pic>
              </a:graphicData>
            </a:graphic>
          </wp:inline>
        </w:drawing>
      </w:r>
    </w:p>
    <w:p w14:paraId="52E6CEBD" w14:textId="77777777" w:rsidR="009757A9" w:rsidRDefault="00083242">
      <w:pPr>
        <w:spacing w:after="9241" w:line="239" w:lineRule="exact"/>
        <w:textAlignment w:val="baseline"/>
        <w:rPr>
          <w:rFonts w:ascii="Tahoma" w:eastAsia="Tahoma" w:hAnsi="Tahoma"/>
          <w:color w:val="404042"/>
          <w:sz w:val="18"/>
        </w:rPr>
      </w:pPr>
      <w:r>
        <w:rPr>
          <w:rFonts w:ascii="Tahoma" w:eastAsia="Tahoma" w:hAnsi="Tahoma"/>
          <w:color w:val="404042"/>
          <w:sz w:val="18"/>
        </w:rPr>
        <w:t xml:space="preserve">Professor Peter Shergold AC </w:t>
      </w:r>
      <w:r>
        <w:rPr>
          <w:rFonts w:ascii="Tahoma" w:eastAsia="Tahoma" w:hAnsi="Tahoma"/>
          <w:color w:val="404042"/>
          <w:sz w:val="18"/>
        </w:rPr>
        <w:br/>
        <w:t>Panel Chair</w:t>
      </w:r>
    </w:p>
    <w:p w14:paraId="7B9608B7" w14:textId="77777777" w:rsidR="009757A9" w:rsidRDefault="009757A9">
      <w:pPr>
        <w:spacing w:after="9241" w:line="239" w:lineRule="exact"/>
        <w:sectPr w:rsidR="009757A9">
          <w:pgSz w:w="11909" w:h="16838"/>
          <w:pgMar w:top="1080" w:right="979" w:bottom="0" w:left="850" w:header="720" w:footer="720" w:gutter="0"/>
          <w:cols w:space="720"/>
        </w:sectPr>
      </w:pPr>
    </w:p>
    <w:p w14:paraId="45D94F70" w14:textId="77777777" w:rsidR="009757A9" w:rsidRDefault="00083242">
      <w:pPr>
        <w:spacing w:before="1" w:after="632" w:line="209" w:lineRule="exact"/>
        <w:ind w:left="9864"/>
        <w:textAlignment w:val="baseline"/>
        <w:rPr>
          <w:rFonts w:ascii="Tahoma" w:eastAsia="Tahoma" w:hAnsi="Tahoma"/>
          <w:color w:val="404042"/>
          <w:spacing w:val="13"/>
          <w:sz w:val="14"/>
        </w:rPr>
      </w:pPr>
      <w:r>
        <w:rPr>
          <w:rFonts w:ascii="Tahoma" w:eastAsia="Tahoma" w:hAnsi="Tahoma"/>
          <w:color w:val="404042"/>
          <w:spacing w:val="13"/>
          <w:sz w:val="14"/>
        </w:rPr>
        <w:t>Afterword</w:t>
      </w:r>
      <w:r>
        <w:rPr>
          <w:rFonts w:ascii="Arial" w:eastAsia="Arial" w:hAnsi="Arial"/>
          <w:b/>
          <w:color w:val="5556A1"/>
          <w:spacing w:val="13"/>
          <w:sz w:val="19"/>
        </w:rPr>
        <w:t xml:space="preserve"> 151</w:t>
      </w:r>
    </w:p>
    <w:p w14:paraId="3CC95860" w14:textId="77777777" w:rsidR="009757A9" w:rsidRDefault="00083242">
      <w:pPr>
        <w:textAlignment w:val="baseline"/>
      </w:pPr>
      <w:r>
        <w:rPr>
          <w:noProof/>
          <w:lang w:val="en-AU" w:eastAsia="en-AU"/>
        </w:rPr>
        <w:drawing>
          <wp:inline distT="0" distB="0" distL="0" distR="0" wp14:anchorId="27986798" wp14:editId="1CCB06AA">
            <wp:extent cx="7562215" cy="462915"/>
            <wp:effectExtent l="0" t="0" r="0" b="0"/>
            <wp:docPr id="254" name="Picture"/>
            <wp:cNvGraphicFramePr/>
            <a:graphic xmlns:a="http://schemas.openxmlformats.org/drawingml/2006/main">
              <a:graphicData uri="http://schemas.openxmlformats.org/drawingml/2006/picture">
                <pic:pic xmlns:pic="http://schemas.openxmlformats.org/drawingml/2006/picture">
                  <pic:nvPicPr>
                    <pic:cNvPr id="254" name="Picture"/>
                    <pic:cNvPicPr preferRelativeResize="0"/>
                  </pic:nvPicPr>
                  <pic:blipFill>
                    <a:blip r:embed="rId27"/>
                    <a:stretch>
                      <a:fillRect/>
                    </a:stretch>
                  </pic:blipFill>
                  <pic:spPr>
                    <a:xfrm>
                      <a:off x="0" y="0"/>
                      <a:ext cx="7562215" cy="462915"/>
                    </a:xfrm>
                    <a:prstGeom prst="rect">
                      <a:avLst/>
                    </a:prstGeom>
                  </pic:spPr>
                </pic:pic>
              </a:graphicData>
            </a:graphic>
          </wp:inline>
        </w:drawing>
      </w:r>
    </w:p>
    <w:p w14:paraId="135028CE" w14:textId="77777777" w:rsidR="009757A9" w:rsidRDefault="009757A9">
      <w:pPr>
        <w:sectPr w:rsidR="009757A9">
          <w:type w:val="continuous"/>
          <w:pgSz w:w="11909" w:h="16838"/>
          <w:pgMar w:top="1080" w:right="0" w:bottom="0" w:left="0" w:header="720" w:footer="720" w:gutter="0"/>
          <w:cols w:space="720"/>
        </w:sectPr>
      </w:pPr>
    </w:p>
    <w:p w14:paraId="053A16B8" w14:textId="77777777" w:rsidR="009757A9" w:rsidRDefault="00083242">
      <w:pPr>
        <w:spacing w:before="10" w:after="244" w:line="454" w:lineRule="exact"/>
        <w:ind w:left="864"/>
        <w:textAlignment w:val="baseline"/>
        <w:rPr>
          <w:rFonts w:ascii="Arial" w:eastAsia="Arial" w:hAnsi="Arial"/>
          <w:b/>
          <w:color w:val="00708E"/>
          <w:spacing w:val="12"/>
          <w:w w:val="95"/>
          <w:sz w:val="39"/>
        </w:rPr>
      </w:pPr>
      <w:r>
        <w:rPr>
          <w:rFonts w:ascii="Arial" w:eastAsia="Arial" w:hAnsi="Arial"/>
          <w:b/>
          <w:color w:val="00708E"/>
          <w:spacing w:val="12"/>
          <w:w w:val="95"/>
          <w:sz w:val="39"/>
        </w:rPr>
        <w:lastRenderedPageBreak/>
        <w:t>ABBREVIATIONS AND ACRONYMS</w:t>
      </w:r>
    </w:p>
    <w:tbl>
      <w:tblPr>
        <w:tblW w:w="0" w:type="auto"/>
        <w:tblLayout w:type="fixed"/>
        <w:tblCellMar>
          <w:left w:w="0" w:type="dxa"/>
          <w:right w:w="0" w:type="dxa"/>
        </w:tblCellMar>
        <w:tblLook w:val="04A0" w:firstRow="1" w:lastRow="0" w:firstColumn="1" w:lastColumn="0" w:noHBand="0" w:noVBand="1"/>
      </w:tblPr>
      <w:tblGrid>
        <w:gridCol w:w="3254"/>
        <w:gridCol w:w="8655"/>
      </w:tblGrid>
      <w:tr w:rsidR="009757A9" w14:paraId="267F356F" w14:textId="77777777">
        <w:trPr>
          <w:trHeight w:hRule="exact" w:val="293"/>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208646F2" w14:textId="77777777" w:rsidR="009757A9" w:rsidRDefault="00083242">
            <w:pPr>
              <w:spacing w:before="51" w:after="37" w:line="200" w:lineRule="exact"/>
              <w:ind w:left="922"/>
              <w:textAlignment w:val="baseline"/>
              <w:rPr>
                <w:rFonts w:ascii="Arial" w:eastAsia="Arial" w:hAnsi="Arial"/>
                <w:b/>
                <w:color w:val="404042"/>
                <w:sz w:val="17"/>
              </w:rPr>
            </w:pPr>
            <w:r>
              <w:rPr>
                <w:rFonts w:ascii="Arial" w:eastAsia="Arial" w:hAnsi="Arial"/>
                <w:b/>
                <w:color w:val="404042"/>
                <w:sz w:val="17"/>
              </w:rPr>
              <w:t>ABS</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5A5C6AEF" w14:textId="77777777" w:rsidR="009757A9" w:rsidRDefault="00083242">
            <w:pPr>
              <w:spacing w:before="39" w:after="30" w:line="219" w:lineRule="exact"/>
              <w:ind w:left="77"/>
              <w:textAlignment w:val="baseline"/>
              <w:rPr>
                <w:rFonts w:ascii="Tahoma" w:eastAsia="Tahoma" w:hAnsi="Tahoma"/>
                <w:color w:val="404042"/>
                <w:sz w:val="18"/>
              </w:rPr>
            </w:pPr>
            <w:r>
              <w:rPr>
                <w:rFonts w:ascii="Tahoma" w:eastAsia="Tahoma" w:hAnsi="Tahoma"/>
                <w:color w:val="404042"/>
                <w:sz w:val="18"/>
              </w:rPr>
              <w:t>Australian Bureau of Statistics</w:t>
            </w:r>
          </w:p>
        </w:tc>
      </w:tr>
      <w:tr w:rsidR="009757A9" w14:paraId="3B8C92CB"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vAlign w:val="center"/>
          </w:tcPr>
          <w:p w14:paraId="7931984C" w14:textId="77777777" w:rsidR="009757A9" w:rsidRDefault="00083242">
            <w:pPr>
              <w:spacing w:before="56" w:after="27" w:line="200" w:lineRule="exact"/>
              <w:ind w:left="922"/>
              <w:textAlignment w:val="baseline"/>
              <w:rPr>
                <w:rFonts w:ascii="Arial" w:eastAsia="Arial" w:hAnsi="Arial"/>
                <w:b/>
                <w:color w:val="404042"/>
                <w:sz w:val="17"/>
              </w:rPr>
            </w:pPr>
            <w:r>
              <w:rPr>
                <w:rFonts w:ascii="Arial" w:eastAsia="Arial" w:hAnsi="Arial"/>
                <w:b/>
                <w:color w:val="404042"/>
                <w:sz w:val="17"/>
              </w:rPr>
              <w:t>AQF</w:t>
            </w:r>
          </w:p>
        </w:tc>
        <w:tc>
          <w:tcPr>
            <w:tcW w:w="8655" w:type="dxa"/>
            <w:tcBorders>
              <w:top w:val="none" w:sz="0" w:space="0" w:color="020000"/>
              <w:left w:val="none" w:sz="0" w:space="0" w:color="020000"/>
              <w:bottom w:val="none" w:sz="0" w:space="0" w:color="020000"/>
              <w:right w:val="none" w:sz="0" w:space="0" w:color="020000"/>
            </w:tcBorders>
            <w:vAlign w:val="center"/>
          </w:tcPr>
          <w:p w14:paraId="7EAC858E" w14:textId="77777777" w:rsidR="009757A9" w:rsidRDefault="00083242">
            <w:pPr>
              <w:spacing w:before="45" w:after="31" w:line="207" w:lineRule="exact"/>
              <w:ind w:left="77"/>
              <w:textAlignment w:val="baseline"/>
              <w:rPr>
                <w:rFonts w:ascii="Verdana" w:eastAsia="Verdana" w:hAnsi="Verdana"/>
                <w:color w:val="404042"/>
                <w:sz w:val="17"/>
              </w:rPr>
            </w:pPr>
            <w:r>
              <w:rPr>
                <w:rFonts w:ascii="Verdana" w:eastAsia="Verdana" w:hAnsi="Verdana"/>
                <w:color w:val="404042"/>
                <w:sz w:val="17"/>
              </w:rPr>
              <w:t>Australian Qualifications Framework</w:t>
            </w:r>
          </w:p>
        </w:tc>
      </w:tr>
      <w:tr w:rsidR="009757A9" w14:paraId="24356138"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1AE8597A" w14:textId="77777777" w:rsidR="009757A9" w:rsidRDefault="00083242">
            <w:pPr>
              <w:spacing w:before="57" w:after="31" w:line="200" w:lineRule="exact"/>
              <w:ind w:left="922"/>
              <w:textAlignment w:val="baseline"/>
              <w:rPr>
                <w:rFonts w:ascii="Arial" w:eastAsia="Arial" w:hAnsi="Arial"/>
                <w:b/>
                <w:color w:val="404042"/>
                <w:sz w:val="17"/>
              </w:rPr>
            </w:pPr>
            <w:r>
              <w:rPr>
                <w:rFonts w:ascii="Arial" w:eastAsia="Arial" w:hAnsi="Arial"/>
                <w:b/>
                <w:color w:val="404042"/>
                <w:sz w:val="17"/>
              </w:rPr>
              <w:t>ASQA</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5EBD6E17" w14:textId="77777777" w:rsidR="009757A9" w:rsidRDefault="00083242">
            <w:pPr>
              <w:spacing w:before="45" w:after="23" w:line="220" w:lineRule="exact"/>
              <w:ind w:left="77"/>
              <w:textAlignment w:val="baseline"/>
              <w:rPr>
                <w:rFonts w:ascii="Tahoma" w:eastAsia="Tahoma" w:hAnsi="Tahoma"/>
                <w:color w:val="404042"/>
                <w:sz w:val="18"/>
              </w:rPr>
            </w:pPr>
            <w:r>
              <w:rPr>
                <w:rFonts w:ascii="Tahoma" w:eastAsia="Tahoma" w:hAnsi="Tahoma"/>
                <w:color w:val="404042"/>
                <w:sz w:val="18"/>
              </w:rPr>
              <w:t>Australian Skills Quality Authority</w:t>
            </w:r>
          </w:p>
        </w:tc>
      </w:tr>
      <w:tr w:rsidR="009757A9" w14:paraId="638E4A85"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vAlign w:val="center"/>
          </w:tcPr>
          <w:p w14:paraId="2EDF544C" w14:textId="77777777" w:rsidR="009757A9" w:rsidRDefault="00083242">
            <w:pPr>
              <w:spacing w:before="56" w:after="37" w:line="200" w:lineRule="exact"/>
              <w:ind w:left="922"/>
              <w:textAlignment w:val="baseline"/>
              <w:rPr>
                <w:rFonts w:ascii="Arial" w:eastAsia="Arial" w:hAnsi="Arial"/>
                <w:b/>
                <w:color w:val="404042"/>
                <w:sz w:val="17"/>
              </w:rPr>
            </w:pPr>
            <w:r>
              <w:rPr>
                <w:rFonts w:ascii="Arial" w:eastAsia="Arial" w:hAnsi="Arial"/>
                <w:b/>
                <w:color w:val="404042"/>
                <w:sz w:val="17"/>
              </w:rPr>
              <w:t>ATAR</w:t>
            </w:r>
          </w:p>
        </w:tc>
        <w:tc>
          <w:tcPr>
            <w:tcW w:w="8655" w:type="dxa"/>
            <w:tcBorders>
              <w:top w:val="none" w:sz="0" w:space="0" w:color="020000"/>
              <w:left w:val="none" w:sz="0" w:space="0" w:color="020000"/>
              <w:bottom w:val="none" w:sz="0" w:space="0" w:color="020000"/>
              <w:right w:val="none" w:sz="0" w:space="0" w:color="020000"/>
            </w:tcBorders>
            <w:vAlign w:val="center"/>
          </w:tcPr>
          <w:p w14:paraId="48B1AEDE" w14:textId="77777777" w:rsidR="009757A9" w:rsidRDefault="00083242">
            <w:pPr>
              <w:spacing w:before="44" w:after="29" w:line="220" w:lineRule="exact"/>
              <w:ind w:left="77"/>
              <w:textAlignment w:val="baseline"/>
              <w:rPr>
                <w:rFonts w:ascii="Tahoma" w:eastAsia="Tahoma" w:hAnsi="Tahoma"/>
                <w:color w:val="404042"/>
                <w:sz w:val="18"/>
              </w:rPr>
            </w:pPr>
            <w:r>
              <w:rPr>
                <w:rFonts w:ascii="Tahoma" w:eastAsia="Tahoma" w:hAnsi="Tahoma"/>
                <w:color w:val="404042"/>
                <w:sz w:val="18"/>
              </w:rPr>
              <w:t>Australian Tertiary Admission Rank</w:t>
            </w:r>
          </w:p>
        </w:tc>
      </w:tr>
      <w:tr w:rsidR="009757A9" w14:paraId="4257DF13"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64CDC248" w14:textId="77777777" w:rsidR="009757A9" w:rsidRDefault="00083242">
            <w:pPr>
              <w:spacing w:before="56" w:after="27" w:line="200" w:lineRule="exact"/>
              <w:ind w:left="922"/>
              <w:textAlignment w:val="baseline"/>
              <w:rPr>
                <w:rFonts w:ascii="Arial" w:eastAsia="Arial" w:hAnsi="Arial"/>
                <w:b/>
                <w:color w:val="404042"/>
                <w:sz w:val="17"/>
              </w:rPr>
            </w:pPr>
            <w:r>
              <w:rPr>
                <w:rFonts w:ascii="Arial" w:eastAsia="Arial" w:hAnsi="Arial"/>
                <w:b/>
                <w:color w:val="404042"/>
                <w:sz w:val="17"/>
              </w:rPr>
              <w:t>COAG</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44A3288F" w14:textId="77777777" w:rsidR="009757A9" w:rsidRDefault="00083242">
            <w:pPr>
              <w:spacing w:before="44" w:after="20" w:line="219" w:lineRule="exact"/>
              <w:ind w:left="77"/>
              <w:textAlignment w:val="baseline"/>
              <w:rPr>
                <w:rFonts w:ascii="Tahoma" w:eastAsia="Tahoma" w:hAnsi="Tahoma"/>
                <w:color w:val="404042"/>
                <w:sz w:val="18"/>
              </w:rPr>
            </w:pPr>
            <w:r>
              <w:rPr>
                <w:rFonts w:ascii="Tahoma" w:eastAsia="Tahoma" w:hAnsi="Tahoma"/>
                <w:color w:val="404042"/>
                <w:sz w:val="18"/>
              </w:rPr>
              <w:t>Council of Australian Governments</w:t>
            </w:r>
          </w:p>
        </w:tc>
      </w:tr>
      <w:tr w:rsidR="009757A9" w14:paraId="188803EA"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vAlign w:val="center"/>
          </w:tcPr>
          <w:p w14:paraId="4015AFAC" w14:textId="77777777" w:rsidR="009757A9" w:rsidRDefault="00083242">
            <w:pPr>
              <w:spacing w:before="56" w:after="32" w:line="200" w:lineRule="exact"/>
              <w:ind w:left="922"/>
              <w:textAlignment w:val="baseline"/>
              <w:rPr>
                <w:rFonts w:ascii="Arial" w:eastAsia="Arial" w:hAnsi="Arial"/>
                <w:b/>
                <w:color w:val="404042"/>
                <w:sz w:val="17"/>
              </w:rPr>
            </w:pPr>
            <w:r>
              <w:rPr>
                <w:rFonts w:ascii="Arial" w:eastAsia="Arial" w:hAnsi="Arial"/>
                <w:b/>
                <w:color w:val="404042"/>
                <w:sz w:val="17"/>
              </w:rPr>
              <w:t>COVID-19</w:t>
            </w:r>
          </w:p>
        </w:tc>
        <w:tc>
          <w:tcPr>
            <w:tcW w:w="8655" w:type="dxa"/>
            <w:tcBorders>
              <w:top w:val="none" w:sz="0" w:space="0" w:color="020000"/>
              <w:left w:val="none" w:sz="0" w:space="0" w:color="020000"/>
              <w:bottom w:val="none" w:sz="0" w:space="0" w:color="020000"/>
              <w:right w:val="none" w:sz="0" w:space="0" w:color="020000"/>
            </w:tcBorders>
            <w:vAlign w:val="center"/>
          </w:tcPr>
          <w:p w14:paraId="1B01362C" w14:textId="77777777" w:rsidR="009757A9" w:rsidRDefault="00083242">
            <w:pPr>
              <w:spacing w:before="44" w:after="25" w:line="219" w:lineRule="exact"/>
              <w:ind w:left="77"/>
              <w:textAlignment w:val="baseline"/>
              <w:rPr>
                <w:rFonts w:ascii="Tahoma" w:eastAsia="Tahoma" w:hAnsi="Tahoma"/>
                <w:color w:val="404042"/>
                <w:sz w:val="18"/>
              </w:rPr>
            </w:pPr>
            <w:r>
              <w:rPr>
                <w:rFonts w:ascii="Tahoma" w:eastAsia="Tahoma" w:hAnsi="Tahoma"/>
                <w:color w:val="404042"/>
                <w:sz w:val="18"/>
              </w:rPr>
              <w:t>coronavirus disease 2019</w:t>
            </w:r>
          </w:p>
        </w:tc>
      </w:tr>
      <w:tr w:rsidR="009757A9" w14:paraId="7FB5927A"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350AD7E3" w14:textId="77777777" w:rsidR="009757A9" w:rsidRDefault="00083242">
            <w:pPr>
              <w:spacing w:before="56" w:after="36" w:line="200" w:lineRule="exact"/>
              <w:ind w:left="922"/>
              <w:textAlignment w:val="baseline"/>
              <w:rPr>
                <w:rFonts w:ascii="Arial" w:eastAsia="Arial" w:hAnsi="Arial"/>
                <w:b/>
                <w:color w:val="404042"/>
                <w:sz w:val="17"/>
              </w:rPr>
            </w:pPr>
            <w:r>
              <w:rPr>
                <w:rFonts w:ascii="Arial" w:eastAsia="Arial" w:hAnsi="Arial"/>
                <w:b/>
                <w:color w:val="404042"/>
                <w:sz w:val="17"/>
              </w:rPr>
              <w:t>JEDI</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7C08FBEC" w14:textId="77777777" w:rsidR="009757A9" w:rsidRDefault="00083242">
            <w:pPr>
              <w:spacing w:before="44" w:after="29" w:line="219" w:lineRule="exact"/>
              <w:ind w:left="77"/>
              <w:textAlignment w:val="baseline"/>
              <w:rPr>
                <w:rFonts w:ascii="Tahoma" w:eastAsia="Tahoma" w:hAnsi="Tahoma"/>
                <w:color w:val="404042"/>
                <w:sz w:val="18"/>
              </w:rPr>
            </w:pPr>
            <w:r>
              <w:rPr>
                <w:rFonts w:ascii="Tahoma" w:eastAsia="Tahoma" w:hAnsi="Tahoma"/>
                <w:color w:val="404042"/>
                <w:sz w:val="18"/>
              </w:rPr>
              <w:t>Jobs and Education Data Infrastructure</w:t>
            </w:r>
          </w:p>
        </w:tc>
      </w:tr>
      <w:tr w:rsidR="009757A9" w14:paraId="76FCF520"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vAlign w:val="center"/>
          </w:tcPr>
          <w:p w14:paraId="73C15B5C" w14:textId="77777777" w:rsidR="009757A9" w:rsidRDefault="00083242">
            <w:pPr>
              <w:spacing w:before="57" w:after="26" w:line="200" w:lineRule="exact"/>
              <w:ind w:left="922"/>
              <w:textAlignment w:val="baseline"/>
              <w:rPr>
                <w:rFonts w:ascii="Arial" w:eastAsia="Arial" w:hAnsi="Arial"/>
                <w:b/>
                <w:color w:val="404042"/>
                <w:sz w:val="17"/>
              </w:rPr>
            </w:pPr>
            <w:r>
              <w:rPr>
                <w:rFonts w:ascii="Arial" w:eastAsia="Arial" w:hAnsi="Arial"/>
                <w:b/>
                <w:color w:val="404042"/>
                <w:sz w:val="17"/>
              </w:rPr>
              <w:t>LSAY</w:t>
            </w:r>
          </w:p>
        </w:tc>
        <w:tc>
          <w:tcPr>
            <w:tcW w:w="8655" w:type="dxa"/>
            <w:tcBorders>
              <w:top w:val="none" w:sz="0" w:space="0" w:color="020000"/>
              <w:left w:val="none" w:sz="0" w:space="0" w:color="020000"/>
              <w:bottom w:val="none" w:sz="0" w:space="0" w:color="020000"/>
              <w:right w:val="none" w:sz="0" w:space="0" w:color="020000"/>
            </w:tcBorders>
            <w:vAlign w:val="center"/>
          </w:tcPr>
          <w:p w14:paraId="5BDAE12A" w14:textId="77777777" w:rsidR="009757A9" w:rsidRDefault="00083242">
            <w:pPr>
              <w:spacing w:before="45" w:after="18" w:line="220" w:lineRule="exact"/>
              <w:ind w:left="77"/>
              <w:textAlignment w:val="baseline"/>
              <w:rPr>
                <w:rFonts w:ascii="Tahoma" w:eastAsia="Tahoma" w:hAnsi="Tahoma"/>
                <w:color w:val="404042"/>
                <w:sz w:val="18"/>
              </w:rPr>
            </w:pPr>
            <w:r>
              <w:rPr>
                <w:rFonts w:ascii="Tahoma" w:eastAsia="Tahoma" w:hAnsi="Tahoma"/>
                <w:color w:val="404042"/>
                <w:sz w:val="18"/>
              </w:rPr>
              <w:t>Longitudinal Surveys of Australian Youth</w:t>
            </w:r>
          </w:p>
        </w:tc>
      </w:tr>
      <w:tr w:rsidR="009757A9" w14:paraId="0613C198"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6154C9E7" w14:textId="77777777" w:rsidR="009757A9" w:rsidRDefault="00083242">
            <w:pPr>
              <w:spacing w:before="56" w:after="32" w:line="200" w:lineRule="exact"/>
              <w:ind w:left="922"/>
              <w:textAlignment w:val="baseline"/>
              <w:rPr>
                <w:rFonts w:ascii="Arial" w:eastAsia="Arial" w:hAnsi="Arial"/>
                <w:b/>
                <w:color w:val="404042"/>
                <w:sz w:val="17"/>
              </w:rPr>
            </w:pPr>
            <w:r>
              <w:rPr>
                <w:rFonts w:ascii="Arial" w:eastAsia="Arial" w:hAnsi="Arial"/>
                <w:b/>
                <w:color w:val="404042"/>
                <w:sz w:val="17"/>
              </w:rPr>
              <w:t>NAPLAN</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0CD297BC" w14:textId="77777777" w:rsidR="009757A9" w:rsidRDefault="00083242">
            <w:pPr>
              <w:spacing w:before="44" w:after="24" w:line="220" w:lineRule="exact"/>
              <w:ind w:left="77"/>
              <w:textAlignment w:val="baseline"/>
              <w:rPr>
                <w:rFonts w:ascii="Tahoma" w:eastAsia="Tahoma" w:hAnsi="Tahoma"/>
                <w:color w:val="404042"/>
                <w:sz w:val="18"/>
              </w:rPr>
            </w:pPr>
            <w:r>
              <w:rPr>
                <w:rFonts w:ascii="Tahoma" w:eastAsia="Tahoma" w:hAnsi="Tahoma"/>
                <w:color w:val="404042"/>
                <w:sz w:val="18"/>
              </w:rPr>
              <w:t>National Assessment Program – Literacy and Numeracy</w:t>
            </w:r>
          </w:p>
        </w:tc>
      </w:tr>
      <w:tr w:rsidR="009757A9" w14:paraId="43CD13EB"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vAlign w:val="center"/>
          </w:tcPr>
          <w:p w14:paraId="3EF6A3D5" w14:textId="77777777" w:rsidR="009757A9" w:rsidRDefault="00083242">
            <w:pPr>
              <w:spacing w:before="56" w:after="36" w:line="200" w:lineRule="exact"/>
              <w:ind w:left="922"/>
              <w:textAlignment w:val="baseline"/>
              <w:rPr>
                <w:rFonts w:ascii="Arial" w:eastAsia="Arial" w:hAnsi="Arial"/>
                <w:b/>
                <w:color w:val="404042"/>
                <w:sz w:val="17"/>
              </w:rPr>
            </w:pPr>
            <w:r>
              <w:rPr>
                <w:rFonts w:ascii="Arial" w:eastAsia="Arial" w:hAnsi="Arial"/>
                <w:b/>
                <w:color w:val="404042"/>
                <w:sz w:val="17"/>
              </w:rPr>
              <w:t>NCVER</w:t>
            </w:r>
          </w:p>
        </w:tc>
        <w:tc>
          <w:tcPr>
            <w:tcW w:w="8655" w:type="dxa"/>
            <w:tcBorders>
              <w:top w:val="none" w:sz="0" w:space="0" w:color="020000"/>
              <w:left w:val="none" w:sz="0" w:space="0" w:color="020000"/>
              <w:bottom w:val="none" w:sz="0" w:space="0" w:color="020000"/>
              <w:right w:val="none" w:sz="0" w:space="0" w:color="020000"/>
            </w:tcBorders>
            <w:vAlign w:val="center"/>
          </w:tcPr>
          <w:p w14:paraId="16F80463" w14:textId="77777777" w:rsidR="009757A9" w:rsidRDefault="00083242">
            <w:pPr>
              <w:spacing w:before="44" w:after="29" w:line="219" w:lineRule="exact"/>
              <w:ind w:left="77"/>
              <w:textAlignment w:val="baseline"/>
              <w:rPr>
                <w:rFonts w:ascii="Tahoma" w:eastAsia="Tahoma" w:hAnsi="Tahoma"/>
                <w:color w:val="404042"/>
                <w:sz w:val="18"/>
              </w:rPr>
            </w:pPr>
            <w:r>
              <w:rPr>
                <w:rFonts w:ascii="Tahoma" w:eastAsia="Tahoma" w:hAnsi="Tahoma"/>
                <w:color w:val="404042"/>
                <w:sz w:val="18"/>
              </w:rPr>
              <w:t>National Centre for Vocational Education Research</w:t>
            </w:r>
          </w:p>
        </w:tc>
      </w:tr>
      <w:tr w:rsidR="009757A9" w14:paraId="5CBF73A3"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2D8202ED" w14:textId="77777777" w:rsidR="009757A9" w:rsidRDefault="00083242">
            <w:pPr>
              <w:spacing w:before="56" w:after="42" w:line="200" w:lineRule="exact"/>
              <w:ind w:left="922"/>
              <w:textAlignment w:val="baseline"/>
              <w:rPr>
                <w:rFonts w:ascii="Arial" w:eastAsia="Arial" w:hAnsi="Arial"/>
                <w:b/>
                <w:color w:val="404042"/>
                <w:sz w:val="17"/>
              </w:rPr>
            </w:pPr>
            <w:r>
              <w:rPr>
                <w:rFonts w:ascii="Arial" w:eastAsia="Arial" w:hAnsi="Arial"/>
                <w:b/>
                <w:color w:val="404042"/>
                <w:sz w:val="17"/>
              </w:rPr>
              <w:t>OECD</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6FB70ECB" w14:textId="77777777" w:rsidR="009757A9" w:rsidRDefault="00083242">
            <w:pPr>
              <w:spacing w:before="44" w:after="34" w:line="220" w:lineRule="exact"/>
              <w:ind w:left="77"/>
              <w:textAlignment w:val="baseline"/>
              <w:rPr>
                <w:rFonts w:ascii="Tahoma" w:eastAsia="Tahoma" w:hAnsi="Tahoma"/>
                <w:color w:val="404042"/>
                <w:sz w:val="18"/>
              </w:rPr>
            </w:pPr>
            <w:r>
              <w:rPr>
                <w:rFonts w:ascii="Tahoma" w:eastAsia="Tahoma" w:hAnsi="Tahoma"/>
                <w:color w:val="404042"/>
                <w:sz w:val="18"/>
              </w:rPr>
              <w:t>Organisation for Economic Co-operation and Development</w:t>
            </w:r>
          </w:p>
        </w:tc>
      </w:tr>
      <w:tr w:rsidR="009757A9" w14:paraId="4CC9C69E"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vAlign w:val="center"/>
          </w:tcPr>
          <w:p w14:paraId="37C411A7" w14:textId="77777777" w:rsidR="009757A9" w:rsidRDefault="00083242">
            <w:pPr>
              <w:spacing w:before="51" w:after="37" w:line="200" w:lineRule="exact"/>
              <w:ind w:left="922"/>
              <w:textAlignment w:val="baseline"/>
              <w:rPr>
                <w:rFonts w:ascii="Arial" w:eastAsia="Arial" w:hAnsi="Arial"/>
                <w:b/>
                <w:color w:val="404042"/>
                <w:sz w:val="17"/>
              </w:rPr>
            </w:pPr>
            <w:r>
              <w:rPr>
                <w:rFonts w:ascii="Arial" w:eastAsia="Arial" w:hAnsi="Arial"/>
                <w:b/>
                <w:color w:val="404042"/>
                <w:sz w:val="17"/>
              </w:rPr>
              <w:t>P-TECH</w:t>
            </w:r>
          </w:p>
        </w:tc>
        <w:tc>
          <w:tcPr>
            <w:tcW w:w="8655" w:type="dxa"/>
            <w:tcBorders>
              <w:top w:val="none" w:sz="0" w:space="0" w:color="020000"/>
              <w:left w:val="none" w:sz="0" w:space="0" w:color="020000"/>
              <w:bottom w:val="none" w:sz="0" w:space="0" w:color="020000"/>
              <w:right w:val="none" w:sz="0" w:space="0" w:color="020000"/>
            </w:tcBorders>
            <w:vAlign w:val="center"/>
          </w:tcPr>
          <w:p w14:paraId="77E5FA8C" w14:textId="77777777" w:rsidR="009757A9" w:rsidRDefault="00083242">
            <w:pPr>
              <w:spacing w:before="39" w:after="29" w:line="220" w:lineRule="exact"/>
              <w:ind w:left="77"/>
              <w:textAlignment w:val="baseline"/>
              <w:rPr>
                <w:rFonts w:ascii="Tahoma" w:eastAsia="Tahoma" w:hAnsi="Tahoma"/>
                <w:color w:val="404042"/>
                <w:sz w:val="18"/>
              </w:rPr>
            </w:pPr>
            <w:r>
              <w:rPr>
                <w:rFonts w:ascii="Tahoma" w:eastAsia="Tahoma" w:hAnsi="Tahoma"/>
                <w:color w:val="404042"/>
                <w:sz w:val="18"/>
              </w:rPr>
              <w:t>Pathways in Technology</w:t>
            </w:r>
          </w:p>
        </w:tc>
      </w:tr>
      <w:tr w:rsidR="009757A9" w14:paraId="1526355E"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73D57BAE" w14:textId="77777777" w:rsidR="009757A9" w:rsidRDefault="00083242">
            <w:pPr>
              <w:spacing w:before="52" w:after="41" w:line="200" w:lineRule="exact"/>
              <w:ind w:left="922"/>
              <w:textAlignment w:val="baseline"/>
              <w:rPr>
                <w:rFonts w:ascii="Arial" w:eastAsia="Arial" w:hAnsi="Arial"/>
                <w:b/>
                <w:color w:val="404042"/>
                <w:sz w:val="17"/>
              </w:rPr>
            </w:pPr>
            <w:r>
              <w:rPr>
                <w:rFonts w:ascii="Arial" w:eastAsia="Arial" w:hAnsi="Arial"/>
                <w:b/>
                <w:color w:val="404042"/>
                <w:sz w:val="17"/>
              </w:rPr>
              <w:t>RTO</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5FF6ABB5" w14:textId="77777777" w:rsidR="009757A9" w:rsidRDefault="00083242">
            <w:pPr>
              <w:spacing w:before="40" w:after="33" w:line="220" w:lineRule="exact"/>
              <w:ind w:left="77"/>
              <w:textAlignment w:val="baseline"/>
              <w:rPr>
                <w:rFonts w:ascii="Tahoma" w:eastAsia="Tahoma" w:hAnsi="Tahoma"/>
                <w:color w:val="404042"/>
                <w:sz w:val="18"/>
              </w:rPr>
            </w:pPr>
            <w:r>
              <w:rPr>
                <w:rFonts w:ascii="Tahoma" w:eastAsia="Tahoma" w:hAnsi="Tahoma"/>
                <w:color w:val="404042"/>
                <w:sz w:val="18"/>
              </w:rPr>
              <w:t>registered training organisation</w:t>
            </w:r>
          </w:p>
        </w:tc>
      </w:tr>
      <w:tr w:rsidR="009757A9" w14:paraId="5AE2C481"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vAlign w:val="center"/>
          </w:tcPr>
          <w:p w14:paraId="75DA1F3A" w14:textId="77777777" w:rsidR="009757A9" w:rsidRDefault="00083242">
            <w:pPr>
              <w:spacing w:before="51" w:after="46" w:line="200" w:lineRule="exact"/>
              <w:ind w:left="922"/>
              <w:textAlignment w:val="baseline"/>
              <w:rPr>
                <w:rFonts w:ascii="Arial" w:eastAsia="Arial" w:hAnsi="Arial"/>
                <w:b/>
                <w:color w:val="404042"/>
                <w:sz w:val="17"/>
              </w:rPr>
            </w:pPr>
            <w:r>
              <w:rPr>
                <w:rFonts w:ascii="Arial" w:eastAsia="Arial" w:hAnsi="Arial"/>
                <w:b/>
                <w:color w:val="404042"/>
                <w:sz w:val="17"/>
              </w:rPr>
              <w:t>SLES</w:t>
            </w:r>
          </w:p>
        </w:tc>
        <w:tc>
          <w:tcPr>
            <w:tcW w:w="8655" w:type="dxa"/>
            <w:tcBorders>
              <w:top w:val="none" w:sz="0" w:space="0" w:color="020000"/>
              <w:left w:val="none" w:sz="0" w:space="0" w:color="020000"/>
              <w:bottom w:val="none" w:sz="0" w:space="0" w:color="020000"/>
              <w:right w:val="none" w:sz="0" w:space="0" w:color="020000"/>
            </w:tcBorders>
            <w:vAlign w:val="center"/>
          </w:tcPr>
          <w:p w14:paraId="4BECEA3B" w14:textId="77777777" w:rsidR="009757A9" w:rsidRDefault="00083242">
            <w:pPr>
              <w:spacing w:before="39" w:after="38" w:line="220" w:lineRule="exact"/>
              <w:ind w:left="77"/>
              <w:textAlignment w:val="baseline"/>
              <w:rPr>
                <w:rFonts w:ascii="Tahoma" w:eastAsia="Tahoma" w:hAnsi="Tahoma"/>
                <w:color w:val="404042"/>
                <w:sz w:val="18"/>
              </w:rPr>
            </w:pPr>
            <w:r>
              <w:rPr>
                <w:rFonts w:ascii="Tahoma" w:eastAsia="Tahoma" w:hAnsi="Tahoma"/>
                <w:color w:val="404042"/>
                <w:sz w:val="18"/>
              </w:rPr>
              <w:t>School Leaver Employment Support</w:t>
            </w:r>
          </w:p>
        </w:tc>
      </w:tr>
      <w:tr w:rsidR="009757A9" w14:paraId="39EB7A9B"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4899785B" w14:textId="77777777" w:rsidR="009757A9" w:rsidRDefault="00083242">
            <w:pPr>
              <w:spacing w:before="51" w:after="36" w:line="200" w:lineRule="exact"/>
              <w:ind w:left="922"/>
              <w:textAlignment w:val="baseline"/>
              <w:rPr>
                <w:rFonts w:ascii="Arial" w:eastAsia="Arial" w:hAnsi="Arial"/>
                <w:b/>
                <w:color w:val="404042"/>
                <w:sz w:val="17"/>
              </w:rPr>
            </w:pPr>
            <w:r>
              <w:rPr>
                <w:rFonts w:ascii="Arial" w:eastAsia="Arial" w:hAnsi="Arial"/>
                <w:b/>
                <w:color w:val="404042"/>
                <w:sz w:val="17"/>
              </w:rPr>
              <w:t>SSCE</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42AB1FB0" w14:textId="77777777" w:rsidR="009757A9" w:rsidRDefault="00083242">
            <w:pPr>
              <w:spacing w:before="40" w:after="28" w:line="219" w:lineRule="exact"/>
              <w:ind w:left="77"/>
              <w:textAlignment w:val="baseline"/>
              <w:rPr>
                <w:rFonts w:ascii="Verdana" w:eastAsia="Verdana" w:hAnsi="Verdana"/>
                <w:color w:val="404042"/>
                <w:sz w:val="17"/>
              </w:rPr>
            </w:pPr>
            <w:r>
              <w:rPr>
                <w:rFonts w:ascii="Verdana" w:eastAsia="Verdana" w:hAnsi="Verdana"/>
                <w:color w:val="404042"/>
                <w:sz w:val="17"/>
              </w:rPr>
              <w:t>Senior Secondary Certificate of Education</w:t>
            </w:r>
          </w:p>
        </w:tc>
      </w:tr>
      <w:tr w:rsidR="009757A9" w14:paraId="3DA20D9B"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vAlign w:val="center"/>
          </w:tcPr>
          <w:p w14:paraId="19CB53B8" w14:textId="77777777" w:rsidR="009757A9" w:rsidRDefault="00083242">
            <w:pPr>
              <w:spacing w:before="52" w:after="41" w:line="200" w:lineRule="exact"/>
              <w:ind w:left="922"/>
              <w:textAlignment w:val="baseline"/>
              <w:rPr>
                <w:rFonts w:ascii="Arial" w:eastAsia="Arial" w:hAnsi="Arial"/>
                <w:b/>
                <w:color w:val="404042"/>
                <w:sz w:val="17"/>
              </w:rPr>
            </w:pPr>
            <w:r>
              <w:rPr>
                <w:rFonts w:ascii="Arial" w:eastAsia="Arial" w:hAnsi="Arial"/>
                <w:b/>
                <w:color w:val="404042"/>
                <w:sz w:val="17"/>
              </w:rPr>
              <w:t>STEM</w:t>
            </w:r>
          </w:p>
        </w:tc>
        <w:tc>
          <w:tcPr>
            <w:tcW w:w="8655" w:type="dxa"/>
            <w:tcBorders>
              <w:top w:val="none" w:sz="0" w:space="0" w:color="020000"/>
              <w:left w:val="none" w:sz="0" w:space="0" w:color="020000"/>
              <w:bottom w:val="none" w:sz="0" w:space="0" w:color="020000"/>
              <w:right w:val="none" w:sz="0" w:space="0" w:color="020000"/>
            </w:tcBorders>
            <w:vAlign w:val="center"/>
          </w:tcPr>
          <w:p w14:paraId="2857714B" w14:textId="77777777" w:rsidR="009757A9" w:rsidRDefault="00083242">
            <w:pPr>
              <w:spacing w:before="40" w:after="33" w:line="220" w:lineRule="exact"/>
              <w:ind w:left="77"/>
              <w:textAlignment w:val="baseline"/>
              <w:rPr>
                <w:rFonts w:ascii="Tahoma" w:eastAsia="Tahoma" w:hAnsi="Tahoma"/>
                <w:color w:val="404042"/>
                <w:sz w:val="18"/>
              </w:rPr>
            </w:pPr>
            <w:r>
              <w:rPr>
                <w:rFonts w:ascii="Tahoma" w:eastAsia="Tahoma" w:hAnsi="Tahoma"/>
                <w:color w:val="404042"/>
                <w:sz w:val="18"/>
              </w:rPr>
              <w:t>science, technology, engineering and mathematics</w:t>
            </w:r>
          </w:p>
        </w:tc>
      </w:tr>
      <w:tr w:rsidR="009757A9" w14:paraId="1F3D2334"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0CF0D877" w14:textId="77777777" w:rsidR="009757A9" w:rsidRDefault="00083242">
            <w:pPr>
              <w:spacing w:before="51" w:after="32" w:line="200" w:lineRule="exact"/>
              <w:ind w:left="922"/>
              <w:textAlignment w:val="baseline"/>
              <w:rPr>
                <w:rFonts w:ascii="Arial" w:eastAsia="Arial" w:hAnsi="Arial"/>
                <w:b/>
                <w:color w:val="404042"/>
                <w:sz w:val="17"/>
              </w:rPr>
            </w:pPr>
            <w:r>
              <w:rPr>
                <w:rFonts w:ascii="Arial" w:eastAsia="Arial" w:hAnsi="Arial"/>
                <w:b/>
                <w:color w:val="404042"/>
                <w:sz w:val="17"/>
              </w:rPr>
              <w:t>TAFE</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0EAD08F4" w14:textId="77777777" w:rsidR="009757A9" w:rsidRDefault="00083242">
            <w:pPr>
              <w:spacing w:before="39" w:after="25" w:line="219" w:lineRule="exact"/>
              <w:ind w:left="77"/>
              <w:textAlignment w:val="baseline"/>
              <w:rPr>
                <w:rFonts w:ascii="Tahoma" w:eastAsia="Tahoma" w:hAnsi="Tahoma"/>
                <w:color w:val="404042"/>
                <w:sz w:val="18"/>
              </w:rPr>
            </w:pPr>
            <w:r>
              <w:rPr>
                <w:rFonts w:ascii="Tahoma" w:eastAsia="Tahoma" w:hAnsi="Tahoma"/>
                <w:color w:val="404042"/>
                <w:sz w:val="18"/>
              </w:rPr>
              <w:t>Technical and Further Education</w:t>
            </w:r>
          </w:p>
        </w:tc>
      </w:tr>
      <w:tr w:rsidR="009757A9" w14:paraId="7917400E"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vAlign w:val="center"/>
          </w:tcPr>
          <w:p w14:paraId="077C3BF7" w14:textId="77777777" w:rsidR="009757A9" w:rsidRDefault="00083242">
            <w:pPr>
              <w:spacing w:before="52" w:after="36" w:line="200" w:lineRule="exact"/>
              <w:ind w:left="922"/>
              <w:textAlignment w:val="baseline"/>
              <w:rPr>
                <w:rFonts w:ascii="Arial" w:eastAsia="Arial" w:hAnsi="Arial"/>
                <w:b/>
                <w:color w:val="404042"/>
                <w:sz w:val="17"/>
              </w:rPr>
            </w:pPr>
            <w:r>
              <w:rPr>
                <w:rFonts w:ascii="Arial" w:eastAsia="Arial" w:hAnsi="Arial"/>
                <w:b/>
                <w:color w:val="404042"/>
                <w:sz w:val="17"/>
              </w:rPr>
              <w:t>TEQSA</w:t>
            </w:r>
          </w:p>
        </w:tc>
        <w:tc>
          <w:tcPr>
            <w:tcW w:w="8655" w:type="dxa"/>
            <w:tcBorders>
              <w:top w:val="none" w:sz="0" w:space="0" w:color="020000"/>
              <w:left w:val="none" w:sz="0" w:space="0" w:color="020000"/>
              <w:bottom w:val="none" w:sz="0" w:space="0" w:color="020000"/>
              <w:right w:val="none" w:sz="0" w:space="0" w:color="020000"/>
            </w:tcBorders>
            <w:vAlign w:val="center"/>
          </w:tcPr>
          <w:p w14:paraId="44151D71" w14:textId="77777777" w:rsidR="009757A9" w:rsidRDefault="00083242">
            <w:pPr>
              <w:spacing w:before="40" w:after="28" w:line="220" w:lineRule="exact"/>
              <w:ind w:left="77"/>
              <w:textAlignment w:val="baseline"/>
              <w:rPr>
                <w:rFonts w:ascii="Tahoma" w:eastAsia="Tahoma" w:hAnsi="Tahoma"/>
                <w:color w:val="404042"/>
                <w:sz w:val="18"/>
              </w:rPr>
            </w:pPr>
            <w:r>
              <w:rPr>
                <w:rFonts w:ascii="Tahoma" w:eastAsia="Tahoma" w:hAnsi="Tahoma"/>
                <w:color w:val="404042"/>
                <w:sz w:val="18"/>
              </w:rPr>
              <w:t>Tertiary Education Quality and Standards Agency</w:t>
            </w:r>
          </w:p>
        </w:tc>
      </w:tr>
      <w:tr w:rsidR="009757A9" w14:paraId="099564CC" w14:textId="77777777">
        <w:trPr>
          <w:trHeight w:hRule="exact" w:val="298"/>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0C014848" w14:textId="77777777" w:rsidR="009757A9" w:rsidRDefault="00083242">
            <w:pPr>
              <w:spacing w:before="51" w:after="42" w:line="200" w:lineRule="exact"/>
              <w:ind w:left="922"/>
              <w:textAlignment w:val="baseline"/>
              <w:rPr>
                <w:rFonts w:ascii="Arial" w:eastAsia="Arial" w:hAnsi="Arial"/>
                <w:b/>
                <w:color w:val="404042"/>
                <w:sz w:val="17"/>
              </w:rPr>
            </w:pPr>
            <w:r>
              <w:rPr>
                <w:rFonts w:ascii="Arial" w:eastAsia="Arial" w:hAnsi="Arial"/>
                <w:b/>
                <w:color w:val="404042"/>
                <w:sz w:val="17"/>
              </w:rPr>
              <w:t>UAC</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283EBAEA" w14:textId="77777777" w:rsidR="009757A9" w:rsidRDefault="00083242">
            <w:pPr>
              <w:spacing w:before="39" w:after="35" w:line="219" w:lineRule="exact"/>
              <w:ind w:left="77"/>
              <w:textAlignment w:val="baseline"/>
              <w:rPr>
                <w:rFonts w:ascii="Tahoma" w:eastAsia="Tahoma" w:hAnsi="Tahoma"/>
                <w:color w:val="404042"/>
                <w:sz w:val="18"/>
              </w:rPr>
            </w:pPr>
            <w:r>
              <w:rPr>
                <w:rFonts w:ascii="Tahoma" w:eastAsia="Tahoma" w:hAnsi="Tahoma"/>
                <w:color w:val="404042"/>
                <w:sz w:val="18"/>
              </w:rPr>
              <w:t>Universities Admissions Centre</w:t>
            </w:r>
          </w:p>
        </w:tc>
      </w:tr>
      <w:tr w:rsidR="009757A9" w14:paraId="3FCCA2C0" w14:textId="77777777">
        <w:trPr>
          <w:trHeight w:hRule="exact" w:val="297"/>
        </w:trPr>
        <w:tc>
          <w:tcPr>
            <w:tcW w:w="3254" w:type="dxa"/>
            <w:tcBorders>
              <w:top w:val="none" w:sz="0" w:space="0" w:color="020000"/>
              <w:left w:val="none" w:sz="0" w:space="0" w:color="020000"/>
              <w:bottom w:val="none" w:sz="0" w:space="0" w:color="020000"/>
              <w:right w:val="none" w:sz="0" w:space="0" w:color="020000"/>
            </w:tcBorders>
            <w:vAlign w:val="center"/>
          </w:tcPr>
          <w:p w14:paraId="4348AC05" w14:textId="77777777" w:rsidR="009757A9" w:rsidRDefault="00083242">
            <w:pPr>
              <w:spacing w:before="51" w:after="32" w:line="200" w:lineRule="exact"/>
              <w:ind w:left="922"/>
              <w:textAlignment w:val="baseline"/>
              <w:rPr>
                <w:rFonts w:ascii="Arial" w:eastAsia="Arial" w:hAnsi="Arial"/>
                <w:b/>
                <w:color w:val="404042"/>
                <w:sz w:val="17"/>
              </w:rPr>
            </w:pPr>
            <w:r>
              <w:rPr>
                <w:rFonts w:ascii="Arial" w:eastAsia="Arial" w:hAnsi="Arial"/>
                <w:b/>
                <w:color w:val="404042"/>
                <w:sz w:val="17"/>
              </w:rPr>
              <w:t>USI</w:t>
            </w:r>
          </w:p>
        </w:tc>
        <w:tc>
          <w:tcPr>
            <w:tcW w:w="8655" w:type="dxa"/>
            <w:tcBorders>
              <w:top w:val="none" w:sz="0" w:space="0" w:color="020000"/>
              <w:left w:val="none" w:sz="0" w:space="0" w:color="020000"/>
              <w:bottom w:val="none" w:sz="0" w:space="0" w:color="020000"/>
              <w:right w:val="none" w:sz="0" w:space="0" w:color="020000"/>
            </w:tcBorders>
            <w:vAlign w:val="center"/>
          </w:tcPr>
          <w:p w14:paraId="55FC0159" w14:textId="77777777" w:rsidR="009757A9" w:rsidRDefault="00083242">
            <w:pPr>
              <w:spacing w:before="40" w:after="24" w:line="219" w:lineRule="exact"/>
              <w:ind w:left="77"/>
              <w:textAlignment w:val="baseline"/>
              <w:rPr>
                <w:rFonts w:ascii="Verdana" w:eastAsia="Verdana" w:hAnsi="Verdana"/>
                <w:color w:val="404042"/>
                <w:sz w:val="17"/>
              </w:rPr>
            </w:pPr>
            <w:r>
              <w:rPr>
                <w:rFonts w:ascii="Verdana" w:eastAsia="Verdana" w:hAnsi="Verdana"/>
                <w:color w:val="404042"/>
                <w:sz w:val="17"/>
              </w:rPr>
              <w:t>Unique Student Identifier</w:t>
            </w:r>
          </w:p>
        </w:tc>
      </w:tr>
      <w:tr w:rsidR="009757A9" w14:paraId="049497DC" w14:textId="77777777">
        <w:trPr>
          <w:trHeight w:hRule="exact" w:val="293"/>
        </w:trPr>
        <w:tc>
          <w:tcPr>
            <w:tcW w:w="3254" w:type="dxa"/>
            <w:tcBorders>
              <w:top w:val="none" w:sz="0" w:space="0" w:color="020000"/>
              <w:left w:val="none" w:sz="0" w:space="0" w:color="020000"/>
              <w:bottom w:val="none" w:sz="0" w:space="0" w:color="020000"/>
              <w:right w:val="none" w:sz="0" w:space="0" w:color="020000"/>
            </w:tcBorders>
            <w:shd w:val="clear" w:color="F5E6DA" w:fill="F5E6DA"/>
            <w:vAlign w:val="center"/>
          </w:tcPr>
          <w:p w14:paraId="288C7D6A" w14:textId="77777777" w:rsidR="009757A9" w:rsidRDefault="00083242">
            <w:pPr>
              <w:spacing w:before="52" w:after="36" w:line="200" w:lineRule="exact"/>
              <w:ind w:left="922"/>
              <w:textAlignment w:val="baseline"/>
              <w:rPr>
                <w:rFonts w:ascii="Arial" w:eastAsia="Arial" w:hAnsi="Arial"/>
                <w:b/>
                <w:color w:val="404042"/>
                <w:sz w:val="17"/>
              </w:rPr>
            </w:pPr>
            <w:r>
              <w:rPr>
                <w:rFonts w:ascii="Arial" w:eastAsia="Arial" w:hAnsi="Arial"/>
                <w:b/>
                <w:color w:val="404042"/>
                <w:sz w:val="17"/>
              </w:rPr>
              <w:t>VET</w:t>
            </w:r>
          </w:p>
        </w:tc>
        <w:tc>
          <w:tcPr>
            <w:tcW w:w="8655" w:type="dxa"/>
            <w:tcBorders>
              <w:top w:val="none" w:sz="0" w:space="0" w:color="020000"/>
              <w:left w:val="none" w:sz="0" w:space="0" w:color="020000"/>
              <w:bottom w:val="none" w:sz="0" w:space="0" w:color="020000"/>
              <w:right w:val="none" w:sz="0" w:space="0" w:color="020000"/>
            </w:tcBorders>
            <w:shd w:val="clear" w:color="F5E6DA" w:fill="F5E6DA"/>
            <w:vAlign w:val="center"/>
          </w:tcPr>
          <w:p w14:paraId="30B400EF" w14:textId="77777777" w:rsidR="009757A9" w:rsidRDefault="00083242">
            <w:pPr>
              <w:spacing w:before="40" w:after="28" w:line="220" w:lineRule="exact"/>
              <w:ind w:left="77"/>
              <w:textAlignment w:val="baseline"/>
              <w:rPr>
                <w:rFonts w:ascii="Tahoma" w:eastAsia="Tahoma" w:hAnsi="Tahoma"/>
                <w:color w:val="404042"/>
                <w:sz w:val="18"/>
              </w:rPr>
            </w:pPr>
            <w:r>
              <w:rPr>
                <w:rFonts w:ascii="Tahoma" w:eastAsia="Tahoma" w:hAnsi="Tahoma"/>
                <w:color w:val="404042"/>
                <w:sz w:val="18"/>
              </w:rPr>
              <w:t>vocational education and training</w:t>
            </w:r>
          </w:p>
        </w:tc>
      </w:tr>
    </w:tbl>
    <w:p w14:paraId="53928DE4" w14:textId="77777777" w:rsidR="009757A9" w:rsidRDefault="009757A9">
      <w:pPr>
        <w:spacing w:after="6451" w:line="20" w:lineRule="exact"/>
      </w:pPr>
    </w:p>
    <w:p w14:paraId="385A3BCB" w14:textId="77777777" w:rsidR="009757A9" w:rsidRDefault="009757A9">
      <w:pPr>
        <w:spacing w:after="6451" w:line="20" w:lineRule="exact"/>
        <w:sectPr w:rsidR="009757A9">
          <w:pgSz w:w="11909" w:h="16838"/>
          <w:pgMar w:top="1840" w:right="0" w:bottom="0" w:left="0" w:header="720" w:footer="720" w:gutter="0"/>
          <w:cols w:space="720"/>
        </w:sectPr>
      </w:pPr>
    </w:p>
    <w:p w14:paraId="78B4BE06" w14:textId="77777777" w:rsidR="009757A9" w:rsidRDefault="00083242">
      <w:pPr>
        <w:tabs>
          <w:tab w:val="left" w:pos="1368"/>
        </w:tabs>
        <w:spacing w:after="636" w:line="189" w:lineRule="exact"/>
        <w:ind w:left="864"/>
        <w:textAlignment w:val="baseline"/>
        <w:rPr>
          <w:rFonts w:ascii="Arial" w:eastAsia="Arial" w:hAnsi="Arial"/>
          <w:b/>
          <w:color w:val="5556A1"/>
          <w:spacing w:val="4"/>
          <w:sz w:val="17"/>
        </w:rPr>
      </w:pPr>
      <w:r>
        <w:rPr>
          <w:rFonts w:ascii="Arial" w:eastAsia="Arial" w:hAnsi="Arial"/>
          <w:b/>
          <w:color w:val="5556A1"/>
          <w:spacing w:val="4"/>
          <w:sz w:val="17"/>
        </w:rPr>
        <w:t>152</w:t>
      </w:r>
      <w:r>
        <w:rPr>
          <w:rFonts w:ascii="Tahoma" w:eastAsia="Tahoma" w:hAnsi="Tahoma"/>
          <w:color w:val="404042"/>
          <w:spacing w:val="4"/>
          <w:sz w:val="14"/>
        </w:rPr>
        <w:tab/>
        <w:t>Looking to the future</w:t>
      </w:r>
    </w:p>
    <w:p w14:paraId="48EADFDE" w14:textId="77777777" w:rsidR="009757A9" w:rsidRDefault="00083242">
      <w:pPr>
        <w:textAlignment w:val="baseline"/>
      </w:pPr>
      <w:r>
        <w:rPr>
          <w:noProof/>
          <w:lang w:val="en-AU" w:eastAsia="en-AU"/>
        </w:rPr>
        <w:drawing>
          <wp:inline distT="0" distB="0" distL="0" distR="0" wp14:anchorId="33CB766F" wp14:editId="1F8B4F87">
            <wp:extent cx="7562215" cy="462915"/>
            <wp:effectExtent l="0" t="0" r="0" b="0"/>
            <wp:docPr id="255" name="Picture"/>
            <wp:cNvGraphicFramePr/>
            <a:graphic xmlns:a="http://schemas.openxmlformats.org/drawingml/2006/main">
              <a:graphicData uri="http://schemas.openxmlformats.org/drawingml/2006/picture">
                <pic:pic xmlns:pic="http://schemas.openxmlformats.org/drawingml/2006/picture">
                  <pic:nvPicPr>
                    <pic:cNvPr id="255" name="Picture"/>
                    <pic:cNvPicPr preferRelativeResize="0"/>
                  </pic:nvPicPr>
                  <pic:blipFill>
                    <a:blip r:embed="rId339"/>
                    <a:stretch>
                      <a:fillRect/>
                    </a:stretch>
                  </pic:blipFill>
                  <pic:spPr>
                    <a:xfrm>
                      <a:off x="0" y="0"/>
                      <a:ext cx="7562215" cy="462915"/>
                    </a:xfrm>
                    <a:prstGeom prst="rect">
                      <a:avLst/>
                    </a:prstGeom>
                  </pic:spPr>
                </pic:pic>
              </a:graphicData>
            </a:graphic>
          </wp:inline>
        </w:drawing>
      </w:r>
    </w:p>
    <w:p w14:paraId="759B32DE" w14:textId="77777777" w:rsidR="009757A9" w:rsidRDefault="009757A9">
      <w:pPr>
        <w:sectPr w:rsidR="009757A9">
          <w:type w:val="continuous"/>
          <w:pgSz w:w="11909" w:h="16838"/>
          <w:pgMar w:top="1840" w:right="0" w:bottom="0" w:left="0" w:header="720" w:footer="720" w:gutter="0"/>
          <w:cols w:space="720"/>
        </w:sectPr>
      </w:pPr>
    </w:p>
    <w:p w14:paraId="5DFB6C14" w14:textId="77777777" w:rsidR="009757A9" w:rsidRDefault="00083242">
      <w:pPr>
        <w:spacing w:before="10" w:after="264" w:line="454" w:lineRule="exact"/>
        <w:ind w:left="792"/>
        <w:textAlignment w:val="baseline"/>
        <w:rPr>
          <w:rFonts w:ascii="Arial" w:eastAsia="Arial" w:hAnsi="Arial"/>
          <w:b/>
          <w:color w:val="00708E"/>
          <w:spacing w:val="9"/>
          <w:w w:val="90"/>
          <w:sz w:val="39"/>
        </w:rPr>
      </w:pPr>
      <w:r>
        <w:rPr>
          <w:rFonts w:ascii="Arial" w:eastAsia="Arial" w:hAnsi="Arial"/>
          <w:b/>
          <w:color w:val="00708E"/>
          <w:spacing w:val="9"/>
          <w:w w:val="90"/>
          <w:sz w:val="39"/>
        </w:rPr>
        <w:lastRenderedPageBreak/>
        <w:t>GLOSSARY</w:t>
      </w:r>
    </w:p>
    <w:tbl>
      <w:tblPr>
        <w:tblW w:w="0" w:type="auto"/>
        <w:tblLayout w:type="fixed"/>
        <w:tblCellMar>
          <w:left w:w="0" w:type="dxa"/>
          <w:right w:w="0" w:type="dxa"/>
        </w:tblCellMar>
        <w:tblLook w:val="04A0" w:firstRow="1" w:lastRow="0" w:firstColumn="1" w:lastColumn="0" w:noHBand="0" w:noVBand="1"/>
      </w:tblPr>
      <w:tblGrid>
        <w:gridCol w:w="4219"/>
        <w:gridCol w:w="7690"/>
      </w:tblGrid>
      <w:tr w:rsidR="009757A9" w14:paraId="12E3F224" w14:textId="77777777">
        <w:trPr>
          <w:trHeight w:hRule="exact" w:val="293"/>
        </w:trPr>
        <w:tc>
          <w:tcPr>
            <w:tcW w:w="4219" w:type="dxa"/>
            <w:tcBorders>
              <w:top w:val="none" w:sz="0" w:space="0" w:color="020000"/>
              <w:left w:val="none" w:sz="0" w:space="0" w:color="020000"/>
              <w:bottom w:val="none" w:sz="0" w:space="0" w:color="020000"/>
              <w:right w:val="none" w:sz="0" w:space="0" w:color="020000"/>
            </w:tcBorders>
            <w:shd w:val="clear" w:color="5C7182" w:fill="5C7182"/>
            <w:vAlign w:val="center"/>
          </w:tcPr>
          <w:p w14:paraId="116E17CE" w14:textId="77777777" w:rsidR="009757A9" w:rsidRDefault="00083242">
            <w:pPr>
              <w:spacing w:before="53" w:after="22" w:line="217" w:lineRule="exact"/>
              <w:ind w:left="936"/>
              <w:textAlignment w:val="baseline"/>
              <w:rPr>
                <w:rFonts w:ascii="Arial" w:eastAsia="Arial" w:hAnsi="Arial"/>
                <w:b/>
                <w:color w:val="FFFFFF"/>
                <w:sz w:val="19"/>
              </w:rPr>
            </w:pPr>
            <w:r>
              <w:rPr>
                <w:rFonts w:ascii="Arial" w:eastAsia="Arial" w:hAnsi="Arial"/>
                <w:b/>
                <w:color w:val="FFFFFF"/>
                <w:sz w:val="19"/>
              </w:rPr>
              <w:t>Term</w:t>
            </w:r>
          </w:p>
        </w:tc>
        <w:tc>
          <w:tcPr>
            <w:tcW w:w="7690" w:type="dxa"/>
            <w:tcBorders>
              <w:top w:val="none" w:sz="0" w:space="0" w:color="020000"/>
              <w:left w:val="none" w:sz="0" w:space="0" w:color="020000"/>
              <w:bottom w:val="none" w:sz="0" w:space="0" w:color="020000"/>
              <w:right w:val="none" w:sz="0" w:space="0" w:color="020000"/>
            </w:tcBorders>
            <w:shd w:val="clear" w:color="5C7182" w:fill="5C7182"/>
            <w:vAlign w:val="center"/>
          </w:tcPr>
          <w:p w14:paraId="4793F9D3" w14:textId="77777777" w:rsidR="009757A9" w:rsidRDefault="00083242">
            <w:pPr>
              <w:spacing w:before="46" w:after="46" w:line="200" w:lineRule="exact"/>
              <w:ind w:left="87"/>
              <w:textAlignment w:val="baseline"/>
              <w:rPr>
                <w:rFonts w:ascii="Tahoma" w:eastAsia="Tahoma" w:hAnsi="Tahoma"/>
                <w:b/>
                <w:color w:val="FFFFFF"/>
                <w:sz w:val="17"/>
              </w:rPr>
            </w:pPr>
            <w:r>
              <w:rPr>
                <w:rFonts w:ascii="Tahoma" w:eastAsia="Tahoma" w:hAnsi="Tahoma"/>
                <w:b/>
                <w:color w:val="FFFFFF"/>
                <w:sz w:val="17"/>
              </w:rPr>
              <w:t>Definition</w:t>
            </w:r>
          </w:p>
        </w:tc>
      </w:tr>
      <w:tr w:rsidR="009757A9" w14:paraId="3980BBA2" w14:textId="77777777">
        <w:trPr>
          <w:trHeight w:hRule="exact" w:val="53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4DCD046D" w14:textId="77777777" w:rsidR="009757A9" w:rsidRDefault="00083242">
            <w:pPr>
              <w:spacing w:before="57" w:after="258" w:line="217" w:lineRule="exact"/>
              <w:ind w:left="936"/>
              <w:textAlignment w:val="baseline"/>
              <w:rPr>
                <w:rFonts w:ascii="Arial" w:eastAsia="Arial" w:hAnsi="Arial"/>
                <w:b/>
                <w:color w:val="404042"/>
                <w:sz w:val="19"/>
              </w:rPr>
            </w:pPr>
            <w:r>
              <w:rPr>
                <w:rFonts w:ascii="Arial" w:eastAsia="Arial" w:hAnsi="Arial"/>
                <w:b/>
                <w:color w:val="404042"/>
                <w:sz w:val="19"/>
              </w:rPr>
              <w:t>Academic pathway/stream</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4D2FB006" w14:textId="77777777" w:rsidR="009757A9" w:rsidRDefault="00083242">
            <w:pPr>
              <w:spacing w:after="24" w:line="240" w:lineRule="exact"/>
              <w:ind w:left="72" w:right="1116"/>
              <w:textAlignment w:val="baseline"/>
              <w:rPr>
                <w:rFonts w:ascii="Tahoma" w:eastAsia="Tahoma" w:hAnsi="Tahoma"/>
                <w:color w:val="404042"/>
                <w:sz w:val="18"/>
              </w:rPr>
            </w:pPr>
            <w:r>
              <w:rPr>
                <w:rFonts w:ascii="Tahoma" w:eastAsia="Tahoma" w:hAnsi="Tahoma"/>
                <w:color w:val="404042"/>
                <w:sz w:val="18"/>
              </w:rPr>
              <w:t>A progression through education focusing on academic subjects and scores, generally leading to further study at a higher education institution.</w:t>
            </w:r>
          </w:p>
        </w:tc>
      </w:tr>
      <w:tr w:rsidR="009757A9" w14:paraId="4E882320"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tcPr>
          <w:p w14:paraId="1AAB0D72" w14:textId="77777777" w:rsidR="009757A9" w:rsidRDefault="00083242">
            <w:pPr>
              <w:spacing w:before="58" w:after="253" w:line="217" w:lineRule="exact"/>
              <w:ind w:left="936"/>
              <w:textAlignment w:val="baseline"/>
              <w:rPr>
                <w:rFonts w:ascii="Arial" w:eastAsia="Arial" w:hAnsi="Arial"/>
                <w:b/>
                <w:color w:val="404042"/>
                <w:sz w:val="19"/>
              </w:rPr>
            </w:pPr>
            <w:r>
              <w:rPr>
                <w:rFonts w:ascii="Arial" w:eastAsia="Arial" w:hAnsi="Arial"/>
                <w:b/>
                <w:color w:val="404042"/>
                <w:sz w:val="19"/>
              </w:rPr>
              <w:t>Achievement standards</w:t>
            </w:r>
          </w:p>
        </w:tc>
        <w:tc>
          <w:tcPr>
            <w:tcW w:w="7690" w:type="dxa"/>
            <w:tcBorders>
              <w:top w:val="none" w:sz="0" w:space="0" w:color="020000"/>
              <w:left w:val="none" w:sz="0" w:space="0" w:color="020000"/>
              <w:bottom w:val="none" w:sz="0" w:space="0" w:color="020000"/>
              <w:right w:val="none" w:sz="0" w:space="0" w:color="020000"/>
            </w:tcBorders>
          </w:tcPr>
          <w:p w14:paraId="2F2F8EDB" w14:textId="77777777" w:rsidR="009757A9" w:rsidRDefault="00083242">
            <w:pPr>
              <w:spacing w:after="19" w:line="240" w:lineRule="exact"/>
              <w:ind w:left="72" w:right="1116"/>
              <w:textAlignment w:val="baseline"/>
              <w:rPr>
                <w:rFonts w:ascii="Tahoma" w:eastAsia="Tahoma" w:hAnsi="Tahoma"/>
                <w:color w:val="404042"/>
                <w:sz w:val="18"/>
              </w:rPr>
            </w:pPr>
            <w:r>
              <w:rPr>
                <w:rFonts w:ascii="Tahoma" w:eastAsia="Tahoma" w:hAnsi="Tahoma"/>
                <w:color w:val="404042"/>
                <w:sz w:val="18"/>
              </w:rPr>
              <w:t>Describe the depth of understanding and the sophistication of knowledge and skill expected of students at the end of each year level or band of years.</w:t>
            </w:r>
          </w:p>
        </w:tc>
      </w:tr>
      <w:tr w:rsidR="009757A9" w14:paraId="4C91A0AD"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57B86BF9" w14:textId="77777777" w:rsidR="009757A9" w:rsidRDefault="00083242">
            <w:pPr>
              <w:spacing w:before="57" w:after="263" w:line="217" w:lineRule="exact"/>
              <w:ind w:left="936"/>
              <w:textAlignment w:val="baseline"/>
              <w:rPr>
                <w:rFonts w:ascii="Arial" w:eastAsia="Arial" w:hAnsi="Arial"/>
                <w:b/>
                <w:color w:val="404042"/>
                <w:sz w:val="19"/>
              </w:rPr>
            </w:pPr>
            <w:r>
              <w:rPr>
                <w:rFonts w:ascii="Arial" w:eastAsia="Arial" w:hAnsi="Arial"/>
                <w:b/>
                <w:color w:val="404042"/>
                <w:sz w:val="19"/>
              </w:rPr>
              <w:t>Apprenticeship</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59131821" w14:textId="77777777" w:rsidR="009757A9" w:rsidRDefault="00083242">
            <w:pPr>
              <w:spacing w:after="29" w:line="240" w:lineRule="exact"/>
              <w:ind w:left="72" w:right="1116"/>
              <w:textAlignment w:val="baseline"/>
              <w:rPr>
                <w:rFonts w:ascii="Tahoma" w:eastAsia="Tahoma" w:hAnsi="Tahoma"/>
                <w:color w:val="404042"/>
                <w:sz w:val="18"/>
              </w:rPr>
            </w:pPr>
            <w:r>
              <w:rPr>
                <w:rFonts w:ascii="Tahoma" w:eastAsia="Tahoma" w:hAnsi="Tahoma"/>
                <w:color w:val="404042"/>
                <w:sz w:val="18"/>
              </w:rPr>
              <w:t>A learning pathway that combines paid on-the-job training and formal study with a registered training organisation.</w:t>
            </w:r>
          </w:p>
        </w:tc>
      </w:tr>
      <w:tr w:rsidR="009757A9" w14:paraId="11830CCF" w14:textId="77777777">
        <w:trPr>
          <w:trHeight w:hRule="exact" w:val="302"/>
        </w:trPr>
        <w:tc>
          <w:tcPr>
            <w:tcW w:w="4219" w:type="dxa"/>
            <w:tcBorders>
              <w:top w:val="none" w:sz="0" w:space="0" w:color="020000"/>
              <w:left w:val="none" w:sz="0" w:space="0" w:color="020000"/>
              <w:bottom w:val="none" w:sz="0" w:space="0" w:color="020000"/>
              <w:right w:val="none" w:sz="0" w:space="0" w:color="020000"/>
            </w:tcBorders>
            <w:vAlign w:val="center"/>
          </w:tcPr>
          <w:p w14:paraId="09CDDBE7" w14:textId="77777777" w:rsidR="009757A9" w:rsidRDefault="00083242">
            <w:pPr>
              <w:spacing w:before="57" w:after="27" w:line="217" w:lineRule="exact"/>
              <w:ind w:left="936"/>
              <w:textAlignment w:val="baseline"/>
              <w:rPr>
                <w:rFonts w:ascii="Arial" w:eastAsia="Arial" w:hAnsi="Arial"/>
                <w:b/>
                <w:color w:val="404042"/>
                <w:sz w:val="19"/>
              </w:rPr>
            </w:pPr>
            <w:r>
              <w:rPr>
                <w:rFonts w:ascii="Arial" w:eastAsia="Arial" w:hAnsi="Arial"/>
                <w:b/>
                <w:color w:val="404042"/>
                <w:sz w:val="19"/>
              </w:rPr>
              <w:t>Attributes</w:t>
            </w:r>
          </w:p>
        </w:tc>
        <w:tc>
          <w:tcPr>
            <w:tcW w:w="7690" w:type="dxa"/>
            <w:tcBorders>
              <w:top w:val="none" w:sz="0" w:space="0" w:color="020000"/>
              <w:left w:val="none" w:sz="0" w:space="0" w:color="020000"/>
              <w:bottom w:val="none" w:sz="0" w:space="0" w:color="020000"/>
              <w:right w:val="none" w:sz="0" w:space="0" w:color="020000"/>
            </w:tcBorders>
            <w:vAlign w:val="center"/>
          </w:tcPr>
          <w:p w14:paraId="3979D23C" w14:textId="77777777" w:rsidR="009757A9" w:rsidRDefault="00083242">
            <w:pPr>
              <w:spacing w:before="48" w:after="36" w:line="217" w:lineRule="exact"/>
              <w:ind w:left="87"/>
              <w:textAlignment w:val="baseline"/>
              <w:rPr>
                <w:rFonts w:ascii="Tahoma" w:eastAsia="Tahoma" w:hAnsi="Tahoma"/>
                <w:color w:val="404042"/>
                <w:sz w:val="18"/>
              </w:rPr>
            </w:pPr>
            <w:r>
              <w:rPr>
                <w:rFonts w:ascii="Tahoma" w:eastAsia="Tahoma" w:hAnsi="Tahoma"/>
                <w:color w:val="404042"/>
                <w:sz w:val="18"/>
              </w:rPr>
              <w:t>Skills, values and behaviours.</w:t>
            </w:r>
          </w:p>
        </w:tc>
      </w:tr>
      <w:tr w:rsidR="009757A9" w14:paraId="687E237D"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6B8F1FD6" w14:textId="77777777" w:rsidR="009757A9" w:rsidRDefault="00083242">
            <w:pPr>
              <w:spacing w:after="43" w:line="240" w:lineRule="exact"/>
              <w:ind w:left="936"/>
              <w:textAlignment w:val="baseline"/>
              <w:rPr>
                <w:rFonts w:ascii="Tahoma" w:eastAsia="Tahoma" w:hAnsi="Tahoma"/>
                <w:b/>
                <w:color w:val="404042"/>
                <w:spacing w:val="6"/>
                <w:sz w:val="17"/>
              </w:rPr>
            </w:pPr>
            <w:r>
              <w:rPr>
                <w:rFonts w:ascii="Tahoma" w:eastAsia="Tahoma" w:hAnsi="Tahoma"/>
                <w:b/>
                <w:color w:val="404042"/>
                <w:spacing w:val="6"/>
                <w:sz w:val="17"/>
              </w:rPr>
              <w:t>Australian Qualifications Framework (AQF)</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6CC54F3F" w14:textId="77777777" w:rsidR="009757A9" w:rsidRDefault="00083242">
            <w:pPr>
              <w:spacing w:after="28" w:line="240" w:lineRule="exact"/>
              <w:ind w:left="72" w:right="1728"/>
              <w:textAlignment w:val="baseline"/>
              <w:rPr>
                <w:rFonts w:ascii="Tahoma" w:eastAsia="Tahoma" w:hAnsi="Tahoma"/>
                <w:color w:val="404042"/>
                <w:sz w:val="18"/>
              </w:rPr>
            </w:pPr>
            <w:r>
              <w:rPr>
                <w:rFonts w:ascii="Tahoma" w:eastAsia="Tahoma" w:hAnsi="Tahoma"/>
                <w:color w:val="404042"/>
                <w:sz w:val="18"/>
              </w:rPr>
              <w:t>The national framework comprising all regulated qualifications in the Australian education and training system.</w:t>
            </w:r>
          </w:p>
        </w:tc>
      </w:tr>
      <w:tr w:rsidR="009757A9" w14:paraId="13AED052" w14:textId="77777777">
        <w:trPr>
          <w:trHeight w:hRule="exact" w:val="777"/>
        </w:trPr>
        <w:tc>
          <w:tcPr>
            <w:tcW w:w="4219" w:type="dxa"/>
            <w:tcBorders>
              <w:top w:val="none" w:sz="0" w:space="0" w:color="020000"/>
              <w:left w:val="none" w:sz="0" w:space="0" w:color="020000"/>
              <w:bottom w:val="none" w:sz="0" w:space="0" w:color="020000"/>
              <w:right w:val="none" w:sz="0" w:space="0" w:color="020000"/>
            </w:tcBorders>
          </w:tcPr>
          <w:p w14:paraId="4A245923" w14:textId="77777777" w:rsidR="009757A9" w:rsidRDefault="00083242">
            <w:pPr>
              <w:spacing w:after="287" w:line="240" w:lineRule="exact"/>
              <w:ind w:left="936" w:right="576"/>
              <w:textAlignment w:val="baseline"/>
              <w:rPr>
                <w:rFonts w:ascii="Arial" w:eastAsia="Arial" w:hAnsi="Arial"/>
                <w:b/>
                <w:color w:val="404042"/>
                <w:sz w:val="19"/>
              </w:rPr>
            </w:pPr>
            <w:r>
              <w:rPr>
                <w:rFonts w:ascii="Arial" w:eastAsia="Arial" w:hAnsi="Arial"/>
                <w:b/>
                <w:color w:val="404042"/>
                <w:sz w:val="19"/>
              </w:rPr>
              <w:t xml:space="preserve">Australian Tertiary Admission </w:t>
            </w:r>
            <w:r>
              <w:rPr>
                <w:rFonts w:ascii="Tahoma" w:eastAsia="Tahoma" w:hAnsi="Tahoma"/>
                <w:b/>
                <w:color w:val="404042"/>
                <w:sz w:val="17"/>
              </w:rPr>
              <w:t>Rank (ATAR)</w:t>
            </w:r>
          </w:p>
        </w:tc>
        <w:tc>
          <w:tcPr>
            <w:tcW w:w="7690" w:type="dxa"/>
            <w:tcBorders>
              <w:top w:val="none" w:sz="0" w:space="0" w:color="020000"/>
              <w:left w:val="none" w:sz="0" w:space="0" w:color="020000"/>
              <w:bottom w:val="none" w:sz="0" w:space="0" w:color="020000"/>
              <w:right w:val="none" w:sz="0" w:space="0" w:color="020000"/>
            </w:tcBorders>
          </w:tcPr>
          <w:p w14:paraId="6F7C6EAD" w14:textId="77777777" w:rsidR="009757A9" w:rsidRDefault="00083242">
            <w:pPr>
              <w:spacing w:after="29" w:line="240" w:lineRule="exact"/>
              <w:ind w:left="72" w:right="1116"/>
              <w:jc w:val="both"/>
              <w:textAlignment w:val="baseline"/>
              <w:rPr>
                <w:rFonts w:ascii="Tahoma" w:eastAsia="Tahoma" w:hAnsi="Tahoma"/>
                <w:color w:val="404042"/>
                <w:sz w:val="18"/>
              </w:rPr>
            </w:pPr>
            <w:r>
              <w:rPr>
                <w:rFonts w:ascii="Tahoma" w:eastAsia="Tahoma" w:hAnsi="Tahoma"/>
                <w:color w:val="404042"/>
                <w:sz w:val="18"/>
              </w:rPr>
              <w:t>A student’s position in relation to their cohort. It is used by higher education providers either on its own or in conjunction with other selection criteria, to rank and select students for admission to tertiary courses.</w:t>
            </w:r>
          </w:p>
        </w:tc>
      </w:tr>
      <w:tr w:rsidR="009757A9" w14:paraId="4F70EA0D" w14:textId="77777777">
        <w:trPr>
          <w:trHeight w:hRule="exact" w:val="101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347A9BCD" w14:textId="77777777" w:rsidR="009757A9" w:rsidRDefault="00083242">
            <w:pPr>
              <w:spacing w:after="507" w:line="240" w:lineRule="exact"/>
              <w:ind w:left="936"/>
              <w:textAlignment w:val="baseline"/>
              <w:rPr>
                <w:rFonts w:ascii="Arial" w:eastAsia="Arial" w:hAnsi="Arial"/>
                <w:b/>
                <w:color w:val="404042"/>
                <w:sz w:val="19"/>
              </w:rPr>
            </w:pPr>
            <w:r>
              <w:rPr>
                <w:rFonts w:ascii="Arial" w:eastAsia="Arial" w:hAnsi="Arial"/>
                <w:b/>
                <w:color w:val="404042"/>
                <w:sz w:val="19"/>
              </w:rPr>
              <w:t>Capabilities for employment and active citizenship</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5EB7E249" w14:textId="77777777" w:rsidR="009757A9" w:rsidRDefault="00083242">
            <w:pPr>
              <w:spacing w:after="33" w:line="240" w:lineRule="exact"/>
              <w:ind w:left="72" w:right="1188"/>
              <w:textAlignment w:val="baseline"/>
              <w:rPr>
                <w:rFonts w:ascii="Tahoma" w:eastAsia="Tahoma" w:hAnsi="Tahoma"/>
                <w:color w:val="404042"/>
                <w:spacing w:val="5"/>
                <w:sz w:val="18"/>
              </w:rPr>
            </w:pPr>
            <w:r>
              <w:rPr>
                <w:rFonts w:ascii="Tahoma" w:eastAsia="Tahoma" w:hAnsi="Tahoma"/>
                <w:color w:val="404042"/>
                <w:spacing w:val="5"/>
                <w:sz w:val="18"/>
              </w:rPr>
              <w:t>Capabilities that prepare young people for work, as well as to be active citizens and lifelong learners. Capabilities include literacy, numeracy, digital literacy, problem-solving, critical thinking, entrepreneurial capacity and interpersonal skills.</w:t>
            </w:r>
          </w:p>
        </w:tc>
      </w:tr>
      <w:tr w:rsidR="009757A9" w14:paraId="184560CF" w14:textId="77777777">
        <w:trPr>
          <w:trHeight w:hRule="exact" w:val="1497"/>
        </w:trPr>
        <w:tc>
          <w:tcPr>
            <w:tcW w:w="4219" w:type="dxa"/>
            <w:tcBorders>
              <w:top w:val="none" w:sz="0" w:space="0" w:color="020000"/>
              <w:left w:val="none" w:sz="0" w:space="0" w:color="020000"/>
              <w:bottom w:val="none" w:sz="0" w:space="0" w:color="020000"/>
              <w:right w:val="none" w:sz="0" w:space="0" w:color="020000"/>
            </w:tcBorders>
          </w:tcPr>
          <w:p w14:paraId="39CFE544" w14:textId="77777777" w:rsidR="009757A9" w:rsidRDefault="00083242">
            <w:pPr>
              <w:spacing w:before="52" w:after="1228" w:line="217" w:lineRule="exact"/>
              <w:ind w:left="936"/>
              <w:textAlignment w:val="baseline"/>
              <w:rPr>
                <w:rFonts w:ascii="Arial" w:eastAsia="Arial" w:hAnsi="Arial"/>
                <w:b/>
                <w:color w:val="404042"/>
                <w:sz w:val="19"/>
              </w:rPr>
            </w:pPr>
            <w:r>
              <w:rPr>
                <w:rFonts w:ascii="Arial" w:eastAsia="Arial" w:hAnsi="Arial"/>
                <w:b/>
                <w:color w:val="404042"/>
                <w:sz w:val="19"/>
              </w:rPr>
              <w:t>Career advice</w:t>
            </w:r>
          </w:p>
        </w:tc>
        <w:tc>
          <w:tcPr>
            <w:tcW w:w="7690" w:type="dxa"/>
            <w:tcBorders>
              <w:top w:val="none" w:sz="0" w:space="0" w:color="020000"/>
              <w:left w:val="none" w:sz="0" w:space="0" w:color="020000"/>
              <w:bottom w:val="none" w:sz="0" w:space="0" w:color="020000"/>
              <w:right w:val="none" w:sz="0" w:space="0" w:color="020000"/>
            </w:tcBorders>
          </w:tcPr>
          <w:p w14:paraId="779B34CC" w14:textId="77777777" w:rsidR="009757A9" w:rsidRDefault="00083242">
            <w:pPr>
              <w:spacing w:after="34" w:line="240" w:lineRule="exact"/>
              <w:ind w:left="72" w:right="1260"/>
              <w:textAlignment w:val="baseline"/>
              <w:rPr>
                <w:rFonts w:ascii="Tahoma" w:eastAsia="Tahoma" w:hAnsi="Tahoma"/>
                <w:color w:val="404042"/>
                <w:sz w:val="18"/>
              </w:rPr>
            </w:pPr>
            <w:r>
              <w:rPr>
                <w:rFonts w:ascii="Tahoma" w:eastAsia="Tahoma" w:hAnsi="Tahoma"/>
                <w:color w:val="404042"/>
                <w:sz w:val="18"/>
              </w:rPr>
              <w:t>Services intended to assist individuals, of any age and at any point throughout their lives, to make educational, training and occupational choices and to manage their careers. Consists of a range of interventions, including career education and counselling, that help people to move from a general understanding of life and work to a specific understanding of the realistic learning and work options that are open to them.</w:t>
            </w:r>
            <w:r>
              <w:rPr>
                <w:rFonts w:ascii="Tahoma" w:eastAsia="Tahoma" w:hAnsi="Tahoma"/>
                <w:color w:val="404042"/>
                <w:sz w:val="18"/>
                <w:vertAlign w:val="superscript"/>
              </w:rPr>
              <w:t>220</w:t>
            </w:r>
            <w:r>
              <w:rPr>
                <w:rFonts w:ascii="Tahoma" w:eastAsia="Tahoma" w:hAnsi="Tahoma"/>
                <w:color w:val="404042"/>
                <w:sz w:val="10"/>
              </w:rPr>
              <w:t xml:space="preserve"> </w:t>
            </w:r>
          </w:p>
        </w:tc>
      </w:tr>
      <w:tr w:rsidR="009757A9" w14:paraId="255920F8" w14:textId="77777777">
        <w:trPr>
          <w:trHeight w:hRule="exact" w:val="125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389FB1DA" w14:textId="77777777" w:rsidR="009757A9" w:rsidRDefault="00083242">
            <w:pPr>
              <w:spacing w:before="53" w:after="982" w:line="217" w:lineRule="exact"/>
              <w:ind w:left="936"/>
              <w:textAlignment w:val="baseline"/>
              <w:rPr>
                <w:rFonts w:ascii="Arial" w:eastAsia="Arial" w:hAnsi="Arial"/>
                <w:b/>
                <w:color w:val="404042"/>
                <w:sz w:val="19"/>
              </w:rPr>
            </w:pPr>
            <w:r>
              <w:rPr>
                <w:rFonts w:ascii="Arial" w:eastAsia="Arial" w:hAnsi="Arial"/>
                <w:b/>
                <w:color w:val="404042"/>
                <w:sz w:val="19"/>
              </w:rPr>
              <w:t>Career counselling</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6176CB10" w14:textId="77777777" w:rsidR="009757A9" w:rsidRDefault="00083242">
            <w:pPr>
              <w:spacing w:after="28" w:line="240" w:lineRule="exact"/>
              <w:ind w:left="72" w:right="1512"/>
              <w:textAlignment w:val="baseline"/>
              <w:rPr>
                <w:rFonts w:ascii="Tahoma" w:eastAsia="Tahoma" w:hAnsi="Tahoma"/>
                <w:color w:val="404042"/>
                <w:sz w:val="18"/>
              </w:rPr>
            </w:pPr>
            <w:r>
              <w:rPr>
                <w:rFonts w:ascii="Tahoma" w:eastAsia="Tahoma" w:hAnsi="Tahoma"/>
                <w:color w:val="404042"/>
                <w:sz w:val="18"/>
              </w:rPr>
              <w:t>An individual or group process that emphasises self-awareness and understanding, and facilitates people to develop a satisfying and meaningful life/work direction as a basis to guide learning, work and transition decisions, as well as manage responses to changing work and learning environments over the lifespan.</w:t>
            </w:r>
            <w:r>
              <w:rPr>
                <w:rFonts w:ascii="Tahoma" w:eastAsia="Tahoma" w:hAnsi="Tahoma"/>
                <w:color w:val="404042"/>
                <w:sz w:val="18"/>
                <w:vertAlign w:val="superscript"/>
              </w:rPr>
              <w:t>221</w:t>
            </w:r>
            <w:r>
              <w:rPr>
                <w:rFonts w:ascii="Tahoma" w:eastAsia="Tahoma" w:hAnsi="Tahoma"/>
                <w:color w:val="404042"/>
                <w:sz w:val="10"/>
              </w:rPr>
              <w:t xml:space="preserve"> </w:t>
            </w:r>
          </w:p>
        </w:tc>
      </w:tr>
      <w:tr w:rsidR="009757A9" w14:paraId="360929BB" w14:textId="77777777">
        <w:trPr>
          <w:trHeight w:hRule="exact" w:val="1018"/>
        </w:trPr>
        <w:tc>
          <w:tcPr>
            <w:tcW w:w="4219" w:type="dxa"/>
            <w:tcBorders>
              <w:top w:val="none" w:sz="0" w:space="0" w:color="020000"/>
              <w:left w:val="none" w:sz="0" w:space="0" w:color="020000"/>
              <w:bottom w:val="none" w:sz="0" w:space="0" w:color="020000"/>
              <w:right w:val="none" w:sz="0" w:space="0" w:color="020000"/>
            </w:tcBorders>
          </w:tcPr>
          <w:p w14:paraId="6752A31B" w14:textId="77777777" w:rsidR="009757A9" w:rsidRDefault="00083242">
            <w:pPr>
              <w:spacing w:before="53" w:after="747" w:line="217" w:lineRule="exact"/>
              <w:ind w:left="936"/>
              <w:textAlignment w:val="baseline"/>
              <w:rPr>
                <w:rFonts w:ascii="Arial" w:eastAsia="Arial" w:hAnsi="Arial"/>
                <w:b/>
                <w:color w:val="404042"/>
                <w:sz w:val="19"/>
              </w:rPr>
            </w:pPr>
            <w:r>
              <w:rPr>
                <w:rFonts w:ascii="Arial" w:eastAsia="Arial" w:hAnsi="Arial"/>
                <w:b/>
                <w:color w:val="404042"/>
                <w:sz w:val="19"/>
              </w:rPr>
              <w:t>Career education</w:t>
            </w:r>
          </w:p>
        </w:tc>
        <w:tc>
          <w:tcPr>
            <w:tcW w:w="7690" w:type="dxa"/>
            <w:tcBorders>
              <w:top w:val="none" w:sz="0" w:space="0" w:color="020000"/>
              <w:left w:val="none" w:sz="0" w:space="0" w:color="020000"/>
              <w:bottom w:val="none" w:sz="0" w:space="0" w:color="020000"/>
              <w:right w:val="none" w:sz="0" w:space="0" w:color="020000"/>
            </w:tcBorders>
          </w:tcPr>
          <w:p w14:paraId="68483AEB" w14:textId="77777777" w:rsidR="009757A9" w:rsidRDefault="00083242">
            <w:pPr>
              <w:spacing w:after="33" w:line="240" w:lineRule="exact"/>
              <w:ind w:left="72" w:right="1188"/>
              <w:textAlignment w:val="baseline"/>
              <w:rPr>
                <w:rFonts w:ascii="Tahoma" w:eastAsia="Tahoma" w:hAnsi="Tahoma"/>
                <w:color w:val="404042"/>
                <w:sz w:val="18"/>
              </w:rPr>
            </w:pPr>
            <w:r>
              <w:rPr>
                <w:rFonts w:ascii="Tahoma" w:eastAsia="Tahoma" w:hAnsi="Tahoma"/>
                <w:color w:val="404042"/>
                <w:sz w:val="18"/>
              </w:rPr>
              <w:t>The development of knowledge, skills and attitudes through a planned program of learning experiences in education and training settings that will assist students to make informed decisions about their study and/or work options and enable effective participation in working life.</w:t>
            </w:r>
            <w:r>
              <w:rPr>
                <w:rFonts w:ascii="Tahoma" w:eastAsia="Tahoma" w:hAnsi="Tahoma"/>
                <w:color w:val="404042"/>
                <w:sz w:val="18"/>
                <w:vertAlign w:val="superscript"/>
              </w:rPr>
              <w:t>222</w:t>
            </w:r>
            <w:r>
              <w:rPr>
                <w:rFonts w:ascii="Tahoma" w:eastAsia="Tahoma" w:hAnsi="Tahoma"/>
                <w:color w:val="404042"/>
                <w:sz w:val="10"/>
              </w:rPr>
              <w:t xml:space="preserve"> </w:t>
            </w:r>
          </w:p>
        </w:tc>
      </w:tr>
      <w:tr w:rsidR="009757A9" w14:paraId="344E5D4C" w14:textId="77777777">
        <w:trPr>
          <w:trHeight w:hRule="exact" w:val="101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1892B50A" w14:textId="77777777" w:rsidR="009757A9" w:rsidRDefault="00083242">
            <w:pPr>
              <w:spacing w:before="52" w:after="738" w:line="217" w:lineRule="exact"/>
              <w:ind w:left="936"/>
              <w:textAlignment w:val="baseline"/>
              <w:rPr>
                <w:rFonts w:ascii="Arial" w:eastAsia="Arial" w:hAnsi="Arial"/>
                <w:b/>
                <w:color w:val="404042"/>
                <w:sz w:val="19"/>
              </w:rPr>
            </w:pPr>
            <w:r>
              <w:rPr>
                <w:rFonts w:ascii="Arial" w:eastAsia="Arial" w:hAnsi="Arial"/>
                <w:b/>
                <w:color w:val="404042"/>
                <w:sz w:val="19"/>
              </w:rPr>
              <w:t>Career information</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4F380CC2" w14:textId="77777777" w:rsidR="009757A9" w:rsidRDefault="00083242">
            <w:pPr>
              <w:spacing w:after="31" w:line="240" w:lineRule="exact"/>
              <w:ind w:left="72" w:right="1188"/>
              <w:textAlignment w:val="baseline"/>
              <w:rPr>
                <w:rFonts w:ascii="Tahoma" w:eastAsia="Tahoma" w:hAnsi="Tahoma"/>
                <w:color w:val="404042"/>
                <w:spacing w:val="4"/>
                <w:sz w:val="18"/>
              </w:rPr>
            </w:pPr>
            <w:r>
              <w:rPr>
                <w:rFonts w:ascii="Tahoma" w:eastAsia="Tahoma" w:hAnsi="Tahoma"/>
                <w:color w:val="404042"/>
                <w:spacing w:val="4"/>
                <w:sz w:val="18"/>
              </w:rPr>
              <w:t>Information (print, electronic, personal contacts and other resources) that assists the process of career development. Career information includes occupational and industry information, education and training information, and social information related to the world of work.</w:t>
            </w:r>
            <w:r>
              <w:rPr>
                <w:rFonts w:ascii="Tahoma" w:eastAsia="Tahoma" w:hAnsi="Tahoma"/>
                <w:color w:val="404042"/>
                <w:spacing w:val="4"/>
                <w:sz w:val="18"/>
                <w:vertAlign w:val="superscript"/>
              </w:rPr>
              <w:t>223</w:t>
            </w:r>
            <w:r>
              <w:rPr>
                <w:rFonts w:ascii="Tahoma" w:eastAsia="Tahoma" w:hAnsi="Tahoma"/>
                <w:color w:val="404042"/>
                <w:spacing w:val="4"/>
                <w:sz w:val="10"/>
              </w:rPr>
              <w:t xml:space="preserve"> </w:t>
            </w:r>
          </w:p>
        </w:tc>
      </w:tr>
      <w:tr w:rsidR="009757A9" w14:paraId="066EA5F6" w14:textId="77777777">
        <w:trPr>
          <w:trHeight w:hRule="exact" w:val="778"/>
        </w:trPr>
        <w:tc>
          <w:tcPr>
            <w:tcW w:w="4219" w:type="dxa"/>
            <w:tcBorders>
              <w:top w:val="none" w:sz="0" w:space="0" w:color="020000"/>
              <w:left w:val="none" w:sz="0" w:space="0" w:color="020000"/>
              <w:bottom w:val="none" w:sz="0" w:space="0" w:color="020000"/>
              <w:right w:val="none" w:sz="0" w:space="0" w:color="020000"/>
            </w:tcBorders>
          </w:tcPr>
          <w:p w14:paraId="3D5DF8E3" w14:textId="77777777" w:rsidR="009757A9" w:rsidRDefault="00083242">
            <w:pPr>
              <w:spacing w:before="53" w:after="497" w:line="217" w:lineRule="exact"/>
              <w:ind w:left="936"/>
              <w:textAlignment w:val="baseline"/>
              <w:rPr>
                <w:rFonts w:ascii="Arial" w:eastAsia="Arial" w:hAnsi="Arial"/>
                <w:b/>
                <w:color w:val="404042"/>
                <w:sz w:val="19"/>
              </w:rPr>
            </w:pPr>
            <w:r>
              <w:rPr>
                <w:rFonts w:ascii="Arial" w:eastAsia="Arial" w:hAnsi="Arial"/>
                <w:b/>
                <w:color w:val="404042"/>
                <w:sz w:val="19"/>
              </w:rPr>
              <w:t>Careers adviser</w:t>
            </w:r>
          </w:p>
        </w:tc>
        <w:tc>
          <w:tcPr>
            <w:tcW w:w="7690" w:type="dxa"/>
            <w:tcBorders>
              <w:top w:val="none" w:sz="0" w:space="0" w:color="020000"/>
              <w:left w:val="none" w:sz="0" w:space="0" w:color="020000"/>
              <w:bottom w:val="none" w:sz="0" w:space="0" w:color="020000"/>
              <w:right w:val="none" w:sz="0" w:space="0" w:color="020000"/>
            </w:tcBorders>
          </w:tcPr>
          <w:p w14:paraId="5921F2DB" w14:textId="77777777" w:rsidR="009757A9" w:rsidRDefault="00083242">
            <w:pPr>
              <w:spacing w:after="23" w:line="240" w:lineRule="exact"/>
              <w:ind w:left="72" w:right="1152"/>
              <w:textAlignment w:val="baseline"/>
              <w:rPr>
                <w:rFonts w:ascii="Tahoma" w:eastAsia="Tahoma" w:hAnsi="Tahoma"/>
                <w:color w:val="404042"/>
                <w:sz w:val="18"/>
              </w:rPr>
            </w:pPr>
            <w:r>
              <w:rPr>
                <w:rFonts w:ascii="Tahoma" w:eastAsia="Tahoma" w:hAnsi="Tahoma"/>
                <w:color w:val="404042"/>
                <w:sz w:val="18"/>
              </w:rPr>
              <w:t>Provides a service that facilitates career decision-making. In addition, careers advisers provide timely and authoritative advice and information to students, colleagues and parents for use in school programs.</w:t>
            </w:r>
            <w:r>
              <w:rPr>
                <w:rFonts w:ascii="Tahoma" w:eastAsia="Tahoma" w:hAnsi="Tahoma"/>
                <w:color w:val="404042"/>
                <w:sz w:val="18"/>
                <w:vertAlign w:val="superscript"/>
              </w:rPr>
              <w:t>224</w:t>
            </w:r>
            <w:r>
              <w:rPr>
                <w:rFonts w:ascii="Tahoma" w:eastAsia="Tahoma" w:hAnsi="Tahoma"/>
                <w:color w:val="404042"/>
                <w:sz w:val="10"/>
              </w:rPr>
              <w:t xml:space="preserve"> </w:t>
            </w:r>
          </w:p>
        </w:tc>
      </w:tr>
      <w:tr w:rsidR="009757A9" w14:paraId="1F011368" w14:textId="77777777">
        <w:trPr>
          <w:trHeight w:hRule="exact" w:val="292"/>
        </w:trPr>
        <w:tc>
          <w:tcPr>
            <w:tcW w:w="4219" w:type="dxa"/>
            <w:tcBorders>
              <w:top w:val="none" w:sz="0" w:space="0" w:color="020000"/>
              <w:left w:val="none" w:sz="0" w:space="0" w:color="020000"/>
              <w:bottom w:val="none" w:sz="0" w:space="0" w:color="020000"/>
              <w:right w:val="none" w:sz="0" w:space="0" w:color="020000"/>
            </w:tcBorders>
            <w:shd w:val="clear" w:color="F5E6DA" w:fill="F5E6DA"/>
            <w:vAlign w:val="center"/>
          </w:tcPr>
          <w:p w14:paraId="5DE17F25" w14:textId="77777777" w:rsidR="009757A9" w:rsidRDefault="00083242">
            <w:pPr>
              <w:spacing w:before="52" w:after="8" w:line="217" w:lineRule="exact"/>
              <w:ind w:left="936"/>
              <w:textAlignment w:val="baseline"/>
              <w:rPr>
                <w:rFonts w:ascii="Arial" w:eastAsia="Arial" w:hAnsi="Arial"/>
                <w:b/>
                <w:color w:val="404042"/>
                <w:sz w:val="19"/>
              </w:rPr>
            </w:pPr>
            <w:r>
              <w:rPr>
                <w:rFonts w:ascii="Arial" w:eastAsia="Arial" w:hAnsi="Arial"/>
                <w:b/>
                <w:color w:val="404042"/>
                <w:sz w:val="19"/>
              </w:rPr>
              <w:t>Competency</w:t>
            </w:r>
          </w:p>
        </w:tc>
        <w:tc>
          <w:tcPr>
            <w:tcW w:w="7690" w:type="dxa"/>
            <w:tcBorders>
              <w:top w:val="none" w:sz="0" w:space="0" w:color="020000"/>
              <w:left w:val="none" w:sz="0" w:space="0" w:color="020000"/>
              <w:bottom w:val="none" w:sz="0" w:space="0" w:color="020000"/>
              <w:right w:val="none" w:sz="0" w:space="0" w:color="020000"/>
            </w:tcBorders>
            <w:shd w:val="clear" w:color="F5E6DA" w:fill="F5E6DA"/>
            <w:vAlign w:val="center"/>
          </w:tcPr>
          <w:p w14:paraId="2ED791CC" w14:textId="77777777" w:rsidR="009757A9" w:rsidRDefault="00083242">
            <w:pPr>
              <w:spacing w:after="14" w:line="240" w:lineRule="exact"/>
              <w:ind w:left="87"/>
              <w:textAlignment w:val="baseline"/>
              <w:rPr>
                <w:rFonts w:ascii="Tahoma" w:eastAsia="Tahoma" w:hAnsi="Tahoma"/>
                <w:color w:val="404042"/>
                <w:sz w:val="18"/>
              </w:rPr>
            </w:pPr>
            <w:r>
              <w:rPr>
                <w:rFonts w:ascii="Tahoma" w:eastAsia="Tahoma" w:hAnsi="Tahoma"/>
                <w:color w:val="404042"/>
                <w:sz w:val="18"/>
              </w:rPr>
              <w:t>Acquisition of a skill.</w:t>
            </w:r>
          </w:p>
        </w:tc>
      </w:tr>
    </w:tbl>
    <w:p w14:paraId="07523D86" w14:textId="77777777" w:rsidR="009757A9" w:rsidRDefault="009757A9">
      <w:pPr>
        <w:spacing w:after="396" w:line="20" w:lineRule="exact"/>
      </w:pPr>
    </w:p>
    <w:p w14:paraId="790EEEC1" w14:textId="77777777" w:rsidR="009757A9" w:rsidRDefault="000D2E34">
      <w:pPr>
        <w:spacing w:before="48" w:line="200" w:lineRule="exact"/>
        <w:ind w:left="1080" w:right="792" w:hanging="288"/>
        <w:textAlignment w:val="baseline"/>
        <w:rPr>
          <w:rFonts w:ascii="Tahoma" w:eastAsia="Tahoma" w:hAnsi="Tahoma"/>
          <w:color w:val="404042"/>
          <w:spacing w:val="6"/>
          <w:sz w:val="14"/>
        </w:rPr>
      </w:pPr>
      <w:r>
        <w:rPr>
          <w:noProof/>
          <w:lang w:val="en-AU" w:eastAsia="en-AU"/>
        </w:rPr>
        <mc:AlternateContent>
          <mc:Choice Requires="wps">
            <w:drawing>
              <wp:anchor distT="0" distB="0" distL="114300" distR="114300" simplePos="0" relativeHeight="252014080" behindDoc="0" locked="0" layoutInCell="1" allowOverlap="1" wp14:anchorId="3E76A14B" wp14:editId="68169D60">
                <wp:simplePos x="0" y="0"/>
                <wp:positionH relativeFrom="page">
                  <wp:posOffset>539750</wp:posOffset>
                </wp:positionH>
                <wp:positionV relativeFrom="page">
                  <wp:posOffset>8436610</wp:posOffset>
                </wp:positionV>
                <wp:extent cx="917575" cy="0"/>
                <wp:effectExtent l="0" t="0" r="0" b="0"/>
                <wp:wrapNone/>
                <wp:docPr id="29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48D2D" id="Line 16" o:spid="_x0000_s1026" style="position:absolute;z-index:2520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664.3pt" to="114.75pt,6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h7zAEAAIUDAAAOAAAAZHJzL2Uyb0RvYy54bWysU8uO2zAMvBfoPwi6N7YDJNs14uwh6faS&#10;tgF2+wGMJNtCZVGQlNj5+1LKo9v2VtQHQRTJ4XBIr56mwbCT8kGjbXg1KzlTVqDUtmv499fnDx85&#10;CxGsBINWNfysAn9av3+3Gl2t5tijkcozArGhHl3D+xhdXRRB9GqAMEOnLDlb9ANEMn1XSA8joQ+m&#10;mJflshjRS+dRqBDodXtx8nXGb1sl4re2DSoy03DiFvPp83lIZ7FeQd15cL0WVxrwDywG0JaK3qG2&#10;EIEdvf4LatDCY8A2zgQOBbatFir3QN1U5R/dvPTgVO6FxAnuLlP4f7Di62nvmZYNnz8uOLMw0JB2&#10;2ipWLZM4ows1xWzs3qf2xGRf3A7Fj8AsbnqwncokX8+O8qqUUfyWkozgqMRh/IKSYuAYMSs1tX5I&#10;kKQBm/JAzveBqCkyQY+P1cPigWiJm6uA+pbnfIifFQ4sXRpuiHPGhdMuxMQD6ltIKmPxWRuTx20s&#10;G4nsvFwuckZAo2Xyprjgu8PGeHaCtDH5y12R521Ygt5C6C9x2XXZJY9HK3OZXoH8dL1H0OZyJ1rG&#10;XlVKwlwkPqA87/1NPZp15n/dy7RMb+2c/evvWf8EAAD//wMAUEsDBBQABgAIAAAAIQD4izXi3wAA&#10;AAwBAAAPAAAAZHJzL2Rvd25yZXYueG1sTI/BTsMwEETvSPyDtZW4IOoQ2sqEOBWqBDeqUkD06Mbb&#10;JCJeR7HbhL/vckBw3NnRzJt8ObpWnLAPjScNt9MEBFLpbUOVhve3pxsFIkRD1rSeUMM3BlgWlxe5&#10;yawf6BVP21gJDqGQGQ11jF0mZShrdCZMfYfEv4PvnYl89pW0vRk43LUyTZKFdKYhbqhNh6say6/t&#10;0WmQMlGz8eNzeJldB9XsVtXueb3R+moyPj6AiDjGPzP84DM6FMy090eyQbQa1JynRNbvUrUAwY40&#10;vZ+D2P9Kssjl/xHFGQAA//8DAFBLAQItABQABgAIAAAAIQC2gziS/gAAAOEBAAATAAAAAAAAAAAA&#10;AAAAAAAAAABbQ29udGVudF9UeXBlc10ueG1sUEsBAi0AFAAGAAgAAAAhADj9If/WAAAAlAEAAAsA&#10;AAAAAAAAAAAAAAAALwEAAF9yZWxzLy5yZWxzUEsBAi0AFAAGAAgAAAAhANAAqHvMAQAAhQMAAA4A&#10;AAAAAAAAAAAAAAAALgIAAGRycy9lMm9Eb2MueG1sUEsBAi0AFAAGAAgAAAAhAPiLNeLfAAAADAEA&#10;AA8AAAAAAAAAAAAAAAAAJgQAAGRycy9kb3ducmV2LnhtbFBLBQYAAAAABAAEAPMAAAAyBQAAAAA=&#10;" strokeweight=".95pt">
                <w10:wrap anchorx="page" anchory="page"/>
              </v:line>
            </w:pict>
          </mc:Fallback>
        </mc:AlternateContent>
      </w:r>
      <w:r w:rsidR="00083242">
        <w:rPr>
          <w:rFonts w:ascii="Tahoma" w:eastAsia="Tahoma" w:hAnsi="Tahoma"/>
          <w:color w:val="404042"/>
          <w:spacing w:val="6"/>
          <w:sz w:val="14"/>
        </w:rPr>
        <w:t xml:space="preserve">220 Australian Government, ‘Common career education terms’, </w:t>
      </w:r>
      <w:hyperlink r:id="rId340">
        <w:r w:rsidR="00083242">
          <w:rPr>
            <w:rFonts w:ascii="Tahoma" w:eastAsia="Tahoma" w:hAnsi="Tahoma"/>
            <w:color w:val="0000FF"/>
            <w:spacing w:val="6"/>
            <w:sz w:val="14"/>
            <w:u w:val="single"/>
          </w:rPr>
          <w:t>https://pssfw.myskills.gov.au/media/1188/attachment-c-common-career-education-ter ms-20151203.pdf</w:t>
        </w:r>
      </w:hyperlink>
      <w:r w:rsidR="00083242">
        <w:rPr>
          <w:rFonts w:ascii="Tahoma" w:eastAsia="Tahoma" w:hAnsi="Tahoma"/>
          <w:color w:val="404042"/>
          <w:spacing w:val="6"/>
          <w:sz w:val="14"/>
        </w:rPr>
        <w:t>.</w:t>
      </w:r>
    </w:p>
    <w:p w14:paraId="4CEA6157" w14:textId="77777777" w:rsidR="009757A9" w:rsidRDefault="00083242">
      <w:pPr>
        <w:spacing w:before="30" w:line="171" w:lineRule="exact"/>
        <w:ind w:left="792"/>
        <w:textAlignment w:val="baseline"/>
        <w:rPr>
          <w:rFonts w:ascii="Tahoma" w:eastAsia="Tahoma" w:hAnsi="Tahoma"/>
          <w:color w:val="404042"/>
          <w:spacing w:val="4"/>
          <w:sz w:val="14"/>
        </w:rPr>
      </w:pPr>
      <w:r>
        <w:rPr>
          <w:rFonts w:ascii="Tahoma" w:eastAsia="Tahoma" w:hAnsi="Tahoma"/>
          <w:color w:val="404042"/>
          <w:spacing w:val="4"/>
          <w:sz w:val="14"/>
        </w:rPr>
        <w:t>221 Ibid.</w:t>
      </w:r>
    </w:p>
    <w:p w14:paraId="56A530ED" w14:textId="77777777" w:rsidR="009757A9" w:rsidRDefault="00083242">
      <w:pPr>
        <w:spacing w:before="31" w:line="171" w:lineRule="exact"/>
        <w:ind w:left="792"/>
        <w:textAlignment w:val="baseline"/>
        <w:rPr>
          <w:rFonts w:ascii="Tahoma" w:eastAsia="Tahoma" w:hAnsi="Tahoma"/>
          <w:color w:val="404042"/>
          <w:spacing w:val="5"/>
          <w:sz w:val="14"/>
        </w:rPr>
      </w:pPr>
      <w:r>
        <w:rPr>
          <w:rFonts w:ascii="Tahoma" w:eastAsia="Tahoma" w:hAnsi="Tahoma"/>
          <w:color w:val="404042"/>
          <w:spacing w:val="5"/>
          <w:sz w:val="14"/>
        </w:rPr>
        <w:t>222 Ibid.</w:t>
      </w:r>
    </w:p>
    <w:p w14:paraId="1A52EAA3" w14:textId="77777777" w:rsidR="009757A9" w:rsidRDefault="00083242">
      <w:pPr>
        <w:spacing w:before="26" w:line="171" w:lineRule="exact"/>
        <w:ind w:left="792"/>
        <w:textAlignment w:val="baseline"/>
        <w:rPr>
          <w:rFonts w:ascii="Tahoma" w:eastAsia="Tahoma" w:hAnsi="Tahoma"/>
          <w:color w:val="404042"/>
          <w:spacing w:val="5"/>
          <w:sz w:val="14"/>
        </w:rPr>
      </w:pPr>
      <w:r>
        <w:rPr>
          <w:rFonts w:ascii="Tahoma" w:eastAsia="Tahoma" w:hAnsi="Tahoma"/>
          <w:color w:val="404042"/>
          <w:spacing w:val="5"/>
          <w:sz w:val="14"/>
        </w:rPr>
        <w:t>223 Ibid.</w:t>
      </w:r>
    </w:p>
    <w:p w14:paraId="7A003053" w14:textId="77777777" w:rsidR="009757A9" w:rsidRDefault="00083242">
      <w:pPr>
        <w:spacing w:before="30" w:line="171" w:lineRule="exact"/>
        <w:ind w:left="792"/>
        <w:textAlignment w:val="baseline"/>
        <w:rPr>
          <w:rFonts w:ascii="Tahoma" w:eastAsia="Tahoma" w:hAnsi="Tahoma"/>
          <w:color w:val="404042"/>
          <w:spacing w:val="4"/>
          <w:sz w:val="14"/>
        </w:rPr>
      </w:pPr>
      <w:r>
        <w:rPr>
          <w:rFonts w:ascii="Tahoma" w:eastAsia="Tahoma" w:hAnsi="Tahoma"/>
          <w:color w:val="404042"/>
          <w:spacing w:val="4"/>
          <w:sz w:val="14"/>
        </w:rPr>
        <w:t>224 Ibid.</w:t>
      </w:r>
    </w:p>
    <w:p w14:paraId="744ADA6F" w14:textId="77777777" w:rsidR="009757A9" w:rsidRDefault="00083242">
      <w:pPr>
        <w:spacing w:before="752" w:after="623" w:line="200" w:lineRule="exact"/>
        <w:ind w:left="9936"/>
        <w:textAlignment w:val="baseline"/>
        <w:rPr>
          <w:rFonts w:ascii="Tahoma" w:eastAsia="Tahoma" w:hAnsi="Tahoma"/>
          <w:color w:val="404042"/>
          <w:spacing w:val="16"/>
          <w:sz w:val="14"/>
        </w:rPr>
      </w:pPr>
      <w:r>
        <w:rPr>
          <w:rFonts w:ascii="Tahoma" w:eastAsia="Tahoma" w:hAnsi="Tahoma"/>
          <w:color w:val="404042"/>
          <w:spacing w:val="16"/>
          <w:sz w:val="14"/>
        </w:rPr>
        <w:t>Glossary</w:t>
      </w:r>
      <w:r>
        <w:rPr>
          <w:rFonts w:ascii="Arial" w:eastAsia="Arial" w:hAnsi="Arial"/>
          <w:b/>
          <w:color w:val="5556A1"/>
          <w:spacing w:val="16"/>
          <w:sz w:val="19"/>
        </w:rPr>
        <w:t xml:space="preserve"> 153</w:t>
      </w:r>
    </w:p>
    <w:p w14:paraId="76AABEF2" w14:textId="77777777" w:rsidR="009757A9" w:rsidRDefault="00083242">
      <w:pPr>
        <w:textAlignment w:val="baseline"/>
      </w:pPr>
      <w:r>
        <w:rPr>
          <w:noProof/>
          <w:lang w:val="en-AU" w:eastAsia="en-AU"/>
        </w:rPr>
        <w:drawing>
          <wp:inline distT="0" distB="0" distL="0" distR="0" wp14:anchorId="46A051A1" wp14:editId="0F685A98">
            <wp:extent cx="7562215" cy="462915"/>
            <wp:effectExtent l="0" t="0" r="0" b="0"/>
            <wp:docPr id="256" name="Picture"/>
            <wp:cNvGraphicFramePr/>
            <a:graphic xmlns:a="http://schemas.openxmlformats.org/drawingml/2006/main">
              <a:graphicData uri="http://schemas.openxmlformats.org/drawingml/2006/picture">
                <pic:pic xmlns:pic="http://schemas.openxmlformats.org/drawingml/2006/picture">
                  <pic:nvPicPr>
                    <pic:cNvPr id="256" name="Picture"/>
                    <pic:cNvPicPr preferRelativeResize="0"/>
                  </pic:nvPicPr>
                  <pic:blipFill>
                    <a:blip r:embed="rId341"/>
                    <a:stretch>
                      <a:fillRect/>
                    </a:stretch>
                  </pic:blipFill>
                  <pic:spPr>
                    <a:xfrm>
                      <a:off x="0" y="0"/>
                      <a:ext cx="7562215" cy="462915"/>
                    </a:xfrm>
                    <a:prstGeom prst="rect">
                      <a:avLst/>
                    </a:prstGeom>
                  </pic:spPr>
                </pic:pic>
              </a:graphicData>
            </a:graphic>
          </wp:inline>
        </w:drawing>
      </w:r>
    </w:p>
    <w:p w14:paraId="0F6C360A" w14:textId="77777777" w:rsidR="009757A9" w:rsidRDefault="009757A9">
      <w:pPr>
        <w:sectPr w:rsidR="009757A9">
          <w:pgSz w:w="11909" w:h="16838"/>
          <w:pgMar w:top="1720" w:right="0" w:bottom="0" w:left="0"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4219"/>
        <w:gridCol w:w="7690"/>
      </w:tblGrid>
      <w:tr w:rsidR="009757A9" w14:paraId="364E91BC" w14:textId="77777777">
        <w:trPr>
          <w:trHeight w:hRule="exact" w:val="293"/>
        </w:trPr>
        <w:tc>
          <w:tcPr>
            <w:tcW w:w="4219" w:type="dxa"/>
            <w:tcBorders>
              <w:top w:val="none" w:sz="0" w:space="0" w:color="020000"/>
              <w:left w:val="none" w:sz="0" w:space="0" w:color="020000"/>
              <w:bottom w:val="none" w:sz="0" w:space="0" w:color="020000"/>
              <w:right w:val="none" w:sz="0" w:space="0" w:color="020000"/>
            </w:tcBorders>
            <w:shd w:val="clear" w:color="5C7182" w:fill="5C7182"/>
            <w:vAlign w:val="center"/>
          </w:tcPr>
          <w:p w14:paraId="4561D54E" w14:textId="77777777" w:rsidR="009757A9" w:rsidRDefault="00083242">
            <w:pPr>
              <w:spacing w:before="53" w:after="13" w:line="217" w:lineRule="exact"/>
              <w:ind w:left="936"/>
              <w:textAlignment w:val="baseline"/>
              <w:rPr>
                <w:rFonts w:ascii="Arial" w:eastAsia="Arial" w:hAnsi="Arial"/>
                <w:b/>
                <w:color w:val="FFFFFF"/>
                <w:sz w:val="19"/>
              </w:rPr>
            </w:pPr>
            <w:r>
              <w:rPr>
                <w:rFonts w:ascii="Arial" w:eastAsia="Arial" w:hAnsi="Arial"/>
                <w:b/>
                <w:color w:val="FFFFFF"/>
                <w:sz w:val="19"/>
              </w:rPr>
              <w:lastRenderedPageBreak/>
              <w:t>Term</w:t>
            </w:r>
          </w:p>
        </w:tc>
        <w:tc>
          <w:tcPr>
            <w:tcW w:w="7690" w:type="dxa"/>
            <w:tcBorders>
              <w:top w:val="none" w:sz="0" w:space="0" w:color="020000"/>
              <w:left w:val="none" w:sz="0" w:space="0" w:color="020000"/>
              <w:bottom w:val="none" w:sz="0" w:space="0" w:color="020000"/>
              <w:right w:val="none" w:sz="0" w:space="0" w:color="020000"/>
            </w:tcBorders>
            <w:shd w:val="clear" w:color="5C7182" w:fill="5C7182"/>
            <w:vAlign w:val="center"/>
          </w:tcPr>
          <w:p w14:paraId="5540E99A" w14:textId="77777777" w:rsidR="009757A9" w:rsidRDefault="00083242">
            <w:pPr>
              <w:spacing w:before="46" w:after="32" w:line="205" w:lineRule="exact"/>
              <w:ind w:left="87"/>
              <w:textAlignment w:val="baseline"/>
              <w:rPr>
                <w:rFonts w:ascii="Tahoma" w:eastAsia="Tahoma" w:hAnsi="Tahoma"/>
                <w:b/>
                <w:color w:val="FFFFFF"/>
                <w:sz w:val="17"/>
              </w:rPr>
            </w:pPr>
            <w:r>
              <w:rPr>
                <w:rFonts w:ascii="Tahoma" w:eastAsia="Tahoma" w:hAnsi="Tahoma"/>
                <w:b/>
                <w:color w:val="FFFFFF"/>
                <w:sz w:val="17"/>
              </w:rPr>
              <w:t>Definition</w:t>
            </w:r>
          </w:p>
        </w:tc>
      </w:tr>
      <w:tr w:rsidR="009757A9" w14:paraId="01E1BEC4" w14:textId="77777777">
        <w:trPr>
          <w:trHeight w:hRule="exact" w:val="1017"/>
        </w:trPr>
        <w:tc>
          <w:tcPr>
            <w:tcW w:w="4219" w:type="dxa"/>
            <w:tcBorders>
              <w:top w:val="none" w:sz="0" w:space="0" w:color="020000"/>
              <w:left w:val="none" w:sz="0" w:space="0" w:color="020000"/>
              <w:bottom w:val="none" w:sz="0" w:space="0" w:color="020000"/>
              <w:right w:val="none" w:sz="0" w:space="0" w:color="020000"/>
            </w:tcBorders>
          </w:tcPr>
          <w:p w14:paraId="7F39BC80" w14:textId="77777777" w:rsidR="009757A9" w:rsidRDefault="00083242">
            <w:pPr>
              <w:spacing w:before="58" w:after="738" w:line="217" w:lineRule="exact"/>
              <w:ind w:left="936"/>
              <w:textAlignment w:val="baseline"/>
              <w:rPr>
                <w:rFonts w:ascii="Arial" w:eastAsia="Arial" w:hAnsi="Arial"/>
                <w:b/>
                <w:color w:val="404042"/>
                <w:sz w:val="19"/>
              </w:rPr>
            </w:pPr>
            <w:r>
              <w:rPr>
                <w:rFonts w:ascii="Arial" w:eastAsia="Arial" w:hAnsi="Arial"/>
                <w:b/>
                <w:color w:val="404042"/>
                <w:sz w:val="19"/>
              </w:rPr>
              <w:t>Credential</w:t>
            </w:r>
          </w:p>
        </w:tc>
        <w:tc>
          <w:tcPr>
            <w:tcW w:w="7690" w:type="dxa"/>
            <w:tcBorders>
              <w:top w:val="none" w:sz="0" w:space="0" w:color="020000"/>
              <w:left w:val="none" w:sz="0" w:space="0" w:color="020000"/>
              <w:bottom w:val="none" w:sz="0" w:space="0" w:color="020000"/>
              <w:right w:val="none" w:sz="0" w:space="0" w:color="020000"/>
            </w:tcBorders>
          </w:tcPr>
          <w:p w14:paraId="65016738" w14:textId="77777777" w:rsidR="009757A9" w:rsidRDefault="00083242">
            <w:pPr>
              <w:spacing w:after="24" w:line="240" w:lineRule="exact"/>
              <w:ind w:left="72" w:right="1440"/>
              <w:textAlignment w:val="baseline"/>
              <w:rPr>
                <w:rFonts w:ascii="Tahoma" w:eastAsia="Tahoma" w:hAnsi="Tahoma"/>
                <w:color w:val="404042"/>
                <w:spacing w:val="5"/>
                <w:sz w:val="18"/>
              </w:rPr>
            </w:pPr>
            <w:r>
              <w:rPr>
                <w:rFonts w:ascii="Tahoma" w:eastAsia="Tahoma" w:hAnsi="Tahoma"/>
                <w:color w:val="404042"/>
                <w:spacing w:val="5"/>
                <w:sz w:val="18"/>
              </w:rPr>
              <w:t>Formal certification issued for successful achievement of a defined set of outcomes, e.g. successful completion of a course in recognition of having achieved particular knowledge, skills or competencies; successful completion of an apprenticeship or traineeship.</w:t>
            </w:r>
          </w:p>
        </w:tc>
      </w:tr>
      <w:tr w:rsidR="009757A9" w14:paraId="075992EC" w14:textId="77777777">
        <w:trPr>
          <w:trHeight w:hRule="exact" w:val="77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4C601C80" w14:textId="77777777" w:rsidR="009757A9" w:rsidRDefault="00083242">
            <w:pPr>
              <w:spacing w:before="59" w:after="497" w:line="217" w:lineRule="exact"/>
              <w:ind w:left="936"/>
              <w:textAlignment w:val="baseline"/>
              <w:rPr>
                <w:rFonts w:ascii="Arial" w:eastAsia="Arial" w:hAnsi="Arial"/>
                <w:b/>
                <w:color w:val="404042"/>
                <w:sz w:val="19"/>
              </w:rPr>
            </w:pPr>
            <w:r>
              <w:rPr>
                <w:rFonts w:ascii="Arial" w:eastAsia="Arial" w:hAnsi="Arial"/>
                <w:b/>
                <w:color w:val="404042"/>
                <w:sz w:val="19"/>
              </w:rPr>
              <w:t>Digital literacy</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1E32364B" w14:textId="77777777" w:rsidR="009757A9" w:rsidRDefault="00083242">
            <w:pPr>
              <w:spacing w:after="23" w:line="240" w:lineRule="exact"/>
              <w:ind w:left="72" w:right="1332"/>
              <w:textAlignment w:val="baseline"/>
              <w:rPr>
                <w:rFonts w:ascii="Tahoma" w:eastAsia="Tahoma" w:hAnsi="Tahoma"/>
                <w:color w:val="404042"/>
                <w:sz w:val="18"/>
              </w:rPr>
            </w:pPr>
            <w:r>
              <w:rPr>
                <w:rFonts w:ascii="Tahoma" w:eastAsia="Tahoma" w:hAnsi="Tahoma"/>
                <w:color w:val="404042"/>
                <w:sz w:val="18"/>
              </w:rPr>
              <w:t>The ability to access, manage and evaluate digital information, including information and communications technology, social media, hardware and software, and an awareness of issues such as cybersecurity.</w:t>
            </w:r>
          </w:p>
        </w:tc>
      </w:tr>
      <w:tr w:rsidR="009757A9" w14:paraId="799A1891" w14:textId="77777777">
        <w:trPr>
          <w:trHeight w:hRule="exact" w:val="1018"/>
        </w:trPr>
        <w:tc>
          <w:tcPr>
            <w:tcW w:w="4219" w:type="dxa"/>
            <w:tcBorders>
              <w:top w:val="none" w:sz="0" w:space="0" w:color="020000"/>
              <w:left w:val="none" w:sz="0" w:space="0" w:color="020000"/>
              <w:bottom w:val="none" w:sz="0" w:space="0" w:color="020000"/>
              <w:right w:val="none" w:sz="0" w:space="0" w:color="020000"/>
            </w:tcBorders>
          </w:tcPr>
          <w:p w14:paraId="126619A4" w14:textId="77777777" w:rsidR="009757A9" w:rsidRDefault="00083242">
            <w:pPr>
              <w:spacing w:before="58" w:after="743" w:line="217" w:lineRule="exact"/>
              <w:ind w:left="936"/>
              <w:textAlignment w:val="baseline"/>
              <w:rPr>
                <w:rFonts w:ascii="Arial" w:eastAsia="Arial" w:hAnsi="Arial"/>
                <w:b/>
                <w:color w:val="404042"/>
                <w:sz w:val="19"/>
              </w:rPr>
            </w:pPr>
            <w:r>
              <w:rPr>
                <w:rFonts w:ascii="Arial" w:eastAsia="Arial" w:hAnsi="Arial"/>
                <w:b/>
                <w:color w:val="404042"/>
                <w:sz w:val="19"/>
              </w:rPr>
              <w:t>Education Passport</w:t>
            </w:r>
          </w:p>
        </w:tc>
        <w:tc>
          <w:tcPr>
            <w:tcW w:w="7690" w:type="dxa"/>
            <w:tcBorders>
              <w:top w:val="none" w:sz="0" w:space="0" w:color="020000"/>
              <w:left w:val="none" w:sz="0" w:space="0" w:color="020000"/>
              <w:bottom w:val="none" w:sz="0" w:space="0" w:color="020000"/>
              <w:right w:val="none" w:sz="0" w:space="0" w:color="020000"/>
            </w:tcBorders>
          </w:tcPr>
          <w:p w14:paraId="71F25B01" w14:textId="77777777" w:rsidR="009757A9" w:rsidRDefault="00083242">
            <w:pPr>
              <w:spacing w:after="29" w:line="240" w:lineRule="exact"/>
              <w:ind w:left="72" w:right="1260"/>
              <w:textAlignment w:val="baseline"/>
              <w:rPr>
                <w:rFonts w:ascii="Tahoma" w:eastAsia="Tahoma" w:hAnsi="Tahoma"/>
                <w:color w:val="404042"/>
                <w:spacing w:val="5"/>
                <w:sz w:val="18"/>
              </w:rPr>
            </w:pPr>
            <w:r>
              <w:rPr>
                <w:rFonts w:ascii="Tahoma" w:eastAsia="Tahoma" w:hAnsi="Tahoma"/>
                <w:color w:val="404042"/>
                <w:spacing w:val="5"/>
                <w:sz w:val="18"/>
              </w:rPr>
              <w:t>A living document that records skills, certificated courses, professional development, workplace learning or micro-credentials, and allows young people to capture all the learnings and experiences they gain through both formal and informal education and training opportunities.</w:t>
            </w:r>
          </w:p>
        </w:tc>
      </w:tr>
      <w:tr w:rsidR="009757A9" w14:paraId="263230D6" w14:textId="77777777">
        <w:trPr>
          <w:trHeight w:hRule="exact" w:val="77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27AD5F66" w14:textId="77777777" w:rsidR="009757A9" w:rsidRDefault="00083242">
            <w:pPr>
              <w:spacing w:before="58" w:after="488" w:line="217" w:lineRule="exact"/>
              <w:ind w:left="936"/>
              <w:textAlignment w:val="baseline"/>
              <w:rPr>
                <w:rFonts w:ascii="Arial" w:eastAsia="Arial" w:hAnsi="Arial"/>
                <w:b/>
                <w:color w:val="404042"/>
                <w:sz w:val="19"/>
              </w:rPr>
            </w:pPr>
            <w:r>
              <w:rPr>
                <w:rFonts w:ascii="Arial" w:eastAsia="Arial" w:hAnsi="Arial"/>
                <w:b/>
                <w:color w:val="404042"/>
                <w:sz w:val="19"/>
              </w:rPr>
              <w:t>Entrepreneurship</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4131951C" w14:textId="77777777" w:rsidR="009757A9" w:rsidRDefault="00083242">
            <w:pPr>
              <w:spacing w:after="14" w:line="240" w:lineRule="exact"/>
              <w:ind w:left="72" w:right="1116"/>
              <w:textAlignment w:val="baseline"/>
              <w:rPr>
                <w:rFonts w:ascii="Tahoma" w:eastAsia="Tahoma" w:hAnsi="Tahoma"/>
                <w:color w:val="404042"/>
                <w:sz w:val="18"/>
              </w:rPr>
            </w:pPr>
            <w:r>
              <w:rPr>
                <w:rFonts w:ascii="Tahoma" w:eastAsia="Tahoma" w:hAnsi="Tahoma"/>
                <w:color w:val="404042"/>
                <w:sz w:val="18"/>
              </w:rPr>
              <w:t>The group of personal dispositions that contribute to identifying and/or creating opportunities, and implementing these dispositions in a productive way in a work context.</w:t>
            </w:r>
          </w:p>
        </w:tc>
      </w:tr>
      <w:tr w:rsidR="009757A9" w14:paraId="2DFF6F00" w14:textId="77777777">
        <w:trPr>
          <w:trHeight w:hRule="exact" w:val="783"/>
        </w:trPr>
        <w:tc>
          <w:tcPr>
            <w:tcW w:w="4219" w:type="dxa"/>
            <w:tcBorders>
              <w:top w:val="none" w:sz="0" w:space="0" w:color="020000"/>
              <w:left w:val="none" w:sz="0" w:space="0" w:color="020000"/>
              <w:bottom w:val="none" w:sz="0" w:space="0" w:color="020000"/>
              <w:right w:val="none" w:sz="0" w:space="0" w:color="020000"/>
            </w:tcBorders>
          </w:tcPr>
          <w:p w14:paraId="6E88372A" w14:textId="77777777" w:rsidR="009757A9" w:rsidRDefault="00083242">
            <w:pPr>
              <w:spacing w:before="58" w:after="503" w:line="217" w:lineRule="exact"/>
              <w:ind w:left="936"/>
              <w:textAlignment w:val="baseline"/>
              <w:rPr>
                <w:rFonts w:ascii="Arial" w:eastAsia="Arial" w:hAnsi="Arial"/>
                <w:b/>
                <w:color w:val="404042"/>
                <w:sz w:val="19"/>
              </w:rPr>
            </w:pPr>
            <w:r>
              <w:rPr>
                <w:rFonts w:ascii="Arial" w:eastAsia="Arial" w:hAnsi="Arial"/>
                <w:b/>
                <w:color w:val="404042"/>
                <w:sz w:val="19"/>
              </w:rPr>
              <w:t>Essential skills/values/attributes</w:t>
            </w:r>
          </w:p>
        </w:tc>
        <w:tc>
          <w:tcPr>
            <w:tcW w:w="7690" w:type="dxa"/>
            <w:tcBorders>
              <w:top w:val="none" w:sz="0" w:space="0" w:color="020000"/>
              <w:left w:val="none" w:sz="0" w:space="0" w:color="020000"/>
              <w:bottom w:val="none" w:sz="0" w:space="0" w:color="020000"/>
              <w:right w:val="none" w:sz="0" w:space="0" w:color="020000"/>
            </w:tcBorders>
          </w:tcPr>
          <w:p w14:paraId="7AB933A6" w14:textId="77777777" w:rsidR="009757A9" w:rsidRDefault="00083242">
            <w:pPr>
              <w:spacing w:after="29" w:line="240" w:lineRule="exact"/>
              <w:ind w:left="72" w:right="1548"/>
              <w:jc w:val="both"/>
              <w:textAlignment w:val="baseline"/>
              <w:rPr>
                <w:rFonts w:ascii="Tahoma" w:eastAsia="Tahoma" w:hAnsi="Tahoma"/>
                <w:color w:val="404042"/>
                <w:sz w:val="18"/>
              </w:rPr>
            </w:pPr>
            <w:r>
              <w:rPr>
                <w:rFonts w:ascii="Tahoma" w:eastAsia="Tahoma" w:hAnsi="Tahoma"/>
                <w:color w:val="404042"/>
                <w:sz w:val="18"/>
              </w:rPr>
              <w:t>Skills, values and attributes needed to become productive members of the community, including financial literacy, interpersonal skills and civic understanding.</w:t>
            </w:r>
          </w:p>
        </w:tc>
      </w:tr>
      <w:tr w:rsidR="009757A9" w14:paraId="65438F4E" w14:textId="77777777">
        <w:trPr>
          <w:trHeight w:hRule="exact" w:val="53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3B522B0B" w14:textId="77777777" w:rsidR="009757A9" w:rsidRDefault="00083242">
            <w:pPr>
              <w:spacing w:before="53" w:after="258" w:line="217" w:lineRule="exact"/>
              <w:ind w:left="936"/>
              <w:textAlignment w:val="baseline"/>
              <w:rPr>
                <w:rFonts w:ascii="Arial" w:eastAsia="Arial" w:hAnsi="Arial"/>
                <w:b/>
                <w:color w:val="404042"/>
                <w:sz w:val="19"/>
              </w:rPr>
            </w:pPr>
            <w:r>
              <w:rPr>
                <w:rFonts w:ascii="Arial" w:eastAsia="Arial" w:hAnsi="Arial"/>
                <w:b/>
                <w:color w:val="404042"/>
                <w:sz w:val="19"/>
              </w:rPr>
              <w:t>Flexible learning</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5A4A08E1" w14:textId="77777777" w:rsidR="009757A9" w:rsidRDefault="00083242">
            <w:pPr>
              <w:spacing w:after="24" w:line="240" w:lineRule="exact"/>
              <w:ind w:left="72" w:right="1548"/>
              <w:textAlignment w:val="baseline"/>
              <w:rPr>
                <w:rFonts w:ascii="Tahoma" w:eastAsia="Tahoma" w:hAnsi="Tahoma"/>
                <w:color w:val="404042"/>
                <w:sz w:val="18"/>
              </w:rPr>
            </w:pPr>
            <w:r>
              <w:rPr>
                <w:rFonts w:ascii="Tahoma" w:eastAsia="Tahoma" w:hAnsi="Tahoma"/>
                <w:color w:val="404042"/>
                <w:sz w:val="18"/>
              </w:rPr>
              <w:t>The provision of a range of learning modes or methods, giving learners greater choice of when, where and how they learn.</w:t>
            </w:r>
          </w:p>
        </w:tc>
      </w:tr>
      <w:tr w:rsidR="009757A9" w14:paraId="68E9165E" w14:textId="77777777">
        <w:trPr>
          <w:trHeight w:hRule="exact" w:val="1738"/>
        </w:trPr>
        <w:tc>
          <w:tcPr>
            <w:tcW w:w="4219" w:type="dxa"/>
            <w:tcBorders>
              <w:top w:val="none" w:sz="0" w:space="0" w:color="020000"/>
              <w:left w:val="none" w:sz="0" w:space="0" w:color="020000"/>
              <w:bottom w:val="none" w:sz="0" w:space="0" w:color="020000"/>
              <w:right w:val="none" w:sz="0" w:space="0" w:color="020000"/>
            </w:tcBorders>
          </w:tcPr>
          <w:p w14:paraId="6BDD8EEE" w14:textId="77777777" w:rsidR="009757A9" w:rsidRDefault="00083242">
            <w:pPr>
              <w:spacing w:before="54" w:after="1462" w:line="217" w:lineRule="exact"/>
              <w:ind w:left="936"/>
              <w:textAlignment w:val="baseline"/>
              <w:rPr>
                <w:rFonts w:ascii="Arial" w:eastAsia="Arial" w:hAnsi="Arial"/>
                <w:b/>
                <w:color w:val="404042"/>
                <w:sz w:val="19"/>
              </w:rPr>
            </w:pPr>
            <w:r>
              <w:rPr>
                <w:rFonts w:ascii="Arial" w:eastAsia="Arial" w:hAnsi="Arial"/>
                <w:b/>
                <w:color w:val="404042"/>
                <w:sz w:val="19"/>
              </w:rPr>
              <w:t>General capabilities</w:t>
            </w:r>
          </w:p>
        </w:tc>
        <w:tc>
          <w:tcPr>
            <w:tcW w:w="7690" w:type="dxa"/>
            <w:tcBorders>
              <w:top w:val="none" w:sz="0" w:space="0" w:color="020000"/>
              <w:left w:val="none" w:sz="0" w:space="0" w:color="020000"/>
              <w:bottom w:val="none" w:sz="0" w:space="0" w:color="020000"/>
              <w:right w:val="none" w:sz="0" w:space="0" w:color="020000"/>
            </w:tcBorders>
          </w:tcPr>
          <w:p w14:paraId="2DC13A5F" w14:textId="77777777" w:rsidR="009757A9" w:rsidRDefault="00083242">
            <w:pPr>
              <w:spacing w:after="28" w:line="240" w:lineRule="exact"/>
              <w:ind w:left="72" w:right="1152"/>
              <w:textAlignment w:val="baseline"/>
              <w:rPr>
                <w:rFonts w:ascii="Tahoma" w:eastAsia="Tahoma" w:hAnsi="Tahoma"/>
                <w:color w:val="404042"/>
                <w:spacing w:val="6"/>
                <w:sz w:val="18"/>
              </w:rPr>
            </w:pPr>
            <w:r>
              <w:rPr>
                <w:rFonts w:ascii="Tahoma" w:eastAsia="Tahoma" w:hAnsi="Tahoma"/>
                <w:color w:val="404042"/>
                <w:spacing w:val="6"/>
                <w:sz w:val="18"/>
              </w:rPr>
              <w:t>Encompasses the knowledge, skills, behaviours and dispositions that, together with curriculum content in learning areas and the cross-curriculum priorities, assist students to live and work successfully in the 21st century. The seven general capabilities are: literacy; numeracy; information and communications technology capabilities; critical and creative thinking; personal and social capability; ethical understanding; and intercultural understanding.</w:t>
            </w:r>
          </w:p>
        </w:tc>
      </w:tr>
      <w:tr w:rsidR="009757A9" w14:paraId="6CE424B1" w14:textId="77777777">
        <w:trPr>
          <w:trHeight w:hRule="exact" w:val="77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510BF568" w14:textId="77777777" w:rsidR="009757A9" w:rsidRDefault="00083242">
            <w:pPr>
              <w:spacing w:before="53" w:after="503" w:line="217" w:lineRule="exact"/>
              <w:ind w:left="936"/>
              <w:textAlignment w:val="baseline"/>
              <w:rPr>
                <w:rFonts w:ascii="Arial" w:eastAsia="Arial" w:hAnsi="Arial"/>
                <w:b/>
                <w:color w:val="404042"/>
                <w:sz w:val="19"/>
              </w:rPr>
            </w:pPr>
            <w:r>
              <w:rPr>
                <w:rFonts w:ascii="Arial" w:eastAsia="Arial" w:hAnsi="Arial"/>
                <w:b/>
                <w:color w:val="404042"/>
                <w:sz w:val="19"/>
              </w:rPr>
              <w:t>Higher education</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52D267C7" w14:textId="77777777" w:rsidR="009757A9" w:rsidRDefault="00083242">
            <w:pPr>
              <w:spacing w:after="29" w:line="240" w:lineRule="exact"/>
              <w:ind w:left="72" w:right="1116"/>
              <w:textAlignment w:val="baseline"/>
              <w:rPr>
                <w:rFonts w:ascii="Tahoma" w:eastAsia="Tahoma" w:hAnsi="Tahoma"/>
                <w:color w:val="404042"/>
                <w:sz w:val="18"/>
              </w:rPr>
            </w:pPr>
            <w:r>
              <w:rPr>
                <w:rFonts w:ascii="Tahoma" w:eastAsia="Tahoma" w:hAnsi="Tahoma"/>
                <w:color w:val="404042"/>
                <w:sz w:val="18"/>
              </w:rPr>
              <w:t>Education involving qualifications under the Australian Qualifications Framework at associate degree and above, as well as diploma and advanced diploma qualifications accredited under higher education arrangements.</w:t>
            </w:r>
          </w:p>
        </w:tc>
      </w:tr>
      <w:tr w:rsidR="009757A9" w14:paraId="26B1D3D6"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tcPr>
          <w:p w14:paraId="07608D9F" w14:textId="77777777" w:rsidR="009757A9" w:rsidRDefault="00083242">
            <w:pPr>
              <w:spacing w:before="54" w:after="257" w:line="217" w:lineRule="exact"/>
              <w:ind w:left="936"/>
              <w:textAlignment w:val="baseline"/>
              <w:rPr>
                <w:rFonts w:ascii="Arial" w:eastAsia="Arial" w:hAnsi="Arial"/>
                <w:b/>
                <w:color w:val="404042"/>
                <w:sz w:val="19"/>
              </w:rPr>
            </w:pPr>
            <w:r>
              <w:rPr>
                <w:rFonts w:ascii="Arial" w:eastAsia="Arial" w:hAnsi="Arial"/>
                <w:b/>
                <w:color w:val="404042"/>
                <w:sz w:val="19"/>
              </w:rPr>
              <w:t>Higher education provider</w:t>
            </w:r>
          </w:p>
        </w:tc>
        <w:tc>
          <w:tcPr>
            <w:tcW w:w="7690" w:type="dxa"/>
            <w:tcBorders>
              <w:top w:val="none" w:sz="0" w:space="0" w:color="020000"/>
              <w:left w:val="none" w:sz="0" w:space="0" w:color="020000"/>
              <w:bottom w:val="none" w:sz="0" w:space="0" w:color="020000"/>
              <w:right w:val="none" w:sz="0" w:space="0" w:color="020000"/>
            </w:tcBorders>
          </w:tcPr>
          <w:p w14:paraId="1E25AEDB" w14:textId="77777777" w:rsidR="009757A9" w:rsidRDefault="00083242">
            <w:pPr>
              <w:spacing w:after="23" w:line="240" w:lineRule="exact"/>
              <w:ind w:left="72" w:right="1512"/>
              <w:textAlignment w:val="baseline"/>
              <w:rPr>
                <w:rFonts w:ascii="Tahoma" w:eastAsia="Tahoma" w:hAnsi="Tahoma"/>
                <w:color w:val="404042"/>
                <w:sz w:val="18"/>
              </w:rPr>
            </w:pPr>
            <w:r>
              <w:rPr>
                <w:rFonts w:ascii="Tahoma" w:eastAsia="Tahoma" w:hAnsi="Tahoma"/>
                <w:color w:val="404042"/>
                <w:sz w:val="18"/>
              </w:rPr>
              <w:t>Universities and higher education institutions registered by the Tertiary Education Quality and Standards Agency.</w:t>
            </w:r>
          </w:p>
        </w:tc>
      </w:tr>
      <w:tr w:rsidR="009757A9" w14:paraId="49DB9DE4" w14:textId="77777777">
        <w:trPr>
          <w:trHeight w:hRule="exact" w:val="298"/>
        </w:trPr>
        <w:tc>
          <w:tcPr>
            <w:tcW w:w="4219" w:type="dxa"/>
            <w:tcBorders>
              <w:top w:val="none" w:sz="0" w:space="0" w:color="020000"/>
              <w:left w:val="none" w:sz="0" w:space="0" w:color="020000"/>
              <w:bottom w:val="none" w:sz="0" w:space="0" w:color="020000"/>
              <w:right w:val="none" w:sz="0" w:space="0" w:color="020000"/>
            </w:tcBorders>
            <w:shd w:val="clear" w:color="F5E6DA" w:fill="F5E6DA"/>
            <w:vAlign w:val="center"/>
          </w:tcPr>
          <w:p w14:paraId="0F188F23" w14:textId="77777777" w:rsidR="009757A9" w:rsidRDefault="00083242">
            <w:pPr>
              <w:spacing w:before="53" w:after="23" w:line="217" w:lineRule="exact"/>
              <w:ind w:left="936"/>
              <w:textAlignment w:val="baseline"/>
              <w:rPr>
                <w:rFonts w:ascii="Arial" w:eastAsia="Arial" w:hAnsi="Arial"/>
                <w:b/>
                <w:color w:val="404042"/>
                <w:sz w:val="19"/>
              </w:rPr>
            </w:pPr>
            <w:r>
              <w:rPr>
                <w:rFonts w:ascii="Arial" w:eastAsia="Arial" w:hAnsi="Arial"/>
                <w:b/>
                <w:color w:val="404042"/>
                <w:sz w:val="19"/>
              </w:rPr>
              <w:t>Higher education sector</w:t>
            </w:r>
          </w:p>
        </w:tc>
        <w:tc>
          <w:tcPr>
            <w:tcW w:w="7690" w:type="dxa"/>
            <w:tcBorders>
              <w:top w:val="none" w:sz="0" w:space="0" w:color="020000"/>
              <w:left w:val="none" w:sz="0" w:space="0" w:color="020000"/>
              <w:bottom w:val="none" w:sz="0" w:space="0" w:color="020000"/>
              <w:right w:val="none" w:sz="0" w:space="0" w:color="020000"/>
            </w:tcBorders>
            <w:shd w:val="clear" w:color="F5E6DA" w:fill="F5E6DA"/>
            <w:vAlign w:val="center"/>
          </w:tcPr>
          <w:p w14:paraId="3C37F5C0" w14:textId="77777777" w:rsidR="009757A9" w:rsidRDefault="00083242">
            <w:pPr>
              <w:spacing w:after="29" w:line="240" w:lineRule="exact"/>
              <w:ind w:left="87"/>
              <w:textAlignment w:val="baseline"/>
              <w:rPr>
                <w:rFonts w:ascii="Tahoma" w:eastAsia="Tahoma" w:hAnsi="Tahoma"/>
                <w:color w:val="404042"/>
                <w:sz w:val="18"/>
              </w:rPr>
            </w:pPr>
            <w:r>
              <w:rPr>
                <w:rFonts w:ascii="Tahoma" w:eastAsia="Tahoma" w:hAnsi="Tahoma"/>
                <w:color w:val="404042"/>
                <w:sz w:val="18"/>
              </w:rPr>
              <w:t>Universities and other higher education providers.</w:t>
            </w:r>
          </w:p>
        </w:tc>
      </w:tr>
      <w:tr w:rsidR="009757A9" w14:paraId="56A70F40" w14:textId="77777777">
        <w:trPr>
          <w:trHeight w:hRule="exact" w:val="537"/>
        </w:trPr>
        <w:tc>
          <w:tcPr>
            <w:tcW w:w="4219" w:type="dxa"/>
            <w:tcBorders>
              <w:top w:val="none" w:sz="0" w:space="0" w:color="020000"/>
              <w:left w:val="none" w:sz="0" w:space="0" w:color="020000"/>
              <w:bottom w:val="none" w:sz="0" w:space="0" w:color="020000"/>
              <w:right w:val="none" w:sz="0" w:space="0" w:color="020000"/>
            </w:tcBorders>
          </w:tcPr>
          <w:p w14:paraId="09451730" w14:textId="77777777" w:rsidR="009757A9" w:rsidRDefault="00083242">
            <w:pPr>
              <w:spacing w:before="53" w:after="258" w:line="217" w:lineRule="exact"/>
              <w:ind w:left="936"/>
              <w:textAlignment w:val="baseline"/>
              <w:rPr>
                <w:rFonts w:ascii="Arial" w:eastAsia="Arial" w:hAnsi="Arial"/>
                <w:b/>
                <w:color w:val="404042"/>
                <w:sz w:val="19"/>
              </w:rPr>
            </w:pPr>
            <w:r>
              <w:rPr>
                <w:rFonts w:ascii="Arial" w:eastAsia="Arial" w:hAnsi="Arial"/>
                <w:b/>
                <w:color w:val="404042"/>
                <w:sz w:val="19"/>
              </w:rPr>
              <w:t>Industry bodies</w:t>
            </w:r>
          </w:p>
        </w:tc>
        <w:tc>
          <w:tcPr>
            <w:tcW w:w="7690" w:type="dxa"/>
            <w:tcBorders>
              <w:top w:val="none" w:sz="0" w:space="0" w:color="020000"/>
              <w:left w:val="none" w:sz="0" w:space="0" w:color="020000"/>
              <w:bottom w:val="none" w:sz="0" w:space="0" w:color="020000"/>
              <w:right w:val="none" w:sz="0" w:space="0" w:color="020000"/>
            </w:tcBorders>
          </w:tcPr>
          <w:p w14:paraId="3A973A5F" w14:textId="77777777" w:rsidR="009757A9" w:rsidRDefault="00083242">
            <w:pPr>
              <w:spacing w:after="24" w:line="240" w:lineRule="exact"/>
              <w:ind w:left="72" w:right="1224"/>
              <w:textAlignment w:val="baseline"/>
              <w:rPr>
                <w:rFonts w:ascii="Tahoma" w:eastAsia="Tahoma" w:hAnsi="Tahoma"/>
                <w:color w:val="404042"/>
                <w:sz w:val="18"/>
              </w:rPr>
            </w:pPr>
            <w:r>
              <w:rPr>
                <w:rFonts w:ascii="Tahoma" w:eastAsia="Tahoma" w:hAnsi="Tahoma"/>
                <w:color w:val="404042"/>
                <w:sz w:val="18"/>
              </w:rPr>
              <w:t>Peak bodies, decision-making committees and other organisational groups carrying out the work of industry.</w:t>
            </w:r>
          </w:p>
        </w:tc>
      </w:tr>
      <w:tr w:rsidR="009757A9" w14:paraId="4848616E"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6200E1B1" w14:textId="77777777" w:rsidR="009757A9" w:rsidRDefault="00083242">
            <w:pPr>
              <w:spacing w:before="47" w:after="271" w:line="205" w:lineRule="exact"/>
              <w:ind w:left="936"/>
              <w:textAlignment w:val="baseline"/>
              <w:rPr>
                <w:rFonts w:ascii="Tahoma" w:eastAsia="Tahoma" w:hAnsi="Tahoma"/>
                <w:b/>
                <w:color w:val="404042"/>
                <w:sz w:val="17"/>
              </w:rPr>
            </w:pPr>
            <w:r>
              <w:rPr>
                <w:rFonts w:ascii="Tahoma" w:eastAsia="Tahoma" w:hAnsi="Tahoma"/>
                <w:b/>
                <w:color w:val="404042"/>
                <w:sz w:val="17"/>
              </w:rPr>
              <w:t>Learner Profile</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56DF1C2A" w14:textId="77777777" w:rsidR="009757A9" w:rsidRDefault="00083242">
            <w:pPr>
              <w:spacing w:after="22" w:line="240" w:lineRule="exact"/>
              <w:ind w:left="72" w:right="1908"/>
              <w:textAlignment w:val="baseline"/>
              <w:rPr>
                <w:rFonts w:ascii="Tahoma" w:eastAsia="Tahoma" w:hAnsi="Tahoma"/>
                <w:color w:val="404042"/>
                <w:sz w:val="18"/>
              </w:rPr>
            </w:pPr>
            <w:r>
              <w:rPr>
                <w:rFonts w:ascii="Tahoma" w:eastAsia="Tahoma" w:hAnsi="Tahoma"/>
                <w:color w:val="404042"/>
                <w:sz w:val="18"/>
              </w:rPr>
              <w:t>Holistic overview of a learner’s achievements in both academic and non-academic skills.</w:t>
            </w:r>
          </w:p>
        </w:tc>
      </w:tr>
      <w:tr w:rsidR="009757A9" w14:paraId="1189A54B" w14:textId="77777777">
        <w:trPr>
          <w:trHeight w:hRule="exact" w:val="1017"/>
        </w:trPr>
        <w:tc>
          <w:tcPr>
            <w:tcW w:w="4219" w:type="dxa"/>
            <w:tcBorders>
              <w:top w:val="none" w:sz="0" w:space="0" w:color="020000"/>
              <w:left w:val="none" w:sz="0" w:space="0" w:color="020000"/>
              <w:bottom w:val="none" w:sz="0" w:space="0" w:color="020000"/>
              <w:right w:val="none" w:sz="0" w:space="0" w:color="020000"/>
            </w:tcBorders>
          </w:tcPr>
          <w:p w14:paraId="1BCEA190" w14:textId="77777777" w:rsidR="009757A9" w:rsidRDefault="00083242">
            <w:pPr>
              <w:spacing w:before="53" w:after="738" w:line="217" w:lineRule="exact"/>
              <w:ind w:left="936"/>
              <w:textAlignment w:val="baseline"/>
              <w:rPr>
                <w:rFonts w:ascii="Arial" w:eastAsia="Arial" w:hAnsi="Arial"/>
                <w:b/>
                <w:color w:val="404042"/>
                <w:sz w:val="19"/>
              </w:rPr>
            </w:pPr>
            <w:r>
              <w:rPr>
                <w:rFonts w:ascii="Arial" w:eastAsia="Arial" w:hAnsi="Arial"/>
                <w:b/>
                <w:color w:val="404042"/>
                <w:sz w:val="19"/>
              </w:rPr>
              <w:t>Lifelong learning</w:t>
            </w:r>
          </w:p>
        </w:tc>
        <w:tc>
          <w:tcPr>
            <w:tcW w:w="7690" w:type="dxa"/>
            <w:tcBorders>
              <w:top w:val="none" w:sz="0" w:space="0" w:color="020000"/>
              <w:left w:val="none" w:sz="0" w:space="0" w:color="020000"/>
              <w:bottom w:val="none" w:sz="0" w:space="0" w:color="020000"/>
              <w:right w:val="none" w:sz="0" w:space="0" w:color="020000"/>
            </w:tcBorders>
          </w:tcPr>
          <w:p w14:paraId="6118DAAA" w14:textId="77777777" w:rsidR="009757A9" w:rsidRDefault="00083242">
            <w:pPr>
              <w:spacing w:after="24" w:line="240" w:lineRule="exact"/>
              <w:ind w:left="72" w:right="1332"/>
              <w:textAlignment w:val="baseline"/>
              <w:rPr>
                <w:rFonts w:ascii="Tahoma" w:eastAsia="Tahoma" w:hAnsi="Tahoma"/>
                <w:color w:val="404042"/>
                <w:sz w:val="18"/>
              </w:rPr>
            </w:pPr>
            <w:r>
              <w:rPr>
                <w:rFonts w:ascii="Tahoma" w:eastAsia="Tahoma" w:hAnsi="Tahoma"/>
                <w:color w:val="404042"/>
                <w:sz w:val="18"/>
              </w:rPr>
              <w:t>All purposeful learning activity, undertaken on an ongoing basis with the aim of improving knowledge, skills and competence; the process of acquiring knowledge or skills throughout life via education, training, work and general life experience.</w:t>
            </w:r>
          </w:p>
        </w:tc>
      </w:tr>
      <w:tr w:rsidR="009757A9" w14:paraId="5A6FE55B" w14:textId="77777777">
        <w:trPr>
          <w:trHeight w:hRule="exact" w:val="77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6896F98C" w14:textId="77777777" w:rsidR="009757A9" w:rsidRDefault="00083242">
            <w:pPr>
              <w:spacing w:after="263" w:line="240" w:lineRule="exact"/>
              <w:ind w:left="936"/>
              <w:textAlignment w:val="baseline"/>
              <w:rPr>
                <w:rFonts w:ascii="Tahoma" w:eastAsia="Tahoma" w:hAnsi="Tahoma"/>
                <w:b/>
                <w:color w:val="404042"/>
                <w:sz w:val="17"/>
              </w:rPr>
            </w:pPr>
            <w:r>
              <w:rPr>
                <w:rFonts w:ascii="Tahoma" w:eastAsia="Tahoma" w:hAnsi="Tahoma"/>
                <w:b/>
                <w:color w:val="404042"/>
                <w:sz w:val="17"/>
              </w:rPr>
              <w:t>National Assessment Program – Literacy and Numeracy (NAPLAN)</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02F05EC2" w14:textId="77777777" w:rsidR="009757A9" w:rsidRDefault="00083242">
            <w:pPr>
              <w:spacing w:after="23" w:line="240" w:lineRule="exact"/>
              <w:ind w:left="72" w:right="1152"/>
              <w:textAlignment w:val="baseline"/>
              <w:rPr>
                <w:rFonts w:ascii="Tahoma" w:eastAsia="Tahoma" w:hAnsi="Tahoma"/>
                <w:color w:val="404042"/>
                <w:spacing w:val="5"/>
                <w:sz w:val="18"/>
              </w:rPr>
            </w:pPr>
            <w:r>
              <w:rPr>
                <w:rFonts w:ascii="Tahoma" w:eastAsia="Tahoma" w:hAnsi="Tahoma"/>
                <w:color w:val="404042"/>
                <w:spacing w:val="5"/>
                <w:sz w:val="18"/>
              </w:rPr>
              <w:t>Annual national assessment for students in Years 3, 5, 7 and 9, which shows how students are progressing against national standards in literacy and numeracy.</w:t>
            </w:r>
          </w:p>
        </w:tc>
      </w:tr>
      <w:tr w:rsidR="009757A9" w14:paraId="56065DD1"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tcPr>
          <w:p w14:paraId="11BECCB3" w14:textId="77777777" w:rsidR="009757A9" w:rsidRDefault="00083242">
            <w:pPr>
              <w:spacing w:before="53" w:after="268" w:line="217" w:lineRule="exact"/>
              <w:ind w:left="936"/>
              <w:textAlignment w:val="baseline"/>
              <w:rPr>
                <w:rFonts w:ascii="Arial" w:eastAsia="Arial" w:hAnsi="Arial"/>
                <w:b/>
                <w:color w:val="404042"/>
                <w:sz w:val="19"/>
              </w:rPr>
            </w:pPr>
            <w:r>
              <w:rPr>
                <w:rFonts w:ascii="Arial" w:eastAsia="Arial" w:hAnsi="Arial"/>
                <w:b/>
                <w:color w:val="404042"/>
                <w:sz w:val="19"/>
              </w:rPr>
              <w:t>Pathways</w:t>
            </w:r>
          </w:p>
        </w:tc>
        <w:tc>
          <w:tcPr>
            <w:tcW w:w="7690" w:type="dxa"/>
            <w:tcBorders>
              <w:top w:val="none" w:sz="0" w:space="0" w:color="020000"/>
              <w:left w:val="none" w:sz="0" w:space="0" w:color="020000"/>
              <w:bottom w:val="none" w:sz="0" w:space="0" w:color="020000"/>
              <w:right w:val="none" w:sz="0" w:space="0" w:color="020000"/>
            </w:tcBorders>
          </w:tcPr>
          <w:p w14:paraId="5FBFA413" w14:textId="77777777" w:rsidR="009757A9" w:rsidRDefault="00083242">
            <w:pPr>
              <w:spacing w:after="34" w:line="240" w:lineRule="exact"/>
              <w:ind w:left="72" w:right="1404"/>
              <w:textAlignment w:val="baseline"/>
              <w:rPr>
                <w:rFonts w:ascii="Tahoma" w:eastAsia="Tahoma" w:hAnsi="Tahoma"/>
                <w:color w:val="404042"/>
                <w:sz w:val="18"/>
              </w:rPr>
            </w:pPr>
            <w:r>
              <w:rPr>
                <w:rFonts w:ascii="Tahoma" w:eastAsia="Tahoma" w:hAnsi="Tahoma"/>
                <w:color w:val="404042"/>
                <w:sz w:val="18"/>
              </w:rPr>
              <w:t>The different options available to young people as they progress through their schooling and transition to further education or work.</w:t>
            </w:r>
          </w:p>
        </w:tc>
      </w:tr>
      <w:tr w:rsidR="009757A9" w14:paraId="622D9F77" w14:textId="77777777">
        <w:trPr>
          <w:trHeight w:hRule="exact" w:val="53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4D4A10DD" w14:textId="77777777" w:rsidR="009757A9" w:rsidRDefault="00083242">
            <w:pPr>
              <w:spacing w:before="53" w:line="217" w:lineRule="exact"/>
              <w:ind w:left="936"/>
              <w:textAlignment w:val="baseline"/>
              <w:rPr>
                <w:rFonts w:ascii="Arial" w:eastAsia="Arial" w:hAnsi="Arial"/>
                <w:b/>
                <w:color w:val="404042"/>
                <w:sz w:val="19"/>
              </w:rPr>
            </w:pPr>
            <w:r>
              <w:rPr>
                <w:rFonts w:ascii="Arial" w:eastAsia="Arial" w:hAnsi="Arial"/>
                <w:b/>
                <w:color w:val="404042"/>
                <w:sz w:val="19"/>
              </w:rPr>
              <w:t>Programme for International</w:t>
            </w:r>
          </w:p>
          <w:p w14:paraId="2D75C461" w14:textId="77777777" w:rsidR="009757A9" w:rsidRDefault="00083242">
            <w:pPr>
              <w:spacing w:before="16" w:after="41" w:line="205" w:lineRule="exact"/>
              <w:ind w:left="936"/>
              <w:textAlignment w:val="baseline"/>
              <w:rPr>
                <w:rFonts w:ascii="Tahoma" w:eastAsia="Tahoma" w:hAnsi="Tahoma"/>
                <w:b/>
                <w:color w:val="404042"/>
                <w:sz w:val="17"/>
              </w:rPr>
            </w:pPr>
            <w:r>
              <w:rPr>
                <w:rFonts w:ascii="Tahoma" w:eastAsia="Tahoma" w:hAnsi="Tahoma"/>
                <w:b/>
                <w:color w:val="404042"/>
                <w:sz w:val="17"/>
              </w:rPr>
              <w:t>Student Assessment (PISA)</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19FB8BC4" w14:textId="77777777" w:rsidR="009757A9" w:rsidRDefault="00083242">
            <w:pPr>
              <w:spacing w:after="28" w:line="240" w:lineRule="exact"/>
              <w:ind w:left="72" w:right="1116"/>
              <w:textAlignment w:val="baseline"/>
              <w:rPr>
                <w:rFonts w:ascii="Tahoma" w:eastAsia="Tahoma" w:hAnsi="Tahoma"/>
                <w:color w:val="404042"/>
                <w:sz w:val="18"/>
              </w:rPr>
            </w:pPr>
            <w:r>
              <w:rPr>
                <w:rFonts w:ascii="Tahoma" w:eastAsia="Tahoma" w:hAnsi="Tahoma"/>
                <w:color w:val="404042"/>
                <w:sz w:val="18"/>
              </w:rPr>
              <w:t>A triennial international survey that evaluates education systems worldwide by testing the skills and knowledge of 15-year-old students.</w:t>
            </w:r>
          </w:p>
        </w:tc>
      </w:tr>
      <w:tr w:rsidR="009757A9" w14:paraId="7424A94E"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tcPr>
          <w:p w14:paraId="0B4B7A17" w14:textId="77777777" w:rsidR="009757A9" w:rsidRDefault="00083242">
            <w:pPr>
              <w:spacing w:before="47" w:after="276" w:line="205" w:lineRule="exact"/>
              <w:ind w:left="936"/>
              <w:textAlignment w:val="baseline"/>
              <w:rPr>
                <w:rFonts w:ascii="Tahoma" w:eastAsia="Tahoma" w:hAnsi="Tahoma"/>
                <w:b/>
                <w:color w:val="404042"/>
                <w:sz w:val="17"/>
              </w:rPr>
            </w:pPr>
            <w:r>
              <w:rPr>
                <w:rFonts w:ascii="Tahoma" w:eastAsia="Tahoma" w:hAnsi="Tahoma"/>
                <w:b/>
                <w:color w:val="404042"/>
                <w:sz w:val="17"/>
              </w:rPr>
              <w:t>Qualification</w:t>
            </w:r>
          </w:p>
        </w:tc>
        <w:tc>
          <w:tcPr>
            <w:tcW w:w="7690" w:type="dxa"/>
            <w:tcBorders>
              <w:top w:val="none" w:sz="0" w:space="0" w:color="020000"/>
              <w:left w:val="none" w:sz="0" w:space="0" w:color="020000"/>
              <w:bottom w:val="none" w:sz="0" w:space="0" w:color="020000"/>
              <w:right w:val="none" w:sz="0" w:space="0" w:color="020000"/>
            </w:tcBorders>
          </w:tcPr>
          <w:p w14:paraId="6997805F" w14:textId="77777777" w:rsidR="009757A9" w:rsidRDefault="00083242">
            <w:pPr>
              <w:spacing w:after="23" w:line="240" w:lineRule="exact"/>
              <w:ind w:left="72" w:right="1116"/>
              <w:textAlignment w:val="baseline"/>
              <w:rPr>
                <w:rFonts w:ascii="Tahoma" w:eastAsia="Tahoma" w:hAnsi="Tahoma"/>
                <w:color w:val="404042"/>
                <w:sz w:val="18"/>
              </w:rPr>
            </w:pPr>
            <w:r>
              <w:rPr>
                <w:rFonts w:ascii="Tahoma" w:eastAsia="Tahoma" w:hAnsi="Tahoma"/>
                <w:color w:val="404042"/>
                <w:sz w:val="18"/>
              </w:rPr>
              <w:t>Certification awarded to a person on successful completion of a course in recognition of having achieved particular knowledge, skills or competencies.</w:t>
            </w:r>
          </w:p>
        </w:tc>
      </w:tr>
    </w:tbl>
    <w:p w14:paraId="3D800BA6" w14:textId="77777777" w:rsidR="009757A9" w:rsidRDefault="009757A9">
      <w:pPr>
        <w:spacing w:after="1060" w:line="20" w:lineRule="exact"/>
      </w:pPr>
    </w:p>
    <w:p w14:paraId="744BB1F3" w14:textId="77777777" w:rsidR="009757A9" w:rsidRDefault="00083242">
      <w:pPr>
        <w:tabs>
          <w:tab w:val="left" w:pos="1368"/>
        </w:tabs>
        <w:spacing w:after="626" w:line="214" w:lineRule="exact"/>
        <w:ind w:left="864"/>
        <w:textAlignment w:val="baseline"/>
        <w:rPr>
          <w:rFonts w:ascii="Arial" w:eastAsia="Arial" w:hAnsi="Arial"/>
          <w:b/>
          <w:color w:val="5556A1"/>
          <w:spacing w:val="4"/>
          <w:sz w:val="19"/>
        </w:rPr>
      </w:pPr>
      <w:r>
        <w:rPr>
          <w:rFonts w:ascii="Arial" w:eastAsia="Arial" w:hAnsi="Arial"/>
          <w:b/>
          <w:color w:val="5556A1"/>
          <w:spacing w:val="4"/>
          <w:sz w:val="19"/>
        </w:rPr>
        <w:t>154</w:t>
      </w:r>
      <w:r>
        <w:rPr>
          <w:rFonts w:ascii="Tahoma" w:eastAsia="Tahoma" w:hAnsi="Tahoma"/>
          <w:color w:val="404042"/>
          <w:spacing w:val="4"/>
          <w:sz w:val="14"/>
        </w:rPr>
        <w:tab/>
        <w:t>Looking to the future</w:t>
      </w:r>
    </w:p>
    <w:p w14:paraId="16F69E88" w14:textId="77777777" w:rsidR="009757A9" w:rsidRDefault="00083242">
      <w:pPr>
        <w:textAlignment w:val="baseline"/>
      </w:pPr>
      <w:r>
        <w:rPr>
          <w:noProof/>
          <w:lang w:val="en-AU" w:eastAsia="en-AU"/>
        </w:rPr>
        <w:drawing>
          <wp:inline distT="0" distB="0" distL="0" distR="0" wp14:anchorId="3168292D" wp14:editId="0400606B">
            <wp:extent cx="7562215" cy="462915"/>
            <wp:effectExtent l="0" t="0" r="0" b="0"/>
            <wp:docPr id="257" name="Picture"/>
            <wp:cNvGraphicFramePr/>
            <a:graphic xmlns:a="http://schemas.openxmlformats.org/drawingml/2006/main">
              <a:graphicData uri="http://schemas.openxmlformats.org/drawingml/2006/picture">
                <pic:pic xmlns:pic="http://schemas.openxmlformats.org/drawingml/2006/picture">
                  <pic:nvPicPr>
                    <pic:cNvPr id="257" name="Picture"/>
                    <pic:cNvPicPr preferRelativeResize="0"/>
                  </pic:nvPicPr>
                  <pic:blipFill>
                    <a:blip r:embed="rId342"/>
                    <a:stretch>
                      <a:fillRect/>
                    </a:stretch>
                  </pic:blipFill>
                  <pic:spPr>
                    <a:xfrm>
                      <a:off x="0" y="0"/>
                      <a:ext cx="7562215" cy="462915"/>
                    </a:xfrm>
                    <a:prstGeom prst="rect">
                      <a:avLst/>
                    </a:prstGeom>
                  </pic:spPr>
                </pic:pic>
              </a:graphicData>
            </a:graphic>
          </wp:inline>
        </w:drawing>
      </w:r>
    </w:p>
    <w:p w14:paraId="0E2C8693" w14:textId="77777777" w:rsidR="009757A9" w:rsidRDefault="009757A9">
      <w:pPr>
        <w:sectPr w:rsidR="009757A9">
          <w:pgSz w:w="11909" w:h="16838"/>
          <w:pgMar w:top="1140" w:right="0" w:bottom="0" w:left="0"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4219"/>
        <w:gridCol w:w="7690"/>
      </w:tblGrid>
      <w:tr w:rsidR="009757A9" w14:paraId="3FD311A5" w14:textId="77777777">
        <w:trPr>
          <w:trHeight w:hRule="exact" w:val="293"/>
        </w:trPr>
        <w:tc>
          <w:tcPr>
            <w:tcW w:w="4219" w:type="dxa"/>
            <w:tcBorders>
              <w:top w:val="none" w:sz="0" w:space="0" w:color="020000"/>
              <w:left w:val="none" w:sz="0" w:space="0" w:color="020000"/>
              <w:bottom w:val="none" w:sz="0" w:space="0" w:color="020000"/>
              <w:right w:val="none" w:sz="0" w:space="0" w:color="020000"/>
            </w:tcBorders>
            <w:shd w:val="clear" w:color="5C7182" w:fill="5C7182"/>
            <w:vAlign w:val="center"/>
          </w:tcPr>
          <w:p w14:paraId="5D336D99" w14:textId="77777777" w:rsidR="009757A9" w:rsidRDefault="00083242">
            <w:pPr>
              <w:spacing w:before="53" w:after="13" w:line="217" w:lineRule="exact"/>
              <w:ind w:left="936"/>
              <w:textAlignment w:val="baseline"/>
              <w:rPr>
                <w:rFonts w:ascii="Arial" w:eastAsia="Arial" w:hAnsi="Arial"/>
                <w:b/>
                <w:color w:val="FFFFFF"/>
                <w:sz w:val="19"/>
              </w:rPr>
            </w:pPr>
            <w:r>
              <w:rPr>
                <w:rFonts w:ascii="Arial" w:eastAsia="Arial" w:hAnsi="Arial"/>
                <w:b/>
                <w:color w:val="FFFFFF"/>
                <w:sz w:val="19"/>
              </w:rPr>
              <w:lastRenderedPageBreak/>
              <w:t>Term</w:t>
            </w:r>
          </w:p>
        </w:tc>
        <w:tc>
          <w:tcPr>
            <w:tcW w:w="7690" w:type="dxa"/>
            <w:tcBorders>
              <w:top w:val="none" w:sz="0" w:space="0" w:color="020000"/>
              <w:left w:val="none" w:sz="0" w:space="0" w:color="020000"/>
              <w:bottom w:val="none" w:sz="0" w:space="0" w:color="020000"/>
              <w:right w:val="none" w:sz="0" w:space="0" w:color="020000"/>
            </w:tcBorders>
            <w:shd w:val="clear" w:color="5C7182" w:fill="5C7182"/>
            <w:vAlign w:val="center"/>
          </w:tcPr>
          <w:p w14:paraId="19006944" w14:textId="77777777" w:rsidR="009757A9" w:rsidRDefault="00083242">
            <w:pPr>
              <w:spacing w:before="46" w:after="32" w:line="205" w:lineRule="exact"/>
              <w:ind w:left="87"/>
              <w:textAlignment w:val="baseline"/>
              <w:rPr>
                <w:rFonts w:ascii="Tahoma" w:eastAsia="Tahoma" w:hAnsi="Tahoma"/>
                <w:b/>
                <w:color w:val="FFFFFF"/>
                <w:sz w:val="17"/>
              </w:rPr>
            </w:pPr>
            <w:r>
              <w:rPr>
                <w:rFonts w:ascii="Tahoma" w:eastAsia="Tahoma" w:hAnsi="Tahoma"/>
                <w:b/>
                <w:color w:val="FFFFFF"/>
                <w:sz w:val="17"/>
              </w:rPr>
              <w:t>Definition</w:t>
            </w:r>
          </w:p>
        </w:tc>
      </w:tr>
      <w:tr w:rsidR="009757A9" w14:paraId="2211C06A" w14:textId="77777777">
        <w:trPr>
          <w:trHeight w:hRule="exact" w:val="537"/>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1F58CCC5" w14:textId="77777777" w:rsidR="009757A9" w:rsidRDefault="00083242">
            <w:pPr>
              <w:spacing w:after="27" w:line="240" w:lineRule="exact"/>
              <w:ind w:left="936"/>
              <w:textAlignment w:val="baseline"/>
              <w:rPr>
                <w:rFonts w:ascii="Tahoma" w:eastAsia="Tahoma" w:hAnsi="Tahoma"/>
                <w:b/>
                <w:color w:val="404042"/>
                <w:sz w:val="17"/>
              </w:rPr>
            </w:pPr>
            <w:r>
              <w:rPr>
                <w:rFonts w:ascii="Tahoma" w:eastAsia="Tahoma" w:hAnsi="Tahoma"/>
                <w:b/>
                <w:color w:val="404042"/>
                <w:sz w:val="17"/>
              </w:rPr>
              <w:t>Senior Secondary Certificate of Education (SSCE)</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2CB475A3" w14:textId="77777777" w:rsidR="009757A9" w:rsidRDefault="00083242">
            <w:pPr>
              <w:spacing w:after="14" w:line="240" w:lineRule="exact"/>
              <w:ind w:left="72" w:right="1692"/>
              <w:textAlignment w:val="baseline"/>
              <w:rPr>
                <w:rFonts w:ascii="Tahoma" w:eastAsia="Tahoma" w:hAnsi="Tahoma"/>
                <w:color w:val="404042"/>
                <w:sz w:val="18"/>
              </w:rPr>
            </w:pPr>
            <w:r>
              <w:rPr>
                <w:rFonts w:ascii="Tahoma" w:eastAsia="Tahoma" w:hAnsi="Tahoma"/>
                <w:color w:val="404042"/>
                <w:sz w:val="18"/>
              </w:rPr>
              <w:t>The certificate awarded by each state or territory to signify successful completion of Year 12. Also known as the ‘Year 12 certificate’.</w:t>
            </w:r>
          </w:p>
        </w:tc>
      </w:tr>
      <w:tr w:rsidR="009757A9" w14:paraId="1FF31F32"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tcPr>
          <w:p w14:paraId="1E0F5FF4" w14:textId="77777777" w:rsidR="009757A9" w:rsidRDefault="00083242">
            <w:pPr>
              <w:spacing w:before="59" w:after="257" w:line="217" w:lineRule="exact"/>
              <w:ind w:left="936"/>
              <w:textAlignment w:val="baseline"/>
              <w:rPr>
                <w:rFonts w:ascii="Arial" w:eastAsia="Arial" w:hAnsi="Arial"/>
                <w:b/>
                <w:color w:val="404042"/>
                <w:sz w:val="19"/>
              </w:rPr>
            </w:pPr>
            <w:r>
              <w:rPr>
                <w:rFonts w:ascii="Arial" w:eastAsia="Arial" w:hAnsi="Arial"/>
                <w:b/>
                <w:color w:val="404042"/>
                <w:sz w:val="19"/>
              </w:rPr>
              <w:t>Senior secondary schooling</w:t>
            </w:r>
          </w:p>
        </w:tc>
        <w:tc>
          <w:tcPr>
            <w:tcW w:w="7690" w:type="dxa"/>
            <w:tcBorders>
              <w:top w:val="none" w:sz="0" w:space="0" w:color="020000"/>
              <w:left w:val="none" w:sz="0" w:space="0" w:color="020000"/>
              <w:bottom w:val="none" w:sz="0" w:space="0" w:color="020000"/>
              <w:right w:val="none" w:sz="0" w:space="0" w:color="020000"/>
            </w:tcBorders>
          </w:tcPr>
          <w:p w14:paraId="4EE0C505" w14:textId="77777777" w:rsidR="009757A9" w:rsidRDefault="00083242">
            <w:pPr>
              <w:spacing w:after="23" w:line="240" w:lineRule="exact"/>
              <w:ind w:left="72" w:right="1404"/>
              <w:textAlignment w:val="baseline"/>
              <w:rPr>
                <w:rFonts w:ascii="Tahoma" w:eastAsia="Tahoma" w:hAnsi="Tahoma"/>
                <w:color w:val="404042"/>
                <w:sz w:val="18"/>
              </w:rPr>
            </w:pPr>
            <w:r>
              <w:rPr>
                <w:rFonts w:ascii="Tahoma" w:eastAsia="Tahoma" w:hAnsi="Tahoma"/>
                <w:color w:val="404042"/>
                <w:sz w:val="18"/>
              </w:rPr>
              <w:t>Year 11 and Year 12 of school, which can be studied either at high school, college or through a further education institution.</w:t>
            </w:r>
          </w:p>
        </w:tc>
      </w:tr>
      <w:tr w:rsidR="009757A9" w14:paraId="7F1C61DB"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4D00747D" w14:textId="77777777" w:rsidR="009757A9" w:rsidRDefault="00083242">
            <w:pPr>
              <w:spacing w:before="58" w:after="253" w:line="217" w:lineRule="exact"/>
              <w:ind w:left="936"/>
              <w:textAlignment w:val="baseline"/>
              <w:rPr>
                <w:rFonts w:ascii="Arial" w:eastAsia="Arial" w:hAnsi="Arial"/>
                <w:b/>
                <w:color w:val="404042"/>
                <w:sz w:val="19"/>
              </w:rPr>
            </w:pPr>
            <w:r>
              <w:rPr>
                <w:rFonts w:ascii="Arial" w:eastAsia="Arial" w:hAnsi="Arial"/>
                <w:b/>
                <w:color w:val="404042"/>
                <w:sz w:val="19"/>
              </w:rPr>
              <w:t>Skill</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2581C983" w14:textId="77777777" w:rsidR="009757A9" w:rsidRDefault="00083242">
            <w:pPr>
              <w:spacing w:after="19" w:line="240" w:lineRule="exact"/>
              <w:ind w:left="72" w:right="1260"/>
              <w:textAlignment w:val="baseline"/>
              <w:rPr>
                <w:rFonts w:ascii="Tahoma" w:eastAsia="Tahoma" w:hAnsi="Tahoma"/>
                <w:color w:val="404042"/>
                <w:sz w:val="18"/>
              </w:rPr>
            </w:pPr>
            <w:r>
              <w:rPr>
                <w:rFonts w:ascii="Tahoma" w:eastAsia="Tahoma" w:hAnsi="Tahoma"/>
                <w:color w:val="404042"/>
                <w:sz w:val="18"/>
              </w:rPr>
              <w:t>An ability to perform a particular mental or physical activity, which may be developed by training or practice.</w:t>
            </w:r>
          </w:p>
        </w:tc>
      </w:tr>
      <w:tr w:rsidR="009757A9" w14:paraId="57219AD6" w14:textId="77777777">
        <w:trPr>
          <w:trHeight w:hRule="exact" w:val="537"/>
        </w:trPr>
        <w:tc>
          <w:tcPr>
            <w:tcW w:w="4219" w:type="dxa"/>
            <w:tcBorders>
              <w:top w:val="none" w:sz="0" w:space="0" w:color="020000"/>
              <w:left w:val="none" w:sz="0" w:space="0" w:color="020000"/>
              <w:bottom w:val="none" w:sz="0" w:space="0" w:color="020000"/>
              <w:right w:val="none" w:sz="0" w:space="0" w:color="020000"/>
            </w:tcBorders>
          </w:tcPr>
          <w:p w14:paraId="7EE30265" w14:textId="77777777" w:rsidR="009757A9" w:rsidRDefault="00083242">
            <w:pPr>
              <w:spacing w:before="58" w:after="248" w:line="217" w:lineRule="exact"/>
              <w:ind w:left="936"/>
              <w:textAlignment w:val="baseline"/>
              <w:rPr>
                <w:rFonts w:ascii="Arial" w:eastAsia="Arial" w:hAnsi="Arial"/>
                <w:b/>
                <w:color w:val="404042"/>
                <w:sz w:val="19"/>
              </w:rPr>
            </w:pPr>
            <w:r>
              <w:rPr>
                <w:rFonts w:ascii="Arial" w:eastAsia="Arial" w:hAnsi="Arial"/>
                <w:b/>
                <w:color w:val="404042"/>
                <w:sz w:val="19"/>
              </w:rPr>
              <w:t>Tertiary education</w:t>
            </w:r>
          </w:p>
        </w:tc>
        <w:tc>
          <w:tcPr>
            <w:tcW w:w="7690" w:type="dxa"/>
            <w:tcBorders>
              <w:top w:val="none" w:sz="0" w:space="0" w:color="020000"/>
              <w:left w:val="none" w:sz="0" w:space="0" w:color="020000"/>
              <w:bottom w:val="none" w:sz="0" w:space="0" w:color="020000"/>
              <w:right w:val="none" w:sz="0" w:space="0" w:color="020000"/>
            </w:tcBorders>
          </w:tcPr>
          <w:p w14:paraId="65DFD600" w14:textId="77777777" w:rsidR="009757A9" w:rsidRDefault="00083242">
            <w:pPr>
              <w:spacing w:after="14" w:line="240" w:lineRule="exact"/>
              <w:ind w:left="72" w:right="1152"/>
              <w:textAlignment w:val="baseline"/>
              <w:rPr>
                <w:rFonts w:ascii="Tahoma" w:eastAsia="Tahoma" w:hAnsi="Tahoma"/>
                <w:color w:val="404042"/>
                <w:sz w:val="18"/>
              </w:rPr>
            </w:pPr>
            <w:r>
              <w:rPr>
                <w:rFonts w:ascii="Tahoma" w:eastAsia="Tahoma" w:hAnsi="Tahoma"/>
                <w:color w:val="404042"/>
                <w:sz w:val="18"/>
              </w:rPr>
              <w:t>Study towards degrees, diplomas or certificates in vocational education and training and/or academic disciplines.</w:t>
            </w:r>
          </w:p>
        </w:tc>
      </w:tr>
      <w:tr w:rsidR="009757A9" w14:paraId="0696B2EA" w14:textId="77777777">
        <w:trPr>
          <w:trHeight w:hRule="exact" w:val="543"/>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3F3DDF9B" w14:textId="77777777" w:rsidR="009757A9" w:rsidRDefault="00083242">
            <w:pPr>
              <w:spacing w:before="58" w:after="258" w:line="217" w:lineRule="exact"/>
              <w:ind w:left="936"/>
              <w:textAlignment w:val="baseline"/>
              <w:rPr>
                <w:rFonts w:ascii="Arial" w:eastAsia="Arial" w:hAnsi="Arial"/>
                <w:b/>
                <w:color w:val="404042"/>
                <w:sz w:val="19"/>
              </w:rPr>
            </w:pPr>
            <w:r>
              <w:rPr>
                <w:rFonts w:ascii="Arial" w:eastAsia="Arial" w:hAnsi="Arial"/>
                <w:b/>
                <w:color w:val="404042"/>
                <w:sz w:val="19"/>
              </w:rPr>
              <w:t>Tertiary institution</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43B80B4F" w14:textId="77777777" w:rsidR="009757A9" w:rsidRDefault="00083242">
            <w:pPr>
              <w:spacing w:after="24" w:line="240" w:lineRule="exact"/>
              <w:ind w:left="72" w:right="1152"/>
              <w:textAlignment w:val="baseline"/>
              <w:rPr>
                <w:rFonts w:ascii="Tahoma" w:eastAsia="Tahoma" w:hAnsi="Tahoma"/>
                <w:color w:val="404042"/>
                <w:sz w:val="18"/>
              </w:rPr>
            </w:pPr>
            <w:r>
              <w:rPr>
                <w:rFonts w:ascii="Tahoma" w:eastAsia="Tahoma" w:hAnsi="Tahoma"/>
                <w:color w:val="404042"/>
                <w:sz w:val="18"/>
              </w:rPr>
              <w:t>A tertiary education provider that offers degrees, diplomas or certificates in vocational education and training, and/or academic disciplines.</w:t>
            </w:r>
          </w:p>
        </w:tc>
      </w:tr>
      <w:tr w:rsidR="009757A9" w14:paraId="6B6A926B" w14:textId="77777777">
        <w:trPr>
          <w:trHeight w:hRule="exact" w:val="777"/>
        </w:trPr>
        <w:tc>
          <w:tcPr>
            <w:tcW w:w="4219" w:type="dxa"/>
            <w:tcBorders>
              <w:top w:val="none" w:sz="0" w:space="0" w:color="020000"/>
              <w:left w:val="none" w:sz="0" w:space="0" w:color="020000"/>
              <w:bottom w:val="none" w:sz="0" w:space="0" w:color="020000"/>
              <w:right w:val="none" w:sz="0" w:space="0" w:color="020000"/>
            </w:tcBorders>
          </w:tcPr>
          <w:p w14:paraId="5E5A6CFC" w14:textId="77777777" w:rsidR="009757A9" w:rsidRDefault="00083242">
            <w:pPr>
              <w:spacing w:before="53" w:after="498" w:line="217" w:lineRule="exact"/>
              <w:ind w:left="936"/>
              <w:textAlignment w:val="baseline"/>
              <w:rPr>
                <w:rFonts w:ascii="Arial" w:eastAsia="Arial" w:hAnsi="Arial"/>
                <w:b/>
                <w:color w:val="404042"/>
                <w:sz w:val="19"/>
              </w:rPr>
            </w:pPr>
            <w:r>
              <w:rPr>
                <w:rFonts w:ascii="Arial" w:eastAsia="Arial" w:hAnsi="Arial"/>
                <w:b/>
                <w:color w:val="404042"/>
                <w:sz w:val="19"/>
              </w:rPr>
              <w:t>Traineeship</w:t>
            </w:r>
          </w:p>
        </w:tc>
        <w:tc>
          <w:tcPr>
            <w:tcW w:w="7690" w:type="dxa"/>
            <w:tcBorders>
              <w:top w:val="none" w:sz="0" w:space="0" w:color="020000"/>
              <w:left w:val="none" w:sz="0" w:space="0" w:color="020000"/>
              <w:bottom w:val="none" w:sz="0" w:space="0" w:color="020000"/>
              <w:right w:val="none" w:sz="0" w:space="0" w:color="020000"/>
            </w:tcBorders>
          </w:tcPr>
          <w:p w14:paraId="4E13DF4E" w14:textId="77777777" w:rsidR="009757A9" w:rsidRDefault="00083242">
            <w:pPr>
              <w:spacing w:after="24" w:line="240" w:lineRule="exact"/>
              <w:ind w:left="72" w:right="1080"/>
              <w:jc w:val="both"/>
              <w:textAlignment w:val="baseline"/>
              <w:rPr>
                <w:rFonts w:ascii="Tahoma" w:eastAsia="Tahoma" w:hAnsi="Tahoma"/>
                <w:color w:val="404042"/>
                <w:sz w:val="18"/>
              </w:rPr>
            </w:pPr>
            <w:r>
              <w:rPr>
                <w:rFonts w:ascii="Tahoma" w:eastAsia="Tahoma" w:hAnsi="Tahoma"/>
                <w:color w:val="404042"/>
                <w:sz w:val="18"/>
              </w:rPr>
              <w:t>A learning pathway that combines paid on-the-job training and formal study. Traineeships are generally shorter than apprenticeships and cover a broader range of industries.</w:t>
            </w:r>
          </w:p>
        </w:tc>
      </w:tr>
      <w:tr w:rsidR="009757A9" w14:paraId="0C8213C0" w14:textId="77777777">
        <w:trPr>
          <w:trHeight w:hRule="exact" w:val="53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727FFFF7" w14:textId="77777777" w:rsidR="009757A9" w:rsidRDefault="00083242">
            <w:pPr>
              <w:spacing w:after="31" w:line="240" w:lineRule="exact"/>
              <w:ind w:left="936"/>
              <w:textAlignment w:val="baseline"/>
              <w:rPr>
                <w:rFonts w:ascii="Arial" w:eastAsia="Arial" w:hAnsi="Arial"/>
                <w:b/>
                <w:color w:val="404042"/>
                <w:sz w:val="19"/>
              </w:rPr>
            </w:pPr>
            <w:r>
              <w:rPr>
                <w:rFonts w:ascii="Arial" w:eastAsia="Arial" w:hAnsi="Arial"/>
                <w:b/>
                <w:color w:val="404042"/>
                <w:sz w:val="19"/>
              </w:rPr>
              <w:t xml:space="preserve">Vocational education and training </w:t>
            </w:r>
            <w:r>
              <w:rPr>
                <w:rFonts w:ascii="Tahoma" w:eastAsia="Tahoma" w:hAnsi="Tahoma"/>
                <w:b/>
                <w:color w:val="404042"/>
                <w:sz w:val="17"/>
              </w:rPr>
              <w:t>(VET)</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338B928E" w14:textId="77777777" w:rsidR="009757A9" w:rsidRDefault="00083242">
            <w:pPr>
              <w:spacing w:after="18" w:line="240" w:lineRule="exact"/>
              <w:ind w:left="72" w:right="1548"/>
              <w:textAlignment w:val="baseline"/>
              <w:rPr>
                <w:rFonts w:ascii="Tahoma" w:eastAsia="Tahoma" w:hAnsi="Tahoma"/>
                <w:color w:val="404042"/>
                <w:sz w:val="18"/>
              </w:rPr>
            </w:pPr>
            <w:r>
              <w:rPr>
                <w:rFonts w:ascii="Tahoma" w:eastAsia="Tahoma" w:hAnsi="Tahoma"/>
                <w:color w:val="404042"/>
                <w:sz w:val="18"/>
              </w:rPr>
              <w:t>Study leading towards a nationally recognised qualification, issued by a registered training organisation within a regulatory framework.</w:t>
            </w:r>
          </w:p>
        </w:tc>
      </w:tr>
      <w:tr w:rsidR="009757A9" w14:paraId="1B493CBB" w14:textId="77777777">
        <w:trPr>
          <w:trHeight w:hRule="exact" w:val="1017"/>
        </w:trPr>
        <w:tc>
          <w:tcPr>
            <w:tcW w:w="4219" w:type="dxa"/>
            <w:tcBorders>
              <w:top w:val="none" w:sz="0" w:space="0" w:color="020000"/>
              <w:left w:val="none" w:sz="0" w:space="0" w:color="020000"/>
              <w:bottom w:val="none" w:sz="0" w:space="0" w:color="020000"/>
              <w:right w:val="none" w:sz="0" w:space="0" w:color="020000"/>
            </w:tcBorders>
          </w:tcPr>
          <w:p w14:paraId="753C6F22" w14:textId="77777777" w:rsidR="009757A9" w:rsidRDefault="00083242">
            <w:pPr>
              <w:spacing w:after="498" w:line="240" w:lineRule="exact"/>
              <w:ind w:left="936" w:right="828"/>
              <w:textAlignment w:val="baseline"/>
              <w:rPr>
                <w:rFonts w:ascii="Arial" w:eastAsia="Arial" w:hAnsi="Arial"/>
                <w:b/>
                <w:color w:val="404042"/>
                <w:spacing w:val="-2"/>
                <w:sz w:val="19"/>
              </w:rPr>
            </w:pPr>
            <w:r>
              <w:rPr>
                <w:rFonts w:ascii="Arial" w:eastAsia="Arial" w:hAnsi="Arial"/>
                <w:b/>
                <w:color w:val="404042"/>
                <w:spacing w:val="-2"/>
                <w:sz w:val="19"/>
              </w:rPr>
              <w:t>VET delivered to secondary students</w:t>
            </w:r>
          </w:p>
        </w:tc>
        <w:tc>
          <w:tcPr>
            <w:tcW w:w="7690" w:type="dxa"/>
            <w:tcBorders>
              <w:top w:val="none" w:sz="0" w:space="0" w:color="020000"/>
              <w:left w:val="none" w:sz="0" w:space="0" w:color="020000"/>
              <w:bottom w:val="none" w:sz="0" w:space="0" w:color="020000"/>
              <w:right w:val="none" w:sz="0" w:space="0" w:color="020000"/>
            </w:tcBorders>
          </w:tcPr>
          <w:p w14:paraId="2A806902" w14:textId="77777777" w:rsidR="009757A9" w:rsidRDefault="00083242">
            <w:pPr>
              <w:spacing w:after="24" w:line="240" w:lineRule="exact"/>
              <w:ind w:left="72" w:right="1080"/>
              <w:textAlignment w:val="baseline"/>
              <w:rPr>
                <w:rFonts w:ascii="Tahoma" w:eastAsia="Tahoma" w:hAnsi="Tahoma"/>
                <w:color w:val="404042"/>
                <w:spacing w:val="5"/>
                <w:sz w:val="18"/>
              </w:rPr>
            </w:pPr>
            <w:r>
              <w:rPr>
                <w:rFonts w:ascii="Tahoma" w:eastAsia="Tahoma" w:hAnsi="Tahoma"/>
                <w:color w:val="404042"/>
                <w:spacing w:val="5"/>
                <w:sz w:val="18"/>
              </w:rPr>
              <w:t>Vocational education and training qualifications undertaken at school, either as part of school studies delivered and resourced by a school registered training organisation, or by enrolling in a qualification with an external registered training organisation.</w:t>
            </w:r>
          </w:p>
        </w:tc>
      </w:tr>
      <w:tr w:rsidR="009757A9" w14:paraId="2921F549" w14:textId="77777777">
        <w:trPr>
          <w:trHeight w:hRule="exact" w:val="1018"/>
        </w:trPr>
        <w:tc>
          <w:tcPr>
            <w:tcW w:w="4219" w:type="dxa"/>
            <w:tcBorders>
              <w:top w:val="none" w:sz="0" w:space="0" w:color="020000"/>
              <w:left w:val="none" w:sz="0" w:space="0" w:color="020000"/>
              <w:bottom w:val="none" w:sz="0" w:space="0" w:color="020000"/>
              <w:right w:val="none" w:sz="0" w:space="0" w:color="020000"/>
            </w:tcBorders>
            <w:shd w:val="clear" w:color="F5E6DA" w:fill="F5E6DA"/>
          </w:tcPr>
          <w:p w14:paraId="63ABA4F4" w14:textId="77777777" w:rsidR="009757A9" w:rsidRDefault="00083242">
            <w:pPr>
              <w:spacing w:before="54" w:after="742" w:line="217" w:lineRule="exact"/>
              <w:ind w:left="936"/>
              <w:textAlignment w:val="baseline"/>
              <w:rPr>
                <w:rFonts w:ascii="Arial" w:eastAsia="Arial" w:hAnsi="Arial"/>
                <w:b/>
                <w:color w:val="404042"/>
                <w:sz w:val="19"/>
              </w:rPr>
            </w:pPr>
            <w:r>
              <w:rPr>
                <w:rFonts w:ascii="Arial" w:eastAsia="Arial" w:hAnsi="Arial"/>
                <w:b/>
                <w:color w:val="404042"/>
                <w:sz w:val="19"/>
              </w:rPr>
              <w:t>Work exploration</w:t>
            </w:r>
          </w:p>
        </w:tc>
        <w:tc>
          <w:tcPr>
            <w:tcW w:w="7690" w:type="dxa"/>
            <w:tcBorders>
              <w:top w:val="none" w:sz="0" w:space="0" w:color="020000"/>
              <w:left w:val="none" w:sz="0" w:space="0" w:color="020000"/>
              <w:bottom w:val="none" w:sz="0" w:space="0" w:color="020000"/>
              <w:right w:val="none" w:sz="0" w:space="0" w:color="020000"/>
            </w:tcBorders>
            <w:shd w:val="clear" w:color="F5E6DA" w:fill="F5E6DA"/>
          </w:tcPr>
          <w:p w14:paraId="4AE4085F" w14:textId="77777777" w:rsidR="009757A9" w:rsidRDefault="00083242">
            <w:pPr>
              <w:spacing w:after="28" w:line="240" w:lineRule="exact"/>
              <w:ind w:left="72" w:right="1368"/>
              <w:textAlignment w:val="baseline"/>
              <w:rPr>
                <w:rFonts w:ascii="Tahoma" w:eastAsia="Tahoma" w:hAnsi="Tahoma"/>
                <w:color w:val="404042"/>
                <w:spacing w:val="6"/>
                <w:sz w:val="18"/>
              </w:rPr>
            </w:pPr>
            <w:r>
              <w:rPr>
                <w:rFonts w:ascii="Tahoma" w:eastAsia="Tahoma" w:hAnsi="Tahoma"/>
                <w:color w:val="404042"/>
                <w:spacing w:val="6"/>
                <w:sz w:val="18"/>
              </w:rPr>
              <w:t>Any activity undertaken to learn about the world of work and careers, including identifying career options and pathways as part of a curriculum subject, work placements, work experience, and short programs with industry.</w:t>
            </w:r>
          </w:p>
        </w:tc>
      </w:tr>
      <w:tr w:rsidR="009757A9" w14:paraId="7FA99AD2" w14:textId="77777777">
        <w:trPr>
          <w:trHeight w:hRule="exact" w:val="327"/>
        </w:trPr>
        <w:tc>
          <w:tcPr>
            <w:tcW w:w="4219" w:type="dxa"/>
            <w:tcBorders>
              <w:top w:val="none" w:sz="0" w:space="0" w:color="020000"/>
              <w:left w:val="none" w:sz="0" w:space="0" w:color="020000"/>
              <w:bottom w:val="none" w:sz="0" w:space="0" w:color="020000"/>
              <w:right w:val="none" w:sz="0" w:space="0" w:color="020000"/>
            </w:tcBorders>
            <w:vAlign w:val="center"/>
          </w:tcPr>
          <w:p w14:paraId="16CBC405" w14:textId="77777777" w:rsidR="009757A9" w:rsidRDefault="00083242">
            <w:pPr>
              <w:spacing w:before="53" w:after="56" w:line="217" w:lineRule="exact"/>
              <w:ind w:left="936"/>
              <w:textAlignment w:val="baseline"/>
              <w:rPr>
                <w:rFonts w:ascii="Arial" w:eastAsia="Arial" w:hAnsi="Arial"/>
                <w:b/>
                <w:color w:val="404042"/>
                <w:sz w:val="19"/>
              </w:rPr>
            </w:pPr>
            <w:r>
              <w:rPr>
                <w:rFonts w:ascii="Arial" w:eastAsia="Arial" w:hAnsi="Arial"/>
                <w:b/>
                <w:color w:val="404042"/>
                <w:sz w:val="19"/>
              </w:rPr>
              <w:t>Young people</w:t>
            </w:r>
          </w:p>
        </w:tc>
        <w:tc>
          <w:tcPr>
            <w:tcW w:w="7690" w:type="dxa"/>
            <w:tcBorders>
              <w:top w:val="none" w:sz="0" w:space="0" w:color="020000"/>
              <w:left w:val="none" w:sz="0" w:space="0" w:color="020000"/>
              <w:bottom w:val="none" w:sz="0" w:space="0" w:color="020000"/>
              <w:right w:val="none" w:sz="0" w:space="0" w:color="020000"/>
            </w:tcBorders>
            <w:vAlign w:val="center"/>
          </w:tcPr>
          <w:p w14:paraId="222BA6C5" w14:textId="77777777" w:rsidR="009757A9" w:rsidRDefault="00083242">
            <w:pPr>
              <w:spacing w:after="62" w:line="240" w:lineRule="exact"/>
              <w:ind w:left="87"/>
              <w:textAlignment w:val="baseline"/>
              <w:rPr>
                <w:rFonts w:ascii="Tahoma" w:eastAsia="Tahoma" w:hAnsi="Tahoma"/>
                <w:color w:val="404042"/>
                <w:sz w:val="18"/>
              </w:rPr>
            </w:pPr>
            <w:r>
              <w:rPr>
                <w:rFonts w:ascii="Tahoma" w:eastAsia="Tahoma" w:hAnsi="Tahoma"/>
                <w:color w:val="404042"/>
                <w:sz w:val="18"/>
              </w:rPr>
              <w:t>People between the ages of 16 and 25.</w:t>
            </w:r>
          </w:p>
        </w:tc>
      </w:tr>
    </w:tbl>
    <w:p w14:paraId="28A56087" w14:textId="77777777" w:rsidR="009757A9" w:rsidRDefault="009757A9">
      <w:pPr>
        <w:spacing w:after="7432" w:line="20" w:lineRule="exact"/>
      </w:pPr>
    </w:p>
    <w:p w14:paraId="6B74E6CB" w14:textId="77777777" w:rsidR="009757A9" w:rsidRDefault="009757A9">
      <w:pPr>
        <w:spacing w:after="7432" w:line="20" w:lineRule="exact"/>
        <w:sectPr w:rsidR="009757A9">
          <w:pgSz w:w="11909" w:h="16838"/>
          <w:pgMar w:top="1140" w:right="0" w:bottom="0" w:left="0" w:header="720" w:footer="720" w:gutter="0"/>
          <w:cols w:space="720"/>
        </w:sectPr>
      </w:pPr>
    </w:p>
    <w:p w14:paraId="7EC6EC15" w14:textId="77777777" w:rsidR="009757A9" w:rsidRDefault="00083242">
      <w:pPr>
        <w:spacing w:before="2" w:after="623" w:line="217" w:lineRule="exact"/>
        <w:ind w:left="9936"/>
        <w:textAlignment w:val="baseline"/>
        <w:rPr>
          <w:rFonts w:ascii="Tahoma" w:eastAsia="Tahoma" w:hAnsi="Tahoma"/>
          <w:color w:val="404042"/>
          <w:spacing w:val="16"/>
          <w:sz w:val="14"/>
        </w:rPr>
      </w:pPr>
      <w:r>
        <w:rPr>
          <w:rFonts w:ascii="Tahoma" w:eastAsia="Tahoma" w:hAnsi="Tahoma"/>
          <w:color w:val="404042"/>
          <w:spacing w:val="16"/>
          <w:sz w:val="14"/>
        </w:rPr>
        <w:t>Glossary</w:t>
      </w:r>
      <w:r>
        <w:rPr>
          <w:rFonts w:ascii="Arial" w:eastAsia="Arial" w:hAnsi="Arial"/>
          <w:b/>
          <w:color w:val="5556A1"/>
          <w:spacing w:val="16"/>
          <w:sz w:val="19"/>
        </w:rPr>
        <w:t xml:space="preserve"> 155</w:t>
      </w:r>
    </w:p>
    <w:p w14:paraId="305BE907" w14:textId="77777777" w:rsidR="009757A9" w:rsidRDefault="00083242">
      <w:pPr>
        <w:textAlignment w:val="baseline"/>
      </w:pPr>
      <w:r>
        <w:rPr>
          <w:noProof/>
          <w:lang w:val="en-AU" w:eastAsia="en-AU"/>
        </w:rPr>
        <w:drawing>
          <wp:inline distT="0" distB="0" distL="0" distR="0" wp14:anchorId="1D7F9DC6" wp14:editId="43D4718C">
            <wp:extent cx="7562215" cy="462915"/>
            <wp:effectExtent l="0" t="0" r="0" b="0"/>
            <wp:docPr id="258" name="Picture"/>
            <wp:cNvGraphicFramePr/>
            <a:graphic xmlns:a="http://schemas.openxmlformats.org/drawingml/2006/main">
              <a:graphicData uri="http://schemas.openxmlformats.org/drawingml/2006/picture">
                <pic:pic xmlns:pic="http://schemas.openxmlformats.org/drawingml/2006/picture">
                  <pic:nvPicPr>
                    <pic:cNvPr id="258" name="Picture"/>
                    <pic:cNvPicPr preferRelativeResize="0"/>
                  </pic:nvPicPr>
                  <pic:blipFill>
                    <a:blip r:embed="rId343"/>
                    <a:stretch>
                      <a:fillRect/>
                    </a:stretch>
                  </pic:blipFill>
                  <pic:spPr>
                    <a:xfrm>
                      <a:off x="0" y="0"/>
                      <a:ext cx="7562215" cy="462915"/>
                    </a:xfrm>
                    <a:prstGeom prst="rect">
                      <a:avLst/>
                    </a:prstGeom>
                  </pic:spPr>
                </pic:pic>
              </a:graphicData>
            </a:graphic>
          </wp:inline>
        </w:drawing>
      </w:r>
    </w:p>
    <w:p w14:paraId="51076DB6" w14:textId="77777777" w:rsidR="009757A9" w:rsidRDefault="009757A9">
      <w:pPr>
        <w:sectPr w:rsidR="009757A9">
          <w:type w:val="continuous"/>
          <w:pgSz w:w="11909" w:h="16838"/>
          <w:pgMar w:top="1140" w:right="0" w:bottom="0" w:left="0" w:header="720" w:footer="720" w:gutter="0"/>
          <w:cols w:space="720"/>
        </w:sectPr>
      </w:pPr>
    </w:p>
    <w:p w14:paraId="2508B37D" w14:textId="77777777" w:rsidR="009757A9" w:rsidRDefault="00083242">
      <w:pPr>
        <w:spacing w:before="2" w:after="235" w:line="454" w:lineRule="exact"/>
        <w:ind w:left="864"/>
        <w:textAlignment w:val="baseline"/>
        <w:rPr>
          <w:rFonts w:ascii="Arial" w:eastAsia="Arial" w:hAnsi="Arial"/>
          <w:b/>
          <w:color w:val="00708E"/>
          <w:spacing w:val="8"/>
          <w:w w:val="90"/>
          <w:sz w:val="39"/>
        </w:rPr>
      </w:pPr>
      <w:r>
        <w:rPr>
          <w:rFonts w:ascii="Arial" w:eastAsia="Arial" w:hAnsi="Arial"/>
          <w:b/>
          <w:color w:val="00708E"/>
          <w:spacing w:val="8"/>
          <w:w w:val="90"/>
          <w:sz w:val="39"/>
        </w:rPr>
        <w:lastRenderedPageBreak/>
        <w:t>REVIEW PROCESS</w:t>
      </w:r>
    </w:p>
    <w:p w14:paraId="59DA8A1E" w14:textId="77777777" w:rsidR="009757A9" w:rsidRDefault="00083242">
      <w:pPr>
        <w:spacing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On 14 December 2018, Education Council agreed a program of work to support implementation of the eight national policy initiatives under the national school reform agreement. This included the Review of senior secondary pathways into work, further education and training which developed from a recommendation in </w:t>
      </w:r>
      <w:r>
        <w:rPr>
          <w:rFonts w:ascii="Arial" w:eastAsia="Arial" w:hAnsi="Arial"/>
          <w:i/>
          <w:color w:val="404042"/>
          <w:sz w:val="18"/>
        </w:rPr>
        <w:t xml:space="preserve">Through Growth to Achievement: Report of the Review to Achieve Educational Excellence in Australian Schools </w:t>
      </w:r>
      <w:r>
        <w:rPr>
          <w:rFonts w:ascii="Tahoma" w:eastAsia="Tahoma" w:hAnsi="Tahoma"/>
          <w:color w:val="404042"/>
          <w:sz w:val="18"/>
        </w:rPr>
        <w:t>(Gonski, 2018).</w:t>
      </w:r>
    </w:p>
    <w:p w14:paraId="2FF17438" w14:textId="77777777" w:rsidR="009757A9" w:rsidRDefault="00083242">
      <w:pPr>
        <w:spacing w:before="172" w:line="240" w:lineRule="exact"/>
        <w:ind w:left="864" w:right="1512"/>
        <w:textAlignment w:val="baseline"/>
        <w:rPr>
          <w:rFonts w:ascii="Tahoma" w:eastAsia="Tahoma" w:hAnsi="Tahoma"/>
          <w:color w:val="404042"/>
          <w:sz w:val="18"/>
        </w:rPr>
      </w:pPr>
      <w:r>
        <w:rPr>
          <w:rFonts w:ascii="Tahoma" w:eastAsia="Tahoma" w:hAnsi="Tahoma"/>
          <w:color w:val="404042"/>
          <w:sz w:val="18"/>
        </w:rPr>
        <w:t>On 28 June 2019, Education Council agreed a Review panel and Terms of reference for the Review to commence. The Review panel members were:</w:t>
      </w:r>
    </w:p>
    <w:p w14:paraId="5D046195" w14:textId="77777777" w:rsidR="009757A9" w:rsidRDefault="00083242">
      <w:pPr>
        <w:tabs>
          <w:tab w:val="left" w:pos="5400"/>
        </w:tabs>
        <w:spacing w:before="188" w:line="220" w:lineRule="exact"/>
        <w:ind w:left="864"/>
        <w:textAlignment w:val="baseline"/>
        <w:rPr>
          <w:rFonts w:ascii="Tahoma" w:eastAsia="Tahoma" w:hAnsi="Tahoma"/>
          <w:color w:val="404042"/>
          <w:spacing w:val="1"/>
          <w:sz w:val="18"/>
        </w:rPr>
      </w:pPr>
      <w:r>
        <w:rPr>
          <w:rFonts w:ascii="Tahoma" w:eastAsia="Tahoma" w:hAnsi="Tahoma"/>
          <w:color w:val="404042"/>
          <w:spacing w:val="1"/>
          <w:sz w:val="18"/>
        </w:rPr>
        <w:t>Professor Peter Shergold AC (Chair)</w:t>
      </w:r>
      <w:r>
        <w:rPr>
          <w:rFonts w:ascii="Tahoma" w:eastAsia="Tahoma" w:hAnsi="Tahoma"/>
          <w:color w:val="404042"/>
          <w:spacing w:val="1"/>
          <w:sz w:val="18"/>
        </w:rPr>
        <w:tab/>
        <w:t>Ms Patrea Walton PSM</w:t>
      </w:r>
    </w:p>
    <w:p w14:paraId="0C2077C9" w14:textId="77777777" w:rsidR="009757A9" w:rsidRDefault="00083242">
      <w:pPr>
        <w:tabs>
          <w:tab w:val="left" w:pos="5400"/>
        </w:tabs>
        <w:spacing w:before="188" w:line="215" w:lineRule="exact"/>
        <w:ind w:left="864"/>
        <w:textAlignment w:val="baseline"/>
        <w:rPr>
          <w:rFonts w:ascii="Tahoma" w:eastAsia="Tahoma" w:hAnsi="Tahoma"/>
          <w:color w:val="404042"/>
          <w:spacing w:val="2"/>
          <w:sz w:val="18"/>
        </w:rPr>
      </w:pPr>
      <w:r>
        <w:rPr>
          <w:rFonts w:ascii="Tahoma" w:eastAsia="Tahoma" w:hAnsi="Tahoma"/>
          <w:color w:val="404042"/>
          <w:spacing w:val="2"/>
          <w:sz w:val="18"/>
        </w:rPr>
        <w:t>Professor Tom Calma AO</w:t>
      </w:r>
      <w:r>
        <w:rPr>
          <w:rFonts w:ascii="Tahoma" w:eastAsia="Tahoma" w:hAnsi="Tahoma"/>
          <w:color w:val="404042"/>
          <w:spacing w:val="2"/>
          <w:sz w:val="18"/>
        </w:rPr>
        <w:tab/>
        <w:t>Ms Jennifer Westacott AO</w:t>
      </w:r>
    </w:p>
    <w:p w14:paraId="54A007A6" w14:textId="77777777" w:rsidR="009757A9" w:rsidRDefault="00083242">
      <w:pPr>
        <w:tabs>
          <w:tab w:val="left" w:pos="5400"/>
        </w:tabs>
        <w:spacing w:before="5" w:line="408" w:lineRule="exact"/>
        <w:ind w:left="864"/>
        <w:textAlignment w:val="baseline"/>
        <w:rPr>
          <w:rFonts w:ascii="Tahoma" w:eastAsia="Tahoma" w:hAnsi="Tahoma"/>
          <w:color w:val="404042"/>
          <w:sz w:val="18"/>
        </w:rPr>
      </w:pPr>
      <w:r>
        <w:rPr>
          <w:rFonts w:ascii="Tahoma" w:eastAsia="Tahoma" w:hAnsi="Tahoma"/>
          <w:color w:val="404042"/>
          <w:sz w:val="18"/>
        </w:rPr>
        <w:t>Mr Patrick O’Reilly</w:t>
      </w:r>
      <w:r>
        <w:rPr>
          <w:rFonts w:ascii="Tahoma" w:eastAsia="Tahoma" w:hAnsi="Tahoma"/>
          <w:color w:val="404042"/>
          <w:sz w:val="18"/>
        </w:rPr>
        <w:tab/>
        <w:t xml:space="preserve">Dr Don Zoellner </w:t>
      </w:r>
      <w:r>
        <w:rPr>
          <w:rFonts w:ascii="Tahoma" w:eastAsia="Tahoma" w:hAnsi="Tahoma"/>
          <w:color w:val="404042"/>
          <w:sz w:val="18"/>
        </w:rPr>
        <w:br/>
        <w:t>Ms Sarina Russo</w:t>
      </w:r>
    </w:p>
    <w:p w14:paraId="1A525CE6" w14:textId="77777777" w:rsidR="009757A9" w:rsidRDefault="00083242">
      <w:pPr>
        <w:spacing w:before="279" w:line="242" w:lineRule="exact"/>
        <w:ind w:left="864"/>
        <w:textAlignment w:val="baseline"/>
        <w:rPr>
          <w:rFonts w:ascii="Arial" w:eastAsia="Arial" w:hAnsi="Arial"/>
          <w:b/>
          <w:color w:val="000000"/>
          <w:spacing w:val="-3"/>
          <w:sz w:val="21"/>
        </w:rPr>
      </w:pPr>
      <w:r>
        <w:rPr>
          <w:rFonts w:ascii="Arial" w:eastAsia="Arial" w:hAnsi="Arial"/>
          <w:b/>
          <w:color w:val="000000"/>
          <w:spacing w:val="-3"/>
          <w:sz w:val="21"/>
        </w:rPr>
        <w:t>Discussion papers</w:t>
      </w:r>
    </w:p>
    <w:p w14:paraId="64C2A51D" w14:textId="77777777" w:rsidR="009757A9" w:rsidRDefault="00083242">
      <w:pPr>
        <w:spacing w:before="161" w:line="240" w:lineRule="exact"/>
        <w:ind w:left="864" w:right="864"/>
        <w:textAlignment w:val="baseline"/>
        <w:rPr>
          <w:rFonts w:ascii="Tahoma" w:eastAsia="Tahoma" w:hAnsi="Tahoma"/>
          <w:color w:val="404042"/>
          <w:spacing w:val="5"/>
          <w:sz w:val="18"/>
        </w:rPr>
      </w:pPr>
      <w:r>
        <w:rPr>
          <w:rFonts w:ascii="Tahoma" w:eastAsia="Tahoma" w:hAnsi="Tahoma"/>
          <w:color w:val="404042"/>
          <w:spacing w:val="5"/>
          <w:sz w:val="18"/>
        </w:rPr>
        <w:t>On 20 September 2019 the Review panel released a Discussion Paper and supporting Background paper and invited students, teachers, parents/carers, schools, education experts, stakeholders and all other interested parties to provide feedback on their experiences of senior secondary education and different pathway options and to put forward ideas on how experiences can be improved.</w:t>
      </w:r>
    </w:p>
    <w:p w14:paraId="1A454744" w14:textId="77777777" w:rsidR="009757A9" w:rsidRDefault="00083242">
      <w:pPr>
        <w:spacing w:before="274" w:line="242" w:lineRule="exact"/>
        <w:ind w:left="864"/>
        <w:textAlignment w:val="baseline"/>
        <w:rPr>
          <w:rFonts w:ascii="Arial" w:eastAsia="Arial" w:hAnsi="Arial"/>
          <w:b/>
          <w:color w:val="000000"/>
          <w:sz w:val="21"/>
        </w:rPr>
      </w:pPr>
      <w:r>
        <w:rPr>
          <w:rFonts w:ascii="Arial" w:eastAsia="Arial" w:hAnsi="Arial"/>
          <w:b/>
          <w:color w:val="000000"/>
          <w:sz w:val="21"/>
        </w:rPr>
        <w:t>Consultation</w:t>
      </w:r>
    </w:p>
    <w:p w14:paraId="6ECBCD99" w14:textId="77777777" w:rsidR="009757A9" w:rsidRDefault="00083242">
      <w:pPr>
        <w:spacing w:before="151" w:line="240" w:lineRule="exact"/>
        <w:ind w:left="864" w:right="1008"/>
        <w:textAlignment w:val="baseline"/>
        <w:rPr>
          <w:rFonts w:ascii="Tahoma" w:eastAsia="Tahoma" w:hAnsi="Tahoma"/>
          <w:color w:val="404042"/>
          <w:spacing w:val="6"/>
          <w:sz w:val="18"/>
        </w:rPr>
      </w:pPr>
      <w:r>
        <w:rPr>
          <w:rFonts w:ascii="Tahoma" w:eastAsia="Tahoma" w:hAnsi="Tahoma"/>
          <w:color w:val="404042"/>
          <w:spacing w:val="6"/>
          <w:sz w:val="18"/>
        </w:rPr>
        <w:t>The Review panel undertook extensive consultations from September 2019 to March 2020 through face to face meetings, events, forums and written feedback and submissions. The panel heard from young people and specific priority groups, including students with disability, those in regional, rural and remote areas, and Aboriginal and Torres Strait Islander students.</w:t>
      </w:r>
    </w:p>
    <w:p w14:paraId="1B9B54E1" w14:textId="77777777" w:rsidR="009757A9" w:rsidRDefault="00083242">
      <w:pPr>
        <w:spacing w:before="279" w:line="242" w:lineRule="exact"/>
        <w:ind w:left="864"/>
        <w:textAlignment w:val="baseline"/>
        <w:rPr>
          <w:rFonts w:ascii="Arial" w:eastAsia="Arial" w:hAnsi="Arial"/>
          <w:b/>
          <w:color w:val="000000"/>
          <w:spacing w:val="-4"/>
          <w:sz w:val="21"/>
        </w:rPr>
      </w:pPr>
      <w:r>
        <w:rPr>
          <w:rFonts w:ascii="Arial" w:eastAsia="Arial" w:hAnsi="Arial"/>
          <w:b/>
          <w:color w:val="000000"/>
          <w:spacing w:val="-4"/>
          <w:sz w:val="21"/>
        </w:rPr>
        <w:t>Research</w:t>
      </w:r>
    </w:p>
    <w:p w14:paraId="3113FD9A" w14:textId="77777777" w:rsidR="009757A9" w:rsidRDefault="00083242">
      <w:pPr>
        <w:spacing w:before="151" w:line="240" w:lineRule="exact"/>
        <w:ind w:left="864" w:right="2304"/>
        <w:textAlignment w:val="baseline"/>
        <w:rPr>
          <w:rFonts w:ascii="Tahoma" w:eastAsia="Tahoma" w:hAnsi="Tahoma"/>
          <w:color w:val="404042"/>
          <w:sz w:val="18"/>
        </w:rPr>
      </w:pPr>
      <w:r>
        <w:rPr>
          <w:rFonts w:ascii="Tahoma" w:eastAsia="Tahoma" w:hAnsi="Tahoma"/>
          <w:color w:val="404042"/>
          <w:sz w:val="18"/>
        </w:rPr>
        <w:t>In addition to the significant research undertaken by the secretariat for the Review panel, research was also commissioned:</w:t>
      </w:r>
    </w:p>
    <w:p w14:paraId="66F4C9D2" w14:textId="77777777" w:rsidR="009757A9" w:rsidRDefault="00083242">
      <w:pPr>
        <w:numPr>
          <w:ilvl w:val="0"/>
          <w:numId w:val="6"/>
        </w:numPr>
        <w:tabs>
          <w:tab w:val="clear" w:pos="216"/>
          <w:tab w:val="left" w:pos="1080"/>
        </w:tabs>
        <w:spacing w:before="87" w:line="240" w:lineRule="exact"/>
        <w:ind w:left="1080" w:right="2016" w:hanging="216"/>
        <w:textAlignment w:val="baseline"/>
        <w:rPr>
          <w:rFonts w:ascii="Tahoma" w:eastAsia="Tahoma" w:hAnsi="Tahoma"/>
          <w:color w:val="404042"/>
          <w:sz w:val="18"/>
        </w:rPr>
      </w:pPr>
      <w:r>
        <w:rPr>
          <w:rFonts w:ascii="Tahoma" w:eastAsia="Tahoma" w:hAnsi="Tahoma"/>
          <w:color w:val="404042"/>
          <w:sz w:val="18"/>
        </w:rPr>
        <w:t>Longitudinal Surveys of Australian Youth (LSAY) analysis: literature review (</w:t>
      </w:r>
      <w:r>
        <w:rPr>
          <w:rFonts w:ascii="Arial" w:eastAsia="Arial" w:hAnsi="Arial"/>
          <w:i/>
          <w:color w:val="404042"/>
          <w:sz w:val="18"/>
        </w:rPr>
        <w:t>National Centre for Vocational Education Research)</w:t>
      </w:r>
    </w:p>
    <w:p w14:paraId="57EF6510" w14:textId="77777777" w:rsidR="009757A9" w:rsidRDefault="00083242">
      <w:pPr>
        <w:numPr>
          <w:ilvl w:val="0"/>
          <w:numId w:val="6"/>
        </w:numPr>
        <w:tabs>
          <w:tab w:val="clear" w:pos="216"/>
          <w:tab w:val="left" w:pos="1080"/>
        </w:tabs>
        <w:spacing w:before="109"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Research examining perceptions of apprenticeships (The Behavioural Insights Team)</w:t>
      </w:r>
    </w:p>
    <w:p w14:paraId="1605069C" w14:textId="77777777" w:rsidR="009757A9" w:rsidRDefault="00083242">
      <w:pPr>
        <w:numPr>
          <w:ilvl w:val="0"/>
          <w:numId w:val="6"/>
        </w:numPr>
        <w:tabs>
          <w:tab w:val="clear" w:pos="216"/>
          <w:tab w:val="left" w:pos="1080"/>
        </w:tabs>
        <w:spacing w:before="101" w:line="221" w:lineRule="exact"/>
        <w:ind w:left="1080" w:hanging="216"/>
        <w:textAlignment w:val="baseline"/>
        <w:rPr>
          <w:rFonts w:ascii="Tahoma" w:eastAsia="Tahoma" w:hAnsi="Tahoma"/>
          <w:color w:val="404042"/>
          <w:spacing w:val="4"/>
          <w:sz w:val="18"/>
        </w:rPr>
      </w:pPr>
      <w:r>
        <w:rPr>
          <w:rFonts w:ascii="Tahoma" w:eastAsia="Tahoma" w:hAnsi="Tahoma"/>
          <w:color w:val="404042"/>
          <w:spacing w:val="4"/>
          <w:sz w:val="18"/>
        </w:rPr>
        <w:t>Regional &amp; Rural living survey: research results, findings and conclusions (Year13)</w:t>
      </w:r>
    </w:p>
    <w:p w14:paraId="59DB4272" w14:textId="77777777" w:rsidR="009757A9" w:rsidRDefault="00083242">
      <w:pPr>
        <w:numPr>
          <w:ilvl w:val="0"/>
          <w:numId w:val="6"/>
        </w:numPr>
        <w:tabs>
          <w:tab w:val="clear" w:pos="216"/>
          <w:tab w:val="left" w:pos="1080"/>
        </w:tabs>
        <w:spacing w:before="105" w:line="221" w:lineRule="exact"/>
        <w:ind w:left="1080" w:hanging="216"/>
        <w:textAlignment w:val="baseline"/>
        <w:rPr>
          <w:rFonts w:ascii="Tahoma" w:eastAsia="Tahoma" w:hAnsi="Tahoma"/>
          <w:color w:val="404042"/>
          <w:spacing w:val="5"/>
          <w:sz w:val="18"/>
        </w:rPr>
      </w:pPr>
      <w:r>
        <w:rPr>
          <w:rFonts w:ascii="Tahoma" w:eastAsia="Tahoma" w:hAnsi="Tahoma"/>
          <w:color w:val="404042"/>
          <w:spacing w:val="5"/>
          <w:sz w:val="18"/>
        </w:rPr>
        <w:t>Showcasing student capabilities (Foundation for Young Australians – YLab)</w:t>
      </w:r>
    </w:p>
    <w:p w14:paraId="4B90FCF5" w14:textId="77777777" w:rsidR="009757A9" w:rsidRDefault="00083242">
      <w:pPr>
        <w:spacing w:before="267" w:line="242" w:lineRule="exact"/>
        <w:ind w:left="864"/>
        <w:textAlignment w:val="baseline"/>
        <w:rPr>
          <w:rFonts w:ascii="Tahoma" w:eastAsia="Tahoma" w:hAnsi="Tahoma"/>
          <w:b/>
          <w:color w:val="000000"/>
          <w:spacing w:val="5"/>
          <w:sz w:val="19"/>
        </w:rPr>
      </w:pPr>
      <w:r>
        <w:rPr>
          <w:rFonts w:ascii="Tahoma" w:eastAsia="Tahoma" w:hAnsi="Tahoma"/>
          <w:b/>
          <w:color w:val="000000"/>
          <w:spacing w:val="5"/>
          <w:sz w:val="19"/>
        </w:rPr>
        <w:t>Delivering the final report to Education Council</w:t>
      </w:r>
    </w:p>
    <w:p w14:paraId="14453247" w14:textId="77777777" w:rsidR="009757A9" w:rsidRDefault="00083242">
      <w:pPr>
        <w:spacing w:line="459" w:lineRule="exact"/>
        <w:ind w:left="864"/>
        <w:textAlignment w:val="baseline"/>
        <w:rPr>
          <w:rFonts w:ascii="Tahoma" w:eastAsia="Tahoma" w:hAnsi="Tahoma"/>
          <w:color w:val="404042"/>
          <w:sz w:val="18"/>
        </w:rPr>
      </w:pPr>
      <w:r>
        <w:rPr>
          <w:rFonts w:ascii="Tahoma" w:eastAsia="Tahoma" w:hAnsi="Tahoma"/>
          <w:color w:val="404042"/>
          <w:sz w:val="18"/>
        </w:rPr>
        <w:t xml:space="preserve">The Review Panel delivered their report to the Education Council in June 2020. </w:t>
      </w:r>
      <w:r>
        <w:rPr>
          <w:rFonts w:ascii="Tahoma" w:eastAsia="Tahoma" w:hAnsi="Tahoma"/>
          <w:color w:val="404042"/>
          <w:sz w:val="18"/>
        </w:rPr>
        <w:br/>
      </w:r>
      <w:r>
        <w:rPr>
          <w:rFonts w:ascii="Arial" w:eastAsia="Arial" w:hAnsi="Arial"/>
          <w:b/>
          <w:color w:val="000000"/>
          <w:sz w:val="21"/>
        </w:rPr>
        <w:t>Secretariat</w:t>
      </w:r>
    </w:p>
    <w:p w14:paraId="3DA67727" w14:textId="77777777" w:rsidR="009757A9" w:rsidRDefault="00083242">
      <w:pPr>
        <w:spacing w:before="161" w:line="240" w:lineRule="exact"/>
        <w:ind w:left="864" w:right="1008"/>
        <w:textAlignment w:val="baseline"/>
        <w:rPr>
          <w:rFonts w:ascii="Tahoma" w:eastAsia="Tahoma" w:hAnsi="Tahoma"/>
          <w:color w:val="404042"/>
          <w:sz w:val="18"/>
        </w:rPr>
      </w:pPr>
      <w:r>
        <w:rPr>
          <w:rFonts w:ascii="Tahoma" w:eastAsia="Tahoma" w:hAnsi="Tahoma"/>
          <w:color w:val="404042"/>
          <w:sz w:val="18"/>
        </w:rPr>
        <w:t>A secretariat from the Australian Government Department of Education, Skills and Employment supported the Review panel. The secretariat operated independently of the Australian Government.</w:t>
      </w:r>
    </w:p>
    <w:p w14:paraId="3635F733" w14:textId="77777777" w:rsidR="009757A9" w:rsidRDefault="00083242">
      <w:pPr>
        <w:tabs>
          <w:tab w:val="left" w:pos="1368"/>
        </w:tabs>
        <w:spacing w:before="2205"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156</w:t>
      </w:r>
      <w:r>
        <w:rPr>
          <w:rFonts w:ascii="Tahoma" w:eastAsia="Tahoma" w:hAnsi="Tahoma"/>
          <w:color w:val="404042"/>
          <w:spacing w:val="4"/>
          <w:sz w:val="14"/>
        </w:rPr>
        <w:tab/>
        <w:t>Looking to the future</w:t>
      </w:r>
    </w:p>
    <w:p w14:paraId="4F5925CF" w14:textId="77777777" w:rsidR="009757A9" w:rsidRDefault="00083242">
      <w:pPr>
        <w:textAlignment w:val="baseline"/>
      </w:pPr>
      <w:r>
        <w:rPr>
          <w:noProof/>
          <w:lang w:val="en-AU" w:eastAsia="en-AU"/>
        </w:rPr>
        <w:drawing>
          <wp:inline distT="0" distB="0" distL="0" distR="0" wp14:anchorId="4814DFAD" wp14:editId="63D5C530">
            <wp:extent cx="7562215" cy="462915"/>
            <wp:effectExtent l="0" t="0" r="0" b="0"/>
            <wp:docPr id="259" name="Picture"/>
            <wp:cNvGraphicFramePr/>
            <a:graphic xmlns:a="http://schemas.openxmlformats.org/drawingml/2006/main">
              <a:graphicData uri="http://schemas.openxmlformats.org/drawingml/2006/picture">
                <pic:pic xmlns:pic="http://schemas.openxmlformats.org/drawingml/2006/picture">
                  <pic:nvPicPr>
                    <pic:cNvPr id="259" name="Picture"/>
                    <pic:cNvPicPr preferRelativeResize="0"/>
                  </pic:nvPicPr>
                  <pic:blipFill>
                    <a:blip r:embed="rId327"/>
                    <a:stretch>
                      <a:fillRect/>
                    </a:stretch>
                  </pic:blipFill>
                  <pic:spPr>
                    <a:xfrm>
                      <a:off x="0" y="0"/>
                      <a:ext cx="7562215" cy="462915"/>
                    </a:xfrm>
                    <a:prstGeom prst="rect">
                      <a:avLst/>
                    </a:prstGeom>
                  </pic:spPr>
                </pic:pic>
              </a:graphicData>
            </a:graphic>
          </wp:inline>
        </w:drawing>
      </w:r>
    </w:p>
    <w:p w14:paraId="2A0C5E93" w14:textId="77777777" w:rsidR="009757A9" w:rsidRDefault="009757A9">
      <w:pPr>
        <w:sectPr w:rsidR="009757A9">
          <w:pgSz w:w="11909" w:h="16838"/>
          <w:pgMar w:top="1080" w:right="0" w:bottom="0" w:left="0" w:header="720" w:footer="720" w:gutter="0"/>
          <w:cols w:space="720"/>
        </w:sectPr>
      </w:pPr>
    </w:p>
    <w:p w14:paraId="37950837" w14:textId="77777777" w:rsidR="009757A9" w:rsidRDefault="00083242">
      <w:pPr>
        <w:spacing w:before="2" w:after="220" w:line="454" w:lineRule="exact"/>
        <w:ind w:left="864"/>
        <w:textAlignment w:val="baseline"/>
        <w:rPr>
          <w:rFonts w:ascii="Arial" w:eastAsia="Arial" w:hAnsi="Arial"/>
          <w:b/>
          <w:color w:val="00708E"/>
          <w:spacing w:val="5"/>
          <w:w w:val="95"/>
          <w:sz w:val="39"/>
        </w:rPr>
      </w:pPr>
      <w:r>
        <w:rPr>
          <w:rFonts w:ascii="Arial" w:eastAsia="Arial" w:hAnsi="Arial"/>
          <w:b/>
          <w:color w:val="00708E"/>
          <w:spacing w:val="5"/>
          <w:w w:val="95"/>
          <w:sz w:val="39"/>
        </w:rPr>
        <w:lastRenderedPageBreak/>
        <w:t>CONSULTATIONS</w:t>
      </w:r>
    </w:p>
    <w:p w14:paraId="46595AE6" w14:textId="6D010185" w:rsidR="00D172B1" w:rsidRDefault="00083242" w:rsidP="00D172B1">
      <w:pPr>
        <w:spacing w:after="446"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From October 2019 to March 2020, 46 workshops, school visits and consultations with 776 education experts and youth from schools, educational institutions, industry, Government and non-Government organisations across Australia were undertaken.</w:t>
      </w:r>
    </w:p>
    <w:p w14:paraId="37056322" w14:textId="77777777" w:rsidR="009757A9" w:rsidRDefault="00083242">
      <w:pPr>
        <w:shd w:val="solid" w:color="5C7182" w:fill="5C7182"/>
        <w:spacing w:after="31" w:line="209" w:lineRule="exact"/>
        <w:ind w:left="931" w:right="1253"/>
        <w:textAlignment w:val="baseline"/>
        <w:rPr>
          <w:rFonts w:ascii="Arial" w:eastAsia="Arial" w:hAnsi="Arial"/>
          <w:b/>
          <w:color w:val="FFFFFF"/>
          <w:sz w:val="19"/>
        </w:rPr>
      </w:pPr>
      <w:r>
        <w:rPr>
          <w:rFonts w:ascii="Arial" w:eastAsia="Arial" w:hAnsi="Arial"/>
          <w:b/>
          <w:color w:val="FFFFFF"/>
          <w:sz w:val="19"/>
        </w:rPr>
        <w:t>Stakeholders consulted</w:t>
      </w:r>
    </w:p>
    <w:p w14:paraId="64B8E298" w14:textId="77777777" w:rsidR="009757A9" w:rsidRDefault="00083242">
      <w:pPr>
        <w:shd w:val="solid" w:color="BF5B1F" w:fill="BF5B1F"/>
        <w:spacing w:after="47" w:line="205"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11 October 2019 – Adelaide – SA</w:t>
      </w:r>
    </w:p>
    <w:p w14:paraId="23D9D9DB" w14:textId="77777777" w:rsidR="009757A9" w:rsidRDefault="00083242">
      <w:pPr>
        <w:shd w:val="solid" w:color="F5E6DA" w:fill="F5E6DA"/>
        <w:spacing w:after="2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Agribusiness Industry Skills Council</w:t>
      </w:r>
    </w:p>
    <w:p w14:paraId="77876AF7"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Association of Independent Schools of South Australia</w:t>
      </w:r>
    </w:p>
    <w:p w14:paraId="211F7FB7"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Autism SA</w:t>
      </w:r>
    </w:p>
    <w:p w14:paraId="50735E3B"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Career Development Association of Australia</w:t>
      </w:r>
    </w:p>
    <w:p w14:paraId="74F2D399"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Catholic Education SA</w:t>
      </w:r>
    </w:p>
    <w:p w14:paraId="22AC9071"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Commissioner for Children and Young People</w:t>
      </w:r>
    </w:p>
    <w:p w14:paraId="512DFC44" w14:textId="77777777" w:rsidR="009757A9" w:rsidRDefault="00083242">
      <w:pPr>
        <w:shd w:val="solid" w:color="F5E6DA" w:fill="F5E6DA"/>
        <w:spacing w:after="3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Defence SA/Department for Innovation and Skills</w:t>
      </w:r>
    </w:p>
    <w:p w14:paraId="6C33A5E6"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Defence Teaming Centre</w:t>
      </w:r>
    </w:p>
    <w:p w14:paraId="147069A9"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Flinders University</w:t>
      </w:r>
    </w:p>
    <w:p w14:paraId="37922AAC"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Food South Australia</w:t>
      </w:r>
    </w:p>
    <w:p w14:paraId="7D7BDDC0"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National Centre for Vocational Education Research</w:t>
      </w:r>
    </w:p>
    <w:p w14:paraId="13F703B7"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Naval Shipbuilding College</w:t>
      </w:r>
    </w:p>
    <w:p w14:paraId="06564BCA"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SA Department of Education</w:t>
      </w:r>
    </w:p>
    <w:p w14:paraId="37A642B9"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SACE Board of South Australia</w:t>
      </w:r>
    </w:p>
    <w:p w14:paraId="005A91D8"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South Australian English Teachers Association</w:t>
      </w:r>
    </w:p>
    <w:p w14:paraId="2D99CEC1" w14:textId="77777777" w:rsidR="009757A9" w:rsidRDefault="00083242">
      <w:pPr>
        <w:shd w:val="solid" w:color="F5E6DA" w:fill="F5E6DA"/>
        <w:spacing w:after="24" w:line="220" w:lineRule="exact"/>
        <w:ind w:left="931" w:right="1253"/>
        <w:textAlignment w:val="baseline"/>
        <w:rPr>
          <w:rFonts w:ascii="Tahoma" w:eastAsia="Tahoma" w:hAnsi="Tahoma"/>
          <w:color w:val="404042"/>
          <w:sz w:val="18"/>
        </w:rPr>
      </w:pPr>
      <w:r>
        <w:rPr>
          <w:rFonts w:ascii="Tahoma" w:eastAsia="Tahoma" w:hAnsi="Tahoma"/>
          <w:color w:val="404042"/>
          <w:sz w:val="18"/>
        </w:rPr>
        <w:t>TAFE SA</w:t>
      </w:r>
    </w:p>
    <w:p w14:paraId="009DA04E"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Tauondi Aboriginal College</w:t>
      </w:r>
    </w:p>
    <w:p w14:paraId="3A1B7833" w14:textId="77777777" w:rsidR="009757A9" w:rsidRDefault="00083242">
      <w:pPr>
        <w:shd w:val="solid" w:color="F5E6DA" w:fill="F5E6DA"/>
        <w:spacing w:after="1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Teachers Registration Board of SA</w:t>
      </w:r>
    </w:p>
    <w:p w14:paraId="4ADF0848" w14:textId="77777777" w:rsidR="009757A9" w:rsidRDefault="00083242">
      <w:pPr>
        <w:shd w:val="solid" w:color="F5E6DA" w:fill="F5E6DA"/>
        <w:spacing w:after="2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Torrens University</w:t>
      </w:r>
    </w:p>
    <w:p w14:paraId="694D8998"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Wine Grape Council of South Australia</w:t>
      </w:r>
    </w:p>
    <w:p w14:paraId="5EA48B72" w14:textId="77777777" w:rsidR="009757A9" w:rsidRDefault="00083242">
      <w:pPr>
        <w:shd w:val="solid" w:color="004E66" w:fill="004E66"/>
        <w:spacing w:after="47" w:line="205" w:lineRule="exact"/>
        <w:ind w:left="931" w:right="1253"/>
        <w:textAlignment w:val="baseline"/>
        <w:rPr>
          <w:rFonts w:ascii="Tahoma" w:eastAsia="Tahoma" w:hAnsi="Tahoma"/>
          <w:b/>
          <w:color w:val="FFFFFF"/>
          <w:sz w:val="17"/>
        </w:rPr>
      </w:pPr>
      <w:r>
        <w:rPr>
          <w:rFonts w:ascii="Tahoma" w:eastAsia="Tahoma" w:hAnsi="Tahoma"/>
          <w:b/>
          <w:color w:val="FFFFFF"/>
          <w:sz w:val="17"/>
        </w:rPr>
        <w:t>17-18 October 2019 – Canberra – ACT</w:t>
      </w:r>
    </w:p>
    <w:p w14:paraId="69867E96"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ACT Board of Senior Secondary Studies</w:t>
      </w:r>
    </w:p>
    <w:p w14:paraId="67B32917"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Association of Independent Schools of the ACT</w:t>
      </w:r>
    </w:p>
    <w:p w14:paraId="5F3C4712" w14:textId="77777777" w:rsidR="009757A9" w:rsidRDefault="00083242">
      <w:pPr>
        <w:shd w:val="solid" w:color="F4F5F7" w:fill="F4F5F7"/>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Australian Association of Mathematics Teachers</w:t>
      </w:r>
    </w:p>
    <w:p w14:paraId="267F7713"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Australian Chamber of Commerce and Industry</w:t>
      </w:r>
    </w:p>
    <w:p w14:paraId="0307DF36"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Australian National University</w:t>
      </w:r>
    </w:p>
    <w:p w14:paraId="600ABCC8"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Australian Research Alliance for Children and Youth</w:t>
      </w:r>
    </w:p>
    <w:p w14:paraId="16F93E45"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Brindabella Christian College</w:t>
      </w:r>
    </w:p>
    <w:p w14:paraId="72D69FF9"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14"/>
          <w:sz w:val="18"/>
        </w:rPr>
      </w:pPr>
      <w:r>
        <w:rPr>
          <w:rFonts w:ascii="Tahoma" w:eastAsia="Tahoma" w:hAnsi="Tahoma"/>
          <w:color w:val="404042"/>
          <w:spacing w:val="14"/>
          <w:sz w:val="18"/>
        </w:rPr>
        <w:t>CIT</w:t>
      </w:r>
    </w:p>
    <w:p w14:paraId="2EC41B87"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CIT Pathways College</w:t>
      </w:r>
    </w:p>
    <w:p w14:paraId="3460DE7D" w14:textId="77777777" w:rsidR="009757A9" w:rsidRDefault="00083242">
      <w:pPr>
        <w:shd w:val="solid" w:color="F4F5F7" w:fill="F4F5F7"/>
        <w:spacing w:after="37" w:line="220" w:lineRule="exact"/>
        <w:ind w:left="931" w:right="1253"/>
        <w:textAlignment w:val="baseline"/>
        <w:rPr>
          <w:rFonts w:ascii="Tahoma" w:eastAsia="Tahoma" w:hAnsi="Tahoma"/>
          <w:color w:val="404042"/>
          <w:spacing w:val="11"/>
          <w:sz w:val="18"/>
        </w:rPr>
      </w:pPr>
      <w:r>
        <w:rPr>
          <w:rFonts w:ascii="Tahoma" w:eastAsia="Tahoma" w:hAnsi="Tahoma"/>
          <w:color w:val="404042"/>
          <w:spacing w:val="11"/>
          <w:sz w:val="18"/>
        </w:rPr>
        <w:t>CSIRO</w:t>
      </w:r>
    </w:p>
    <w:p w14:paraId="03443017"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Daramalan College</w:t>
      </w:r>
    </w:p>
    <w:p w14:paraId="69F58B30"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Dickson College</w:t>
      </w:r>
    </w:p>
    <w:p w14:paraId="0BE9B06C" w14:textId="77777777" w:rsidR="009757A9" w:rsidRDefault="00083242">
      <w:pPr>
        <w:shd w:val="solid" w:color="F4F5F7" w:fill="F4F5F7"/>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Gungahlin College</w:t>
      </w:r>
    </w:p>
    <w:p w14:paraId="1F21CCA5"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Hawker College</w:t>
      </w:r>
    </w:p>
    <w:p w14:paraId="6EB48C43"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Independent Schools Council of Australia</w:t>
      </w:r>
    </w:p>
    <w:p w14:paraId="1F75DAA2" w14:textId="77777777" w:rsidR="009757A9" w:rsidRDefault="00083242">
      <w:pPr>
        <w:shd w:val="solid" w:color="F4F5F7" w:fill="F4F5F7"/>
        <w:spacing w:after="713"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Lake Tuggeranong College</w:t>
      </w:r>
    </w:p>
    <w:p w14:paraId="679C70FB" w14:textId="77777777" w:rsidR="00D172B1" w:rsidRDefault="00D172B1">
      <w:pPr>
        <w:spacing w:after="634" w:line="208" w:lineRule="exact"/>
        <w:ind w:left="9576"/>
        <w:textAlignment w:val="baseline"/>
        <w:rPr>
          <w:rFonts w:ascii="Tahoma" w:eastAsia="Tahoma" w:hAnsi="Tahoma"/>
          <w:color w:val="404042"/>
          <w:spacing w:val="13"/>
          <w:sz w:val="14"/>
        </w:rPr>
      </w:pPr>
    </w:p>
    <w:p w14:paraId="663718D2" w14:textId="77777777" w:rsidR="00D172B1" w:rsidRDefault="00D172B1">
      <w:pPr>
        <w:spacing w:after="634" w:line="208" w:lineRule="exact"/>
        <w:ind w:left="9576"/>
        <w:textAlignment w:val="baseline"/>
        <w:rPr>
          <w:rFonts w:ascii="Tahoma" w:eastAsia="Tahoma" w:hAnsi="Tahoma"/>
          <w:color w:val="404042"/>
          <w:spacing w:val="13"/>
          <w:sz w:val="14"/>
        </w:rPr>
      </w:pPr>
    </w:p>
    <w:p w14:paraId="075128BC" w14:textId="6AC00D1F" w:rsidR="009757A9" w:rsidRDefault="00083242">
      <w:pPr>
        <w:spacing w:after="634" w:line="208" w:lineRule="exact"/>
        <w:ind w:left="9576"/>
        <w:textAlignment w:val="baseline"/>
        <w:rPr>
          <w:rFonts w:ascii="Tahoma" w:eastAsia="Tahoma" w:hAnsi="Tahoma"/>
          <w:color w:val="404042"/>
          <w:spacing w:val="13"/>
          <w:sz w:val="14"/>
        </w:rPr>
      </w:pPr>
      <w:r>
        <w:rPr>
          <w:rFonts w:ascii="Tahoma" w:eastAsia="Tahoma" w:hAnsi="Tahoma"/>
          <w:color w:val="404042"/>
          <w:spacing w:val="13"/>
          <w:sz w:val="14"/>
        </w:rPr>
        <w:t>Consultations</w:t>
      </w:r>
      <w:r>
        <w:rPr>
          <w:rFonts w:ascii="Arial" w:eastAsia="Arial" w:hAnsi="Arial"/>
          <w:b/>
          <w:color w:val="5556A1"/>
          <w:spacing w:val="13"/>
          <w:sz w:val="19"/>
        </w:rPr>
        <w:t xml:space="preserve"> 157</w:t>
      </w:r>
    </w:p>
    <w:p w14:paraId="4F946A65" w14:textId="77777777" w:rsidR="009757A9" w:rsidRDefault="00083242">
      <w:pPr>
        <w:textAlignment w:val="baseline"/>
      </w:pPr>
      <w:r>
        <w:rPr>
          <w:noProof/>
          <w:lang w:val="en-AU" w:eastAsia="en-AU"/>
        </w:rPr>
        <w:drawing>
          <wp:anchor distT="0" distB="0" distL="114300" distR="114300" simplePos="0" relativeHeight="252103168" behindDoc="1" locked="0" layoutInCell="1" allowOverlap="1" wp14:anchorId="1AFABE5F" wp14:editId="18772A47">
            <wp:simplePos x="0" y="0"/>
            <wp:positionH relativeFrom="margin">
              <wp:align>right</wp:align>
            </wp:positionH>
            <wp:positionV relativeFrom="paragraph">
              <wp:posOffset>138430</wp:posOffset>
            </wp:positionV>
            <wp:extent cx="7562215" cy="462915"/>
            <wp:effectExtent l="0" t="0" r="635" b="0"/>
            <wp:wrapNone/>
            <wp:docPr id="260" name="Picture"/>
            <wp:cNvGraphicFramePr/>
            <a:graphic xmlns:a="http://schemas.openxmlformats.org/drawingml/2006/main">
              <a:graphicData uri="http://schemas.openxmlformats.org/drawingml/2006/picture">
                <pic:pic xmlns:pic="http://schemas.openxmlformats.org/drawingml/2006/picture">
                  <pic:nvPicPr>
                    <pic:cNvPr id="260" name="Picture"/>
                    <pic:cNvPicPr preferRelativeResize="0"/>
                  </pic:nvPicPr>
                  <pic:blipFill>
                    <a:blip r:embed="rId344">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0BC28414" w14:textId="77777777" w:rsidR="009757A9" w:rsidRDefault="009757A9">
      <w:pPr>
        <w:sectPr w:rsidR="009757A9">
          <w:pgSz w:w="11909" w:h="16838"/>
          <w:pgMar w:top="1080" w:right="0" w:bottom="0" w:left="0" w:header="720" w:footer="720" w:gutter="0"/>
          <w:cols w:space="720"/>
        </w:sectPr>
      </w:pPr>
    </w:p>
    <w:p w14:paraId="4051AF82" w14:textId="77777777" w:rsidR="009757A9" w:rsidRDefault="00083242">
      <w:pPr>
        <w:shd w:val="solid" w:color="5C7182" w:fill="5C7182"/>
        <w:spacing w:after="31" w:line="209" w:lineRule="exact"/>
        <w:ind w:left="931" w:right="1253"/>
        <w:textAlignment w:val="baseline"/>
        <w:rPr>
          <w:rFonts w:ascii="Arial" w:eastAsia="Arial" w:hAnsi="Arial"/>
          <w:b/>
          <w:color w:val="FFFFFF"/>
          <w:sz w:val="19"/>
        </w:rPr>
      </w:pPr>
      <w:r>
        <w:rPr>
          <w:rFonts w:ascii="Arial" w:eastAsia="Arial" w:hAnsi="Arial"/>
          <w:b/>
          <w:color w:val="FFFFFF"/>
          <w:sz w:val="19"/>
        </w:rPr>
        <w:lastRenderedPageBreak/>
        <w:t>Stakeholders consulted</w:t>
      </w:r>
    </w:p>
    <w:p w14:paraId="18C6E991" w14:textId="77777777" w:rsidR="009757A9" w:rsidRDefault="00083242">
      <w:pPr>
        <w:shd w:val="solid" w:color="004E66" w:fill="004E66"/>
        <w:spacing w:after="51" w:line="201" w:lineRule="exact"/>
        <w:ind w:left="931" w:right="1253"/>
        <w:textAlignment w:val="baseline"/>
        <w:rPr>
          <w:rFonts w:ascii="Tahoma" w:eastAsia="Tahoma" w:hAnsi="Tahoma"/>
          <w:b/>
          <w:color w:val="FFFFFF"/>
          <w:sz w:val="17"/>
        </w:rPr>
      </w:pPr>
      <w:r>
        <w:rPr>
          <w:rFonts w:ascii="Tahoma" w:eastAsia="Tahoma" w:hAnsi="Tahoma"/>
          <w:b/>
          <w:color w:val="FFFFFF"/>
          <w:sz w:val="17"/>
        </w:rPr>
        <w:t>17-18 October 2019 – Canberra – ACT (cont’d)</w:t>
      </w:r>
    </w:p>
    <w:p w14:paraId="21FB2343"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Lutheran Education Australia Ltd</w:t>
      </w:r>
    </w:p>
    <w:p w14:paraId="3A849509"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Marist College</w:t>
      </w:r>
    </w:p>
    <w:p w14:paraId="0B564FFE" w14:textId="77777777" w:rsidR="009757A9" w:rsidRDefault="00083242">
      <w:pPr>
        <w:shd w:val="solid" w:color="F4F5F7" w:fill="F4F5F7"/>
        <w:spacing w:after="2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Merici College</w:t>
      </w:r>
    </w:p>
    <w:p w14:paraId="09476EF6"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Narrabundah College</w:t>
      </w:r>
    </w:p>
    <w:p w14:paraId="147882E0"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Orana Steiner School</w:t>
      </w:r>
    </w:p>
    <w:p w14:paraId="6E4184FE"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Regional Universities Network</w:t>
      </w:r>
    </w:p>
    <w:p w14:paraId="6297F843" w14:textId="77777777" w:rsidR="009757A9" w:rsidRDefault="00083242">
      <w:pPr>
        <w:shd w:val="solid" w:color="F4F5F7" w:fill="F4F5F7"/>
        <w:spacing w:after="39"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St Clare’s College</w:t>
      </w:r>
    </w:p>
    <w:p w14:paraId="7B1C0312"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St Edmund’s College</w:t>
      </w:r>
    </w:p>
    <w:p w14:paraId="7CAEB67B"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St Francis Xavier College</w:t>
      </w:r>
    </w:p>
    <w:p w14:paraId="559B9115" w14:textId="77777777" w:rsidR="009757A9" w:rsidRDefault="00083242">
      <w:pPr>
        <w:shd w:val="solid" w:color="F4F5F7" w:fill="F4F5F7"/>
        <w:spacing w:after="37" w:line="220" w:lineRule="exact"/>
        <w:ind w:left="931" w:right="1253"/>
        <w:textAlignment w:val="baseline"/>
        <w:rPr>
          <w:rFonts w:ascii="Tahoma" w:eastAsia="Tahoma" w:hAnsi="Tahoma"/>
          <w:color w:val="404042"/>
          <w:sz w:val="18"/>
        </w:rPr>
      </w:pPr>
      <w:r>
        <w:rPr>
          <w:rFonts w:ascii="Tahoma" w:eastAsia="Tahoma" w:hAnsi="Tahoma"/>
          <w:color w:val="404042"/>
          <w:sz w:val="18"/>
        </w:rPr>
        <w:t>St John Paul II College</w:t>
      </w:r>
    </w:p>
    <w:p w14:paraId="4C19AAF8"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St Mary Mackillop College</w:t>
      </w:r>
    </w:p>
    <w:p w14:paraId="0FC0CBDB"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Trinity Christian School</w:t>
      </w:r>
    </w:p>
    <w:p w14:paraId="72594947" w14:textId="77777777" w:rsidR="009757A9" w:rsidRDefault="00083242">
      <w:pPr>
        <w:shd w:val="solid" w:color="F4F5F7" w:fill="F4F5F7"/>
        <w:spacing w:after="3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Universities Australia</w:t>
      </w:r>
    </w:p>
    <w:p w14:paraId="665D15E3"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University of Canberra</w:t>
      </w:r>
    </w:p>
    <w:p w14:paraId="1C1D914A" w14:textId="77777777" w:rsidR="009757A9" w:rsidRDefault="00083242">
      <w:pPr>
        <w:shd w:val="solid" w:color="BF5B1F" w:fill="BF5B1F"/>
        <w:spacing w:after="50" w:line="201" w:lineRule="exact"/>
        <w:ind w:left="931" w:right="1253"/>
        <w:textAlignment w:val="baseline"/>
        <w:rPr>
          <w:rFonts w:ascii="Tahoma" w:eastAsia="Tahoma" w:hAnsi="Tahoma"/>
          <w:b/>
          <w:color w:val="FFFFFF"/>
          <w:spacing w:val="3"/>
          <w:sz w:val="17"/>
        </w:rPr>
      </w:pPr>
      <w:r>
        <w:rPr>
          <w:rFonts w:ascii="Tahoma" w:eastAsia="Tahoma" w:hAnsi="Tahoma"/>
          <w:b/>
          <w:color w:val="FFFFFF"/>
          <w:spacing w:val="3"/>
          <w:sz w:val="17"/>
        </w:rPr>
        <w:t>21 October – Cessnock - NSW</w:t>
      </w:r>
    </w:p>
    <w:p w14:paraId="355B85F8"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Alesco Senior College</w:t>
      </w:r>
    </w:p>
    <w:p w14:paraId="132F5CE1"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Cessnock High School</w:t>
      </w:r>
    </w:p>
    <w:p w14:paraId="1B0AD8CA"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Kurri Kurri High School</w:t>
      </w:r>
    </w:p>
    <w:p w14:paraId="0A2B87F1"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NSW Department of Education</w:t>
      </w:r>
    </w:p>
    <w:p w14:paraId="430AD1C3" w14:textId="77777777" w:rsidR="009757A9" w:rsidRDefault="00083242">
      <w:pPr>
        <w:shd w:val="solid" w:color="004E66" w:fill="004E66"/>
        <w:spacing w:after="45" w:line="201" w:lineRule="exact"/>
        <w:ind w:left="931" w:right="1253"/>
        <w:textAlignment w:val="baseline"/>
        <w:rPr>
          <w:rFonts w:ascii="Tahoma" w:eastAsia="Tahoma" w:hAnsi="Tahoma"/>
          <w:b/>
          <w:color w:val="FFFFFF"/>
          <w:spacing w:val="3"/>
          <w:sz w:val="17"/>
        </w:rPr>
      </w:pPr>
      <w:r>
        <w:rPr>
          <w:rFonts w:ascii="Tahoma" w:eastAsia="Tahoma" w:hAnsi="Tahoma"/>
          <w:b/>
          <w:color w:val="FFFFFF"/>
          <w:spacing w:val="3"/>
          <w:sz w:val="17"/>
        </w:rPr>
        <w:t>21 October – Maitland – NSW</w:t>
      </w:r>
    </w:p>
    <w:p w14:paraId="111DFBF0"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All Saints’ College, St Mary’s Campus</w:t>
      </w:r>
    </w:p>
    <w:p w14:paraId="4656CE59" w14:textId="77777777" w:rsidR="009757A9" w:rsidRDefault="00083242">
      <w:pPr>
        <w:shd w:val="solid" w:color="F4F5F7" w:fill="F4F5F7"/>
        <w:spacing w:after="39"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AMP Control</w:t>
      </w:r>
    </w:p>
    <w:p w14:paraId="0B3713F6"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Bengalla Mining Company</w:t>
      </w:r>
    </w:p>
    <w:p w14:paraId="5B057FDC"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Cessnock High School</w:t>
      </w:r>
    </w:p>
    <w:p w14:paraId="7D06FD4D" w14:textId="77777777" w:rsidR="009757A9" w:rsidRDefault="00083242">
      <w:pPr>
        <w:shd w:val="solid" w:color="F4F5F7" w:fill="F4F5F7"/>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Maitland High School</w:t>
      </w:r>
    </w:p>
    <w:p w14:paraId="10305FC6"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Regional Development Australia - Hunter</w:t>
      </w:r>
    </w:p>
    <w:p w14:paraId="2AD6D884"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St Philip’s Christian College DALE and DALE Young Parents</w:t>
      </w:r>
    </w:p>
    <w:p w14:paraId="0F3D1287" w14:textId="77777777" w:rsidR="009757A9" w:rsidRDefault="00083242">
      <w:pPr>
        <w:shd w:val="solid" w:color="F4F5F7" w:fill="F4F5F7"/>
        <w:spacing w:after="32" w:line="220" w:lineRule="exact"/>
        <w:ind w:left="931" w:right="1253"/>
        <w:textAlignment w:val="baseline"/>
        <w:rPr>
          <w:rFonts w:ascii="Tahoma" w:eastAsia="Tahoma" w:hAnsi="Tahoma"/>
          <w:color w:val="404042"/>
          <w:spacing w:val="2"/>
          <w:sz w:val="18"/>
        </w:rPr>
      </w:pPr>
      <w:r>
        <w:rPr>
          <w:rFonts w:ascii="Tahoma" w:eastAsia="Tahoma" w:hAnsi="Tahoma"/>
          <w:color w:val="404042"/>
          <w:spacing w:val="2"/>
          <w:sz w:val="18"/>
        </w:rPr>
        <w:t>TAFE NSW</w:t>
      </w:r>
    </w:p>
    <w:p w14:paraId="34FC7EF7" w14:textId="77777777" w:rsidR="009757A9" w:rsidRDefault="00083242">
      <w:pPr>
        <w:shd w:val="solid" w:color="F4F5F7" w:fill="F4F5F7"/>
        <w:spacing w:after="18" w:line="215" w:lineRule="exact"/>
        <w:ind w:left="931" w:right="1253"/>
        <w:textAlignment w:val="baseline"/>
        <w:rPr>
          <w:rFonts w:ascii="Arial" w:eastAsia="Arial" w:hAnsi="Arial"/>
          <w:color w:val="404042"/>
          <w:spacing w:val="5"/>
          <w:sz w:val="18"/>
        </w:rPr>
      </w:pPr>
      <w:r>
        <w:rPr>
          <w:rFonts w:ascii="Arial" w:eastAsia="Arial" w:hAnsi="Arial"/>
          <w:color w:val="404042"/>
          <w:spacing w:val="5"/>
          <w:sz w:val="18"/>
        </w:rPr>
        <w:t>The Bloomfield Group</w:t>
      </w:r>
    </w:p>
    <w:p w14:paraId="559F8CDD"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University of Newcastle</w:t>
      </w:r>
    </w:p>
    <w:p w14:paraId="64EBF0E5" w14:textId="77777777" w:rsidR="009757A9" w:rsidRDefault="00083242">
      <w:pPr>
        <w:shd w:val="solid" w:color="F4F5F7" w:fill="F4F5F7"/>
        <w:spacing w:after="20"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Varley Group</w:t>
      </w:r>
    </w:p>
    <w:p w14:paraId="4A856FA3"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Youth Express</w:t>
      </w:r>
    </w:p>
    <w:p w14:paraId="7C189003" w14:textId="77777777" w:rsidR="009757A9" w:rsidRDefault="00083242">
      <w:pPr>
        <w:shd w:val="solid" w:color="BF5B1F" w:fill="BF5B1F"/>
        <w:spacing w:after="42" w:line="203" w:lineRule="exact"/>
        <w:ind w:left="931" w:right="1253"/>
        <w:textAlignment w:val="baseline"/>
        <w:rPr>
          <w:rFonts w:ascii="Tahoma" w:eastAsia="Tahoma" w:hAnsi="Tahoma"/>
          <w:b/>
          <w:color w:val="FFFFFF"/>
          <w:spacing w:val="2"/>
          <w:sz w:val="17"/>
        </w:rPr>
      </w:pPr>
      <w:r>
        <w:rPr>
          <w:rFonts w:ascii="Tahoma" w:eastAsia="Tahoma" w:hAnsi="Tahoma"/>
          <w:b/>
          <w:color w:val="FFFFFF"/>
          <w:spacing w:val="2"/>
          <w:sz w:val="17"/>
        </w:rPr>
        <w:t>22 October 2019 – Toowoomba – QLD</w:t>
      </w:r>
    </w:p>
    <w:p w14:paraId="5559AE16" w14:textId="77777777" w:rsidR="009757A9" w:rsidRDefault="00083242">
      <w:pPr>
        <w:shd w:val="solid" w:color="F5E6DA" w:fill="F5E6DA"/>
        <w:spacing w:after="1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Centenary Heights State High School</w:t>
      </w:r>
    </w:p>
    <w:p w14:paraId="6C786A84" w14:textId="77777777" w:rsidR="009757A9" w:rsidRDefault="00083242">
      <w:pPr>
        <w:shd w:val="solid" w:color="004E66" w:fill="004E66"/>
        <w:spacing w:after="38" w:line="203"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23 October 2019 – Townsville – QLD</w:t>
      </w:r>
    </w:p>
    <w:p w14:paraId="629B32B3"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Annandale Christian College</w:t>
      </w:r>
    </w:p>
    <w:p w14:paraId="76F4FAD4"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Back to Work/TAFE Queensland</w:t>
      </w:r>
    </w:p>
    <w:p w14:paraId="2F47963F"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Charters Towers Regional Council</w:t>
      </w:r>
    </w:p>
    <w:p w14:paraId="685BB2D8"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Cleveland Education and Training Centre</w:t>
      </w:r>
    </w:p>
    <w:p w14:paraId="20E8FF02" w14:textId="77777777" w:rsidR="009757A9" w:rsidRDefault="00083242">
      <w:pPr>
        <w:shd w:val="solid" w:color="F4F5F7" w:fill="F4F5F7"/>
        <w:spacing w:after="2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Edmund Rice Education Australia, Townsville Flexible Learning Centre</w:t>
      </w:r>
    </w:p>
    <w:p w14:paraId="258BB0D7" w14:textId="77777777" w:rsidR="009757A9" w:rsidRDefault="00083242">
      <w:pPr>
        <w:shd w:val="solid" w:color="F4F5F7" w:fill="F4F5F7"/>
        <w:spacing w:after="19"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Kirwin State High School</w:t>
      </w:r>
    </w:p>
    <w:p w14:paraId="7B0BFC06"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22"/>
          <w:sz w:val="18"/>
        </w:rPr>
      </w:pPr>
      <w:r>
        <w:rPr>
          <w:rFonts w:ascii="Tahoma" w:eastAsia="Tahoma" w:hAnsi="Tahoma"/>
          <w:color w:val="404042"/>
          <w:spacing w:val="22"/>
          <w:sz w:val="18"/>
        </w:rPr>
        <w:t>MEGT</w:t>
      </w:r>
    </w:p>
    <w:p w14:paraId="15D05CCE" w14:textId="77777777" w:rsidR="009757A9" w:rsidRDefault="00083242">
      <w:pPr>
        <w:shd w:val="solid" w:color="F4F5F7" w:fill="F4F5F7"/>
        <w:spacing w:after="75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QLD Department of Aboriginal and Torres Strait Islander Partnerships</w:t>
      </w:r>
    </w:p>
    <w:p w14:paraId="3F3687EE" w14:textId="77777777" w:rsidR="00405464" w:rsidRDefault="00405464">
      <w:pPr>
        <w:tabs>
          <w:tab w:val="left" w:pos="1368"/>
        </w:tabs>
        <w:spacing w:after="634" w:line="201" w:lineRule="exact"/>
        <w:ind w:left="864"/>
        <w:textAlignment w:val="baseline"/>
        <w:rPr>
          <w:rFonts w:ascii="Arial" w:eastAsia="Arial" w:hAnsi="Arial"/>
          <w:b/>
          <w:color w:val="5556A1"/>
          <w:spacing w:val="4"/>
          <w:sz w:val="19"/>
        </w:rPr>
      </w:pPr>
    </w:p>
    <w:p w14:paraId="4B7232A7" w14:textId="77777777" w:rsidR="00405464" w:rsidRDefault="00405464">
      <w:pPr>
        <w:tabs>
          <w:tab w:val="left" w:pos="1368"/>
        </w:tabs>
        <w:spacing w:after="634" w:line="201" w:lineRule="exact"/>
        <w:ind w:left="864"/>
        <w:textAlignment w:val="baseline"/>
        <w:rPr>
          <w:rFonts w:ascii="Arial" w:eastAsia="Arial" w:hAnsi="Arial"/>
          <w:b/>
          <w:color w:val="5556A1"/>
          <w:spacing w:val="4"/>
          <w:sz w:val="19"/>
        </w:rPr>
      </w:pPr>
    </w:p>
    <w:p w14:paraId="75851097" w14:textId="770E16B8" w:rsidR="009757A9" w:rsidRDefault="00083242">
      <w:pPr>
        <w:tabs>
          <w:tab w:val="left" w:pos="1368"/>
        </w:tabs>
        <w:spacing w:after="634" w:line="201" w:lineRule="exact"/>
        <w:ind w:left="864"/>
        <w:textAlignment w:val="baseline"/>
        <w:rPr>
          <w:rFonts w:ascii="Arial" w:eastAsia="Arial" w:hAnsi="Arial"/>
          <w:b/>
          <w:color w:val="5556A1"/>
          <w:spacing w:val="4"/>
          <w:sz w:val="19"/>
        </w:rPr>
      </w:pPr>
      <w:r>
        <w:rPr>
          <w:rFonts w:ascii="Arial" w:eastAsia="Arial" w:hAnsi="Arial"/>
          <w:b/>
          <w:color w:val="5556A1"/>
          <w:spacing w:val="4"/>
          <w:sz w:val="19"/>
        </w:rPr>
        <w:t>158</w:t>
      </w:r>
      <w:r>
        <w:rPr>
          <w:rFonts w:ascii="Tahoma" w:eastAsia="Tahoma" w:hAnsi="Tahoma"/>
          <w:color w:val="404042"/>
          <w:spacing w:val="4"/>
          <w:sz w:val="14"/>
        </w:rPr>
        <w:tab/>
        <w:t>Looking to the future</w:t>
      </w:r>
    </w:p>
    <w:p w14:paraId="0CDA752F" w14:textId="77777777" w:rsidR="009757A9" w:rsidRDefault="00083242">
      <w:pPr>
        <w:textAlignment w:val="baseline"/>
      </w:pPr>
      <w:r>
        <w:rPr>
          <w:noProof/>
          <w:lang w:val="en-AU" w:eastAsia="en-AU"/>
        </w:rPr>
        <w:drawing>
          <wp:anchor distT="0" distB="0" distL="114300" distR="114300" simplePos="0" relativeHeight="252104192" behindDoc="1" locked="0" layoutInCell="1" allowOverlap="1" wp14:anchorId="0518DFE0" wp14:editId="7A09A88A">
            <wp:simplePos x="0" y="0"/>
            <wp:positionH relativeFrom="margin">
              <wp:align>right</wp:align>
            </wp:positionH>
            <wp:positionV relativeFrom="paragraph">
              <wp:posOffset>342265</wp:posOffset>
            </wp:positionV>
            <wp:extent cx="7562215" cy="462915"/>
            <wp:effectExtent l="0" t="0" r="635" b="0"/>
            <wp:wrapNone/>
            <wp:docPr id="261" name="Picture"/>
            <wp:cNvGraphicFramePr/>
            <a:graphic xmlns:a="http://schemas.openxmlformats.org/drawingml/2006/main">
              <a:graphicData uri="http://schemas.openxmlformats.org/drawingml/2006/picture">
                <pic:pic xmlns:pic="http://schemas.openxmlformats.org/drawingml/2006/picture">
                  <pic:nvPicPr>
                    <pic:cNvPr id="261" name="Picture"/>
                    <pic:cNvPicPr preferRelativeResize="0"/>
                  </pic:nvPicPr>
                  <pic:blipFill>
                    <a:blip r:embed="rId34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33CE3729" w14:textId="77777777" w:rsidR="009757A9" w:rsidRDefault="009757A9">
      <w:pPr>
        <w:sectPr w:rsidR="009757A9">
          <w:pgSz w:w="11909" w:h="16838"/>
          <w:pgMar w:top="1140" w:right="0" w:bottom="0" w:left="0" w:header="720" w:footer="720" w:gutter="0"/>
          <w:cols w:space="720"/>
        </w:sectPr>
      </w:pPr>
    </w:p>
    <w:p w14:paraId="0926E462" w14:textId="77777777" w:rsidR="009757A9" w:rsidRDefault="00083242">
      <w:pPr>
        <w:shd w:val="solid" w:color="5C7182" w:fill="5C7182"/>
        <w:spacing w:after="31" w:line="209" w:lineRule="exact"/>
        <w:ind w:left="931" w:right="1253"/>
        <w:textAlignment w:val="baseline"/>
        <w:rPr>
          <w:rFonts w:ascii="Arial" w:eastAsia="Arial" w:hAnsi="Arial"/>
          <w:b/>
          <w:color w:val="FFFFFF"/>
          <w:sz w:val="19"/>
        </w:rPr>
      </w:pPr>
      <w:r>
        <w:rPr>
          <w:rFonts w:ascii="Arial" w:eastAsia="Arial" w:hAnsi="Arial"/>
          <w:b/>
          <w:color w:val="FFFFFF"/>
          <w:sz w:val="19"/>
        </w:rPr>
        <w:lastRenderedPageBreak/>
        <w:t>Stakeholders consulted</w:t>
      </w:r>
    </w:p>
    <w:p w14:paraId="341437D4" w14:textId="77777777" w:rsidR="009757A9" w:rsidRDefault="00083242">
      <w:pPr>
        <w:shd w:val="solid" w:color="004E66" w:fill="004E66"/>
        <w:spacing w:after="48" w:line="204" w:lineRule="exact"/>
        <w:ind w:left="931" w:right="1253"/>
        <w:textAlignment w:val="baseline"/>
        <w:rPr>
          <w:rFonts w:ascii="Tahoma" w:eastAsia="Tahoma" w:hAnsi="Tahoma"/>
          <w:b/>
          <w:color w:val="FFFFFF"/>
          <w:spacing w:val="2"/>
          <w:sz w:val="17"/>
        </w:rPr>
      </w:pPr>
      <w:r>
        <w:rPr>
          <w:rFonts w:ascii="Tahoma" w:eastAsia="Tahoma" w:hAnsi="Tahoma"/>
          <w:b/>
          <w:color w:val="FFFFFF"/>
          <w:spacing w:val="2"/>
          <w:sz w:val="17"/>
        </w:rPr>
        <w:t>23 October 2019 – Townsville – QLD (cont’d)</w:t>
      </w:r>
    </w:p>
    <w:p w14:paraId="06AE8AA6"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QLD Department of Education and Training</w:t>
      </w:r>
    </w:p>
    <w:p w14:paraId="7109B27B"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QLD Department of Employment, Small Business and Training</w:t>
      </w:r>
    </w:p>
    <w:p w14:paraId="1C111105" w14:textId="77777777" w:rsidR="009757A9" w:rsidRDefault="00083242">
      <w:pPr>
        <w:shd w:val="solid" w:color="F4F5F7" w:fill="F4F5F7"/>
        <w:spacing w:after="2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QLD Department of State Development, Manufacturing Infrastructure and Planning</w:t>
      </w:r>
    </w:p>
    <w:p w14:paraId="55C6BBDD" w14:textId="77777777" w:rsidR="009757A9" w:rsidRDefault="00083242">
      <w:pPr>
        <w:shd w:val="solid" w:color="F4F5F7" w:fill="F4F5F7"/>
        <w:spacing w:after="26" w:line="218"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Queensland Youth Services Inc.</w:t>
      </w:r>
    </w:p>
    <w:p w14:paraId="4421FF53" w14:textId="77777777" w:rsidR="009757A9" w:rsidRDefault="00083242">
      <w:pPr>
        <w:shd w:val="solid" w:color="F4F5F7" w:fill="F4F5F7"/>
        <w:spacing w:after="30" w:line="218"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Seed Foundation Australia</w:t>
      </w:r>
    </w:p>
    <w:p w14:paraId="674CFE86"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St Anthony’s Catholic College</w:t>
      </w:r>
    </w:p>
    <w:p w14:paraId="0FCD3FB0" w14:textId="77777777" w:rsidR="009757A9" w:rsidRDefault="00083242">
      <w:pPr>
        <w:shd w:val="solid" w:color="F4F5F7" w:fill="F4F5F7"/>
        <w:spacing w:after="41" w:line="218" w:lineRule="exact"/>
        <w:ind w:left="931" w:right="1253"/>
        <w:textAlignment w:val="baseline"/>
        <w:rPr>
          <w:rFonts w:ascii="Tahoma" w:eastAsia="Tahoma" w:hAnsi="Tahoma"/>
          <w:color w:val="404042"/>
          <w:spacing w:val="2"/>
          <w:sz w:val="18"/>
        </w:rPr>
      </w:pPr>
      <w:r>
        <w:rPr>
          <w:rFonts w:ascii="Tahoma" w:eastAsia="Tahoma" w:hAnsi="Tahoma"/>
          <w:color w:val="404042"/>
          <w:spacing w:val="2"/>
          <w:sz w:val="18"/>
        </w:rPr>
        <w:t>Tec- NQ</w:t>
      </w:r>
    </w:p>
    <w:p w14:paraId="5010F0B8" w14:textId="77777777" w:rsidR="009757A9" w:rsidRDefault="00083242">
      <w:pPr>
        <w:shd w:val="solid" w:color="F4F5F7" w:fill="F4F5F7"/>
        <w:spacing w:after="39" w:line="209"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Townsville Catholic Education Office</w:t>
      </w:r>
    </w:p>
    <w:p w14:paraId="34EF9C02"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Townsville City Council</w:t>
      </w:r>
    </w:p>
    <w:p w14:paraId="6740D868" w14:textId="77777777" w:rsidR="009757A9" w:rsidRDefault="00083242">
      <w:pPr>
        <w:shd w:val="solid" w:color="F4F5F7" w:fill="F4F5F7"/>
        <w:spacing w:after="39" w:line="218"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Townsville Grammar School</w:t>
      </w:r>
    </w:p>
    <w:p w14:paraId="3DBB0C43"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Townsville State High School</w:t>
      </w:r>
    </w:p>
    <w:p w14:paraId="4BD23131" w14:textId="77777777" w:rsidR="009757A9" w:rsidRDefault="00083242">
      <w:pPr>
        <w:shd w:val="solid" w:color="BF5B1F" w:fill="BF5B1F"/>
        <w:spacing w:after="52" w:line="200"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24 October 2019 – Burnie - TAS</w:t>
      </w:r>
    </w:p>
    <w:p w14:paraId="59B6103F" w14:textId="77777777" w:rsidR="009757A9" w:rsidRDefault="00083242">
      <w:pPr>
        <w:shd w:val="solid" w:color="F5E6DA" w:fill="F5E6DA"/>
        <w:spacing w:after="39" w:line="218"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Beacon Foundation</w:t>
      </w:r>
    </w:p>
    <w:p w14:paraId="389A2CDC"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Department of Education Tasmania</w:t>
      </w:r>
    </w:p>
    <w:p w14:paraId="0DB7C3F3"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Hellyer College</w:t>
      </w:r>
    </w:p>
    <w:p w14:paraId="5DE4F474"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Parklands High School</w:t>
      </w:r>
    </w:p>
    <w:p w14:paraId="3382E24E"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Tasmanian Minerals, Manufacturing and Energy Council</w:t>
      </w:r>
    </w:p>
    <w:p w14:paraId="3F308DD9"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University College, University of Tasmania</w:t>
      </w:r>
    </w:p>
    <w:p w14:paraId="44BE8A8F" w14:textId="77777777" w:rsidR="009757A9" w:rsidRDefault="00083242">
      <w:pPr>
        <w:shd w:val="solid" w:color="004E66" w:fill="004E66"/>
        <w:spacing w:after="42" w:line="200" w:lineRule="exact"/>
        <w:ind w:left="931" w:right="1253"/>
        <w:textAlignment w:val="baseline"/>
        <w:rPr>
          <w:rFonts w:ascii="Tahoma" w:eastAsia="Tahoma" w:hAnsi="Tahoma"/>
          <w:b/>
          <w:color w:val="FFFFFF"/>
          <w:spacing w:val="2"/>
          <w:sz w:val="17"/>
        </w:rPr>
      </w:pPr>
      <w:r>
        <w:rPr>
          <w:rFonts w:ascii="Tahoma" w:eastAsia="Tahoma" w:hAnsi="Tahoma"/>
          <w:b/>
          <w:color w:val="FFFFFF"/>
          <w:spacing w:val="2"/>
          <w:sz w:val="17"/>
        </w:rPr>
        <w:t>25 October 2019 – Launceston – TAS</w:t>
      </w:r>
    </w:p>
    <w:p w14:paraId="5CD669C9"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Avidity Training and Development</w:t>
      </w:r>
    </w:p>
    <w:p w14:paraId="28A53C0E"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Department of Education Tasmania</w:t>
      </w:r>
    </w:p>
    <w:p w14:paraId="65FDBE79" w14:textId="77777777" w:rsidR="009757A9" w:rsidRDefault="00083242">
      <w:pPr>
        <w:shd w:val="solid" w:color="F4F5F7" w:fill="F4F5F7"/>
        <w:spacing w:after="39"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Foundry</w:t>
      </w:r>
    </w:p>
    <w:p w14:paraId="52811C8B"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Launceston College</w:t>
      </w:r>
    </w:p>
    <w:p w14:paraId="3E30F29D"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Launceston Youth Advisory Group</w:t>
      </w:r>
    </w:p>
    <w:p w14:paraId="76D83D02" w14:textId="77777777" w:rsidR="009757A9" w:rsidRDefault="00083242">
      <w:pPr>
        <w:shd w:val="solid" w:color="F4F5F7" w:fill="F4F5F7"/>
        <w:spacing w:after="39" w:line="218"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Master Builders Tasmania</w:t>
      </w:r>
    </w:p>
    <w:p w14:paraId="60A97CF8" w14:textId="77777777" w:rsidR="009757A9" w:rsidRDefault="00083242">
      <w:pPr>
        <w:shd w:val="solid" w:color="F4F5F7" w:fill="F4F5F7"/>
        <w:spacing w:after="30" w:line="218"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Multicultural Youth Tasmania</w:t>
      </w:r>
    </w:p>
    <w:p w14:paraId="612C310D"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Newstead College</w:t>
      </w:r>
    </w:p>
    <w:p w14:paraId="77629C55" w14:textId="77777777" w:rsidR="009757A9" w:rsidRDefault="00083242">
      <w:pPr>
        <w:shd w:val="solid" w:color="F4F5F7" w:fill="F4F5F7"/>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Regional Development Australia</w:t>
      </w:r>
    </w:p>
    <w:p w14:paraId="1D145634"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St Patrick’s College</w:t>
      </w:r>
    </w:p>
    <w:p w14:paraId="303BBCF8"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Tasmanian Hospitality Association</w:t>
      </w:r>
    </w:p>
    <w:p w14:paraId="7ECD32C8" w14:textId="77777777" w:rsidR="009757A9" w:rsidRDefault="00083242">
      <w:pPr>
        <w:shd w:val="solid" w:color="F4F5F7" w:fill="F4F5F7"/>
        <w:spacing w:after="22" w:line="218" w:lineRule="exact"/>
        <w:ind w:left="931" w:right="1253"/>
        <w:textAlignment w:val="baseline"/>
        <w:rPr>
          <w:rFonts w:ascii="Tahoma" w:eastAsia="Tahoma" w:hAnsi="Tahoma"/>
          <w:color w:val="404042"/>
          <w:spacing w:val="-2"/>
          <w:sz w:val="18"/>
        </w:rPr>
      </w:pPr>
      <w:r>
        <w:rPr>
          <w:rFonts w:ascii="Tahoma" w:eastAsia="Tahoma" w:hAnsi="Tahoma"/>
          <w:color w:val="404042"/>
          <w:spacing w:val="-2"/>
          <w:sz w:val="18"/>
        </w:rPr>
        <w:t>TasTAFE</w:t>
      </w:r>
    </w:p>
    <w:p w14:paraId="212227CE"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University Connections Program, UTAS</w:t>
      </w:r>
    </w:p>
    <w:p w14:paraId="365DDB22" w14:textId="77777777" w:rsidR="009757A9" w:rsidRDefault="00083242">
      <w:pPr>
        <w:shd w:val="solid" w:color="F4F5F7" w:fill="F4F5F7"/>
        <w:spacing w:after="27"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University of Tasmania/Northern Tasmania Development Corporation</w:t>
      </w:r>
    </w:p>
    <w:p w14:paraId="49AC8443" w14:textId="77777777" w:rsidR="009757A9" w:rsidRDefault="00083242">
      <w:pPr>
        <w:shd w:val="solid" w:color="F4F5F7" w:fill="F4F5F7"/>
        <w:spacing w:after="1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Volunteering Tasmania</w:t>
      </w:r>
    </w:p>
    <w:p w14:paraId="7A5AE12B" w14:textId="77777777" w:rsidR="009757A9" w:rsidRDefault="00083242">
      <w:pPr>
        <w:shd w:val="solid" w:color="BF5B1F" w:fill="BF5B1F"/>
        <w:spacing w:after="41" w:line="200"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28-29 October 2019 – Melbourne – VIC</w:t>
      </w:r>
    </w:p>
    <w:p w14:paraId="0B7D1EDE" w14:textId="77777777" w:rsidR="009757A9" w:rsidRDefault="00083242">
      <w:pPr>
        <w:shd w:val="solid" w:color="F5E6DA" w:fill="F5E6DA"/>
        <w:spacing w:after="31" w:line="218"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Australian Mathematical Sciences Institute</w:t>
      </w:r>
    </w:p>
    <w:p w14:paraId="5A15E205"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Australian Skills Quality Authority</w:t>
      </w:r>
    </w:p>
    <w:p w14:paraId="148CBC93" w14:textId="77777777" w:rsidR="009757A9" w:rsidRDefault="00083242">
      <w:pPr>
        <w:shd w:val="solid" w:color="F5E6DA" w:fill="F5E6DA"/>
        <w:spacing w:after="2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AVID Australia, Victoria University</w:t>
      </w:r>
    </w:p>
    <w:p w14:paraId="762B164F" w14:textId="77777777" w:rsidR="009757A9" w:rsidRDefault="00083242">
      <w:pPr>
        <w:shd w:val="solid" w:color="F5E6DA" w:fill="F5E6DA"/>
        <w:spacing w:after="31" w:line="218"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Catholic Education Melbourne</w:t>
      </w:r>
    </w:p>
    <w:p w14:paraId="6E03DCC4" w14:textId="77777777" w:rsidR="009757A9" w:rsidRDefault="00083242">
      <w:pPr>
        <w:shd w:val="solid" w:color="F5E6DA" w:fill="F5E6DA"/>
        <w:spacing w:after="29" w:line="218"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Catholic Education Sandhurst</w:t>
      </w:r>
    </w:p>
    <w:p w14:paraId="25394603" w14:textId="77777777" w:rsidR="009757A9" w:rsidRDefault="00083242">
      <w:pPr>
        <w:shd w:val="solid" w:color="F5E6DA" w:fill="F5E6DA"/>
        <w:spacing w:after="1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Central Ranges Local Learning &amp; Employment Network</w:t>
      </w:r>
    </w:p>
    <w:p w14:paraId="213FAFD7" w14:textId="77777777" w:rsidR="009757A9" w:rsidRDefault="00083242">
      <w:pPr>
        <w:shd w:val="solid" w:color="F5E6DA" w:fill="F5E6DA"/>
        <w:spacing w:after="103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Children and Young People with Disability Australia</w:t>
      </w:r>
    </w:p>
    <w:p w14:paraId="3EA4AB90" w14:textId="77777777" w:rsidR="00405464" w:rsidRDefault="00405464">
      <w:pPr>
        <w:spacing w:after="634" w:line="208" w:lineRule="exact"/>
        <w:ind w:left="9576"/>
        <w:textAlignment w:val="baseline"/>
        <w:rPr>
          <w:rFonts w:ascii="Tahoma" w:eastAsia="Tahoma" w:hAnsi="Tahoma"/>
          <w:color w:val="404042"/>
          <w:spacing w:val="13"/>
          <w:sz w:val="14"/>
        </w:rPr>
      </w:pPr>
    </w:p>
    <w:p w14:paraId="6707DEA5" w14:textId="77777777" w:rsidR="00405464" w:rsidRDefault="00405464">
      <w:pPr>
        <w:spacing w:after="634" w:line="208" w:lineRule="exact"/>
        <w:ind w:left="9576"/>
        <w:textAlignment w:val="baseline"/>
        <w:rPr>
          <w:rFonts w:ascii="Tahoma" w:eastAsia="Tahoma" w:hAnsi="Tahoma"/>
          <w:color w:val="404042"/>
          <w:spacing w:val="13"/>
          <w:sz w:val="14"/>
        </w:rPr>
      </w:pPr>
    </w:p>
    <w:p w14:paraId="2349A146" w14:textId="4E567D0B" w:rsidR="009757A9" w:rsidRDefault="00083242">
      <w:pPr>
        <w:spacing w:after="634" w:line="208" w:lineRule="exact"/>
        <w:ind w:left="9576"/>
        <w:textAlignment w:val="baseline"/>
        <w:rPr>
          <w:rFonts w:ascii="Tahoma" w:eastAsia="Tahoma" w:hAnsi="Tahoma"/>
          <w:color w:val="404042"/>
          <w:spacing w:val="13"/>
          <w:sz w:val="14"/>
        </w:rPr>
      </w:pPr>
      <w:r>
        <w:rPr>
          <w:rFonts w:ascii="Tahoma" w:eastAsia="Tahoma" w:hAnsi="Tahoma"/>
          <w:color w:val="404042"/>
          <w:spacing w:val="13"/>
          <w:sz w:val="14"/>
        </w:rPr>
        <w:t>Consultations</w:t>
      </w:r>
      <w:r>
        <w:rPr>
          <w:rFonts w:ascii="Arial" w:eastAsia="Arial" w:hAnsi="Arial"/>
          <w:b/>
          <w:color w:val="5556A1"/>
          <w:spacing w:val="13"/>
          <w:sz w:val="19"/>
        </w:rPr>
        <w:t xml:space="preserve"> 159</w:t>
      </w:r>
    </w:p>
    <w:p w14:paraId="5ABCCFEC" w14:textId="77777777" w:rsidR="009757A9" w:rsidRDefault="00083242">
      <w:pPr>
        <w:textAlignment w:val="baseline"/>
      </w:pPr>
      <w:r>
        <w:rPr>
          <w:noProof/>
          <w:lang w:val="en-AU" w:eastAsia="en-AU"/>
        </w:rPr>
        <w:drawing>
          <wp:anchor distT="0" distB="0" distL="114300" distR="114300" simplePos="0" relativeHeight="252105216" behindDoc="1" locked="0" layoutInCell="1" allowOverlap="1" wp14:anchorId="180D3E8F" wp14:editId="4E0D4E14">
            <wp:simplePos x="0" y="0"/>
            <wp:positionH relativeFrom="margin">
              <wp:align>right</wp:align>
            </wp:positionH>
            <wp:positionV relativeFrom="paragraph">
              <wp:posOffset>294005</wp:posOffset>
            </wp:positionV>
            <wp:extent cx="7562215" cy="462915"/>
            <wp:effectExtent l="0" t="0" r="635" b="0"/>
            <wp:wrapNone/>
            <wp:docPr id="262" name="Picture"/>
            <wp:cNvGraphicFramePr/>
            <a:graphic xmlns:a="http://schemas.openxmlformats.org/drawingml/2006/main">
              <a:graphicData uri="http://schemas.openxmlformats.org/drawingml/2006/picture">
                <pic:pic xmlns:pic="http://schemas.openxmlformats.org/drawingml/2006/picture">
                  <pic:nvPicPr>
                    <pic:cNvPr id="262" name="Picture"/>
                    <pic:cNvPicPr preferRelativeResize="0"/>
                  </pic:nvPicPr>
                  <pic:blipFill>
                    <a:blip r:embed="rId346">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1881743E" w14:textId="77777777" w:rsidR="009757A9" w:rsidRDefault="009757A9">
      <w:pPr>
        <w:sectPr w:rsidR="009757A9">
          <w:pgSz w:w="11909" w:h="16838"/>
          <w:pgMar w:top="1140" w:right="0" w:bottom="0" w:left="0" w:header="720" w:footer="720" w:gutter="0"/>
          <w:cols w:space="720"/>
        </w:sectPr>
      </w:pPr>
    </w:p>
    <w:p w14:paraId="39552A64" w14:textId="77777777" w:rsidR="009757A9" w:rsidRDefault="00083242">
      <w:pPr>
        <w:shd w:val="solid" w:color="5C7182" w:fill="5C7182"/>
        <w:spacing w:after="31" w:line="209" w:lineRule="exact"/>
        <w:ind w:left="931" w:right="1253"/>
        <w:textAlignment w:val="baseline"/>
        <w:rPr>
          <w:rFonts w:ascii="Arial" w:eastAsia="Arial" w:hAnsi="Arial"/>
          <w:b/>
          <w:color w:val="FFFFFF"/>
          <w:sz w:val="19"/>
        </w:rPr>
      </w:pPr>
      <w:r>
        <w:rPr>
          <w:rFonts w:ascii="Arial" w:eastAsia="Arial" w:hAnsi="Arial"/>
          <w:b/>
          <w:color w:val="FFFFFF"/>
          <w:sz w:val="19"/>
        </w:rPr>
        <w:lastRenderedPageBreak/>
        <w:t>Stakeholders consulted</w:t>
      </w:r>
    </w:p>
    <w:p w14:paraId="13481D31" w14:textId="77777777" w:rsidR="009757A9" w:rsidRDefault="00083242">
      <w:pPr>
        <w:shd w:val="solid" w:color="BF5B1F" w:fill="BF5B1F"/>
        <w:spacing w:after="47" w:line="205"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28-29 October 2019 – Melbourne – VIC (cont’d)</w:t>
      </w:r>
    </w:p>
    <w:p w14:paraId="509492A1" w14:textId="77777777" w:rsidR="009757A9" w:rsidRDefault="00083242">
      <w:pPr>
        <w:shd w:val="solid" w:color="F5E6DA" w:fill="F5E6DA"/>
        <w:spacing w:after="23"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Deakin College</w:t>
      </w:r>
    </w:p>
    <w:p w14:paraId="6EC9FC4F"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Education Services Australia</w:t>
      </w:r>
    </w:p>
    <w:p w14:paraId="55E14A06" w14:textId="77777777" w:rsidR="009757A9" w:rsidRDefault="00083242">
      <w:pPr>
        <w:shd w:val="solid" w:color="F5E6DA" w:fill="F5E6DA"/>
        <w:spacing w:after="2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Foundation for Young Australians</w:t>
      </w:r>
    </w:p>
    <w:p w14:paraId="3EE1B49A"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Korumburra Secondary College</w:t>
      </w:r>
    </w:p>
    <w:p w14:paraId="73DA4B6A"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LaTrobe University</w:t>
      </w:r>
    </w:p>
    <w:p w14:paraId="188C08B0"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Learning and Education 121</w:t>
      </w:r>
    </w:p>
    <w:p w14:paraId="4F36000F" w14:textId="77777777" w:rsidR="009757A9" w:rsidRDefault="00083242">
      <w:pPr>
        <w:shd w:val="solid" w:color="F5E6DA" w:fill="F5E6DA"/>
        <w:spacing w:after="39" w:line="220" w:lineRule="exact"/>
        <w:ind w:left="931" w:right="1253"/>
        <w:textAlignment w:val="baseline"/>
        <w:rPr>
          <w:rFonts w:ascii="Tahoma" w:eastAsia="Tahoma" w:hAnsi="Tahoma"/>
          <w:color w:val="404042"/>
          <w:spacing w:val="8"/>
          <w:sz w:val="18"/>
        </w:rPr>
      </w:pPr>
      <w:r>
        <w:rPr>
          <w:rFonts w:ascii="Tahoma" w:eastAsia="Tahoma" w:hAnsi="Tahoma"/>
          <w:color w:val="404042"/>
          <w:spacing w:val="8"/>
          <w:sz w:val="18"/>
        </w:rPr>
        <w:t>Melbourne Polytechnic</w:t>
      </w:r>
    </w:p>
    <w:p w14:paraId="65AD1B29"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Mitchell Institute, Victoria University</w:t>
      </w:r>
    </w:p>
    <w:p w14:paraId="3CF7DA52"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National Youth Commission / Youth Development Australia</w:t>
      </w:r>
    </w:p>
    <w:p w14:paraId="0B7F613F"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Ringwood Secondary College</w:t>
      </w:r>
    </w:p>
    <w:p w14:paraId="30C25F1E"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RMIT University</w:t>
      </w:r>
    </w:p>
    <w:p w14:paraId="2BC7C257"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SEDA College</w:t>
      </w:r>
    </w:p>
    <w:p w14:paraId="29773F2D"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SEDA Group, Victoria</w:t>
      </w:r>
    </w:p>
    <w:p w14:paraId="5EBF6455"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16"/>
          <w:sz w:val="18"/>
        </w:rPr>
      </w:pPr>
      <w:r>
        <w:rPr>
          <w:rFonts w:ascii="Tahoma" w:eastAsia="Tahoma" w:hAnsi="Tahoma"/>
          <w:color w:val="404042"/>
          <w:spacing w:val="16"/>
          <w:sz w:val="18"/>
        </w:rPr>
        <w:t>SEEK</w:t>
      </w:r>
    </w:p>
    <w:p w14:paraId="6F78F98D"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South East Local Learning and Employment Network</w:t>
      </w:r>
    </w:p>
    <w:p w14:paraId="0F0A8CEA"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Sirius College</w:t>
      </w:r>
    </w:p>
    <w:p w14:paraId="22CC95B2"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Social Ventures Australia</w:t>
      </w:r>
    </w:p>
    <w:p w14:paraId="1D979958"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Swinburne University of Technology</w:t>
      </w:r>
    </w:p>
    <w:p w14:paraId="5BE289FA"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Teach for Australia</w:t>
      </w:r>
    </w:p>
    <w:p w14:paraId="1CD420D3"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Tertiary Education Quality and Standards Agency</w:t>
      </w:r>
    </w:p>
    <w:p w14:paraId="10FC12CD"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The University of Melbourne</w:t>
      </w:r>
    </w:p>
    <w:p w14:paraId="3169F546" w14:textId="77777777" w:rsidR="009757A9" w:rsidRDefault="00083242">
      <w:pPr>
        <w:shd w:val="solid" w:color="F5E6DA" w:fill="F5E6DA"/>
        <w:spacing w:after="3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University of Divinity</w:t>
      </w:r>
    </w:p>
    <w:p w14:paraId="48F35E1D"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Victorian Curriculum and Assessment Authority</w:t>
      </w:r>
    </w:p>
    <w:p w14:paraId="3B6E56A7"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Victorian Department of Education and Training</w:t>
      </w:r>
    </w:p>
    <w:p w14:paraId="12FF0F86"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Victorian Student Representative Council</w:t>
      </w:r>
    </w:p>
    <w:p w14:paraId="5E034CC3"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Viewbank College</w:t>
      </w:r>
    </w:p>
    <w:p w14:paraId="3FA4C0D0" w14:textId="77777777" w:rsidR="009757A9" w:rsidRDefault="00083242">
      <w:pPr>
        <w:shd w:val="solid" w:color="F5E6DA" w:fill="F5E6DA"/>
        <w:spacing w:after="58" w:line="195" w:lineRule="exact"/>
        <w:ind w:left="931" w:right="1253"/>
        <w:textAlignment w:val="baseline"/>
        <w:rPr>
          <w:rFonts w:ascii="Verdana" w:eastAsia="Verdana" w:hAnsi="Verdana"/>
          <w:color w:val="404042"/>
          <w:sz w:val="17"/>
        </w:rPr>
      </w:pPr>
      <w:r>
        <w:rPr>
          <w:rFonts w:ascii="Verdana" w:eastAsia="Verdana" w:hAnsi="Verdana"/>
          <w:color w:val="404042"/>
          <w:sz w:val="17"/>
        </w:rPr>
        <w:t>Youth Affairs Council, Victoria</w:t>
      </w:r>
    </w:p>
    <w:p w14:paraId="2E85BB96" w14:textId="77777777" w:rsidR="009757A9" w:rsidRDefault="00083242">
      <w:pPr>
        <w:shd w:val="solid" w:color="004E66" w:fill="004E66"/>
        <w:spacing w:after="32" w:line="218"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31 October 2019 – Sydney – NSW</w:t>
      </w:r>
    </w:p>
    <w:p w14:paraId="5B7A4308"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McCarthy Catholic College, Emu Plains</w:t>
      </w:r>
    </w:p>
    <w:p w14:paraId="7C6A6611" w14:textId="77777777" w:rsidR="009757A9" w:rsidRDefault="00083242">
      <w:pPr>
        <w:shd w:val="solid" w:color="BF5B1F" w:fill="BF5B1F"/>
        <w:spacing w:after="28" w:line="218" w:lineRule="exact"/>
        <w:ind w:left="931" w:right="1253"/>
        <w:textAlignment w:val="baseline"/>
        <w:rPr>
          <w:rFonts w:ascii="Tahoma" w:eastAsia="Tahoma" w:hAnsi="Tahoma"/>
          <w:b/>
          <w:color w:val="FFFFFF"/>
          <w:spacing w:val="2"/>
          <w:sz w:val="17"/>
        </w:rPr>
      </w:pPr>
      <w:r>
        <w:rPr>
          <w:rFonts w:ascii="Tahoma" w:eastAsia="Tahoma" w:hAnsi="Tahoma"/>
          <w:b/>
          <w:color w:val="FFFFFF"/>
          <w:spacing w:val="2"/>
          <w:sz w:val="17"/>
        </w:rPr>
        <w:t>4-5 November 2019 – Alice Springs – NT</w:t>
      </w:r>
    </w:p>
    <w:p w14:paraId="18DA840D" w14:textId="77777777" w:rsidR="009757A9" w:rsidRDefault="00083242">
      <w:pPr>
        <w:shd w:val="solid" w:color="F5E6DA" w:fill="F5E6DA"/>
        <w:spacing w:after="20"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Alice Springs School of the Air</w:t>
      </w:r>
    </w:p>
    <w:p w14:paraId="1208B387"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Centralian Senior College</w:t>
      </w:r>
    </w:p>
    <w:p w14:paraId="72DBFC7C" w14:textId="77777777" w:rsidR="009757A9" w:rsidRDefault="00083242">
      <w:pPr>
        <w:shd w:val="solid" w:color="F5E6DA" w:fill="F5E6DA"/>
        <w:spacing w:after="27"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Charles Darwin University</w:t>
      </w:r>
    </w:p>
    <w:p w14:paraId="7C7214F5" w14:textId="77777777" w:rsidR="009757A9" w:rsidRDefault="00083242">
      <w:pPr>
        <w:shd w:val="solid" w:color="F5E6DA" w:fill="F5E6DA"/>
        <w:spacing w:after="1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Northern Territory Council of Social Services</w:t>
      </w:r>
    </w:p>
    <w:p w14:paraId="3F9AFB35" w14:textId="77777777" w:rsidR="009757A9" w:rsidRDefault="00083242">
      <w:pPr>
        <w:shd w:val="solid" w:color="F5E6DA" w:fill="F5E6DA"/>
        <w:spacing w:after="2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NT Department of Education</w:t>
      </w:r>
    </w:p>
    <w:p w14:paraId="37A3F200"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Yirara College</w:t>
      </w:r>
    </w:p>
    <w:p w14:paraId="2787CA5C" w14:textId="77777777" w:rsidR="009757A9" w:rsidRDefault="00083242">
      <w:pPr>
        <w:shd w:val="solid" w:color="004E66" w:fill="004E66"/>
        <w:spacing w:after="47" w:line="205" w:lineRule="exact"/>
        <w:ind w:left="931" w:right="1253"/>
        <w:textAlignment w:val="baseline"/>
        <w:rPr>
          <w:rFonts w:ascii="Tahoma" w:eastAsia="Tahoma" w:hAnsi="Tahoma"/>
          <w:b/>
          <w:color w:val="FFFFFF"/>
          <w:spacing w:val="3"/>
          <w:sz w:val="17"/>
        </w:rPr>
      </w:pPr>
      <w:r>
        <w:rPr>
          <w:rFonts w:ascii="Tahoma" w:eastAsia="Tahoma" w:hAnsi="Tahoma"/>
          <w:b/>
          <w:color w:val="FFFFFF"/>
          <w:spacing w:val="3"/>
          <w:sz w:val="17"/>
        </w:rPr>
        <w:t>6 November – Darwin – NT</w:t>
      </w:r>
    </w:p>
    <w:p w14:paraId="1F6AF587"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Batchelor Institute of Indigenous Tertiary Education</w:t>
      </w:r>
    </w:p>
    <w:p w14:paraId="655A082B"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Catholic Education NT</w:t>
      </w:r>
    </w:p>
    <w:p w14:paraId="49F84871" w14:textId="77777777" w:rsidR="009757A9" w:rsidRDefault="00083242">
      <w:pPr>
        <w:shd w:val="solid" w:color="F4F5F7" w:fill="F4F5F7"/>
        <w:spacing w:after="27"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Charles Darwin University</w:t>
      </w:r>
    </w:p>
    <w:p w14:paraId="54FFE354" w14:textId="77777777" w:rsidR="009757A9" w:rsidRDefault="00083242">
      <w:pPr>
        <w:shd w:val="solid" w:color="F4F5F7" w:fill="F4F5F7"/>
        <w:spacing w:after="1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Darwin High School</w:t>
      </w:r>
    </w:p>
    <w:p w14:paraId="77C0E3E8"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Group Training NT</w:t>
      </w:r>
    </w:p>
    <w:p w14:paraId="3DF425AE"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MacKillop Catholic College</w:t>
      </w:r>
    </w:p>
    <w:p w14:paraId="5A565B5A" w14:textId="77777777" w:rsidR="009757A9" w:rsidRDefault="00083242">
      <w:pPr>
        <w:shd w:val="solid" w:color="F4F5F7" w:fill="F4F5F7"/>
        <w:spacing w:after="461"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Marrara Christian College</w:t>
      </w:r>
    </w:p>
    <w:p w14:paraId="186FA0B5" w14:textId="77777777" w:rsidR="00405464" w:rsidRDefault="00405464">
      <w:pPr>
        <w:tabs>
          <w:tab w:val="left" w:pos="1368"/>
        </w:tabs>
        <w:spacing w:after="634" w:line="201" w:lineRule="exact"/>
        <w:ind w:left="864"/>
        <w:textAlignment w:val="baseline"/>
        <w:rPr>
          <w:rFonts w:ascii="Arial" w:eastAsia="Arial" w:hAnsi="Arial"/>
          <w:b/>
          <w:color w:val="5556A1"/>
          <w:spacing w:val="4"/>
          <w:sz w:val="19"/>
        </w:rPr>
      </w:pPr>
    </w:p>
    <w:p w14:paraId="59F777DD" w14:textId="77777777" w:rsidR="00405464" w:rsidRDefault="00405464">
      <w:pPr>
        <w:tabs>
          <w:tab w:val="left" w:pos="1368"/>
        </w:tabs>
        <w:spacing w:after="634" w:line="201" w:lineRule="exact"/>
        <w:ind w:left="864"/>
        <w:textAlignment w:val="baseline"/>
        <w:rPr>
          <w:rFonts w:ascii="Arial" w:eastAsia="Arial" w:hAnsi="Arial"/>
          <w:b/>
          <w:color w:val="5556A1"/>
          <w:spacing w:val="4"/>
          <w:sz w:val="19"/>
        </w:rPr>
      </w:pPr>
    </w:p>
    <w:p w14:paraId="3DFB6F0D" w14:textId="0D74EEBD" w:rsidR="009757A9" w:rsidRDefault="00083242">
      <w:pPr>
        <w:tabs>
          <w:tab w:val="left" w:pos="1368"/>
        </w:tabs>
        <w:spacing w:after="634" w:line="201" w:lineRule="exact"/>
        <w:ind w:left="864"/>
        <w:textAlignment w:val="baseline"/>
        <w:rPr>
          <w:rFonts w:ascii="Arial" w:eastAsia="Arial" w:hAnsi="Arial"/>
          <w:b/>
          <w:color w:val="5556A1"/>
          <w:spacing w:val="4"/>
          <w:sz w:val="19"/>
        </w:rPr>
      </w:pPr>
      <w:r>
        <w:rPr>
          <w:rFonts w:ascii="Arial" w:eastAsia="Arial" w:hAnsi="Arial"/>
          <w:b/>
          <w:color w:val="5556A1"/>
          <w:spacing w:val="4"/>
          <w:sz w:val="19"/>
        </w:rPr>
        <w:t>160</w:t>
      </w:r>
      <w:r>
        <w:rPr>
          <w:rFonts w:ascii="Tahoma" w:eastAsia="Tahoma" w:hAnsi="Tahoma"/>
          <w:color w:val="404042"/>
          <w:spacing w:val="4"/>
          <w:sz w:val="14"/>
        </w:rPr>
        <w:tab/>
        <w:t>Looking to the future</w:t>
      </w:r>
    </w:p>
    <w:p w14:paraId="71E01A04" w14:textId="77777777" w:rsidR="009757A9" w:rsidRDefault="00083242">
      <w:pPr>
        <w:textAlignment w:val="baseline"/>
      </w:pPr>
      <w:r>
        <w:rPr>
          <w:noProof/>
          <w:lang w:val="en-AU" w:eastAsia="en-AU"/>
        </w:rPr>
        <w:drawing>
          <wp:anchor distT="0" distB="0" distL="114300" distR="114300" simplePos="0" relativeHeight="252106240" behindDoc="1" locked="0" layoutInCell="1" allowOverlap="1" wp14:anchorId="740A8174" wp14:editId="1281E9C5">
            <wp:simplePos x="0" y="0"/>
            <wp:positionH relativeFrom="margin">
              <wp:align>right</wp:align>
            </wp:positionH>
            <wp:positionV relativeFrom="paragraph">
              <wp:posOffset>359410</wp:posOffset>
            </wp:positionV>
            <wp:extent cx="7562215" cy="462915"/>
            <wp:effectExtent l="0" t="0" r="635" b="0"/>
            <wp:wrapNone/>
            <wp:docPr id="263" name="Picture"/>
            <wp:cNvGraphicFramePr/>
            <a:graphic xmlns:a="http://schemas.openxmlformats.org/drawingml/2006/main">
              <a:graphicData uri="http://schemas.openxmlformats.org/drawingml/2006/picture">
                <pic:pic xmlns:pic="http://schemas.openxmlformats.org/drawingml/2006/picture">
                  <pic:nvPicPr>
                    <pic:cNvPr id="263" name="Picture"/>
                    <pic:cNvPicPr preferRelativeResize="0"/>
                  </pic:nvPicPr>
                  <pic:blipFill>
                    <a:blip r:embed="rId34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3D52F28E" w14:textId="77777777" w:rsidR="009757A9" w:rsidRDefault="009757A9">
      <w:pPr>
        <w:sectPr w:rsidR="009757A9">
          <w:pgSz w:w="11909" w:h="16838"/>
          <w:pgMar w:top="1140" w:right="0" w:bottom="0" w:left="0" w:header="720" w:footer="720" w:gutter="0"/>
          <w:cols w:space="720"/>
        </w:sectPr>
      </w:pPr>
    </w:p>
    <w:p w14:paraId="32300907" w14:textId="77777777" w:rsidR="009757A9" w:rsidRDefault="00083242">
      <w:pPr>
        <w:shd w:val="solid" w:color="5C7182" w:fill="5C7182"/>
        <w:spacing w:after="31" w:line="209" w:lineRule="exact"/>
        <w:ind w:left="931" w:right="1253"/>
        <w:textAlignment w:val="baseline"/>
        <w:rPr>
          <w:rFonts w:ascii="Arial" w:eastAsia="Arial" w:hAnsi="Arial"/>
          <w:b/>
          <w:color w:val="FFFFFF"/>
          <w:sz w:val="19"/>
        </w:rPr>
      </w:pPr>
      <w:r>
        <w:rPr>
          <w:rFonts w:ascii="Arial" w:eastAsia="Arial" w:hAnsi="Arial"/>
          <w:b/>
          <w:color w:val="FFFFFF"/>
          <w:sz w:val="19"/>
        </w:rPr>
        <w:lastRenderedPageBreak/>
        <w:t>Stakeholders consulted</w:t>
      </w:r>
    </w:p>
    <w:p w14:paraId="77D72A68" w14:textId="77777777" w:rsidR="009757A9" w:rsidRDefault="00083242">
      <w:pPr>
        <w:shd w:val="solid" w:color="004E66" w:fill="004E66"/>
        <w:spacing w:after="47" w:line="205" w:lineRule="exact"/>
        <w:ind w:left="931" w:right="1253"/>
        <w:textAlignment w:val="baseline"/>
        <w:rPr>
          <w:rFonts w:ascii="Tahoma" w:eastAsia="Tahoma" w:hAnsi="Tahoma"/>
          <w:b/>
          <w:color w:val="FFFFFF"/>
          <w:spacing w:val="4"/>
          <w:sz w:val="17"/>
        </w:rPr>
      </w:pPr>
      <w:r>
        <w:rPr>
          <w:rFonts w:ascii="Tahoma" w:eastAsia="Tahoma" w:hAnsi="Tahoma"/>
          <w:b/>
          <w:color w:val="FFFFFF"/>
          <w:spacing w:val="4"/>
          <w:sz w:val="17"/>
        </w:rPr>
        <w:t>6 November – Darwin – NT (cont’d)</w:t>
      </w:r>
    </w:p>
    <w:p w14:paraId="1482C1F5"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Northern Territory Board of Studies</w:t>
      </w:r>
    </w:p>
    <w:p w14:paraId="77579650"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NT Council of Government Schools Inc</w:t>
      </w:r>
    </w:p>
    <w:p w14:paraId="762E71BF" w14:textId="77777777" w:rsidR="009757A9" w:rsidRDefault="00083242">
      <w:pPr>
        <w:shd w:val="solid" w:color="F4F5F7" w:fill="F4F5F7"/>
        <w:spacing w:after="2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NT Department of Education</w:t>
      </w:r>
    </w:p>
    <w:p w14:paraId="6ECEA1CC" w14:textId="77777777" w:rsidR="009757A9" w:rsidRDefault="00083242">
      <w:pPr>
        <w:shd w:val="solid" w:color="BF5B1F" w:fill="BF5B1F"/>
        <w:spacing w:after="24" w:line="218"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12 November 2019 – Sydney – NSW</w:t>
      </w:r>
    </w:p>
    <w:p w14:paraId="0822013B"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Australian Indigenous Mentoring Experience</w:t>
      </w:r>
    </w:p>
    <w:p w14:paraId="1B95DA20"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Alpha Omega Senior College</w:t>
      </w:r>
    </w:p>
    <w:p w14:paraId="5EDDBF1C" w14:textId="77777777" w:rsidR="009757A9" w:rsidRDefault="00083242">
      <w:pPr>
        <w:shd w:val="solid" w:color="F5E6DA" w:fill="F5E6DA"/>
        <w:spacing w:after="39"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Australian Catholic University</w:t>
      </w:r>
    </w:p>
    <w:p w14:paraId="7BF98BEE"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Australian Parents Council</w:t>
      </w:r>
    </w:p>
    <w:p w14:paraId="2F7A25D8"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Bradfield Senior College TAFE NSW</w:t>
      </w:r>
    </w:p>
    <w:p w14:paraId="7C0A9706"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Catholic Schools NSW</w:t>
      </w:r>
    </w:p>
    <w:p w14:paraId="3D50ACED"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Community Colleges Australia</w:t>
      </w:r>
    </w:p>
    <w:p w14:paraId="5B06E1BA"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Federation of Parents and Citizens Associations of New South Wales</w:t>
      </w:r>
    </w:p>
    <w:p w14:paraId="320E9069"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Georges River College Oatley Senior Campus</w:t>
      </w:r>
    </w:p>
    <w:p w14:paraId="73C6DEF0"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Marist College Kogarah</w:t>
      </w:r>
    </w:p>
    <w:p w14:paraId="2F639260"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Masada College</w:t>
      </w:r>
    </w:p>
    <w:p w14:paraId="19F34A03"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22"/>
          <w:sz w:val="18"/>
        </w:rPr>
      </w:pPr>
      <w:r>
        <w:rPr>
          <w:rFonts w:ascii="Tahoma" w:eastAsia="Tahoma" w:hAnsi="Tahoma"/>
          <w:color w:val="404042"/>
          <w:spacing w:val="22"/>
          <w:sz w:val="18"/>
        </w:rPr>
        <w:t>MWLP</w:t>
      </w:r>
    </w:p>
    <w:p w14:paraId="256B2677"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National Youth Commission</w:t>
      </w:r>
    </w:p>
    <w:p w14:paraId="1AAF60C0"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NSW Business Chamber</w:t>
      </w:r>
    </w:p>
    <w:p w14:paraId="551F5E18"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NSW Department of Education</w:t>
      </w:r>
    </w:p>
    <w:p w14:paraId="2F69AF56"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NSW Secondary Principals’ Council</w:t>
      </w:r>
    </w:p>
    <w:p w14:paraId="0478504F"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Philanthropy Australia</w:t>
      </w:r>
    </w:p>
    <w:p w14:paraId="16ADA6EA" w14:textId="77777777" w:rsidR="009757A9" w:rsidRDefault="00083242">
      <w:pPr>
        <w:shd w:val="solid" w:color="F5E6DA" w:fill="F5E6DA"/>
        <w:spacing w:after="3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Professional Teachers Council NSW</w:t>
      </w:r>
    </w:p>
    <w:p w14:paraId="1EE92C09"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8"/>
          <w:sz w:val="18"/>
        </w:rPr>
      </w:pPr>
      <w:r>
        <w:rPr>
          <w:rFonts w:ascii="Tahoma" w:eastAsia="Tahoma" w:hAnsi="Tahoma"/>
          <w:color w:val="404042"/>
          <w:spacing w:val="8"/>
          <w:sz w:val="18"/>
        </w:rPr>
        <w:t>PricewaterhouseCoopers</w:t>
      </w:r>
    </w:p>
    <w:p w14:paraId="724B249E"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Schools Plus</w:t>
      </w:r>
    </w:p>
    <w:p w14:paraId="47C8A8F3"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University of Wollongong</w:t>
      </w:r>
    </w:p>
    <w:p w14:paraId="78064D50"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Western Sydney University</w:t>
      </w:r>
    </w:p>
    <w:p w14:paraId="24D0EA81"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Youth consultation/school visit</w:t>
      </w:r>
    </w:p>
    <w:p w14:paraId="7DC114D3" w14:textId="77777777" w:rsidR="009757A9" w:rsidRDefault="00083242">
      <w:pPr>
        <w:shd w:val="solid" w:color="004E66" w:fill="004E66"/>
        <w:spacing w:after="45" w:line="205"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15 November 2019 – Perth – WA</w:t>
      </w:r>
    </w:p>
    <w:p w14:paraId="7348EB2B"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Association of Independent Schools WA</w:t>
      </w:r>
    </w:p>
    <w:p w14:paraId="4F72CF06"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Australian Council of State School Organisations</w:t>
      </w:r>
    </w:p>
    <w:p w14:paraId="027D0382" w14:textId="77777777" w:rsidR="009757A9" w:rsidRDefault="00083242">
      <w:pPr>
        <w:shd w:val="solid" w:color="F4F5F7" w:fill="F4F5F7"/>
        <w:spacing w:after="32"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Career Industry Council of Australia</w:t>
      </w:r>
    </w:p>
    <w:p w14:paraId="10FC3C0A" w14:textId="77777777" w:rsidR="009757A9" w:rsidRDefault="00083242">
      <w:pPr>
        <w:shd w:val="solid" w:color="F4F5F7" w:fill="F4F5F7"/>
        <w:spacing w:after="1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Catholic Education Office WA</w:t>
      </w:r>
    </w:p>
    <w:p w14:paraId="37980CC0"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Chamber of Commerce and Industry WA</w:t>
      </w:r>
    </w:p>
    <w:p w14:paraId="5F2DE64F"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College of Electrical Training</w:t>
      </w:r>
    </w:p>
    <w:p w14:paraId="7EE94641" w14:textId="77777777" w:rsidR="009757A9" w:rsidRDefault="00083242">
      <w:pPr>
        <w:shd w:val="solid" w:color="F4F5F7" w:fill="F4F5F7"/>
        <w:spacing w:after="3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Community Services, Health &amp; Education Training Council</w:t>
      </w:r>
    </w:p>
    <w:p w14:paraId="5639187C"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Curtin University</w:t>
      </w:r>
    </w:p>
    <w:p w14:paraId="676D2409"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Department of Training and Workforce Development</w:t>
      </w:r>
    </w:p>
    <w:p w14:paraId="610C690D" w14:textId="77777777" w:rsidR="009757A9" w:rsidRDefault="00083242">
      <w:pPr>
        <w:shd w:val="solid" w:color="F4F5F7" w:fill="F4F5F7"/>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Edith Cowan University, School of Education</w:t>
      </w:r>
    </w:p>
    <w:p w14:paraId="3426F443" w14:textId="77777777" w:rsidR="009757A9" w:rsidRDefault="00083242">
      <w:pPr>
        <w:shd w:val="solid" w:color="F4F5F7" w:fill="F4F5F7"/>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National Centre for Student Equity in Higher Education, Curtin University</w:t>
      </w:r>
    </w:p>
    <w:p w14:paraId="55756E54" w14:textId="77777777" w:rsidR="009757A9" w:rsidRDefault="00083242">
      <w:pPr>
        <w:shd w:val="solid" w:color="F4F5F7" w:fill="F4F5F7"/>
        <w:spacing w:after="3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Resources Industry Training Council</w:t>
      </w:r>
    </w:p>
    <w:p w14:paraId="15166B01" w14:textId="77777777" w:rsidR="009757A9" w:rsidRDefault="00083242">
      <w:pPr>
        <w:shd w:val="solid" w:color="F4F5F7" w:fill="F4F5F7"/>
        <w:spacing w:after="37"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School Curriculum and Standards Authority</w:t>
      </w:r>
    </w:p>
    <w:p w14:paraId="1813BAB7"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Tertiary Institutions Service Centre</w:t>
      </w:r>
    </w:p>
    <w:p w14:paraId="47EEBE8B"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WA Department of Education</w:t>
      </w:r>
    </w:p>
    <w:p w14:paraId="2D10BFF3" w14:textId="77777777" w:rsidR="009757A9" w:rsidRDefault="00083242">
      <w:pPr>
        <w:shd w:val="solid" w:color="F4F5F7" w:fill="F4F5F7"/>
        <w:spacing w:after="425"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WA Department of Training and Workforce Development</w:t>
      </w:r>
    </w:p>
    <w:p w14:paraId="3EA085DA" w14:textId="77777777" w:rsidR="0063031B" w:rsidRDefault="0063031B">
      <w:pPr>
        <w:spacing w:after="634" w:line="208" w:lineRule="exact"/>
        <w:ind w:left="9576"/>
        <w:textAlignment w:val="baseline"/>
        <w:rPr>
          <w:rFonts w:ascii="Tahoma" w:eastAsia="Tahoma" w:hAnsi="Tahoma"/>
          <w:color w:val="404042"/>
          <w:spacing w:val="12"/>
          <w:sz w:val="14"/>
        </w:rPr>
      </w:pPr>
    </w:p>
    <w:p w14:paraId="223C0F39" w14:textId="77777777" w:rsidR="0063031B" w:rsidRDefault="0063031B">
      <w:pPr>
        <w:spacing w:after="634" w:line="208" w:lineRule="exact"/>
        <w:ind w:left="9576"/>
        <w:textAlignment w:val="baseline"/>
        <w:rPr>
          <w:rFonts w:ascii="Tahoma" w:eastAsia="Tahoma" w:hAnsi="Tahoma"/>
          <w:color w:val="404042"/>
          <w:spacing w:val="12"/>
          <w:sz w:val="14"/>
        </w:rPr>
      </w:pPr>
    </w:p>
    <w:p w14:paraId="76A0A4DE" w14:textId="7520CF4D" w:rsidR="009757A9" w:rsidRDefault="00083242">
      <w:pPr>
        <w:spacing w:after="634" w:line="208" w:lineRule="exact"/>
        <w:ind w:left="9576"/>
        <w:textAlignment w:val="baseline"/>
        <w:rPr>
          <w:rFonts w:ascii="Tahoma" w:eastAsia="Tahoma" w:hAnsi="Tahoma"/>
          <w:color w:val="404042"/>
          <w:spacing w:val="12"/>
          <w:sz w:val="14"/>
        </w:rPr>
      </w:pPr>
      <w:r>
        <w:rPr>
          <w:rFonts w:ascii="Tahoma" w:eastAsia="Tahoma" w:hAnsi="Tahoma"/>
          <w:color w:val="404042"/>
          <w:spacing w:val="12"/>
          <w:sz w:val="14"/>
        </w:rPr>
        <w:t>Consultations</w:t>
      </w:r>
      <w:r>
        <w:rPr>
          <w:rFonts w:ascii="Arial" w:eastAsia="Arial" w:hAnsi="Arial"/>
          <w:b/>
          <w:color w:val="5556A1"/>
          <w:spacing w:val="12"/>
          <w:sz w:val="19"/>
        </w:rPr>
        <w:t xml:space="preserve"> 161</w:t>
      </w:r>
    </w:p>
    <w:p w14:paraId="0BE1BF74" w14:textId="77777777" w:rsidR="009757A9" w:rsidRDefault="00083242">
      <w:pPr>
        <w:textAlignment w:val="baseline"/>
      </w:pPr>
      <w:r>
        <w:rPr>
          <w:noProof/>
          <w:lang w:val="en-AU" w:eastAsia="en-AU"/>
        </w:rPr>
        <w:drawing>
          <wp:anchor distT="0" distB="0" distL="114300" distR="114300" simplePos="0" relativeHeight="252107264" behindDoc="1" locked="0" layoutInCell="1" allowOverlap="1" wp14:anchorId="144E632B" wp14:editId="608B226D">
            <wp:simplePos x="0" y="0"/>
            <wp:positionH relativeFrom="margin">
              <wp:align>right</wp:align>
            </wp:positionH>
            <wp:positionV relativeFrom="paragraph">
              <wp:posOffset>315595</wp:posOffset>
            </wp:positionV>
            <wp:extent cx="7562215" cy="462915"/>
            <wp:effectExtent l="0" t="0" r="635" b="0"/>
            <wp:wrapNone/>
            <wp:docPr id="264" name="Picture"/>
            <wp:cNvGraphicFramePr/>
            <a:graphic xmlns:a="http://schemas.openxmlformats.org/drawingml/2006/main">
              <a:graphicData uri="http://schemas.openxmlformats.org/drawingml/2006/picture">
                <pic:pic xmlns:pic="http://schemas.openxmlformats.org/drawingml/2006/picture">
                  <pic:nvPicPr>
                    <pic:cNvPr id="264" name="Picture"/>
                    <pic:cNvPicPr preferRelativeResize="0"/>
                  </pic:nvPicPr>
                  <pic:blipFill>
                    <a:blip r:embed="rId346">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6E7A80B5" w14:textId="77777777" w:rsidR="009757A9" w:rsidRDefault="009757A9">
      <w:pPr>
        <w:sectPr w:rsidR="009757A9">
          <w:pgSz w:w="11909" w:h="16838"/>
          <w:pgMar w:top="1140" w:right="0" w:bottom="0" w:left="0" w:header="720" w:footer="720" w:gutter="0"/>
          <w:cols w:space="720"/>
        </w:sectPr>
      </w:pPr>
    </w:p>
    <w:p w14:paraId="6CA8891A" w14:textId="77777777" w:rsidR="009757A9" w:rsidRDefault="00083242">
      <w:pPr>
        <w:shd w:val="solid" w:color="5C7182" w:fill="5C7182"/>
        <w:spacing w:after="31" w:line="209" w:lineRule="exact"/>
        <w:ind w:left="931" w:right="1253"/>
        <w:textAlignment w:val="baseline"/>
        <w:rPr>
          <w:rFonts w:ascii="Arial" w:eastAsia="Arial" w:hAnsi="Arial"/>
          <w:b/>
          <w:color w:val="FFFFFF"/>
          <w:sz w:val="19"/>
        </w:rPr>
      </w:pPr>
      <w:r>
        <w:rPr>
          <w:rFonts w:ascii="Arial" w:eastAsia="Arial" w:hAnsi="Arial"/>
          <w:b/>
          <w:color w:val="FFFFFF"/>
          <w:sz w:val="19"/>
        </w:rPr>
        <w:lastRenderedPageBreak/>
        <w:t>Stakeholders consulted</w:t>
      </w:r>
    </w:p>
    <w:p w14:paraId="18A09346" w14:textId="77777777" w:rsidR="009757A9" w:rsidRDefault="00083242">
      <w:pPr>
        <w:shd w:val="solid" w:color="BF5B1F" w:fill="BF5B1F"/>
        <w:spacing w:after="48" w:line="204" w:lineRule="exact"/>
        <w:ind w:left="931" w:right="1253"/>
        <w:textAlignment w:val="baseline"/>
        <w:rPr>
          <w:rFonts w:ascii="Tahoma" w:eastAsia="Tahoma" w:hAnsi="Tahoma"/>
          <w:b/>
          <w:color w:val="FFFFFF"/>
          <w:spacing w:val="2"/>
          <w:sz w:val="17"/>
        </w:rPr>
      </w:pPr>
      <w:r>
        <w:rPr>
          <w:rFonts w:ascii="Tahoma" w:eastAsia="Tahoma" w:hAnsi="Tahoma"/>
          <w:b/>
          <w:color w:val="FFFFFF"/>
          <w:spacing w:val="2"/>
          <w:sz w:val="17"/>
        </w:rPr>
        <w:t>20-21 November 2019 – Brisbane – QLD</w:t>
      </w:r>
    </w:p>
    <w:p w14:paraId="633E9C66" w14:textId="77777777" w:rsidR="009757A9" w:rsidRDefault="00083242">
      <w:pPr>
        <w:shd w:val="solid" w:color="F5E6DA" w:fill="F5E6DA"/>
        <w:spacing w:after="30" w:line="240" w:lineRule="exact"/>
        <w:ind w:left="931" w:right="1685"/>
        <w:textAlignment w:val="baseline"/>
        <w:rPr>
          <w:rFonts w:ascii="Tahoma" w:eastAsia="Tahoma" w:hAnsi="Tahoma"/>
          <w:color w:val="404042"/>
          <w:sz w:val="18"/>
        </w:rPr>
      </w:pPr>
      <w:r>
        <w:rPr>
          <w:rFonts w:ascii="Tahoma" w:eastAsia="Tahoma" w:hAnsi="Tahoma"/>
          <w:color w:val="404042"/>
          <w:sz w:val="18"/>
        </w:rPr>
        <w:t>50 young people including training award finalists, students from St James College and Australian VET Alumni members</w:t>
      </w:r>
    </w:p>
    <w:p w14:paraId="7402E931"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8"/>
          <w:sz w:val="18"/>
        </w:rPr>
      </w:pPr>
      <w:r>
        <w:rPr>
          <w:rFonts w:ascii="Tahoma" w:eastAsia="Tahoma" w:hAnsi="Tahoma"/>
          <w:color w:val="404042"/>
          <w:spacing w:val="8"/>
          <w:sz w:val="18"/>
        </w:rPr>
        <w:t>Apprenticeships Queensland</w:t>
      </w:r>
    </w:p>
    <w:p w14:paraId="2EB8EB79" w14:textId="77777777" w:rsidR="009757A9" w:rsidRDefault="00083242">
      <w:pPr>
        <w:shd w:val="solid" w:color="F5E6DA" w:fill="F5E6DA"/>
        <w:spacing w:after="35" w:line="217"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Australian Alliance of Associations in Education</w:t>
      </w:r>
    </w:p>
    <w:p w14:paraId="072E3F60" w14:textId="77777777" w:rsidR="009757A9" w:rsidRDefault="00083242">
      <w:pPr>
        <w:shd w:val="solid" w:color="F5E6DA" w:fill="F5E6DA"/>
        <w:spacing w:after="32" w:line="217"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Brisbane Catholic Education</w:t>
      </w:r>
    </w:p>
    <w:p w14:paraId="1442051E"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Brisbane Industry Consultation</w:t>
      </w:r>
    </w:p>
    <w:p w14:paraId="43CB0F10"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Brisbane Youth Education and Training Centre</w:t>
      </w:r>
    </w:p>
    <w:p w14:paraId="600DB75F" w14:textId="77777777" w:rsidR="009757A9" w:rsidRDefault="00083242">
      <w:pPr>
        <w:shd w:val="solid" w:color="F5E6DA" w:fill="F5E6DA"/>
        <w:spacing w:after="32" w:line="217"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Catholic School Parents Australia</w:t>
      </w:r>
    </w:p>
    <w:p w14:paraId="09409A32"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Griffith University</w:t>
      </w:r>
    </w:p>
    <w:p w14:paraId="0E682C1C"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Independent Schools Queensland</w:t>
      </w:r>
    </w:p>
    <w:p w14:paraId="4D70EDA3"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Loreto College</w:t>
      </w:r>
    </w:p>
    <w:p w14:paraId="00595A4A" w14:textId="77777777" w:rsidR="009757A9" w:rsidRDefault="00083242">
      <w:pPr>
        <w:shd w:val="solid" w:color="F5E6DA" w:fill="F5E6DA"/>
        <w:spacing w:after="3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QLD Department of Education</w:t>
      </w:r>
    </w:p>
    <w:p w14:paraId="7EE974B6" w14:textId="77777777" w:rsidR="009757A9" w:rsidRDefault="00083242">
      <w:pPr>
        <w:shd w:val="solid" w:color="F5E6DA" w:fill="F5E6DA"/>
        <w:spacing w:after="3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Queensland Tertiary Admissions Centre</w:t>
      </w:r>
    </w:p>
    <w:p w14:paraId="5D2F7449"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Queensland Tourism Industry Council</w:t>
      </w:r>
    </w:p>
    <w:p w14:paraId="008CFAA7" w14:textId="77777777" w:rsidR="009757A9" w:rsidRDefault="00083242">
      <w:pPr>
        <w:shd w:val="solid" w:color="F5E6DA" w:fill="F5E6DA"/>
        <w:spacing w:after="37" w:line="217"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Queensland Catholic Education Commission</w:t>
      </w:r>
    </w:p>
    <w:p w14:paraId="3B787BE3"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Queensland College of Teachers</w:t>
      </w:r>
    </w:p>
    <w:p w14:paraId="1835752E"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Queensland Independent Schools Parents Network</w:t>
      </w:r>
    </w:p>
    <w:p w14:paraId="55DD301D" w14:textId="77777777" w:rsidR="009757A9" w:rsidRDefault="00083242">
      <w:pPr>
        <w:shd w:val="solid" w:color="F5E6DA" w:fill="F5E6DA"/>
        <w:spacing w:after="3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Queensland Tourism Industry Council</w:t>
      </w:r>
    </w:p>
    <w:p w14:paraId="218BB08A" w14:textId="77777777" w:rsidR="009757A9" w:rsidRDefault="00083242">
      <w:pPr>
        <w:shd w:val="solid" w:color="F5E6DA" w:fill="F5E6DA"/>
        <w:spacing w:after="37"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Queensland University of Technology</w:t>
      </w:r>
    </w:p>
    <w:p w14:paraId="0700561C" w14:textId="77777777" w:rsidR="009757A9" w:rsidRDefault="00083242">
      <w:pPr>
        <w:shd w:val="solid" w:color="F5E6DA" w:fill="F5E6DA"/>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Regional Development Australia, Brisbane</w:t>
      </w:r>
    </w:p>
    <w:p w14:paraId="32F41796" w14:textId="77777777" w:rsidR="009757A9" w:rsidRDefault="00083242">
      <w:pPr>
        <w:shd w:val="solid" w:color="F5E6DA" w:fill="F5E6DA"/>
        <w:spacing w:after="36" w:line="217"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TAFE Queensland</w:t>
      </w:r>
    </w:p>
    <w:p w14:paraId="59399DCC"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The Gap State High School</w:t>
      </w:r>
    </w:p>
    <w:p w14:paraId="12677FD1" w14:textId="77777777" w:rsidR="009757A9" w:rsidRDefault="00083242">
      <w:pPr>
        <w:shd w:val="solid" w:color="F5E6DA" w:fill="F5E6DA"/>
        <w:spacing w:after="32" w:line="217"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The Red Toolbox</w:t>
      </w:r>
    </w:p>
    <w:p w14:paraId="279F2D33" w14:textId="77777777" w:rsidR="009757A9" w:rsidRDefault="00083242">
      <w:pPr>
        <w:shd w:val="solid" w:color="F5E6DA" w:fill="F5E6DA"/>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University of Queensland</w:t>
      </w:r>
    </w:p>
    <w:p w14:paraId="2095C0D1"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VTQ - Vocational Training Queensland</w:t>
      </w:r>
    </w:p>
    <w:p w14:paraId="2C12C9C0" w14:textId="77777777" w:rsidR="009757A9" w:rsidRDefault="00083242">
      <w:pPr>
        <w:shd w:val="solid" w:color="004E66" w:fill="004E66"/>
        <w:spacing w:after="42" w:line="204" w:lineRule="exact"/>
        <w:ind w:left="931" w:right="1253"/>
        <w:textAlignment w:val="baseline"/>
        <w:rPr>
          <w:rFonts w:ascii="Tahoma" w:eastAsia="Tahoma" w:hAnsi="Tahoma"/>
          <w:b/>
          <w:color w:val="FFFFFF"/>
          <w:spacing w:val="2"/>
          <w:sz w:val="17"/>
        </w:rPr>
      </w:pPr>
      <w:r>
        <w:rPr>
          <w:rFonts w:ascii="Tahoma" w:eastAsia="Tahoma" w:hAnsi="Tahoma"/>
          <w:b/>
          <w:color w:val="FFFFFF"/>
          <w:spacing w:val="2"/>
          <w:sz w:val="17"/>
        </w:rPr>
        <w:t>26 November 2019 – Geraldton – WA</w:t>
      </w:r>
    </w:p>
    <w:p w14:paraId="67D28A96" w14:textId="77777777" w:rsidR="009757A9" w:rsidRDefault="00083242">
      <w:pPr>
        <w:shd w:val="solid" w:color="F4F5F7" w:fill="F4F5F7"/>
        <w:spacing w:after="33"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Central Regional TAFE</w:t>
      </w:r>
    </w:p>
    <w:p w14:paraId="131B9368" w14:textId="77777777" w:rsidR="009757A9" w:rsidRDefault="00083242">
      <w:pPr>
        <w:shd w:val="solid" w:color="F4F5F7" w:fill="F4F5F7"/>
        <w:spacing w:after="3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Geraldton Flexible Learning Centre</w:t>
      </w:r>
    </w:p>
    <w:p w14:paraId="23F2BA60" w14:textId="77777777" w:rsidR="009757A9" w:rsidRDefault="00083242">
      <w:pPr>
        <w:shd w:val="solid" w:color="F4F5F7" w:fill="F4F5F7"/>
        <w:spacing w:after="23"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Geraldton Regional Aboriginal Medical Service</w:t>
      </w:r>
    </w:p>
    <w:p w14:paraId="31E4B431"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Geraldton Senior High School</w:t>
      </w:r>
    </w:p>
    <w:p w14:paraId="2DE181EF" w14:textId="77777777" w:rsidR="009757A9" w:rsidRDefault="00083242">
      <w:pPr>
        <w:shd w:val="solid" w:color="F4F5F7" w:fill="F4F5F7"/>
        <w:spacing w:after="35" w:line="217" w:lineRule="exact"/>
        <w:ind w:left="931" w:right="1253"/>
        <w:textAlignment w:val="baseline"/>
        <w:rPr>
          <w:rFonts w:ascii="Tahoma" w:eastAsia="Tahoma" w:hAnsi="Tahoma"/>
          <w:color w:val="404042"/>
          <w:spacing w:val="7"/>
          <w:sz w:val="18"/>
        </w:rPr>
      </w:pPr>
      <w:r>
        <w:rPr>
          <w:rFonts w:ascii="Tahoma" w:eastAsia="Tahoma" w:hAnsi="Tahoma"/>
          <w:color w:val="404042"/>
          <w:spacing w:val="7"/>
          <w:sz w:val="18"/>
        </w:rPr>
        <w:t>Geraldton Universities Centre</w:t>
      </w:r>
    </w:p>
    <w:p w14:paraId="3F428843" w14:textId="77777777" w:rsidR="009757A9" w:rsidRDefault="00083242">
      <w:pPr>
        <w:shd w:val="solid" w:color="F4F5F7" w:fill="F4F5F7"/>
        <w:spacing w:after="24"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Ngala Midwest &amp; Gascoyne</w:t>
      </w:r>
    </w:p>
    <w:p w14:paraId="76725564" w14:textId="77777777" w:rsidR="009757A9" w:rsidRDefault="00083242">
      <w:pPr>
        <w:shd w:val="solid" w:color="F4F5F7" w:fill="F4F5F7"/>
        <w:spacing w:after="29"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Office of the Commissioner for Children and Young People WA</w:t>
      </w:r>
    </w:p>
    <w:p w14:paraId="1B42E27A" w14:textId="77777777" w:rsidR="009757A9" w:rsidRDefault="00083242">
      <w:pPr>
        <w:shd w:val="solid" w:color="F4F5F7" w:fill="F4F5F7"/>
        <w:spacing w:after="32" w:line="220" w:lineRule="exact"/>
        <w:ind w:left="931" w:right="1253"/>
        <w:textAlignment w:val="baseline"/>
        <w:rPr>
          <w:rFonts w:ascii="Tahoma" w:eastAsia="Tahoma" w:hAnsi="Tahoma"/>
          <w:color w:val="404042"/>
          <w:spacing w:val="6"/>
          <w:sz w:val="18"/>
        </w:rPr>
      </w:pPr>
      <w:r>
        <w:rPr>
          <w:rFonts w:ascii="Tahoma" w:eastAsia="Tahoma" w:hAnsi="Tahoma"/>
          <w:color w:val="404042"/>
          <w:spacing w:val="6"/>
          <w:sz w:val="18"/>
        </w:rPr>
        <w:t>Strathalbyn Christian College</w:t>
      </w:r>
    </w:p>
    <w:p w14:paraId="6FF7339D" w14:textId="77777777" w:rsidR="009757A9" w:rsidRDefault="00083242">
      <w:pPr>
        <w:shd w:val="solid" w:color="BF5B1F" w:fill="BF5B1F"/>
        <w:spacing w:after="38" w:line="204" w:lineRule="exact"/>
        <w:ind w:left="931" w:right="1253"/>
        <w:textAlignment w:val="baseline"/>
        <w:rPr>
          <w:rFonts w:ascii="Tahoma" w:eastAsia="Tahoma" w:hAnsi="Tahoma"/>
          <w:b/>
          <w:color w:val="FFFFFF"/>
          <w:spacing w:val="1"/>
          <w:sz w:val="17"/>
        </w:rPr>
      </w:pPr>
      <w:r>
        <w:rPr>
          <w:rFonts w:ascii="Tahoma" w:eastAsia="Tahoma" w:hAnsi="Tahoma"/>
          <w:b/>
          <w:color w:val="FFFFFF"/>
          <w:spacing w:val="1"/>
          <w:sz w:val="17"/>
        </w:rPr>
        <w:t>2 December 2019 – Adelaide – SA</w:t>
      </w:r>
    </w:p>
    <w:p w14:paraId="7984114E" w14:textId="77777777" w:rsidR="009757A9" w:rsidRDefault="00083242">
      <w:pPr>
        <w:shd w:val="solid" w:color="F5E6DA" w:fill="F5E6DA"/>
        <w:spacing w:after="28"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Cardijn College, Marcellin Campus</w:t>
      </w:r>
    </w:p>
    <w:p w14:paraId="5A98E687" w14:textId="77777777" w:rsidR="009757A9" w:rsidRDefault="00083242">
      <w:pPr>
        <w:shd w:val="solid" w:color="F5E6DA" w:fill="F5E6DA"/>
        <w:spacing w:after="20" w:line="220" w:lineRule="exact"/>
        <w:ind w:left="931" w:right="1253"/>
        <w:textAlignment w:val="baseline"/>
        <w:rPr>
          <w:rFonts w:ascii="Tahoma" w:eastAsia="Tahoma" w:hAnsi="Tahoma"/>
          <w:color w:val="404042"/>
          <w:spacing w:val="5"/>
          <w:sz w:val="18"/>
        </w:rPr>
      </w:pPr>
      <w:r>
        <w:rPr>
          <w:rFonts w:ascii="Tahoma" w:eastAsia="Tahoma" w:hAnsi="Tahoma"/>
          <w:color w:val="404042"/>
          <w:spacing w:val="5"/>
          <w:sz w:val="18"/>
        </w:rPr>
        <w:t>FAME Flexible Learning Centre</w:t>
      </w:r>
    </w:p>
    <w:p w14:paraId="36D0B95D" w14:textId="77777777" w:rsidR="009757A9" w:rsidRDefault="00083242">
      <w:pPr>
        <w:shd w:val="solid" w:color="F5E6DA" w:fill="F5E6DA"/>
        <w:spacing w:after="24" w:line="220" w:lineRule="exact"/>
        <w:ind w:left="931" w:right="1253"/>
        <w:textAlignment w:val="baseline"/>
        <w:rPr>
          <w:rFonts w:ascii="Tahoma" w:eastAsia="Tahoma" w:hAnsi="Tahoma"/>
          <w:color w:val="404042"/>
          <w:spacing w:val="3"/>
          <w:sz w:val="18"/>
        </w:rPr>
      </w:pPr>
      <w:r>
        <w:rPr>
          <w:rFonts w:ascii="Tahoma" w:eastAsia="Tahoma" w:hAnsi="Tahoma"/>
          <w:color w:val="404042"/>
          <w:spacing w:val="3"/>
          <w:sz w:val="18"/>
        </w:rPr>
        <w:t>St Patrick’s Technical College</w:t>
      </w:r>
    </w:p>
    <w:p w14:paraId="0063E2FB" w14:textId="77777777" w:rsidR="009757A9" w:rsidRDefault="00083242">
      <w:pPr>
        <w:shd w:val="solid" w:color="F5E6DA" w:fill="F5E6DA"/>
        <w:spacing w:after="2000" w:line="220" w:lineRule="exact"/>
        <w:ind w:left="931" w:right="1253"/>
        <w:textAlignment w:val="baseline"/>
        <w:rPr>
          <w:rFonts w:ascii="Tahoma" w:eastAsia="Tahoma" w:hAnsi="Tahoma"/>
          <w:color w:val="404042"/>
          <w:spacing w:val="4"/>
          <w:sz w:val="18"/>
        </w:rPr>
      </w:pPr>
      <w:r>
        <w:rPr>
          <w:rFonts w:ascii="Tahoma" w:eastAsia="Tahoma" w:hAnsi="Tahoma"/>
          <w:color w:val="404042"/>
          <w:spacing w:val="4"/>
          <w:sz w:val="18"/>
        </w:rPr>
        <w:t>Unley High School</w:t>
      </w:r>
    </w:p>
    <w:p w14:paraId="76AD37DD" w14:textId="77777777" w:rsidR="00A81357" w:rsidRDefault="00A81357">
      <w:pPr>
        <w:tabs>
          <w:tab w:val="left" w:pos="1368"/>
        </w:tabs>
        <w:spacing w:after="634" w:line="201" w:lineRule="exact"/>
        <w:ind w:left="864"/>
        <w:textAlignment w:val="baseline"/>
        <w:rPr>
          <w:rFonts w:ascii="Arial" w:eastAsia="Arial" w:hAnsi="Arial"/>
          <w:b/>
          <w:color w:val="5556A1"/>
          <w:spacing w:val="4"/>
          <w:sz w:val="19"/>
        </w:rPr>
      </w:pPr>
    </w:p>
    <w:p w14:paraId="697CFE59" w14:textId="77777777" w:rsidR="00A81357" w:rsidRDefault="00A81357">
      <w:pPr>
        <w:tabs>
          <w:tab w:val="left" w:pos="1368"/>
        </w:tabs>
        <w:spacing w:after="634" w:line="201" w:lineRule="exact"/>
        <w:ind w:left="864"/>
        <w:textAlignment w:val="baseline"/>
        <w:rPr>
          <w:rFonts w:ascii="Arial" w:eastAsia="Arial" w:hAnsi="Arial"/>
          <w:b/>
          <w:color w:val="5556A1"/>
          <w:spacing w:val="4"/>
          <w:sz w:val="19"/>
        </w:rPr>
      </w:pPr>
    </w:p>
    <w:p w14:paraId="13076185" w14:textId="6E450927" w:rsidR="009757A9" w:rsidRDefault="00083242">
      <w:pPr>
        <w:tabs>
          <w:tab w:val="left" w:pos="1368"/>
        </w:tabs>
        <w:spacing w:after="634" w:line="201" w:lineRule="exact"/>
        <w:ind w:left="864"/>
        <w:textAlignment w:val="baseline"/>
        <w:rPr>
          <w:rFonts w:ascii="Arial" w:eastAsia="Arial" w:hAnsi="Arial"/>
          <w:b/>
          <w:color w:val="5556A1"/>
          <w:spacing w:val="4"/>
          <w:sz w:val="19"/>
        </w:rPr>
      </w:pPr>
      <w:r>
        <w:rPr>
          <w:rFonts w:ascii="Arial" w:eastAsia="Arial" w:hAnsi="Arial"/>
          <w:b/>
          <w:color w:val="5556A1"/>
          <w:spacing w:val="4"/>
          <w:sz w:val="19"/>
        </w:rPr>
        <w:t>162</w:t>
      </w:r>
      <w:r>
        <w:rPr>
          <w:rFonts w:ascii="Tahoma" w:eastAsia="Tahoma" w:hAnsi="Tahoma"/>
          <w:color w:val="404042"/>
          <w:spacing w:val="4"/>
          <w:sz w:val="14"/>
        </w:rPr>
        <w:tab/>
        <w:t>Looking to the future</w:t>
      </w:r>
    </w:p>
    <w:p w14:paraId="1D34F6D9" w14:textId="77777777" w:rsidR="009757A9" w:rsidRDefault="00083242">
      <w:pPr>
        <w:textAlignment w:val="baseline"/>
      </w:pPr>
      <w:r>
        <w:rPr>
          <w:noProof/>
          <w:lang w:val="en-AU" w:eastAsia="en-AU"/>
        </w:rPr>
        <w:drawing>
          <wp:anchor distT="0" distB="0" distL="114300" distR="114300" simplePos="0" relativeHeight="252108288" behindDoc="1" locked="0" layoutInCell="1" allowOverlap="1" wp14:anchorId="757664A4" wp14:editId="0D0ED80C">
            <wp:simplePos x="0" y="0"/>
            <wp:positionH relativeFrom="margin">
              <wp:align>right</wp:align>
            </wp:positionH>
            <wp:positionV relativeFrom="paragraph">
              <wp:posOffset>146685</wp:posOffset>
            </wp:positionV>
            <wp:extent cx="7562215" cy="462915"/>
            <wp:effectExtent l="0" t="0" r="635" b="0"/>
            <wp:wrapNone/>
            <wp:docPr id="265" name="Picture"/>
            <wp:cNvGraphicFramePr/>
            <a:graphic xmlns:a="http://schemas.openxmlformats.org/drawingml/2006/main">
              <a:graphicData uri="http://schemas.openxmlformats.org/drawingml/2006/picture">
                <pic:pic xmlns:pic="http://schemas.openxmlformats.org/drawingml/2006/picture">
                  <pic:nvPicPr>
                    <pic:cNvPr id="265" name="Picture"/>
                    <pic:cNvPicPr preferRelativeResize="0"/>
                  </pic:nvPicPr>
                  <pic:blipFill>
                    <a:blip r:embed="rId345">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13EEA846" w14:textId="77777777" w:rsidR="009757A9" w:rsidRDefault="009757A9">
      <w:pPr>
        <w:sectPr w:rsidR="009757A9">
          <w:pgSz w:w="11909" w:h="16838"/>
          <w:pgMar w:top="1140" w:right="0" w:bottom="0" w:left="0" w:header="720" w:footer="720" w:gutter="0"/>
          <w:cols w:space="720"/>
        </w:sectPr>
      </w:pPr>
    </w:p>
    <w:p w14:paraId="45BA4F62" w14:textId="77777777" w:rsidR="009757A9" w:rsidRDefault="00083242">
      <w:pPr>
        <w:shd w:val="solid" w:color="5C7182" w:fill="5C7182"/>
        <w:spacing w:after="31" w:line="209" w:lineRule="exact"/>
        <w:ind w:left="72"/>
        <w:textAlignment w:val="baseline"/>
        <w:rPr>
          <w:rFonts w:ascii="Arial" w:eastAsia="Arial" w:hAnsi="Arial"/>
          <w:b/>
          <w:color w:val="FFFFFF"/>
          <w:sz w:val="19"/>
        </w:rPr>
      </w:pPr>
      <w:r>
        <w:rPr>
          <w:rFonts w:ascii="Arial" w:eastAsia="Arial" w:hAnsi="Arial"/>
          <w:b/>
          <w:color w:val="FFFFFF"/>
          <w:sz w:val="19"/>
        </w:rPr>
        <w:lastRenderedPageBreak/>
        <w:t>Stakeholders consulted</w:t>
      </w:r>
    </w:p>
    <w:p w14:paraId="17844728" w14:textId="77777777" w:rsidR="009757A9" w:rsidRDefault="00083242">
      <w:pPr>
        <w:shd w:val="solid" w:color="004E66" w:fill="004E66"/>
        <w:spacing w:after="34" w:line="218" w:lineRule="exact"/>
        <w:ind w:left="72"/>
        <w:textAlignment w:val="baseline"/>
        <w:rPr>
          <w:rFonts w:ascii="Tahoma" w:eastAsia="Tahoma" w:hAnsi="Tahoma"/>
          <w:b/>
          <w:color w:val="FFFFFF"/>
          <w:sz w:val="17"/>
        </w:rPr>
      </w:pPr>
      <w:r>
        <w:rPr>
          <w:rFonts w:ascii="Tahoma" w:eastAsia="Tahoma" w:hAnsi="Tahoma"/>
          <w:b/>
          <w:color w:val="FFFFFF"/>
          <w:sz w:val="17"/>
        </w:rPr>
        <w:t>31 January 2020 – Sydney – NSW</w:t>
      </w:r>
    </w:p>
    <w:p w14:paraId="48AA9A3B" w14:textId="77777777" w:rsidR="009757A9" w:rsidRDefault="00083242">
      <w:pPr>
        <w:shd w:val="solid" w:color="F4F5F7" w:fill="F4F5F7"/>
        <w:spacing w:after="34" w:line="209" w:lineRule="exact"/>
        <w:ind w:left="72"/>
        <w:textAlignment w:val="baseline"/>
        <w:rPr>
          <w:rFonts w:ascii="Tahoma" w:eastAsia="Tahoma" w:hAnsi="Tahoma"/>
          <w:color w:val="404042"/>
          <w:spacing w:val="7"/>
          <w:sz w:val="18"/>
        </w:rPr>
      </w:pPr>
      <w:r>
        <w:rPr>
          <w:rFonts w:ascii="Tahoma" w:eastAsia="Tahoma" w:hAnsi="Tahoma"/>
          <w:color w:val="404042"/>
          <w:spacing w:val="7"/>
          <w:sz w:val="18"/>
        </w:rPr>
        <w:t>Australian Securities Investments Commission</w:t>
      </w:r>
    </w:p>
    <w:p w14:paraId="53EB94F6" w14:textId="77777777" w:rsidR="009757A9" w:rsidRDefault="00083242">
      <w:pPr>
        <w:shd w:val="solid" w:color="F4F5F7" w:fill="F4F5F7"/>
        <w:spacing w:after="35" w:line="209" w:lineRule="exact"/>
        <w:ind w:left="72"/>
        <w:textAlignment w:val="baseline"/>
        <w:rPr>
          <w:rFonts w:ascii="Tahoma" w:eastAsia="Tahoma" w:hAnsi="Tahoma"/>
          <w:color w:val="404042"/>
          <w:spacing w:val="6"/>
          <w:sz w:val="18"/>
        </w:rPr>
      </w:pPr>
      <w:r>
        <w:rPr>
          <w:rFonts w:ascii="Tahoma" w:eastAsia="Tahoma" w:hAnsi="Tahoma"/>
          <w:color w:val="404042"/>
          <w:spacing w:val="6"/>
          <w:sz w:val="18"/>
        </w:rPr>
        <w:t>National Youth Commission</w:t>
      </w:r>
    </w:p>
    <w:p w14:paraId="0FBE7ECE" w14:textId="77777777" w:rsidR="009757A9" w:rsidRDefault="00083242">
      <w:pPr>
        <w:shd w:val="solid" w:color="F4F5F7" w:fill="F4F5F7"/>
        <w:spacing w:after="38" w:line="209" w:lineRule="exact"/>
        <w:ind w:left="72"/>
        <w:textAlignment w:val="baseline"/>
        <w:rPr>
          <w:rFonts w:ascii="Tahoma" w:eastAsia="Tahoma" w:hAnsi="Tahoma"/>
          <w:color w:val="404042"/>
          <w:spacing w:val="4"/>
          <w:sz w:val="18"/>
        </w:rPr>
      </w:pPr>
      <w:r>
        <w:rPr>
          <w:rFonts w:ascii="Tahoma" w:eastAsia="Tahoma" w:hAnsi="Tahoma"/>
          <w:color w:val="404042"/>
          <w:spacing w:val="4"/>
          <w:sz w:val="18"/>
        </w:rPr>
        <w:t>NSW Council of Social Service</w:t>
      </w:r>
    </w:p>
    <w:p w14:paraId="1A136BB9" w14:textId="77777777" w:rsidR="009757A9" w:rsidRDefault="00083242">
      <w:pPr>
        <w:shd w:val="solid" w:color="F4F5F7" w:fill="F4F5F7"/>
        <w:spacing w:after="24" w:line="220" w:lineRule="exact"/>
        <w:ind w:left="72"/>
        <w:textAlignment w:val="baseline"/>
        <w:rPr>
          <w:rFonts w:ascii="Tahoma" w:eastAsia="Tahoma" w:hAnsi="Tahoma"/>
          <w:color w:val="404042"/>
          <w:spacing w:val="6"/>
          <w:sz w:val="18"/>
        </w:rPr>
      </w:pPr>
      <w:r>
        <w:rPr>
          <w:rFonts w:ascii="Tahoma" w:eastAsia="Tahoma" w:hAnsi="Tahoma"/>
          <w:color w:val="404042"/>
          <w:spacing w:val="6"/>
          <w:sz w:val="18"/>
        </w:rPr>
        <w:t>NSW Department of Education</w:t>
      </w:r>
    </w:p>
    <w:p w14:paraId="7618453C" w14:textId="77777777" w:rsidR="009757A9" w:rsidRDefault="00083242">
      <w:pPr>
        <w:shd w:val="solid" w:color="F4F5F7" w:fill="F4F5F7"/>
        <w:spacing w:after="28" w:line="220" w:lineRule="exact"/>
        <w:ind w:left="72"/>
        <w:textAlignment w:val="baseline"/>
        <w:rPr>
          <w:rFonts w:ascii="Tahoma" w:eastAsia="Tahoma" w:hAnsi="Tahoma"/>
          <w:color w:val="404042"/>
          <w:spacing w:val="8"/>
          <w:sz w:val="18"/>
        </w:rPr>
      </w:pPr>
      <w:r>
        <w:rPr>
          <w:rFonts w:ascii="Tahoma" w:eastAsia="Tahoma" w:hAnsi="Tahoma"/>
          <w:color w:val="404042"/>
          <w:spacing w:val="8"/>
          <w:sz w:val="18"/>
        </w:rPr>
        <w:t>PricewaterhouseCoopers</w:t>
      </w:r>
    </w:p>
    <w:p w14:paraId="1C25155F" w14:textId="77777777" w:rsidR="009757A9" w:rsidRDefault="00083242">
      <w:pPr>
        <w:shd w:val="solid" w:color="F4F5F7" w:fill="F4F5F7"/>
        <w:spacing w:after="33" w:line="220" w:lineRule="exact"/>
        <w:ind w:left="72"/>
        <w:textAlignment w:val="baseline"/>
        <w:rPr>
          <w:rFonts w:ascii="Tahoma" w:eastAsia="Tahoma" w:hAnsi="Tahoma"/>
          <w:color w:val="404042"/>
          <w:spacing w:val="4"/>
          <w:sz w:val="18"/>
        </w:rPr>
      </w:pPr>
      <w:r>
        <w:rPr>
          <w:rFonts w:ascii="Tahoma" w:eastAsia="Tahoma" w:hAnsi="Tahoma"/>
          <w:color w:val="404042"/>
          <w:spacing w:val="4"/>
          <w:sz w:val="18"/>
        </w:rPr>
        <w:t>Rooty Hill High School</w:t>
      </w:r>
    </w:p>
    <w:p w14:paraId="55B199AE" w14:textId="77777777" w:rsidR="009757A9" w:rsidRDefault="00083242">
      <w:pPr>
        <w:shd w:val="solid" w:color="F4F5F7" w:fill="F4F5F7"/>
        <w:spacing w:after="50" w:line="209" w:lineRule="exact"/>
        <w:ind w:left="72"/>
        <w:textAlignment w:val="baseline"/>
        <w:rPr>
          <w:rFonts w:ascii="Tahoma" w:eastAsia="Tahoma" w:hAnsi="Tahoma"/>
          <w:color w:val="404042"/>
          <w:spacing w:val="5"/>
          <w:sz w:val="18"/>
        </w:rPr>
      </w:pPr>
      <w:r>
        <w:rPr>
          <w:rFonts w:ascii="Tahoma" w:eastAsia="Tahoma" w:hAnsi="Tahoma"/>
          <w:color w:val="404042"/>
          <w:spacing w:val="5"/>
          <w:sz w:val="18"/>
        </w:rPr>
        <w:t>Social Ventures Australia</w:t>
      </w:r>
    </w:p>
    <w:p w14:paraId="19617C95" w14:textId="77777777" w:rsidR="009757A9" w:rsidRDefault="00083242">
      <w:pPr>
        <w:shd w:val="solid" w:color="F4F5F7" w:fill="F4F5F7"/>
        <w:spacing w:after="28" w:line="220" w:lineRule="exact"/>
        <w:ind w:left="72"/>
        <w:textAlignment w:val="baseline"/>
        <w:rPr>
          <w:rFonts w:ascii="Tahoma" w:eastAsia="Tahoma" w:hAnsi="Tahoma"/>
          <w:color w:val="404042"/>
          <w:spacing w:val="5"/>
          <w:sz w:val="18"/>
        </w:rPr>
      </w:pPr>
      <w:r>
        <w:rPr>
          <w:rFonts w:ascii="Tahoma" w:eastAsia="Tahoma" w:hAnsi="Tahoma"/>
          <w:color w:val="404042"/>
          <w:spacing w:val="5"/>
          <w:sz w:val="18"/>
        </w:rPr>
        <w:t>The Smith Family</w:t>
      </w:r>
    </w:p>
    <w:p w14:paraId="4BF527D6" w14:textId="77777777" w:rsidR="009757A9" w:rsidRDefault="00083242">
      <w:pPr>
        <w:shd w:val="solid" w:color="BF5B1F" w:fill="BF5B1F"/>
        <w:spacing w:after="34" w:line="218" w:lineRule="exact"/>
        <w:ind w:left="72"/>
        <w:textAlignment w:val="baseline"/>
        <w:rPr>
          <w:rFonts w:ascii="Tahoma" w:eastAsia="Tahoma" w:hAnsi="Tahoma"/>
          <w:b/>
          <w:color w:val="FFFFFF"/>
          <w:spacing w:val="1"/>
          <w:sz w:val="17"/>
        </w:rPr>
      </w:pPr>
      <w:r>
        <w:rPr>
          <w:rFonts w:ascii="Tahoma" w:eastAsia="Tahoma" w:hAnsi="Tahoma"/>
          <w:b/>
          <w:color w:val="FFFFFF"/>
          <w:spacing w:val="1"/>
          <w:sz w:val="17"/>
        </w:rPr>
        <w:t>14 February 2020 – Melbourne – VIC</w:t>
      </w:r>
    </w:p>
    <w:p w14:paraId="17061011" w14:textId="77777777" w:rsidR="009757A9" w:rsidRDefault="00083242">
      <w:pPr>
        <w:shd w:val="solid" w:color="F5E6DA" w:fill="F5E6DA"/>
        <w:spacing w:after="37" w:line="220" w:lineRule="exact"/>
        <w:ind w:left="72"/>
        <w:textAlignment w:val="baseline"/>
        <w:rPr>
          <w:rFonts w:ascii="Tahoma" w:eastAsia="Tahoma" w:hAnsi="Tahoma"/>
          <w:color w:val="404042"/>
          <w:spacing w:val="4"/>
          <w:sz w:val="18"/>
        </w:rPr>
      </w:pPr>
      <w:r>
        <w:rPr>
          <w:rFonts w:ascii="Tahoma" w:eastAsia="Tahoma" w:hAnsi="Tahoma"/>
          <w:color w:val="404042"/>
          <w:spacing w:val="4"/>
          <w:sz w:val="18"/>
        </w:rPr>
        <w:t>RMIT Public Policy Branch</w:t>
      </w:r>
    </w:p>
    <w:p w14:paraId="5EA30F0D" w14:textId="77777777" w:rsidR="009757A9" w:rsidRDefault="00083242">
      <w:pPr>
        <w:shd w:val="solid" w:color="F5E6DA" w:fill="F5E6DA"/>
        <w:spacing w:after="28" w:line="220" w:lineRule="exact"/>
        <w:ind w:left="72"/>
        <w:textAlignment w:val="baseline"/>
        <w:rPr>
          <w:rFonts w:ascii="Tahoma" w:eastAsia="Tahoma" w:hAnsi="Tahoma"/>
          <w:color w:val="404042"/>
          <w:spacing w:val="5"/>
          <w:sz w:val="18"/>
        </w:rPr>
      </w:pPr>
      <w:r>
        <w:rPr>
          <w:rFonts w:ascii="Tahoma" w:eastAsia="Tahoma" w:hAnsi="Tahoma"/>
          <w:color w:val="404042"/>
          <w:spacing w:val="5"/>
          <w:sz w:val="18"/>
        </w:rPr>
        <w:t>RMIT University Urban School</w:t>
      </w:r>
    </w:p>
    <w:p w14:paraId="30854C60" w14:textId="77777777" w:rsidR="009757A9" w:rsidRDefault="00083242">
      <w:pPr>
        <w:shd w:val="solid" w:color="004E66" w:fill="004E66"/>
        <w:spacing w:after="34" w:line="218" w:lineRule="exact"/>
        <w:ind w:left="72"/>
        <w:textAlignment w:val="baseline"/>
        <w:rPr>
          <w:rFonts w:ascii="Tahoma" w:eastAsia="Tahoma" w:hAnsi="Tahoma"/>
          <w:b/>
          <w:color w:val="FFFFFF"/>
          <w:sz w:val="17"/>
        </w:rPr>
      </w:pPr>
      <w:r>
        <w:rPr>
          <w:rFonts w:ascii="Tahoma" w:eastAsia="Tahoma" w:hAnsi="Tahoma"/>
          <w:b/>
          <w:color w:val="FFFFFF"/>
          <w:sz w:val="17"/>
        </w:rPr>
        <w:t>10 March 2020 – Wagga Wagga – NSW</w:t>
      </w:r>
    </w:p>
    <w:p w14:paraId="04CFD2E0" w14:textId="77777777" w:rsidR="009757A9" w:rsidRDefault="00083242">
      <w:pPr>
        <w:shd w:val="solid" w:color="F4F5F7" w:fill="F4F5F7"/>
        <w:spacing w:after="37" w:line="220" w:lineRule="exact"/>
        <w:ind w:left="72"/>
        <w:textAlignment w:val="baseline"/>
        <w:rPr>
          <w:rFonts w:ascii="Tahoma" w:eastAsia="Tahoma" w:hAnsi="Tahoma"/>
          <w:color w:val="404042"/>
          <w:spacing w:val="6"/>
          <w:sz w:val="18"/>
        </w:rPr>
      </w:pPr>
      <w:r>
        <w:rPr>
          <w:rFonts w:ascii="Tahoma" w:eastAsia="Tahoma" w:hAnsi="Tahoma"/>
          <w:color w:val="404042"/>
          <w:spacing w:val="6"/>
          <w:sz w:val="18"/>
        </w:rPr>
        <w:t>Commissioner for Children and Young People WA</w:t>
      </w:r>
    </w:p>
    <w:p w14:paraId="33D9803E" w14:textId="77777777" w:rsidR="009757A9" w:rsidRDefault="00083242">
      <w:pPr>
        <w:shd w:val="solid" w:color="F4F5F7" w:fill="F4F5F7"/>
        <w:spacing w:after="29" w:line="220" w:lineRule="exact"/>
        <w:ind w:left="72"/>
        <w:textAlignment w:val="baseline"/>
        <w:rPr>
          <w:rFonts w:ascii="Tahoma" w:eastAsia="Tahoma" w:hAnsi="Tahoma"/>
          <w:color w:val="404042"/>
          <w:spacing w:val="3"/>
          <w:sz w:val="18"/>
        </w:rPr>
      </w:pPr>
      <w:r>
        <w:rPr>
          <w:rFonts w:ascii="Tahoma" w:eastAsia="Tahoma" w:hAnsi="Tahoma"/>
          <w:color w:val="404042"/>
          <w:spacing w:val="3"/>
          <w:sz w:val="18"/>
        </w:rPr>
        <w:t>Erindale College (ACT)</w:t>
      </w:r>
    </w:p>
    <w:p w14:paraId="3A198C16" w14:textId="77777777" w:rsidR="009757A9" w:rsidRDefault="00083242">
      <w:pPr>
        <w:shd w:val="solid" w:color="F4F5F7" w:fill="F4F5F7"/>
        <w:spacing w:after="33" w:line="220" w:lineRule="exact"/>
        <w:ind w:left="72"/>
        <w:textAlignment w:val="baseline"/>
        <w:rPr>
          <w:rFonts w:ascii="Tahoma" w:eastAsia="Tahoma" w:hAnsi="Tahoma"/>
          <w:color w:val="404042"/>
          <w:spacing w:val="3"/>
          <w:sz w:val="18"/>
        </w:rPr>
      </w:pPr>
      <w:r>
        <w:rPr>
          <w:rFonts w:ascii="Tahoma" w:eastAsia="Tahoma" w:hAnsi="Tahoma"/>
          <w:color w:val="404042"/>
          <w:spacing w:val="3"/>
          <w:sz w:val="18"/>
        </w:rPr>
        <w:t>Gungahlin College (ACT)</w:t>
      </w:r>
    </w:p>
    <w:p w14:paraId="011FFF5D" w14:textId="77777777" w:rsidR="009757A9" w:rsidRDefault="00083242">
      <w:pPr>
        <w:shd w:val="solid" w:color="F4F5F7" w:fill="F4F5F7"/>
        <w:spacing w:after="24" w:line="220" w:lineRule="exact"/>
        <w:ind w:left="72"/>
        <w:textAlignment w:val="baseline"/>
        <w:rPr>
          <w:rFonts w:ascii="Tahoma" w:eastAsia="Tahoma" w:hAnsi="Tahoma"/>
          <w:color w:val="404042"/>
          <w:spacing w:val="4"/>
          <w:sz w:val="18"/>
        </w:rPr>
      </w:pPr>
      <w:r>
        <w:rPr>
          <w:rFonts w:ascii="Tahoma" w:eastAsia="Tahoma" w:hAnsi="Tahoma"/>
          <w:color w:val="404042"/>
          <w:spacing w:val="4"/>
          <w:sz w:val="18"/>
        </w:rPr>
        <w:t>Hennessy Catholic College (NSW)</w:t>
      </w:r>
    </w:p>
    <w:p w14:paraId="43943E52" w14:textId="77777777" w:rsidR="009757A9" w:rsidRDefault="00083242">
      <w:pPr>
        <w:shd w:val="solid" w:color="F4F5F7" w:fill="F4F5F7"/>
        <w:spacing w:after="38" w:line="211" w:lineRule="exact"/>
        <w:ind w:left="72"/>
        <w:textAlignment w:val="baseline"/>
        <w:rPr>
          <w:rFonts w:ascii="Tahoma" w:eastAsia="Tahoma" w:hAnsi="Tahoma"/>
          <w:color w:val="404042"/>
          <w:sz w:val="18"/>
        </w:rPr>
      </w:pPr>
      <w:r>
        <w:rPr>
          <w:rFonts w:ascii="Tahoma" w:eastAsia="Tahoma" w:hAnsi="Tahoma"/>
          <w:color w:val="404042"/>
          <w:sz w:val="18"/>
        </w:rPr>
        <w:t>Jasiri (NSW / ACT)</w:t>
      </w:r>
    </w:p>
    <w:p w14:paraId="292797B9" w14:textId="77777777" w:rsidR="009757A9" w:rsidRDefault="00083242">
      <w:pPr>
        <w:shd w:val="solid" w:color="F4F5F7" w:fill="F4F5F7"/>
        <w:spacing w:after="32" w:line="220" w:lineRule="exact"/>
        <w:ind w:left="72"/>
        <w:textAlignment w:val="baseline"/>
        <w:rPr>
          <w:rFonts w:ascii="Tahoma" w:eastAsia="Tahoma" w:hAnsi="Tahoma"/>
          <w:color w:val="404042"/>
          <w:spacing w:val="4"/>
          <w:sz w:val="18"/>
        </w:rPr>
      </w:pPr>
      <w:r>
        <w:rPr>
          <w:rFonts w:ascii="Tahoma" w:eastAsia="Tahoma" w:hAnsi="Tahoma"/>
          <w:color w:val="404042"/>
          <w:spacing w:val="4"/>
          <w:sz w:val="18"/>
        </w:rPr>
        <w:t>Mater Dei Catholic College (NSW)</w:t>
      </w:r>
    </w:p>
    <w:p w14:paraId="6EF46188" w14:textId="77777777" w:rsidR="009757A9" w:rsidRDefault="00083242">
      <w:pPr>
        <w:shd w:val="solid" w:color="F4F5F7" w:fill="F4F5F7"/>
        <w:spacing w:after="24" w:line="220" w:lineRule="exact"/>
        <w:ind w:left="72"/>
        <w:textAlignment w:val="baseline"/>
        <w:rPr>
          <w:rFonts w:ascii="Tahoma" w:eastAsia="Tahoma" w:hAnsi="Tahoma"/>
          <w:color w:val="404042"/>
          <w:spacing w:val="5"/>
          <w:sz w:val="18"/>
        </w:rPr>
      </w:pPr>
      <w:r>
        <w:rPr>
          <w:rFonts w:ascii="Tahoma" w:eastAsia="Tahoma" w:hAnsi="Tahoma"/>
          <w:color w:val="404042"/>
          <w:spacing w:val="5"/>
          <w:sz w:val="18"/>
        </w:rPr>
        <w:t>Mount Austin High School (NSW)</w:t>
      </w:r>
    </w:p>
    <w:p w14:paraId="304E89A1" w14:textId="77777777" w:rsidR="009757A9" w:rsidRDefault="00083242">
      <w:pPr>
        <w:shd w:val="solid" w:color="F4F5F7" w:fill="F4F5F7"/>
        <w:spacing w:after="28" w:line="220" w:lineRule="exact"/>
        <w:ind w:left="72"/>
        <w:textAlignment w:val="baseline"/>
        <w:rPr>
          <w:rFonts w:ascii="Tahoma" w:eastAsia="Tahoma" w:hAnsi="Tahoma"/>
          <w:color w:val="404042"/>
          <w:spacing w:val="6"/>
          <w:sz w:val="18"/>
        </w:rPr>
      </w:pPr>
      <w:r>
        <w:rPr>
          <w:rFonts w:ascii="Tahoma" w:eastAsia="Tahoma" w:hAnsi="Tahoma"/>
          <w:color w:val="404042"/>
          <w:spacing w:val="6"/>
          <w:sz w:val="18"/>
        </w:rPr>
        <w:t>Multicultural Youth Advocacy Network (National)</w:t>
      </w:r>
    </w:p>
    <w:p w14:paraId="5002BCA1" w14:textId="77777777" w:rsidR="009757A9" w:rsidRDefault="00083242">
      <w:pPr>
        <w:shd w:val="solid" w:color="F4F5F7" w:fill="F4F5F7"/>
        <w:spacing w:after="33" w:line="220" w:lineRule="exact"/>
        <w:ind w:left="72"/>
        <w:textAlignment w:val="baseline"/>
        <w:rPr>
          <w:rFonts w:ascii="Tahoma" w:eastAsia="Tahoma" w:hAnsi="Tahoma"/>
          <w:color w:val="404042"/>
          <w:spacing w:val="4"/>
          <w:sz w:val="18"/>
        </w:rPr>
      </w:pPr>
      <w:r>
        <w:rPr>
          <w:rFonts w:ascii="Tahoma" w:eastAsia="Tahoma" w:hAnsi="Tahoma"/>
          <w:color w:val="404042"/>
          <w:spacing w:val="4"/>
          <w:sz w:val="18"/>
        </w:rPr>
        <w:t>Riverina Anglican College (NSW)</w:t>
      </w:r>
    </w:p>
    <w:p w14:paraId="140B4FD9" w14:textId="77777777" w:rsidR="009757A9" w:rsidRDefault="00083242">
      <w:pPr>
        <w:shd w:val="solid" w:color="F4F5F7" w:fill="F4F5F7"/>
        <w:spacing w:after="50" w:line="209" w:lineRule="exact"/>
        <w:ind w:left="72"/>
        <w:textAlignment w:val="baseline"/>
        <w:rPr>
          <w:rFonts w:ascii="Tahoma" w:eastAsia="Tahoma" w:hAnsi="Tahoma"/>
          <w:color w:val="404042"/>
          <w:spacing w:val="2"/>
          <w:sz w:val="18"/>
        </w:rPr>
      </w:pPr>
      <w:r>
        <w:rPr>
          <w:rFonts w:ascii="Tahoma" w:eastAsia="Tahoma" w:hAnsi="Tahoma"/>
          <w:color w:val="404042"/>
          <w:spacing w:val="2"/>
          <w:sz w:val="18"/>
        </w:rPr>
        <w:t>The Indie School (NSW)</w:t>
      </w:r>
    </w:p>
    <w:p w14:paraId="1102E5C4" w14:textId="77777777" w:rsidR="009757A9" w:rsidRDefault="00083242">
      <w:pPr>
        <w:shd w:val="solid" w:color="F4F5F7" w:fill="F4F5F7"/>
        <w:spacing w:after="28" w:line="220" w:lineRule="exact"/>
        <w:ind w:left="72"/>
        <w:textAlignment w:val="baseline"/>
        <w:rPr>
          <w:rFonts w:ascii="Tahoma" w:eastAsia="Tahoma" w:hAnsi="Tahoma"/>
          <w:color w:val="404042"/>
          <w:spacing w:val="5"/>
          <w:sz w:val="18"/>
        </w:rPr>
      </w:pPr>
      <w:r>
        <w:rPr>
          <w:rFonts w:ascii="Tahoma" w:eastAsia="Tahoma" w:hAnsi="Tahoma"/>
          <w:color w:val="404042"/>
          <w:spacing w:val="5"/>
          <w:sz w:val="18"/>
        </w:rPr>
        <w:t>Training Services NSW</w:t>
      </w:r>
    </w:p>
    <w:p w14:paraId="373550F1" w14:textId="77777777" w:rsidR="009757A9" w:rsidRDefault="00083242">
      <w:pPr>
        <w:shd w:val="solid" w:color="F4F5F7" w:fill="F4F5F7"/>
        <w:spacing w:after="34" w:line="220" w:lineRule="exact"/>
        <w:ind w:left="72"/>
        <w:textAlignment w:val="baseline"/>
        <w:rPr>
          <w:rFonts w:ascii="Tahoma" w:eastAsia="Tahoma" w:hAnsi="Tahoma"/>
          <w:color w:val="404042"/>
          <w:spacing w:val="5"/>
          <w:sz w:val="18"/>
        </w:rPr>
      </w:pPr>
      <w:r>
        <w:rPr>
          <w:rFonts w:ascii="Tahoma" w:eastAsia="Tahoma" w:hAnsi="Tahoma"/>
          <w:color w:val="404042"/>
          <w:spacing w:val="5"/>
          <w:sz w:val="18"/>
        </w:rPr>
        <w:t>UC Senior Secondary College Lake Ginninderra (ACT)</w:t>
      </w:r>
    </w:p>
    <w:p w14:paraId="136F04FF" w14:textId="77777777" w:rsidR="009757A9" w:rsidRDefault="00083242">
      <w:pPr>
        <w:shd w:val="solid" w:color="F4F5F7" w:fill="F4F5F7"/>
        <w:spacing w:after="39" w:line="209" w:lineRule="exact"/>
        <w:ind w:left="72"/>
        <w:textAlignment w:val="baseline"/>
        <w:rPr>
          <w:rFonts w:ascii="Tahoma" w:eastAsia="Tahoma" w:hAnsi="Tahoma"/>
          <w:color w:val="404042"/>
          <w:spacing w:val="4"/>
          <w:sz w:val="18"/>
        </w:rPr>
      </w:pPr>
      <w:r>
        <w:rPr>
          <w:rFonts w:ascii="Tahoma" w:eastAsia="Tahoma" w:hAnsi="Tahoma"/>
          <w:color w:val="404042"/>
          <w:spacing w:val="4"/>
          <w:sz w:val="18"/>
        </w:rPr>
        <w:t>YLab (National)</w:t>
      </w:r>
    </w:p>
    <w:p w14:paraId="251F5D24" w14:textId="77777777" w:rsidR="009757A9" w:rsidRDefault="009757A9">
      <w:pPr>
        <w:spacing w:after="39" w:line="209" w:lineRule="exact"/>
        <w:sectPr w:rsidR="009757A9">
          <w:pgSz w:w="11909" w:h="16838"/>
          <w:pgMar w:top="1140" w:right="1250" w:bottom="0" w:left="859" w:header="720" w:footer="720" w:gutter="0"/>
          <w:cols w:space="720"/>
        </w:sectPr>
      </w:pPr>
    </w:p>
    <w:p w14:paraId="3F44F1E3" w14:textId="77777777" w:rsidR="009757A9" w:rsidRDefault="009757A9">
      <w:pPr>
        <w:spacing w:before="5814" w:line="288" w:lineRule="exact"/>
        <w:textAlignment w:val="baseline"/>
        <w:rPr>
          <w:rFonts w:eastAsia="Times New Roman"/>
          <w:color w:val="000000"/>
          <w:sz w:val="24"/>
        </w:rPr>
      </w:pPr>
    </w:p>
    <w:p w14:paraId="53007A10" w14:textId="77777777" w:rsidR="009757A9" w:rsidRDefault="009757A9">
      <w:pPr>
        <w:sectPr w:rsidR="009757A9">
          <w:type w:val="continuous"/>
          <w:pgSz w:w="11909" w:h="16838"/>
          <w:pgMar w:top="1140" w:right="0" w:bottom="0" w:left="0" w:header="720" w:footer="720" w:gutter="0"/>
          <w:cols w:space="720"/>
        </w:sectPr>
      </w:pPr>
    </w:p>
    <w:p w14:paraId="3B2F1125" w14:textId="77777777" w:rsidR="003161C6" w:rsidRDefault="003161C6">
      <w:pPr>
        <w:spacing w:after="634" w:line="208" w:lineRule="exact"/>
        <w:ind w:left="9576"/>
        <w:textAlignment w:val="baseline"/>
        <w:rPr>
          <w:rFonts w:ascii="Tahoma" w:eastAsia="Tahoma" w:hAnsi="Tahoma"/>
          <w:color w:val="404042"/>
          <w:spacing w:val="13"/>
          <w:sz w:val="14"/>
        </w:rPr>
      </w:pPr>
    </w:p>
    <w:p w14:paraId="5457A788" w14:textId="3DDF50E4" w:rsidR="009757A9" w:rsidRDefault="00083242">
      <w:pPr>
        <w:spacing w:after="634" w:line="208" w:lineRule="exact"/>
        <w:ind w:left="9576"/>
        <w:textAlignment w:val="baseline"/>
        <w:rPr>
          <w:rFonts w:ascii="Tahoma" w:eastAsia="Tahoma" w:hAnsi="Tahoma"/>
          <w:color w:val="404042"/>
          <w:spacing w:val="13"/>
          <w:sz w:val="14"/>
        </w:rPr>
      </w:pPr>
      <w:r>
        <w:rPr>
          <w:rFonts w:ascii="Tahoma" w:eastAsia="Tahoma" w:hAnsi="Tahoma"/>
          <w:color w:val="404042"/>
          <w:spacing w:val="13"/>
          <w:sz w:val="14"/>
        </w:rPr>
        <w:t>Consultations</w:t>
      </w:r>
      <w:r>
        <w:rPr>
          <w:rFonts w:ascii="Arial" w:eastAsia="Arial" w:hAnsi="Arial"/>
          <w:b/>
          <w:color w:val="5556A1"/>
          <w:spacing w:val="13"/>
          <w:sz w:val="19"/>
        </w:rPr>
        <w:t xml:space="preserve"> 163</w:t>
      </w:r>
    </w:p>
    <w:p w14:paraId="41C2DF94" w14:textId="77777777" w:rsidR="009757A9" w:rsidRDefault="00083242">
      <w:pPr>
        <w:textAlignment w:val="baseline"/>
      </w:pPr>
      <w:r>
        <w:rPr>
          <w:noProof/>
          <w:lang w:val="en-AU" w:eastAsia="en-AU"/>
        </w:rPr>
        <w:drawing>
          <wp:anchor distT="0" distB="0" distL="114300" distR="114300" simplePos="0" relativeHeight="252109312" behindDoc="1" locked="0" layoutInCell="1" allowOverlap="1" wp14:anchorId="46C833B8" wp14:editId="65DCDADB">
            <wp:simplePos x="0" y="0"/>
            <wp:positionH relativeFrom="page">
              <wp:align>left</wp:align>
            </wp:positionH>
            <wp:positionV relativeFrom="paragraph">
              <wp:posOffset>259715</wp:posOffset>
            </wp:positionV>
            <wp:extent cx="7562215" cy="462915"/>
            <wp:effectExtent l="0" t="0" r="635" b="0"/>
            <wp:wrapNone/>
            <wp:docPr id="266" name="Picture"/>
            <wp:cNvGraphicFramePr/>
            <a:graphic xmlns:a="http://schemas.openxmlformats.org/drawingml/2006/main">
              <a:graphicData uri="http://schemas.openxmlformats.org/drawingml/2006/picture">
                <pic:pic xmlns:pic="http://schemas.openxmlformats.org/drawingml/2006/picture">
                  <pic:nvPicPr>
                    <pic:cNvPr id="266" name="Picture"/>
                    <pic:cNvPicPr preferRelativeResize="0"/>
                  </pic:nvPicPr>
                  <pic:blipFill>
                    <a:blip r:embed="rId346">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6C07FC11" w14:textId="77777777" w:rsidR="009757A9" w:rsidRDefault="009757A9">
      <w:pPr>
        <w:sectPr w:rsidR="009757A9">
          <w:type w:val="continuous"/>
          <w:pgSz w:w="11909" w:h="16838"/>
          <w:pgMar w:top="1140" w:right="0" w:bottom="0" w:left="0" w:header="720" w:footer="720" w:gutter="0"/>
          <w:cols w:space="720"/>
        </w:sectPr>
      </w:pPr>
    </w:p>
    <w:p w14:paraId="095E0713" w14:textId="77777777" w:rsidR="009757A9" w:rsidRDefault="00083242">
      <w:pPr>
        <w:spacing w:before="2" w:after="235" w:line="454" w:lineRule="exact"/>
        <w:ind w:left="864"/>
        <w:textAlignment w:val="baseline"/>
        <w:rPr>
          <w:rFonts w:ascii="Arial" w:eastAsia="Arial" w:hAnsi="Arial"/>
          <w:b/>
          <w:color w:val="00708E"/>
          <w:spacing w:val="7"/>
          <w:w w:val="95"/>
          <w:sz w:val="39"/>
        </w:rPr>
      </w:pPr>
      <w:r>
        <w:rPr>
          <w:rFonts w:ascii="Arial" w:eastAsia="Arial" w:hAnsi="Arial"/>
          <w:b/>
          <w:color w:val="00708E"/>
          <w:spacing w:val="7"/>
          <w:w w:val="95"/>
          <w:sz w:val="39"/>
        </w:rPr>
        <w:lastRenderedPageBreak/>
        <w:t>PUBLIC SUBMISSIONS</w:t>
      </w:r>
    </w:p>
    <w:p w14:paraId="774210C8" w14:textId="77777777" w:rsidR="009757A9" w:rsidRDefault="00083242">
      <w:pPr>
        <w:spacing w:before="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From 20 September to 24 December 2019, the Review panel received over 200 submissions, 141 from organisations</w:t>
      </w:r>
    </w:p>
    <w:p w14:paraId="3C8AC14B" w14:textId="77777777" w:rsidR="009757A9" w:rsidRDefault="00083242">
      <w:pPr>
        <w:spacing w:after="457" w:line="234" w:lineRule="exact"/>
        <w:ind w:left="864" w:right="864"/>
        <w:textAlignment w:val="baseline"/>
        <w:rPr>
          <w:rFonts w:ascii="Tahoma" w:eastAsia="Tahoma" w:hAnsi="Tahoma"/>
          <w:color w:val="404042"/>
          <w:sz w:val="18"/>
        </w:rPr>
      </w:pPr>
      <w:r>
        <w:rPr>
          <w:rFonts w:ascii="Tahoma" w:eastAsia="Tahoma" w:hAnsi="Tahoma"/>
          <w:color w:val="404042"/>
          <w:sz w:val="18"/>
        </w:rPr>
        <w:t>and 69 from individuals through the Review of senior secondary pathways website. Details are below. Note that private submissions have not been listed here.</w:t>
      </w:r>
    </w:p>
    <w:p w14:paraId="32261ECF" w14:textId="77777777" w:rsidR="009757A9" w:rsidRDefault="00083242">
      <w:pPr>
        <w:pBdr>
          <w:bottom w:val="single" w:sz="7" w:space="0" w:color="F6F8F9"/>
        </w:pBdr>
        <w:shd w:val="solid" w:color="5C7182" w:fill="5C7182"/>
        <w:spacing w:after="29" w:line="209" w:lineRule="exact"/>
        <w:ind w:left="922" w:right="855"/>
        <w:textAlignment w:val="baseline"/>
        <w:rPr>
          <w:rFonts w:ascii="Arial" w:eastAsia="Arial" w:hAnsi="Arial"/>
          <w:b/>
          <w:color w:val="FFFFFF"/>
          <w:sz w:val="19"/>
        </w:rPr>
      </w:pPr>
      <w:r>
        <w:rPr>
          <w:rFonts w:ascii="Arial" w:eastAsia="Arial" w:hAnsi="Arial"/>
          <w:b/>
          <w:color w:val="FFFFFF"/>
          <w:sz w:val="19"/>
        </w:rPr>
        <w:t>Stakeholders who made submissions</w:t>
      </w:r>
    </w:p>
    <w:p w14:paraId="7B78A664" w14:textId="77777777" w:rsidR="009757A9" w:rsidRDefault="00083242">
      <w:pPr>
        <w:pBdr>
          <w:right w:val="single" w:sz="2" w:space="0" w:color="F6F8F9"/>
        </w:pBdr>
        <w:shd w:val="solid" w:color="F6F8F9" w:fill="F6F8F9"/>
        <w:spacing w:after="9" w:line="209"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ACT Government</w:t>
      </w:r>
    </w:p>
    <w:p w14:paraId="5E943733" w14:textId="77777777" w:rsidR="009757A9" w:rsidRDefault="00083242">
      <w:pPr>
        <w:shd w:val="solid" w:color="F6F8F9" w:fill="F6F8F9"/>
        <w:spacing w:after="58"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Advocate for Children and Young People</w:t>
      </w:r>
    </w:p>
    <w:p w14:paraId="77167684"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Association of Heads of Independent Schools of Australia (AHISA)</w:t>
      </w:r>
    </w:p>
    <w:p w14:paraId="33CDA1BC"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Association of Independent Schools</w:t>
      </w:r>
    </w:p>
    <w:p w14:paraId="72C285D5" w14:textId="77777777" w:rsidR="009757A9" w:rsidRDefault="00083242">
      <w:pPr>
        <w:shd w:val="solid" w:color="F6F8F9" w:fill="F6F8F9"/>
        <w:spacing w:after="4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Association of Independent Schools of NSW</w:t>
      </w:r>
    </w:p>
    <w:p w14:paraId="2B9522BC"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Association of Independent Schools of South Australia (AISSA)</w:t>
      </w:r>
    </w:p>
    <w:p w14:paraId="13623E92"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Australian Association for the Teaching of English</w:t>
      </w:r>
    </w:p>
    <w:p w14:paraId="3B072A53"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Australian Chamber of Commerce and Industry</w:t>
      </w:r>
    </w:p>
    <w:p w14:paraId="1CEF9057" w14:textId="77777777" w:rsidR="009757A9" w:rsidRDefault="00083242">
      <w:pPr>
        <w:pBdr>
          <w:right w:val="single" w:sz="2" w:space="0" w:color="F6F8F9"/>
        </w:pBdr>
        <w:shd w:val="solid" w:color="F6F8F9" w:fill="F6F8F9"/>
        <w:spacing w:after="9" w:line="209"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Australian Education Union</w:t>
      </w:r>
    </w:p>
    <w:p w14:paraId="2D811972" w14:textId="77777777" w:rsidR="009757A9" w:rsidRDefault="00083242">
      <w:pPr>
        <w:shd w:val="solid" w:color="F6F8F9" w:fill="F6F8F9"/>
        <w:spacing w:after="44"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Australian Geography Teachers Association</w:t>
      </w:r>
    </w:p>
    <w:p w14:paraId="4CB9FAF6"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Australian Government Primary Principals Association</w:t>
      </w:r>
    </w:p>
    <w:p w14:paraId="15DD9353"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Australian Indigenous Mentoring Experience</w:t>
      </w:r>
    </w:p>
    <w:p w14:paraId="70699677"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Australian Industry Group</w:t>
      </w:r>
    </w:p>
    <w:p w14:paraId="1DBE3FBB"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Australian Library and Information Association</w:t>
      </w:r>
    </w:p>
    <w:p w14:paraId="269F9D03" w14:textId="77777777" w:rsidR="009757A9" w:rsidRDefault="00083242">
      <w:pPr>
        <w:pBdr>
          <w:right w:val="single" w:sz="2" w:space="0" w:color="F6F8F9"/>
        </w:pBdr>
        <w:shd w:val="solid" w:color="F6F8F9" w:fill="F6F8F9"/>
        <w:spacing w:after="5" w:line="209"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Australian Mathematical Sciences Institute</w:t>
      </w:r>
    </w:p>
    <w:p w14:paraId="545738C8" w14:textId="77777777" w:rsidR="009757A9" w:rsidRDefault="00083242">
      <w:pPr>
        <w:pBdr>
          <w:right w:val="single" w:sz="2" w:space="0" w:color="F6F8F9"/>
        </w:pBdr>
        <w:shd w:val="solid" w:color="F6F8F9" w:fill="F6F8F9"/>
        <w:spacing w:after="10" w:line="209"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Australian Parents Council</w:t>
      </w:r>
    </w:p>
    <w:p w14:paraId="312A2F71" w14:textId="77777777" w:rsidR="009757A9" w:rsidRDefault="00083242">
      <w:pPr>
        <w:pBdr>
          <w:right w:val="single" w:sz="2" w:space="0" w:color="F6F8F9"/>
        </w:pBdr>
        <w:shd w:val="solid" w:color="F6F8F9" w:fill="F6F8F9"/>
        <w:spacing w:after="9" w:line="209"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Australian Professional Teachers Association</w:t>
      </w:r>
    </w:p>
    <w:p w14:paraId="3A6AD346"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Australian Scholarships Group</w:t>
      </w:r>
    </w:p>
    <w:p w14:paraId="2F37FA60" w14:textId="77777777" w:rsidR="009757A9" w:rsidRDefault="00083242">
      <w:pPr>
        <w:shd w:val="solid" w:color="F6F8F9" w:fill="F6F8F9"/>
        <w:spacing w:after="5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Autism Spectrum Australia (Aspect)</w:t>
      </w:r>
    </w:p>
    <w:p w14:paraId="118CF577"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Batchelor Institute of Indigenous Tertiary Education</w:t>
      </w:r>
    </w:p>
    <w:p w14:paraId="67B19FBC" w14:textId="77777777" w:rsidR="009757A9" w:rsidRDefault="00083242">
      <w:pPr>
        <w:shd w:val="solid" w:color="F6F8F9" w:fill="F6F8F9"/>
        <w:spacing w:after="48" w:line="220"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BECOME. Life Design Pty Ltd</w:t>
      </w:r>
    </w:p>
    <w:p w14:paraId="2449D068" w14:textId="77777777" w:rsidR="009757A9" w:rsidRDefault="00083242">
      <w:pPr>
        <w:pBdr>
          <w:right w:val="single" w:sz="2" w:space="0" w:color="F6F8F9"/>
        </w:pBdr>
        <w:shd w:val="solid" w:color="F6F8F9" w:fill="F6F8F9"/>
        <w:spacing w:after="10" w:line="209"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Beddie, Francesca</w:t>
      </w:r>
    </w:p>
    <w:p w14:paraId="3ECCE8D8"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2"/>
          <w:sz w:val="18"/>
        </w:rPr>
      </w:pPr>
      <w:r>
        <w:rPr>
          <w:rFonts w:ascii="Tahoma" w:eastAsia="Tahoma" w:hAnsi="Tahoma"/>
          <w:color w:val="404042"/>
          <w:spacing w:val="2"/>
          <w:sz w:val="18"/>
        </w:rPr>
        <w:t>Boys, Sasha</w:t>
      </w:r>
    </w:p>
    <w:p w14:paraId="560D6FBF" w14:textId="77777777" w:rsidR="009757A9" w:rsidRDefault="00083242">
      <w:pPr>
        <w:pBdr>
          <w:right w:val="single" w:sz="2" w:space="0" w:color="F6F8F9"/>
        </w:pBdr>
        <w:shd w:val="solid" w:color="F6F8F9" w:fill="F6F8F9"/>
        <w:spacing w:after="10" w:line="209"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Bradshaw, Chantal</w:t>
      </w:r>
    </w:p>
    <w:p w14:paraId="5C84E4F3"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2"/>
          <w:sz w:val="18"/>
        </w:rPr>
      </w:pPr>
      <w:r>
        <w:rPr>
          <w:rFonts w:ascii="Tahoma" w:eastAsia="Tahoma" w:hAnsi="Tahoma"/>
          <w:color w:val="404042"/>
          <w:spacing w:val="2"/>
          <w:sz w:val="18"/>
        </w:rPr>
        <w:t>Bray, Helen</w:t>
      </w:r>
    </w:p>
    <w:p w14:paraId="71503410" w14:textId="77777777" w:rsidR="009757A9" w:rsidRDefault="00083242">
      <w:pPr>
        <w:shd w:val="solid" w:color="F6F8F9" w:fill="F6F8F9"/>
        <w:spacing w:after="47" w:line="220" w:lineRule="exact"/>
        <w:ind w:left="922" w:right="850"/>
        <w:textAlignment w:val="baseline"/>
        <w:rPr>
          <w:rFonts w:ascii="Tahoma" w:eastAsia="Tahoma" w:hAnsi="Tahoma"/>
          <w:color w:val="404042"/>
          <w:spacing w:val="2"/>
          <w:sz w:val="18"/>
        </w:rPr>
      </w:pPr>
      <w:r>
        <w:rPr>
          <w:rFonts w:ascii="Tahoma" w:eastAsia="Tahoma" w:hAnsi="Tahoma"/>
          <w:color w:val="404042"/>
          <w:spacing w:val="2"/>
          <w:sz w:val="18"/>
        </w:rPr>
        <w:t>Bridge, Vicki</w:t>
      </w:r>
    </w:p>
    <w:p w14:paraId="2CEA3855"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Broughton, Christina</w:t>
      </w:r>
    </w:p>
    <w:p w14:paraId="307FEBB9" w14:textId="77777777" w:rsidR="009757A9" w:rsidRDefault="00083242">
      <w:pPr>
        <w:shd w:val="solid" w:color="F6F8F9" w:fill="F6F8F9"/>
        <w:spacing w:after="56"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Career Industry Council of Australia</w:t>
      </w:r>
    </w:p>
    <w:p w14:paraId="3682DFB1" w14:textId="77777777" w:rsidR="009757A9" w:rsidRDefault="00083242">
      <w:pPr>
        <w:pBdr>
          <w:right w:val="single" w:sz="2" w:space="0" w:color="F6F8F9"/>
        </w:pBdr>
        <w:shd w:val="solid" w:color="F6F8F9" w:fill="F6F8F9"/>
        <w:spacing w:after="10" w:line="209"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Careers Advisors Association of NSW &amp; ACT</w:t>
      </w:r>
    </w:p>
    <w:p w14:paraId="55CC47B7" w14:textId="77777777" w:rsidR="009757A9" w:rsidRDefault="00083242">
      <w:pPr>
        <w:pBdr>
          <w:right w:val="single" w:sz="2" w:space="0" w:color="F6F8F9"/>
        </w:pBdr>
        <w:shd w:val="solid" w:color="F6F8F9" w:fill="F6F8F9"/>
        <w:spacing w:after="10" w:line="209"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Catholic Education Diocese of Parramatta</w:t>
      </w:r>
    </w:p>
    <w:p w14:paraId="18E81D16" w14:textId="77777777" w:rsidR="009757A9" w:rsidRDefault="00083242">
      <w:pPr>
        <w:shd w:val="solid" w:color="F6F8F9" w:fill="F6F8F9"/>
        <w:spacing w:after="58" w:line="209"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Catholic Education WA</w:t>
      </w:r>
    </w:p>
    <w:p w14:paraId="1BB09429"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Catholic Regional College Sydenham</w:t>
      </w:r>
    </w:p>
    <w:p w14:paraId="6030A117"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Catholic Regional College Sydenham</w:t>
      </w:r>
    </w:p>
    <w:p w14:paraId="44A0D209" w14:textId="77777777" w:rsidR="009757A9" w:rsidRDefault="00083242">
      <w:pPr>
        <w:shd w:val="solid" w:color="F6F8F9" w:fill="F6F8F9"/>
        <w:spacing w:after="63" w:line="209"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Catholic School Parents Australia</w:t>
      </w:r>
    </w:p>
    <w:p w14:paraId="68A68593" w14:textId="77777777" w:rsidR="009757A9" w:rsidRDefault="00083242">
      <w:pPr>
        <w:pBdr>
          <w:right w:val="single" w:sz="2" w:space="0" w:color="F6F8F9"/>
        </w:pBdr>
        <w:shd w:val="solid" w:color="F6F8F9" w:fill="F6F8F9"/>
        <w:spacing w:after="10"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Centre for Vocational and Educational Policy, Melbourne Disability Institute, Learning Intervention</w:t>
      </w:r>
    </w:p>
    <w:p w14:paraId="575F3E3B" w14:textId="77777777" w:rsidR="009757A9" w:rsidRDefault="00083242">
      <w:pPr>
        <w:shd w:val="solid" w:color="F6F8F9" w:fill="F6F8F9"/>
        <w:spacing w:after="57"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Children and Young People with Disability Australia</w:t>
      </w:r>
    </w:p>
    <w:p w14:paraId="7BE33180" w14:textId="77777777" w:rsidR="009757A9" w:rsidRDefault="00083242">
      <w:pPr>
        <w:pBdr>
          <w:right w:val="single" w:sz="2" w:space="0" w:color="F6F8F9"/>
        </w:pBdr>
        <w:shd w:val="solid" w:color="F6F8F9" w:fill="F6F8F9"/>
        <w:spacing w:after="9"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City of Launceston</w:t>
      </w:r>
    </w:p>
    <w:p w14:paraId="55EEF40F" w14:textId="77777777" w:rsidR="009757A9" w:rsidRDefault="00083242">
      <w:pPr>
        <w:pBdr>
          <w:right w:val="single" w:sz="2" w:space="0" w:color="F6F8F9"/>
        </w:pBdr>
        <w:shd w:val="solid" w:color="F6F8F9" w:fill="F6F8F9"/>
        <w:spacing w:after="10" w:line="209" w:lineRule="exact"/>
        <w:ind w:left="922" w:right="850"/>
        <w:textAlignment w:val="baseline"/>
        <w:rPr>
          <w:rFonts w:ascii="Tahoma" w:eastAsia="Tahoma" w:hAnsi="Tahoma"/>
          <w:color w:val="404042"/>
          <w:spacing w:val="3"/>
          <w:sz w:val="18"/>
        </w:rPr>
      </w:pPr>
      <w:r>
        <w:rPr>
          <w:rFonts w:ascii="Tahoma" w:eastAsia="Tahoma" w:hAnsi="Tahoma"/>
          <w:color w:val="404042"/>
          <w:spacing w:val="3"/>
          <w:sz w:val="18"/>
        </w:rPr>
        <w:t>Cole, Peter</w:t>
      </w:r>
    </w:p>
    <w:p w14:paraId="4B15C754" w14:textId="77777777" w:rsidR="009757A9" w:rsidRDefault="00083242">
      <w:pPr>
        <w:pBdr>
          <w:right w:val="single" w:sz="2" w:space="0" w:color="F6F8F9"/>
        </w:pBdr>
        <w:shd w:val="solid" w:color="F6F8F9" w:fill="F6F8F9"/>
        <w:spacing w:after="442"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Commissioner for Children and Young People</w:t>
      </w:r>
    </w:p>
    <w:p w14:paraId="7ED95A2B" w14:textId="77777777" w:rsidR="00662506" w:rsidRDefault="00662506">
      <w:pPr>
        <w:tabs>
          <w:tab w:val="left" w:pos="1368"/>
        </w:tabs>
        <w:spacing w:after="634" w:line="201" w:lineRule="exact"/>
        <w:ind w:left="864"/>
        <w:textAlignment w:val="baseline"/>
        <w:rPr>
          <w:rFonts w:ascii="Arial" w:eastAsia="Arial" w:hAnsi="Arial"/>
          <w:b/>
          <w:color w:val="5556A1"/>
          <w:spacing w:val="4"/>
          <w:sz w:val="19"/>
        </w:rPr>
      </w:pPr>
    </w:p>
    <w:p w14:paraId="072DE93B" w14:textId="77777777" w:rsidR="00662506" w:rsidRDefault="00662506">
      <w:pPr>
        <w:tabs>
          <w:tab w:val="left" w:pos="1368"/>
        </w:tabs>
        <w:spacing w:after="634" w:line="201" w:lineRule="exact"/>
        <w:ind w:left="864"/>
        <w:textAlignment w:val="baseline"/>
        <w:rPr>
          <w:rFonts w:ascii="Arial" w:eastAsia="Arial" w:hAnsi="Arial"/>
          <w:b/>
          <w:color w:val="5556A1"/>
          <w:spacing w:val="4"/>
          <w:sz w:val="19"/>
        </w:rPr>
      </w:pPr>
    </w:p>
    <w:p w14:paraId="1D8CC03A" w14:textId="07593EE6" w:rsidR="009757A9" w:rsidRDefault="00083242">
      <w:pPr>
        <w:tabs>
          <w:tab w:val="left" w:pos="1368"/>
        </w:tabs>
        <w:spacing w:after="634" w:line="201" w:lineRule="exact"/>
        <w:ind w:left="864"/>
        <w:textAlignment w:val="baseline"/>
        <w:rPr>
          <w:rFonts w:ascii="Arial" w:eastAsia="Arial" w:hAnsi="Arial"/>
          <w:b/>
          <w:color w:val="5556A1"/>
          <w:spacing w:val="4"/>
          <w:sz w:val="19"/>
        </w:rPr>
      </w:pPr>
      <w:r>
        <w:rPr>
          <w:rFonts w:ascii="Arial" w:eastAsia="Arial" w:hAnsi="Arial"/>
          <w:b/>
          <w:color w:val="5556A1"/>
          <w:spacing w:val="4"/>
          <w:sz w:val="19"/>
        </w:rPr>
        <w:t>164</w:t>
      </w:r>
      <w:r>
        <w:rPr>
          <w:rFonts w:ascii="Tahoma" w:eastAsia="Tahoma" w:hAnsi="Tahoma"/>
          <w:color w:val="404042"/>
          <w:spacing w:val="4"/>
          <w:sz w:val="14"/>
        </w:rPr>
        <w:tab/>
        <w:t>Looking to the future</w:t>
      </w:r>
    </w:p>
    <w:p w14:paraId="3BB73B53" w14:textId="77777777" w:rsidR="009757A9" w:rsidRDefault="00083242">
      <w:pPr>
        <w:textAlignment w:val="baseline"/>
      </w:pPr>
      <w:r>
        <w:rPr>
          <w:noProof/>
          <w:lang w:val="en-AU" w:eastAsia="en-AU"/>
        </w:rPr>
        <w:drawing>
          <wp:anchor distT="0" distB="0" distL="114300" distR="114300" simplePos="0" relativeHeight="252110336" behindDoc="1" locked="0" layoutInCell="1" allowOverlap="1" wp14:anchorId="680B62DB" wp14:editId="451EF289">
            <wp:simplePos x="0" y="0"/>
            <wp:positionH relativeFrom="margin">
              <wp:align>right</wp:align>
            </wp:positionH>
            <wp:positionV relativeFrom="paragraph">
              <wp:posOffset>434975</wp:posOffset>
            </wp:positionV>
            <wp:extent cx="7562215" cy="462915"/>
            <wp:effectExtent l="0" t="0" r="635" b="0"/>
            <wp:wrapNone/>
            <wp:docPr id="267" name="Picture"/>
            <wp:cNvGraphicFramePr/>
            <a:graphic xmlns:a="http://schemas.openxmlformats.org/drawingml/2006/main">
              <a:graphicData uri="http://schemas.openxmlformats.org/drawingml/2006/picture">
                <pic:pic xmlns:pic="http://schemas.openxmlformats.org/drawingml/2006/picture">
                  <pic:nvPicPr>
                    <pic:cNvPr id="267" name="Picture"/>
                    <pic:cNvPicPr preferRelativeResize="0"/>
                  </pic:nvPicPr>
                  <pic:blipFill>
                    <a:blip r:embed="rId347">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7F6BB936" w14:textId="77777777" w:rsidR="009757A9" w:rsidRDefault="009757A9">
      <w:pPr>
        <w:sectPr w:rsidR="009757A9">
          <w:pgSz w:w="11909" w:h="16838"/>
          <w:pgMar w:top="1080" w:right="0" w:bottom="0" w:left="0" w:header="720" w:footer="720" w:gutter="0"/>
          <w:cols w:space="720"/>
        </w:sectPr>
      </w:pPr>
    </w:p>
    <w:p w14:paraId="62AD598E" w14:textId="77777777" w:rsidR="009757A9" w:rsidRDefault="00083242">
      <w:pPr>
        <w:shd w:val="solid" w:color="F4F5F7" w:fill="F4F5F7"/>
        <w:spacing w:after="53"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lastRenderedPageBreak/>
        <w:t>Dembowski, Phillip</w:t>
      </w:r>
    </w:p>
    <w:p w14:paraId="2F51900D" w14:textId="77777777" w:rsidR="009757A9" w:rsidRDefault="00083242">
      <w:pPr>
        <w:shd w:val="solid" w:color="F4F5F7" w:fill="F4F5F7"/>
        <w:spacing w:after="58" w:line="219" w:lineRule="exact"/>
        <w:ind w:left="926" w:right="859"/>
        <w:textAlignment w:val="baseline"/>
        <w:rPr>
          <w:rFonts w:ascii="Verdana" w:eastAsia="Verdana" w:hAnsi="Verdana"/>
          <w:color w:val="404042"/>
          <w:sz w:val="17"/>
        </w:rPr>
      </w:pPr>
      <w:r>
        <w:rPr>
          <w:rFonts w:ascii="Verdana" w:eastAsia="Verdana" w:hAnsi="Verdana"/>
          <w:color w:val="404042"/>
          <w:sz w:val="17"/>
        </w:rPr>
        <w:t>Deputy Vice-Chancellor Academic Office, University of Queensland</w:t>
      </w:r>
    </w:p>
    <w:p w14:paraId="6710190A" w14:textId="77777777" w:rsidR="009757A9" w:rsidRDefault="00083242">
      <w:pPr>
        <w:shd w:val="solid" w:color="F4F5F7" w:fill="F4F5F7"/>
        <w:spacing w:after="47"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Eastern Fleurieu School Govering Council</w:t>
      </w:r>
    </w:p>
    <w:p w14:paraId="6F9D780F" w14:textId="77777777" w:rsidR="009757A9" w:rsidRDefault="00083242">
      <w:pPr>
        <w:shd w:val="solid" w:color="F4F5F7" w:fill="F4F5F7"/>
        <w:spacing w:after="66" w:line="212"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Economics and Business Educators NSW</w:t>
      </w:r>
    </w:p>
    <w:p w14:paraId="0713D914" w14:textId="77777777" w:rsidR="009757A9" w:rsidRDefault="00083242">
      <w:pPr>
        <w:shd w:val="solid" w:color="F4F5F7" w:fill="F4F5F7"/>
        <w:spacing w:after="69" w:line="212"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Education Services Australia</w:t>
      </w:r>
    </w:p>
    <w:p w14:paraId="1F7B9109" w14:textId="77777777" w:rsidR="009757A9" w:rsidRDefault="00083242">
      <w:pPr>
        <w:shd w:val="solid" w:color="F4F5F7" w:fill="F4F5F7"/>
        <w:spacing w:after="51"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Empowered Communities, NPY Region</w:t>
      </w:r>
    </w:p>
    <w:p w14:paraId="6277C5A8" w14:textId="77777777" w:rsidR="009757A9" w:rsidRDefault="00083242">
      <w:pPr>
        <w:shd w:val="solid" w:color="F4F5F7" w:fill="F4F5F7"/>
        <w:spacing w:after="43"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Esperance Education Support Centre</w:t>
      </w:r>
    </w:p>
    <w:p w14:paraId="27E6B17F" w14:textId="77777777" w:rsidR="009757A9" w:rsidRDefault="00083242">
      <w:pPr>
        <w:shd w:val="solid" w:color="F4F5F7" w:fill="F4F5F7"/>
        <w:spacing w:after="55" w:line="212"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Federation of Parents and Citizens Association of New South Wales</w:t>
      </w:r>
    </w:p>
    <w:p w14:paraId="58342B74" w14:textId="77777777" w:rsidR="009757A9" w:rsidRDefault="00083242">
      <w:pPr>
        <w:shd w:val="solid" w:color="F4F5F7" w:fill="F4F5F7"/>
        <w:spacing w:after="57"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Federation University Australia</w:t>
      </w:r>
    </w:p>
    <w:p w14:paraId="6473E492" w14:textId="77777777" w:rsidR="009757A9" w:rsidRDefault="00083242">
      <w:pPr>
        <w:shd w:val="solid" w:color="F4F5F7" w:fill="F4F5F7"/>
        <w:spacing w:after="63"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Fergusson, Belinda</w:t>
      </w:r>
    </w:p>
    <w:p w14:paraId="4D14904D" w14:textId="77777777" w:rsidR="009757A9" w:rsidRDefault="00083242">
      <w:pPr>
        <w:shd w:val="solid" w:color="F4F5F7" w:fill="F4F5F7"/>
        <w:spacing w:after="55" w:line="212"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Financial Basics Foundation</w:t>
      </w:r>
    </w:p>
    <w:p w14:paraId="28F0BCF4" w14:textId="77777777" w:rsidR="009757A9" w:rsidRDefault="00083242">
      <w:pPr>
        <w:shd w:val="solid" w:color="F4F5F7" w:fill="F4F5F7"/>
        <w:spacing w:after="44" w:line="220" w:lineRule="exact"/>
        <w:ind w:left="926" w:right="859"/>
        <w:textAlignment w:val="baseline"/>
        <w:rPr>
          <w:rFonts w:ascii="Tahoma" w:eastAsia="Tahoma" w:hAnsi="Tahoma"/>
          <w:color w:val="404042"/>
          <w:spacing w:val="2"/>
          <w:sz w:val="18"/>
        </w:rPr>
      </w:pPr>
      <w:r>
        <w:rPr>
          <w:rFonts w:ascii="Tahoma" w:eastAsia="Tahoma" w:hAnsi="Tahoma"/>
          <w:color w:val="404042"/>
          <w:spacing w:val="2"/>
          <w:sz w:val="18"/>
        </w:rPr>
        <w:t>Foley, Alysha</w:t>
      </w:r>
    </w:p>
    <w:p w14:paraId="368DB475" w14:textId="77777777" w:rsidR="009757A9" w:rsidRDefault="00083242">
      <w:pPr>
        <w:shd w:val="solid" w:color="F4F5F7" w:fill="F4F5F7"/>
        <w:spacing w:after="48"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Foundation for Young Australians</w:t>
      </w:r>
    </w:p>
    <w:p w14:paraId="7550C1D8" w14:textId="77777777" w:rsidR="009757A9" w:rsidRDefault="00083242">
      <w:pPr>
        <w:shd w:val="solid" w:color="F4F5F7" w:fill="F4F5F7"/>
        <w:spacing w:after="64" w:line="212" w:lineRule="exact"/>
        <w:ind w:left="926" w:right="859"/>
        <w:textAlignment w:val="baseline"/>
        <w:rPr>
          <w:rFonts w:ascii="Tahoma" w:eastAsia="Tahoma" w:hAnsi="Tahoma"/>
          <w:color w:val="404042"/>
          <w:spacing w:val="4"/>
          <w:sz w:val="18"/>
        </w:rPr>
      </w:pPr>
      <w:r>
        <w:rPr>
          <w:rFonts w:ascii="Tahoma" w:eastAsia="Tahoma" w:hAnsi="Tahoma"/>
          <w:color w:val="404042"/>
          <w:spacing w:val="4"/>
          <w:sz w:val="18"/>
        </w:rPr>
        <w:t>Francesco</w:t>
      </w:r>
    </w:p>
    <w:p w14:paraId="36297767" w14:textId="77777777" w:rsidR="009757A9" w:rsidRDefault="00083242">
      <w:pPr>
        <w:shd w:val="solid" w:color="F4F5F7" w:fill="F4F5F7"/>
        <w:spacing w:after="48" w:line="220" w:lineRule="exact"/>
        <w:ind w:left="926" w:right="859"/>
        <w:textAlignment w:val="baseline"/>
        <w:rPr>
          <w:rFonts w:ascii="Tahoma" w:eastAsia="Tahoma" w:hAnsi="Tahoma"/>
          <w:color w:val="404042"/>
          <w:spacing w:val="16"/>
          <w:sz w:val="18"/>
        </w:rPr>
      </w:pPr>
      <w:r>
        <w:rPr>
          <w:rFonts w:ascii="Tahoma" w:eastAsia="Tahoma" w:hAnsi="Tahoma"/>
          <w:color w:val="404042"/>
          <w:spacing w:val="16"/>
          <w:sz w:val="18"/>
        </w:rPr>
        <w:t>Freya</w:t>
      </w:r>
    </w:p>
    <w:p w14:paraId="6FD66EAD" w14:textId="77777777" w:rsidR="009757A9" w:rsidRDefault="00083242">
      <w:pPr>
        <w:shd w:val="solid" w:color="F4F5F7" w:fill="F4F5F7"/>
        <w:spacing w:after="52"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Gifted Education Research Resource and Information Centre, the University of New South Wales</w:t>
      </w:r>
    </w:p>
    <w:p w14:paraId="1060CEE6" w14:textId="77777777" w:rsidR="009757A9" w:rsidRDefault="00083242">
      <w:pPr>
        <w:shd w:val="solid" w:color="F4F5F7" w:fill="F4F5F7"/>
        <w:spacing w:after="64" w:line="212" w:lineRule="exact"/>
        <w:ind w:left="926" w:right="859"/>
        <w:textAlignment w:val="baseline"/>
        <w:rPr>
          <w:rFonts w:ascii="Tahoma" w:eastAsia="Tahoma" w:hAnsi="Tahoma"/>
          <w:color w:val="404042"/>
          <w:spacing w:val="4"/>
          <w:sz w:val="18"/>
        </w:rPr>
      </w:pPr>
      <w:r>
        <w:rPr>
          <w:rFonts w:ascii="Tahoma" w:eastAsia="Tahoma" w:hAnsi="Tahoma"/>
          <w:color w:val="404042"/>
          <w:spacing w:val="4"/>
          <w:sz w:val="18"/>
        </w:rPr>
        <w:t>Gillan, Natasha</w:t>
      </w:r>
    </w:p>
    <w:p w14:paraId="6CEDFE55" w14:textId="77777777" w:rsidR="009757A9" w:rsidRDefault="00083242">
      <w:pPr>
        <w:shd w:val="solid" w:color="F4F5F7" w:fill="F4F5F7"/>
        <w:spacing w:after="56" w:line="212"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Go8 universities</w:t>
      </w:r>
    </w:p>
    <w:p w14:paraId="0142E63D" w14:textId="77777777" w:rsidR="009757A9" w:rsidRDefault="00083242">
      <w:pPr>
        <w:shd w:val="solid" w:color="F4F5F7" w:fill="F4F5F7"/>
        <w:spacing w:after="57"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Godfree, Holly</w:t>
      </w:r>
    </w:p>
    <w:p w14:paraId="7E87603D" w14:textId="77777777" w:rsidR="009757A9" w:rsidRDefault="00083242">
      <w:pPr>
        <w:shd w:val="solid" w:color="F4F5F7" w:fill="F4F5F7"/>
        <w:spacing w:after="48" w:line="219" w:lineRule="exact"/>
        <w:ind w:left="926" w:right="859"/>
        <w:textAlignment w:val="baseline"/>
        <w:rPr>
          <w:rFonts w:ascii="Verdana" w:eastAsia="Verdana" w:hAnsi="Verdana"/>
          <w:color w:val="404042"/>
          <w:sz w:val="17"/>
        </w:rPr>
      </w:pPr>
      <w:r>
        <w:rPr>
          <w:rFonts w:ascii="Verdana" w:eastAsia="Verdana" w:hAnsi="Verdana"/>
          <w:color w:val="404042"/>
          <w:sz w:val="17"/>
        </w:rPr>
        <w:t>Griffith University</w:t>
      </w:r>
    </w:p>
    <w:p w14:paraId="2A83F933" w14:textId="77777777" w:rsidR="009757A9" w:rsidRDefault="00083242">
      <w:pPr>
        <w:shd w:val="solid" w:color="F4F5F7" w:fill="F4F5F7"/>
        <w:spacing w:after="53" w:line="220" w:lineRule="exact"/>
        <w:ind w:left="926" w:right="859"/>
        <w:textAlignment w:val="baseline"/>
        <w:rPr>
          <w:rFonts w:ascii="Tahoma" w:eastAsia="Tahoma" w:hAnsi="Tahoma"/>
          <w:color w:val="404042"/>
          <w:spacing w:val="3"/>
          <w:sz w:val="18"/>
        </w:rPr>
      </w:pPr>
      <w:r>
        <w:rPr>
          <w:rFonts w:ascii="Tahoma" w:eastAsia="Tahoma" w:hAnsi="Tahoma"/>
          <w:color w:val="404042"/>
          <w:spacing w:val="3"/>
          <w:sz w:val="18"/>
        </w:rPr>
        <w:t>Hughes, Kaye</w:t>
      </w:r>
    </w:p>
    <w:p w14:paraId="23FBF444" w14:textId="77777777" w:rsidR="009757A9" w:rsidRDefault="00083242">
      <w:pPr>
        <w:shd w:val="solid" w:color="F4F5F7" w:fill="F4F5F7"/>
        <w:spacing w:after="56"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Independent Education Union, QNT Branch</w:t>
      </w:r>
    </w:p>
    <w:p w14:paraId="13D6AD45" w14:textId="77777777" w:rsidR="009757A9" w:rsidRDefault="00083242">
      <w:pPr>
        <w:shd w:val="solid" w:color="F4F5F7" w:fill="F4F5F7"/>
        <w:spacing w:after="48"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Independent Higher Education Australia</w:t>
      </w:r>
    </w:p>
    <w:p w14:paraId="2DC1FE5E" w14:textId="77777777" w:rsidR="009757A9" w:rsidRDefault="00083242">
      <w:pPr>
        <w:shd w:val="solid" w:color="F4F5F7" w:fill="F4F5F7"/>
        <w:spacing w:after="53"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Independent Schools Queensland</w:t>
      </w:r>
    </w:p>
    <w:p w14:paraId="06482EE0" w14:textId="77777777" w:rsidR="009757A9" w:rsidRDefault="00083242">
      <w:pPr>
        <w:shd w:val="solid" w:color="F4F5F7" w:fill="F4F5F7"/>
        <w:spacing w:after="61" w:line="220" w:lineRule="exact"/>
        <w:ind w:left="926" w:right="859"/>
        <w:textAlignment w:val="baseline"/>
        <w:rPr>
          <w:rFonts w:ascii="Tahoma" w:eastAsia="Tahoma" w:hAnsi="Tahoma"/>
          <w:color w:val="404042"/>
          <w:spacing w:val="3"/>
          <w:sz w:val="18"/>
        </w:rPr>
      </w:pPr>
      <w:r>
        <w:rPr>
          <w:rFonts w:ascii="Tahoma" w:eastAsia="Tahoma" w:hAnsi="Tahoma"/>
          <w:color w:val="404042"/>
          <w:spacing w:val="3"/>
          <w:sz w:val="18"/>
        </w:rPr>
        <w:t>Infoxchange</w:t>
      </w:r>
    </w:p>
    <w:p w14:paraId="1A3AE8DF" w14:textId="77777777" w:rsidR="009757A9" w:rsidRDefault="00083242">
      <w:pPr>
        <w:shd w:val="solid" w:color="F4F5F7" w:fill="F4F5F7"/>
        <w:spacing w:after="61" w:line="212" w:lineRule="exact"/>
        <w:ind w:left="926" w:right="859"/>
        <w:textAlignment w:val="baseline"/>
        <w:rPr>
          <w:rFonts w:ascii="Tahoma" w:eastAsia="Tahoma" w:hAnsi="Tahoma"/>
          <w:color w:val="404042"/>
          <w:spacing w:val="16"/>
          <w:sz w:val="18"/>
        </w:rPr>
      </w:pPr>
      <w:r>
        <w:rPr>
          <w:rFonts w:ascii="Tahoma" w:eastAsia="Tahoma" w:hAnsi="Tahoma"/>
          <w:color w:val="404042"/>
          <w:spacing w:val="16"/>
          <w:sz w:val="18"/>
        </w:rPr>
        <w:t>Irwin</w:t>
      </w:r>
    </w:p>
    <w:p w14:paraId="61046DE7" w14:textId="77777777" w:rsidR="009757A9" w:rsidRDefault="00083242">
      <w:pPr>
        <w:shd w:val="solid" w:color="F4F5F7" w:fill="F4F5F7"/>
        <w:spacing w:after="53"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James Cook University</w:t>
      </w:r>
    </w:p>
    <w:p w14:paraId="01F92E48" w14:textId="77777777" w:rsidR="009757A9" w:rsidRDefault="00083242">
      <w:pPr>
        <w:shd w:val="solid" w:color="F4F5F7" w:fill="F4F5F7"/>
        <w:spacing w:after="55" w:line="212" w:lineRule="exact"/>
        <w:ind w:left="926" w:right="859"/>
        <w:textAlignment w:val="baseline"/>
        <w:rPr>
          <w:rFonts w:ascii="Tahoma" w:eastAsia="Tahoma" w:hAnsi="Tahoma"/>
          <w:color w:val="404042"/>
          <w:spacing w:val="15"/>
          <w:sz w:val="18"/>
        </w:rPr>
      </w:pPr>
      <w:r>
        <w:rPr>
          <w:rFonts w:ascii="Tahoma" w:eastAsia="Tahoma" w:hAnsi="Tahoma"/>
          <w:color w:val="404042"/>
          <w:spacing w:val="15"/>
          <w:sz w:val="18"/>
        </w:rPr>
        <w:t>Jane</w:t>
      </w:r>
    </w:p>
    <w:p w14:paraId="4F714132" w14:textId="77777777" w:rsidR="009757A9" w:rsidRDefault="00083242">
      <w:pPr>
        <w:shd w:val="solid" w:color="F4F5F7" w:fill="F4F5F7"/>
        <w:spacing w:after="61" w:line="212" w:lineRule="exact"/>
        <w:ind w:left="926" w:right="859"/>
        <w:textAlignment w:val="baseline"/>
        <w:rPr>
          <w:rFonts w:ascii="Tahoma" w:eastAsia="Tahoma" w:hAnsi="Tahoma"/>
          <w:color w:val="404042"/>
          <w:spacing w:val="18"/>
          <w:sz w:val="18"/>
        </w:rPr>
      </w:pPr>
      <w:r>
        <w:rPr>
          <w:rFonts w:ascii="Tahoma" w:eastAsia="Tahoma" w:hAnsi="Tahoma"/>
          <w:color w:val="404042"/>
          <w:spacing w:val="18"/>
          <w:sz w:val="18"/>
        </w:rPr>
        <w:t>Karen</w:t>
      </w:r>
    </w:p>
    <w:p w14:paraId="46DEE81E" w14:textId="77777777" w:rsidR="009757A9" w:rsidRDefault="00083242">
      <w:pPr>
        <w:shd w:val="solid" w:color="F4F5F7" w:fill="F4F5F7"/>
        <w:spacing w:after="69" w:line="212" w:lineRule="exact"/>
        <w:ind w:left="926" w:right="859"/>
        <w:textAlignment w:val="baseline"/>
        <w:rPr>
          <w:rFonts w:ascii="Tahoma" w:eastAsia="Tahoma" w:hAnsi="Tahoma"/>
          <w:color w:val="404042"/>
          <w:spacing w:val="2"/>
          <w:sz w:val="18"/>
        </w:rPr>
      </w:pPr>
      <w:r>
        <w:rPr>
          <w:rFonts w:ascii="Tahoma" w:eastAsia="Tahoma" w:hAnsi="Tahoma"/>
          <w:color w:val="404042"/>
          <w:spacing w:val="2"/>
          <w:sz w:val="18"/>
        </w:rPr>
        <w:t>Karmel, Tom</w:t>
      </w:r>
    </w:p>
    <w:p w14:paraId="707BA648" w14:textId="77777777" w:rsidR="009757A9" w:rsidRDefault="00083242">
      <w:pPr>
        <w:shd w:val="solid" w:color="F4F5F7" w:fill="F4F5F7"/>
        <w:spacing w:after="52" w:line="220" w:lineRule="exact"/>
        <w:ind w:left="926" w:right="859"/>
        <w:textAlignment w:val="baseline"/>
        <w:rPr>
          <w:rFonts w:ascii="Tahoma" w:eastAsia="Tahoma" w:hAnsi="Tahoma"/>
          <w:color w:val="404042"/>
          <w:spacing w:val="4"/>
          <w:sz w:val="18"/>
        </w:rPr>
      </w:pPr>
      <w:r>
        <w:rPr>
          <w:rFonts w:ascii="Tahoma" w:eastAsia="Tahoma" w:hAnsi="Tahoma"/>
          <w:color w:val="404042"/>
          <w:spacing w:val="4"/>
          <w:sz w:val="18"/>
        </w:rPr>
        <w:t>Kempton, Deb</w:t>
      </w:r>
    </w:p>
    <w:p w14:paraId="52A6FAC3" w14:textId="77777777" w:rsidR="009757A9" w:rsidRDefault="00083242">
      <w:pPr>
        <w:shd w:val="solid" w:color="F4F5F7" w:fill="F4F5F7"/>
        <w:spacing w:after="58"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La Trobe University</w:t>
      </w:r>
    </w:p>
    <w:p w14:paraId="6AEEE62D" w14:textId="77777777" w:rsidR="009757A9" w:rsidRDefault="00083242">
      <w:pPr>
        <w:shd w:val="solid" w:color="F4F5F7" w:fill="F4F5F7"/>
        <w:spacing w:after="55" w:line="212"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Life Course Centre</w:t>
      </w:r>
    </w:p>
    <w:p w14:paraId="6A01364B" w14:textId="77777777" w:rsidR="009757A9" w:rsidRDefault="00083242">
      <w:pPr>
        <w:shd w:val="solid" w:color="F4F5F7" w:fill="F4F5F7"/>
        <w:spacing w:after="61" w:line="212" w:lineRule="exact"/>
        <w:ind w:left="926" w:right="859"/>
        <w:textAlignment w:val="baseline"/>
        <w:rPr>
          <w:rFonts w:ascii="Tahoma" w:eastAsia="Tahoma" w:hAnsi="Tahoma"/>
          <w:color w:val="404042"/>
          <w:spacing w:val="7"/>
          <w:sz w:val="18"/>
        </w:rPr>
      </w:pPr>
      <w:r>
        <w:rPr>
          <w:rFonts w:ascii="Tahoma" w:eastAsia="Tahoma" w:hAnsi="Tahoma"/>
          <w:color w:val="404042"/>
          <w:spacing w:val="7"/>
          <w:sz w:val="18"/>
        </w:rPr>
        <w:t>Martin, Marie</w:t>
      </w:r>
    </w:p>
    <w:p w14:paraId="4B8CD574" w14:textId="77777777" w:rsidR="009757A9" w:rsidRDefault="00083242">
      <w:pPr>
        <w:shd w:val="solid" w:color="F4F5F7" w:fill="F4F5F7"/>
        <w:spacing w:after="71" w:line="212"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Master Builders Australia</w:t>
      </w:r>
    </w:p>
    <w:p w14:paraId="74E5A6CB" w14:textId="77777777" w:rsidR="009757A9" w:rsidRDefault="00083242">
      <w:pPr>
        <w:shd w:val="solid" w:color="F4F5F7" w:fill="F4F5F7"/>
        <w:spacing w:after="52" w:line="220" w:lineRule="exact"/>
        <w:ind w:left="926" w:right="859"/>
        <w:textAlignment w:val="baseline"/>
        <w:rPr>
          <w:rFonts w:ascii="Tahoma" w:eastAsia="Tahoma" w:hAnsi="Tahoma"/>
          <w:color w:val="404042"/>
          <w:sz w:val="18"/>
        </w:rPr>
      </w:pPr>
      <w:r>
        <w:rPr>
          <w:rFonts w:ascii="Tahoma" w:eastAsia="Tahoma" w:hAnsi="Tahoma"/>
          <w:color w:val="404042"/>
          <w:sz w:val="18"/>
        </w:rPr>
        <w:t>McKay, John</w:t>
      </w:r>
    </w:p>
    <w:p w14:paraId="293CA9EA" w14:textId="77777777" w:rsidR="009757A9" w:rsidRDefault="00083242">
      <w:pPr>
        <w:shd w:val="solid" w:color="F4F5F7" w:fill="F4F5F7"/>
        <w:spacing w:after="58" w:line="220" w:lineRule="exact"/>
        <w:ind w:left="926" w:right="859"/>
        <w:textAlignment w:val="baseline"/>
        <w:rPr>
          <w:rFonts w:ascii="Tahoma" w:eastAsia="Tahoma" w:hAnsi="Tahoma"/>
          <w:color w:val="404042"/>
          <w:spacing w:val="4"/>
          <w:sz w:val="18"/>
        </w:rPr>
      </w:pPr>
      <w:r>
        <w:rPr>
          <w:rFonts w:ascii="Tahoma" w:eastAsia="Tahoma" w:hAnsi="Tahoma"/>
          <w:color w:val="404042"/>
          <w:spacing w:val="4"/>
          <w:sz w:val="18"/>
        </w:rPr>
        <w:t>Mekawy, Hassan</w:t>
      </w:r>
    </w:p>
    <w:p w14:paraId="174F4CB4" w14:textId="77777777" w:rsidR="009757A9" w:rsidRDefault="00083242">
      <w:pPr>
        <w:shd w:val="solid" w:color="F4F5F7" w:fill="F4F5F7"/>
        <w:spacing w:after="48"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Mitchell Institute, Victoria University</w:t>
      </w:r>
    </w:p>
    <w:p w14:paraId="583E4EEF" w14:textId="77777777" w:rsidR="009757A9" w:rsidRDefault="00083242">
      <w:pPr>
        <w:shd w:val="solid" w:color="F4F5F7" w:fill="F4F5F7"/>
        <w:spacing w:after="59" w:line="212"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Multicultural Youth SA</w:t>
      </w:r>
    </w:p>
    <w:p w14:paraId="696713D8" w14:textId="77777777" w:rsidR="009757A9" w:rsidRDefault="00083242">
      <w:pPr>
        <w:shd w:val="solid" w:color="F4F5F7" w:fill="F4F5F7"/>
        <w:spacing w:after="51" w:line="212"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National Catholic Education Commission</w:t>
      </w:r>
    </w:p>
    <w:p w14:paraId="32712A53" w14:textId="77777777" w:rsidR="009757A9" w:rsidRDefault="00083242">
      <w:pPr>
        <w:shd w:val="solid" w:color="F4F5F7" w:fill="F4F5F7"/>
        <w:spacing w:after="52"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National Centre for Student Equity in Higher Education, Curtin University</w:t>
      </w:r>
    </w:p>
    <w:p w14:paraId="3A71785C" w14:textId="77777777" w:rsidR="009757A9" w:rsidRDefault="00083242">
      <w:pPr>
        <w:shd w:val="solid" w:color="F4F5F7" w:fill="F4F5F7"/>
        <w:spacing w:after="57"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National Disability Services</w:t>
      </w:r>
    </w:p>
    <w:p w14:paraId="2E2342D4" w14:textId="77777777" w:rsidR="009757A9" w:rsidRDefault="00083242">
      <w:pPr>
        <w:shd w:val="solid" w:color="F4F5F7" w:fill="F4F5F7"/>
        <w:spacing w:after="66" w:line="212"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National Electrical and Communications Association</w:t>
      </w:r>
    </w:p>
    <w:p w14:paraId="19C79DF4" w14:textId="77777777" w:rsidR="009757A9" w:rsidRDefault="00083242">
      <w:pPr>
        <w:shd w:val="solid" w:color="F4F5F7" w:fill="F4F5F7"/>
        <w:spacing w:after="52" w:line="220" w:lineRule="exact"/>
        <w:ind w:left="926" w:right="859"/>
        <w:textAlignment w:val="baseline"/>
        <w:rPr>
          <w:rFonts w:ascii="Tahoma" w:eastAsia="Tahoma" w:hAnsi="Tahoma"/>
          <w:color w:val="404042"/>
          <w:spacing w:val="6"/>
          <w:sz w:val="18"/>
        </w:rPr>
      </w:pPr>
      <w:r>
        <w:rPr>
          <w:rFonts w:ascii="Tahoma" w:eastAsia="Tahoma" w:hAnsi="Tahoma"/>
          <w:color w:val="404042"/>
          <w:spacing w:val="6"/>
          <w:sz w:val="18"/>
        </w:rPr>
        <w:t>National Tertiary Education Union</w:t>
      </w:r>
    </w:p>
    <w:p w14:paraId="1A035270" w14:textId="77777777" w:rsidR="009757A9" w:rsidRDefault="00083242">
      <w:pPr>
        <w:shd w:val="solid" w:color="F4F5F7" w:fill="F4F5F7"/>
        <w:spacing w:after="44"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Naval Shipbuilding College</w:t>
      </w:r>
    </w:p>
    <w:p w14:paraId="0C7E6064" w14:textId="77777777" w:rsidR="009757A9" w:rsidRDefault="00083242">
      <w:pPr>
        <w:shd w:val="solid" w:color="F4F5F7" w:fill="F4F5F7"/>
        <w:spacing w:after="53" w:line="220"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Nelson, Darryl</w:t>
      </w:r>
    </w:p>
    <w:p w14:paraId="67449DAA" w14:textId="77777777" w:rsidR="009757A9" w:rsidRDefault="00083242">
      <w:pPr>
        <w:shd w:val="solid" w:color="F4F5F7" w:fill="F4F5F7"/>
        <w:spacing w:after="222" w:line="212" w:lineRule="exact"/>
        <w:ind w:left="926" w:right="859"/>
        <w:textAlignment w:val="baseline"/>
        <w:rPr>
          <w:rFonts w:ascii="Tahoma" w:eastAsia="Tahoma" w:hAnsi="Tahoma"/>
          <w:color w:val="404042"/>
          <w:spacing w:val="5"/>
          <w:sz w:val="18"/>
        </w:rPr>
      </w:pPr>
      <w:r>
        <w:rPr>
          <w:rFonts w:ascii="Tahoma" w:eastAsia="Tahoma" w:hAnsi="Tahoma"/>
          <w:color w:val="404042"/>
          <w:spacing w:val="5"/>
          <w:sz w:val="18"/>
        </w:rPr>
        <w:t>Nolan, Naomi</w:t>
      </w:r>
    </w:p>
    <w:p w14:paraId="6084E2E2" w14:textId="77777777" w:rsidR="000E6DFA" w:rsidRDefault="000E6DFA">
      <w:pPr>
        <w:spacing w:after="634" w:line="208" w:lineRule="exact"/>
        <w:ind w:left="9576"/>
        <w:textAlignment w:val="baseline"/>
        <w:rPr>
          <w:rFonts w:ascii="Tahoma" w:eastAsia="Tahoma" w:hAnsi="Tahoma"/>
          <w:color w:val="404042"/>
          <w:spacing w:val="13"/>
          <w:sz w:val="14"/>
        </w:rPr>
      </w:pPr>
    </w:p>
    <w:p w14:paraId="4E616B95" w14:textId="6C8C617D" w:rsidR="009757A9" w:rsidRDefault="00083242">
      <w:pPr>
        <w:spacing w:after="634" w:line="208" w:lineRule="exact"/>
        <w:ind w:left="9576"/>
        <w:textAlignment w:val="baseline"/>
        <w:rPr>
          <w:rFonts w:ascii="Tahoma" w:eastAsia="Tahoma" w:hAnsi="Tahoma"/>
          <w:color w:val="404042"/>
          <w:spacing w:val="13"/>
          <w:sz w:val="14"/>
        </w:rPr>
      </w:pPr>
      <w:r>
        <w:rPr>
          <w:rFonts w:ascii="Tahoma" w:eastAsia="Tahoma" w:hAnsi="Tahoma"/>
          <w:color w:val="404042"/>
          <w:spacing w:val="13"/>
          <w:sz w:val="14"/>
        </w:rPr>
        <w:t>Consultations</w:t>
      </w:r>
      <w:r>
        <w:rPr>
          <w:rFonts w:ascii="Arial" w:eastAsia="Arial" w:hAnsi="Arial"/>
          <w:b/>
          <w:color w:val="5556A1"/>
          <w:spacing w:val="13"/>
          <w:sz w:val="19"/>
        </w:rPr>
        <w:t xml:space="preserve"> 165</w:t>
      </w:r>
    </w:p>
    <w:p w14:paraId="0A691164" w14:textId="77777777" w:rsidR="009757A9" w:rsidRDefault="00083242">
      <w:pPr>
        <w:textAlignment w:val="baseline"/>
      </w:pPr>
      <w:r>
        <w:rPr>
          <w:noProof/>
          <w:lang w:val="en-AU" w:eastAsia="en-AU"/>
        </w:rPr>
        <w:drawing>
          <wp:anchor distT="0" distB="0" distL="114300" distR="114300" simplePos="0" relativeHeight="252111360" behindDoc="1" locked="0" layoutInCell="1" allowOverlap="1" wp14:anchorId="798CFE25" wp14:editId="75092CD2">
            <wp:simplePos x="0" y="0"/>
            <wp:positionH relativeFrom="margin">
              <wp:align>right</wp:align>
            </wp:positionH>
            <wp:positionV relativeFrom="paragraph">
              <wp:posOffset>192405</wp:posOffset>
            </wp:positionV>
            <wp:extent cx="7562215" cy="462915"/>
            <wp:effectExtent l="0" t="0" r="635" b="0"/>
            <wp:wrapNone/>
            <wp:docPr id="268" name="Picture"/>
            <wp:cNvGraphicFramePr/>
            <a:graphic xmlns:a="http://schemas.openxmlformats.org/drawingml/2006/main">
              <a:graphicData uri="http://schemas.openxmlformats.org/drawingml/2006/picture">
                <pic:pic xmlns:pic="http://schemas.openxmlformats.org/drawingml/2006/picture">
                  <pic:nvPicPr>
                    <pic:cNvPr id="268" name="Picture"/>
                    <pic:cNvPicPr preferRelativeResize="0"/>
                  </pic:nvPicPr>
                  <pic:blipFill>
                    <a:blip r:embed="rId348">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7BCCF022" w14:textId="77777777" w:rsidR="009757A9" w:rsidRDefault="009757A9">
      <w:pPr>
        <w:sectPr w:rsidR="009757A9">
          <w:pgSz w:w="11909" w:h="16838"/>
          <w:pgMar w:top="1120" w:right="0" w:bottom="0" w:left="0" w:header="720" w:footer="720" w:gutter="0"/>
          <w:cols w:space="720"/>
        </w:sectPr>
      </w:pPr>
    </w:p>
    <w:p w14:paraId="00253B25" w14:textId="77777777" w:rsidR="009757A9" w:rsidRDefault="00083242">
      <w:pPr>
        <w:shd w:val="solid" w:color="F4F5F7" w:fill="F4F5F7"/>
        <w:spacing w:after="59"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lastRenderedPageBreak/>
        <w:t>Nolan, Therese</w:t>
      </w:r>
    </w:p>
    <w:p w14:paraId="2F5AB869" w14:textId="77777777" w:rsidR="009757A9" w:rsidRDefault="00083242">
      <w:pPr>
        <w:shd w:val="solid" w:color="F4F5F7" w:fill="F4F5F7"/>
        <w:spacing w:after="48"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Northern Territory Council of Social Service</w:t>
      </w:r>
    </w:p>
    <w:p w14:paraId="46614FF0" w14:textId="77777777" w:rsidR="009757A9" w:rsidRDefault="00083242">
      <w:pPr>
        <w:shd w:val="solid" w:color="F4F5F7" w:fill="F4F5F7"/>
        <w:spacing w:after="57"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NT Department of Education</w:t>
      </w:r>
    </w:p>
    <w:p w14:paraId="1E449078" w14:textId="77777777" w:rsidR="009757A9" w:rsidRDefault="00083242">
      <w:pPr>
        <w:shd w:val="solid" w:color="F4F5F7" w:fill="F4F5F7"/>
        <w:spacing w:after="51" w:line="217"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Pearson, Glen</w:t>
      </w:r>
    </w:p>
    <w:p w14:paraId="4766FCBF" w14:textId="77777777" w:rsidR="009757A9" w:rsidRDefault="00083242">
      <w:pPr>
        <w:shd w:val="solid" w:color="F4F5F7" w:fill="F4F5F7"/>
        <w:spacing w:after="56"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Pentti, Amanda</w:t>
      </w:r>
    </w:p>
    <w:p w14:paraId="54FB0B38" w14:textId="77777777" w:rsidR="009757A9" w:rsidRDefault="00083242">
      <w:pPr>
        <w:shd w:val="solid" w:color="F4F5F7" w:fill="F4F5F7"/>
        <w:spacing w:after="59" w:line="217"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Polidano, Cain</w:t>
      </w:r>
    </w:p>
    <w:p w14:paraId="3DEA4966" w14:textId="77777777" w:rsidR="009757A9" w:rsidRDefault="00083242">
      <w:pPr>
        <w:shd w:val="solid" w:color="F4F5F7" w:fill="F4F5F7"/>
        <w:spacing w:after="48"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Positive Psychology and Education, Australian Catholic University</w:t>
      </w:r>
    </w:p>
    <w:p w14:paraId="600E90AA" w14:textId="77777777" w:rsidR="009757A9" w:rsidRDefault="00083242">
      <w:pPr>
        <w:shd w:val="solid" w:color="F4F5F7" w:fill="F4F5F7"/>
        <w:spacing w:after="56"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Previte, Marie</w:t>
      </w:r>
    </w:p>
    <w:p w14:paraId="29D0B5F5" w14:textId="77777777" w:rsidR="009757A9" w:rsidRDefault="00083242">
      <w:pPr>
        <w:shd w:val="solid" w:color="F4F5F7" w:fill="F4F5F7"/>
        <w:spacing w:after="61"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Queensland Family and Child Commission</w:t>
      </w:r>
    </w:p>
    <w:p w14:paraId="46E13692" w14:textId="77777777" w:rsidR="009757A9" w:rsidRDefault="00083242">
      <w:pPr>
        <w:shd w:val="solid" w:color="F4F5F7" w:fill="F4F5F7"/>
        <w:spacing w:after="56" w:line="217" w:lineRule="exact"/>
        <w:ind w:left="922" w:right="850"/>
        <w:textAlignment w:val="baseline"/>
        <w:rPr>
          <w:rFonts w:ascii="Tahoma" w:eastAsia="Tahoma" w:hAnsi="Tahoma"/>
          <w:color w:val="404042"/>
          <w:spacing w:val="8"/>
          <w:sz w:val="18"/>
        </w:rPr>
      </w:pPr>
      <w:r>
        <w:rPr>
          <w:rFonts w:ascii="Tahoma" w:eastAsia="Tahoma" w:hAnsi="Tahoma"/>
          <w:color w:val="404042"/>
          <w:spacing w:val="8"/>
          <w:sz w:val="18"/>
        </w:rPr>
        <w:t>Queensland Government</w:t>
      </w:r>
    </w:p>
    <w:p w14:paraId="48F74C37"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Queensland Manufacturing Institute Solutions</w:t>
      </w:r>
    </w:p>
    <w:p w14:paraId="5233B744" w14:textId="77777777" w:rsidR="009757A9" w:rsidRDefault="00083242">
      <w:pPr>
        <w:shd w:val="solid" w:color="F4F5F7" w:fill="F4F5F7"/>
        <w:spacing w:after="47"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Queensland University of Technology</w:t>
      </w:r>
    </w:p>
    <w:p w14:paraId="250A8B04"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Ragusa, Melina</w:t>
      </w:r>
    </w:p>
    <w:p w14:paraId="2083CDBB" w14:textId="77777777" w:rsidR="009757A9" w:rsidRDefault="00083242">
      <w:pPr>
        <w:shd w:val="solid" w:color="F4F5F7" w:fill="F4F5F7"/>
        <w:spacing w:after="61"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Regional Development Australia Hunter</w:t>
      </w:r>
    </w:p>
    <w:p w14:paraId="7B783807" w14:textId="77777777" w:rsidR="009757A9" w:rsidRDefault="00083242">
      <w:pPr>
        <w:shd w:val="solid" w:color="F4F5F7" w:fill="F4F5F7"/>
        <w:spacing w:after="52"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Regional Universities Network</w:t>
      </w:r>
    </w:p>
    <w:p w14:paraId="4E0A4E1E"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Restaurant and Catering Industry Association</w:t>
      </w:r>
    </w:p>
    <w:p w14:paraId="7C63AC30" w14:textId="77777777" w:rsidR="009757A9" w:rsidRDefault="00083242">
      <w:pPr>
        <w:shd w:val="solid" w:color="F4F5F7" w:fill="F4F5F7"/>
        <w:spacing w:after="47"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RMIT University</w:t>
      </w:r>
    </w:p>
    <w:p w14:paraId="16D19EBB"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Rooty Hill High School</w:t>
      </w:r>
    </w:p>
    <w:p w14:paraId="02C337FD" w14:textId="77777777" w:rsidR="009757A9" w:rsidRDefault="00083242">
      <w:pPr>
        <w:shd w:val="solid" w:color="F4F5F7" w:fill="F4F5F7"/>
        <w:spacing w:after="6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School of Education and Professional Studies, Griffith University</w:t>
      </w:r>
    </w:p>
    <w:p w14:paraId="1647A666" w14:textId="77777777" w:rsidR="009757A9" w:rsidRDefault="00083242">
      <w:pPr>
        <w:shd w:val="solid" w:color="F4F5F7" w:fill="F4F5F7"/>
        <w:spacing w:after="55"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Schools Plus</w:t>
      </w:r>
    </w:p>
    <w:p w14:paraId="55C76774" w14:textId="77777777" w:rsidR="009757A9" w:rsidRDefault="00083242">
      <w:pPr>
        <w:shd w:val="solid" w:color="F4F5F7" w:fill="F4F5F7"/>
        <w:spacing w:after="58"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Shakya, Christine</w:t>
      </w:r>
    </w:p>
    <w:p w14:paraId="5DD8BA29" w14:textId="77777777" w:rsidR="009757A9" w:rsidRDefault="00083242">
      <w:pPr>
        <w:shd w:val="solid" w:color="F4F5F7" w:fill="F4F5F7"/>
        <w:spacing w:after="51" w:line="217" w:lineRule="exact"/>
        <w:ind w:left="922" w:right="850"/>
        <w:textAlignment w:val="baseline"/>
        <w:rPr>
          <w:rFonts w:ascii="Tahoma" w:eastAsia="Tahoma" w:hAnsi="Tahoma"/>
          <w:color w:val="404042"/>
          <w:spacing w:val="2"/>
          <w:sz w:val="18"/>
        </w:rPr>
      </w:pPr>
      <w:r>
        <w:rPr>
          <w:rFonts w:ascii="Tahoma" w:eastAsia="Tahoma" w:hAnsi="Tahoma"/>
          <w:color w:val="404042"/>
          <w:spacing w:val="2"/>
          <w:sz w:val="18"/>
        </w:rPr>
        <w:t>Smith, Erica</w:t>
      </w:r>
    </w:p>
    <w:p w14:paraId="5E6A9BBF" w14:textId="77777777" w:rsidR="009757A9" w:rsidRDefault="00083242">
      <w:pPr>
        <w:shd w:val="solid" w:color="F4F5F7" w:fill="F4F5F7"/>
        <w:spacing w:after="54"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Social Ventures Australia</w:t>
      </w:r>
    </w:p>
    <w:p w14:paraId="3AE5DAF5" w14:textId="77777777" w:rsidR="009757A9" w:rsidRDefault="00083242">
      <w:pPr>
        <w:shd w:val="solid" w:color="F4F5F7" w:fill="F4F5F7"/>
        <w:spacing w:after="4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South Australian Commissioner for Children and Young People</w:t>
      </w:r>
    </w:p>
    <w:p w14:paraId="1F0DCA6A" w14:textId="77777777" w:rsidR="009757A9" w:rsidRDefault="00083242">
      <w:pPr>
        <w:shd w:val="solid" w:color="F4F5F7" w:fill="F4F5F7"/>
        <w:spacing w:after="52"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South Australian Department for Innovation and Skills</w:t>
      </w:r>
    </w:p>
    <w:p w14:paraId="6F1AFD13" w14:textId="77777777" w:rsidR="009757A9" w:rsidRDefault="00083242">
      <w:pPr>
        <w:shd w:val="solid" w:color="F4F5F7" w:fill="F4F5F7"/>
        <w:spacing w:after="57" w:line="220" w:lineRule="exact"/>
        <w:ind w:left="922" w:right="850"/>
        <w:textAlignment w:val="baseline"/>
        <w:rPr>
          <w:rFonts w:ascii="Tahoma" w:eastAsia="Tahoma" w:hAnsi="Tahoma"/>
          <w:color w:val="404042"/>
          <w:spacing w:val="3"/>
          <w:sz w:val="18"/>
        </w:rPr>
      </w:pPr>
      <w:r>
        <w:rPr>
          <w:rFonts w:ascii="Tahoma" w:eastAsia="Tahoma" w:hAnsi="Tahoma"/>
          <w:color w:val="404042"/>
          <w:spacing w:val="3"/>
          <w:sz w:val="18"/>
        </w:rPr>
        <w:t>St Patrick’s Tech College</w:t>
      </w:r>
    </w:p>
    <w:p w14:paraId="796BC76C" w14:textId="77777777" w:rsidR="009757A9" w:rsidRDefault="00083242">
      <w:pPr>
        <w:shd w:val="solid" w:color="F4F5F7" w:fill="F4F5F7"/>
        <w:spacing w:after="48"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Tangentyere Council Aboriginal Corporation</w:t>
      </w:r>
    </w:p>
    <w:p w14:paraId="36CE6E73" w14:textId="77777777" w:rsidR="009757A9" w:rsidRDefault="00083242">
      <w:pPr>
        <w:shd w:val="solid" w:color="F4F5F7" w:fill="F4F5F7"/>
        <w:spacing w:after="55" w:line="217"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Tasmanian Government</w:t>
      </w:r>
    </w:p>
    <w:p w14:paraId="28700121" w14:textId="77777777" w:rsidR="009757A9" w:rsidRDefault="00083242">
      <w:pPr>
        <w:shd w:val="solid" w:color="F4F5F7" w:fill="F4F5F7"/>
        <w:spacing w:after="44"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The Australian Learning Lecture</w:t>
      </w:r>
    </w:p>
    <w:p w14:paraId="6BE8102C"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The Centre for Independent Studies</w:t>
      </w:r>
    </w:p>
    <w:p w14:paraId="40C1693C" w14:textId="77777777" w:rsidR="009757A9" w:rsidRDefault="00083242">
      <w:pPr>
        <w:shd w:val="solid" w:color="F4F5F7" w:fill="F4F5F7"/>
        <w:spacing w:after="56"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The Smith Family</w:t>
      </w:r>
    </w:p>
    <w:p w14:paraId="56EF095F" w14:textId="77777777" w:rsidR="009757A9" w:rsidRDefault="00083242">
      <w:pPr>
        <w:shd w:val="solid" w:color="F4F5F7" w:fill="F4F5F7"/>
        <w:spacing w:after="4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The University of Adelaide</w:t>
      </w:r>
    </w:p>
    <w:p w14:paraId="2B4774E7"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The University of Western Australia</w:t>
      </w:r>
    </w:p>
    <w:p w14:paraId="6F5C9144" w14:textId="77777777" w:rsidR="009757A9" w:rsidRDefault="00083242">
      <w:pPr>
        <w:shd w:val="solid" w:color="F4F5F7" w:fill="F4F5F7"/>
        <w:spacing w:after="56"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Transforming Education</w:t>
      </w:r>
    </w:p>
    <w:p w14:paraId="4D3DC541"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4"/>
          <w:sz w:val="18"/>
        </w:rPr>
      </w:pPr>
      <w:r>
        <w:rPr>
          <w:rFonts w:ascii="Tahoma" w:eastAsia="Tahoma" w:hAnsi="Tahoma"/>
          <w:color w:val="404042"/>
          <w:spacing w:val="4"/>
          <w:sz w:val="18"/>
        </w:rPr>
        <w:t>Trotter, Hillary</w:t>
      </w:r>
    </w:p>
    <w:p w14:paraId="55C529A6" w14:textId="77777777" w:rsidR="009757A9" w:rsidRDefault="00083242">
      <w:pPr>
        <w:shd w:val="solid" w:color="F4F5F7" w:fill="F4F5F7"/>
        <w:spacing w:after="57" w:line="220" w:lineRule="exact"/>
        <w:ind w:left="922" w:right="850"/>
        <w:textAlignment w:val="baseline"/>
        <w:rPr>
          <w:rFonts w:ascii="Tahoma" w:eastAsia="Tahoma" w:hAnsi="Tahoma"/>
          <w:color w:val="404042"/>
          <w:sz w:val="18"/>
        </w:rPr>
      </w:pPr>
      <w:r>
        <w:rPr>
          <w:rFonts w:ascii="Tahoma" w:eastAsia="Tahoma" w:hAnsi="Tahoma"/>
          <w:color w:val="404042"/>
          <w:sz w:val="18"/>
        </w:rPr>
        <w:t>Turner, Tanya</w:t>
      </w:r>
    </w:p>
    <w:p w14:paraId="07DBB9BF" w14:textId="77777777" w:rsidR="009757A9" w:rsidRDefault="00083242">
      <w:pPr>
        <w:shd w:val="solid" w:color="F4F5F7" w:fill="F4F5F7"/>
        <w:spacing w:after="48"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University Admissions Centre</w:t>
      </w:r>
    </w:p>
    <w:p w14:paraId="13719235" w14:textId="77777777" w:rsidR="009757A9" w:rsidRDefault="00083242">
      <w:pPr>
        <w:shd w:val="solid" w:color="F4F5F7" w:fill="F4F5F7"/>
        <w:spacing w:after="53" w:line="220" w:lineRule="exact"/>
        <w:ind w:left="922" w:right="850"/>
        <w:textAlignment w:val="baseline"/>
        <w:rPr>
          <w:rFonts w:ascii="Tahoma" w:eastAsia="Tahoma" w:hAnsi="Tahoma"/>
          <w:color w:val="404042"/>
          <w:spacing w:val="6"/>
          <w:sz w:val="18"/>
        </w:rPr>
      </w:pPr>
      <w:r>
        <w:rPr>
          <w:rFonts w:ascii="Tahoma" w:eastAsia="Tahoma" w:hAnsi="Tahoma"/>
          <w:color w:val="404042"/>
          <w:spacing w:val="6"/>
          <w:sz w:val="18"/>
        </w:rPr>
        <w:t>University of Divinity</w:t>
      </w:r>
    </w:p>
    <w:p w14:paraId="0702A91D" w14:textId="77777777" w:rsidR="009757A9" w:rsidRDefault="00083242">
      <w:pPr>
        <w:shd w:val="solid" w:color="F4F5F7" w:fill="F4F5F7"/>
        <w:spacing w:after="56" w:line="220" w:lineRule="exact"/>
        <w:ind w:left="922" w:right="850"/>
        <w:textAlignment w:val="baseline"/>
        <w:rPr>
          <w:rFonts w:ascii="Tahoma" w:eastAsia="Tahoma" w:hAnsi="Tahoma"/>
          <w:color w:val="404042"/>
          <w:spacing w:val="7"/>
          <w:sz w:val="18"/>
        </w:rPr>
      </w:pPr>
      <w:r>
        <w:rPr>
          <w:rFonts w:ascii="Tahoma" w:eastAsia="Tahoma" w:hAnsi="Tahoma"/>
          <w:color w:val="404042"/>
          <w:spacing w:val="7"/>
          <w:sz w:val="18"/>
        </w:rPr>
        <w:t>University of Melbourne</w:t>
      </w:r>
    </w:p>
    <w:p w14:paraId="0C1E774F" w14:textId="77777777" w:rsidR="009757A9" w:rsidRDefault="00083242">
      <w:pPr>
        <w:shd w:val="solid" w:color="F4F5F7" w:fill="F4F5F7"/>
        <w:spacing w:after="52"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University of Sydney</w:t>
      </w:r>
    </w:p>
    <w:p w14:paraId="07D3C6E7" w14:textId="77777777" w:rsidR="009757A9" w:rsidRDefault="00083242">
      <w:pPr>
        <w:shd w:val="solid" w:color="F4F5F7" w:fill="F4F5F7"/>
        <w:spacing w:after="58"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University of Technology Sydney</w:t>
      </w:r>
    </w:p>
    <w:p w14:paraId="62823E0B" w14:textId="77777777" w:rsidR="009757A9" w:rsidRDefault="00083242">
      <w:pPr>
        <w:shd w:val="solid" w:color="F4F5F7" w:fill="F4F5F7"/>
        <w:spacing w:after="61" w:line="220"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University of Technology Sydney</w:t>
      </w:r>
    </w:p>
    <w:p w14:paraId="399319B1" w14:textId="77777777" w:rsidR="009757A9" w:rsidRDefault="00083242">
      <w:pPr>
        <w:shd w:val="solid" w:color="F4F5F7" w:fill="F4F5F7"/>
        <w:spacing w:after="56"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VIC - Victorian Government</w:t>
      </w:r>
    </w:p>
    <w:p w14:paraId="5B4D7224" w14:textId="77777777" w:rsidR="009757A9" w:rsidRDefault="00083242">
      <w:pPr>
        <w:shd w:val="solid" w:color="F4F5F7" w:fill="F4F5F7"/>
        <w:spacing w:after="61" w:line="217" w:lineRule="exact"/>
        <w:ind w:left="922" w:right="850"/>
        <w:textAlignment w:val="baseline"/>
        <w:rPr>
          <w:rFonts w:ascii="Tahoma" w:eastAsia="Tahoma" w:hAnsi="Tahoma"/>
          <w:color w:val="404042"/>
          <w:spacing w:val="5"/>
          <w:sz w:val="18"/>
        </w:rPr>
      </w:pPr>
      <w:r>
        <w:rPr>
          <w:rFonts w:ascii="Tahoma" w:eastAsia="Tahoma" w:hAnsi="Tahoma"/>
          <w:color w:val="404042"/>
          <w:spacing w:val="5"/>
          <w:sz w:val="18"/>
        </w:rPr>
        <w:t>Victorian TAFE Association</w:t>
      </w:r>
    </w:p>
    <w:p w14:paraId="4520BCEC" w14:textId="77777777" w:rsidR="009757A9" w:rsidRDefault="00083242">
      <w:pPr>
        <w:shd w:val="solid" w:color="F4F5F7" w:fill="F4F5F7"/>
        <w:spacing w:after="819" w:line="217" w:lineRule="exact"/>
        <w:ind w:left="922" w:right="850"/>
        <w:textAlignment w:val="baseline"/>
        <w:rPr>
          <w:rFonts w:ascii="Tahoma" w:eastAsia="Tahoma" w:hAnsi="Tahoma"/>
          <w:color w:val="404042"/>
          <w:spacing w:val="17"/>
          <w:sz w:val="18"/>
        </w:rPr>
      </w:pPr>
      <w:r>
        <w:rPr>
          <w:rFonts w:ascii="Tahoma" w:eastAsia="Tahoma" w:hAnsi="Tahoma"/>
          <w:color w:val="404042"/>
          <w:spacing w:val="17"/>
          <w:sz w:val="18"/>
        </w:rPr>
        <w:t>Vula</w:t>
      </w:r>
    </w:p>
    <w:p w14:paraId="4EE38D89" w14:textId="77777777" w:rsidR="00040C78" w:rsidRDefault="00040C78">
      <w:pPr>
        <w:tabs>
          <w:tab w:val="left" w:pos="1368"/>
        </w:tabs>
        <w:spacing w:after="634" w:line="201" w:lineRule="exact"/>
        <w:ind w:left="864"/>
        <w:textAlignment w:val="baseline"/>
        <w:rPr>
          <w:rFonts w:ascii="Arial" w:eastAsia="Arial" w:hAnsi="Arial"/>
          <w:b/>
          <w:color w:val="5556A1"/>
          <w:spacing w:val="4"/>
          <w:sz w:val="19"/>
        </w:rPr>
      </w:pPr>
    </w:p>
    <w:p w14:paraId="13FC8E84" w14:textId="7D1FFAC0" w:rsidR="009757A9" w:rsidRDefault="00083242">
      <w:pPr>
        <w:tabs>
          <w:tab w:val="left" w:pos="1368"/>
        </w:tabs>
        <w:spacing w:after="634" w:line="201" w:lineRule="exact"/>
        <w:ind w:left="864"/>
        <w:textAlignment w:val="baseline"/>
        <w:rPr>
          <w:rFonts w:ascii="Arial" w:eastAsia="Arial" w:hAnsi="Arial"/>
          <w:b/>
          <w:color w:val="5556A1"/>
          <w:spacing w:val="4"/>
          <w:sz w:val="19"/>
        </w:rPr>
      </w:pPr>
      <w:r>
        <w:rPr>
          <w:rFonts w:ascii="Arial" w:eastAsia="Arial" w:hAnsi="Arial"/>
          <w:b/>
          <w:color w:val="5556A1"/>
          <w:spacing w:val="4"/>
          <w:sz w:val="19"/>
        </w:rPr>
        <w:t>166</w:t>
      </w:r>
      <w:r>
        <w:rPr>
          <w:rFonts w:ascii="Tahoma" w:eastAsia="Tahoma" w:hAnsi="Tahoma"/>
          <w:color w:val="404042"/>
          <w:spacing w:val="4"/>
          <w:sz w:val="14"/>
        </w:rPr>
        <w:tab/>
        <w:t>Looking to the future</w:t>
      </w:r>
    </w:p>
    <w:p w14:paraId="5AF41D31" w14:textId="77777777" w:rsidR="009757A9" w:rsidRDefault="00083242">
      <w:pPr>
        <w:textAlignment w:val="baseline"/>
      </w:pPr>
      <w:r>
        <w:rPr>
          <w:noProof/>
          <w:lang w:val="en-AU" w:eastAsia="en-AU"/>
        </w:rPr>
        <w:drawing>
          <wp:anchor distT="0" distB="0" distL="114300" distR="114300" simplePos="0" relativeHeight="252112384" behindDoc="1" locked="0" layoutInCell="1" allowOverlap="1" wp14:anchorId="39112C09" wp14:editId="24E21E33">
            <wp:simplePos x="0" y="0"/>
            <wp:positionH relativeFrom="margin">
              <wp:align>right</wp:align>
            </wp:positionH>
            <wp:positionV relativeFrom="paragraph">
              <wp:posOffset>154940</wp:posOffset>
            </wp:positionV>
            <wp:extent cx="7562215" cy="462915"/>
            <wp:effectExtent l="0" t="0" r="635" b="0"/>
            <wp:wrapNone/>
            <wp:docPr id="269" name="Picture"/>
            <wp:cNvGraphicFramePr/>
            <a:graphic xmlns:a="http://schemas.openxmlformats.org/drawingml/2006/main">
              <a:graphicData uri="http://schemas.openxmlformats.org/drawingml/2006/picture">
                <pic:pic xmlns:pic="http://schemas.openxmlformats.org/drawingml/2006/picture">
                  <pic:nvPicPr>
                    <pic:cNvPr id="269" name="Picture"/>
                    <pic:cNvPicPr preferRelativeResize="0"/>
                  </pic:nvPicPr>
                  <pic:blipFill>
                    <a:blip r:embed="rId349">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6210C654" w14:textId="77777777" w:rsidR="009757A9" w:rsidRDefault="009757A9">
      <w:pPr>
        <w:sectPr w:rsidR="009757A9">
          <w:pgSz w:w="11909" w:h="16838"/>
          <w:pgMar w:top="1120" w:right="0" w:bottom="0" w:left="0" w:header="720" w:footer="720" w:gutter="0"/>
          <w:cols w:space="720"/>
        </w:sectPr>
      </w:pPr>
    </w:p>
    <w:p w14:paraId="38956313" w14:textId="77777777" w:rsidR="009757A9" w:rsidRDefault="000D2E34">
      <w:pPr>
        <w:shd w:val="solid" w:color="F6F8F9" w:fill="F6F8F9"/>
        <w:spacing w:line="220" w:lineRule="exact"/>
        <w:ind w:left="144"/>
        <w:textAlignment w:val="baseline"/>
        <w:rPr>
          <w:rFonts w:ascii="Tahoma" w:eastAsia="Tahoma" w:hAnsi="Tahoma"/>
          <w:color w:val="404042"/>
          <w:spacing w:val="7"/>
          <w:sz w:val="18"/>
        </w:rPr>
      </w:pPr>
      <w:r>
        <w:rPr>
          <w:noProof/>
          <w:lang w:val="en-AU" w:eastAsia="en-AU"/>
        </w:rPr>
        <w:lastRenderedPageBreak/>
        <mc:AlternateContent>
          <mc:Choice Requires="wps">
            <w:drawing>
              <wp:anchor distT="0" distB="0" distL="114300" distR="114300" simplePos="0" relativeHeight="252015104" behindDoc="0" locked="0" layoutInCell="1" allowOverlap="1" wp14:anchorId="57116164" wp14:editId="50D21FD4">
                <wp:simplePos x="0" y="0"/>
                <wp:positionH relativeFrom="page">
                  <wp:posOffset>591185</wp:posOffset>
                </wp:positionH>
                <wp:positionV relativeFrom="page">
                  <wp:posOffset>926465</wp:posOffset>
                </wp:positionV>
                <wp:extent cx="6377305" cy="0"/>
                <wp:effectExtent l="0" t="0" r="0" b="0"/>
                <wp:wrapNone/>
                <wp:docPr id="29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16584" id="Line 15" o:spid="_x0000_s1026" style="position:absolute;z-index:25201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72.95pt" to="548.7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l6GzQEAAIUDAAAOAAAAZHJzL2Uyb0RvYy54bWysU01v2zAMvQ/YfxB0X+ykS7sacXpIll2y&#10;LUDbH8BIsi1MFgVJiZ1/P0r5WLfdhvkgiCL5+PhIL57G3rCj8kGjrfl0UnKmrECpbVvz15fNh0+c&#10;hQhWgkGran5SgT8t379bDK5SM+zQSOUZgdhQDa7mXYyuKoogOtVDmKBTlpwN+h4imb4tpIeB0HtT&#10;zMryvhjQS+dRqBDodX128mXGbxol4vemCSoyU3PiFvPp87lPZ7FcQNV6cJ0WFxrwDyx60JaK3qDW&#10;EIEdvP4LqtfCY8AmTgT2BTaNFir3QN1Myz+6ee7AqdwLiRPcTabw/2DFt+POMy1rPnv8yJmFnoa0&#10;1Vax6TyJM7hQUczK7nxqT4z22W1R/AjM4qoD26pM8uXkKG+aMorfUpIRHJXYD19RUgwcImalxsb3&#10;CZI0YGMeyOk2EDVGJujx/u7h4a6ccyauvgKqa6LzIX5R2LN0qbkh0hkYjtsQExGoriGpjsWNNibP&#10;21g2JPB5mRMCGi2TM4UF3+5XxrMj0MZs8pe7Is/bsIS8htCd47LrvEseD1bmKp0C+flyj6DN+U6s&#10;jL2olIQ5S7xHedr5q3o060z/spdpmd7aOfvX37P8CQAA//8DAFBLAwQUAAYACAAAACEA1dxM6N8A&#10;AAALAQAADwAAAGRycy9kb3ducmV2LnhtbEyPwU7DMAyG70h7h8iTuLF0o2O0NJ0mJDiCNnbZLW28&#10;ptA4XZO1ZU9PJiHB0b8//f6crUfTsB47V1sSMJ9FwJBKq2qqBOw/Xu4egTkvScnGEgr4RgfrfHKT&#10;yVTZgbbY73zFQgm5VArQ3rcp567UaKSb2RYp7I62M9KHsau46uQQyk3DF1H0wI2sKVzQssVnjeXX&#10;7mwEvG4u4zHeqiWW74fhrT996n1xEeJ2Om6egHkc/R8MV/2gDnlwKuyZlGONgOR+HsiQx8sE2BWI&#10;klUMrPiNeJ7x/z/kPwAAAP//AwBQSwECLQAUAAYACAAAACEAtoM4kv4AAADhAQAAEwAAAAAAAAAA&#10;AAAAAAAAAAAAW0NvbnRlbnRfVHlwZXNdLnhtbFBLAQItABQABgAIAAAAIQA4/SH/1gAAAJQBAAAL&#10;AAAAAAAAAAAAAAAAAC8BAABfcmVscy8ucmVsc1BLAQItABQABgAIAAAAIQCAzl6GzQEAAIUDAAAO&#10;AAAAAAAAAAAAAAAAAC4CAABkcnMvZTJvRG9jLnhtbFBLAQItABQABgAIAAAAIQDV3Ezo3wAAAAsB&#10;AAAPAAAAAAAAAAAAAAAAACcEAABkcnMvZG93bnJldi54bWxQSwUGAAAAAAQABADzAAAAMwUAAAAA&#10;" strokecolor="white" strokeweight=".5pt">
                <w10:wrap anchorx="page" anchory="page"/>
              </v:line>
            </w:pict>
          </mc:Fallback>
        </mc:AlternateContent>
      </w:r>
      <w:r>
        <w:rPr>
          <w:noProof/>
          <w:lang w:val="en-AU" w:eastAsia="en-AU"/>
        </w:rPr>
        <mc:AlternateContent>
          <mc:Choice Requires="wps">
            <w:drawing>
              <wp:anchor distT="0" distB="0" distL="114300" distR="114300" simplePos="0" relativeHeight="252016128" behindDoc="0" locked="0" layoutInCell="1" allowOverlap="1" wp14:anchorId="281BF470" wp14:editId="537D4028">
                <wp:simplePos x="0" y="0"/>
                <wp:positionH relativeFrom="page">
                  <wp:posOffset>591185</wp:posOffset>
                </wp:positionH>
                <wp:positionV relativeFrom="page">
                  <wp:posOffset>1115695</wp:posOffset>
                </wp:positionV>
                <wp:extent cx="6377305" cy="0"/>
                <wp:effectExtent l="0" t="0" r="0" b="0"/>
                <wp:wrapNone/>
                <wp:docPr id="29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B6FF" id="Line 14" o:spid="_x0000_s1026" style="position:absolute;z-index:2520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87.85pt" to="548.7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fOzQEAAIUDAAAOAAAAZHJzL2Uyb0RvYy54bWysU01v2zAMvQ/YfxB0X+wka7sacXpIll2y&#10;LUDbH8BIsi1MFgVJiZ1/P0r5WLfdhvkgiCL5+PhIL57G3rCj8kGjrfl0UnKmrECpbVvz15fNh0+c&#10;hQhWgkGran5SgT8t379bDK5SM+zQSOUZgdhQDa7mXYyuKoogOtVDmKBTlpwN+h4imb4tpIeB0HtT&#10;zMryvhjQS+dRqBDodX128mXGbxol4vemCSoyU3PiFvPp87lPZ7FcQNV6cJ0WFxrwDyx60JaK3qDW&#10;EIEdvP4LqtfCY8AmTgT2BTaNFir3QN1Myz+6ee7AqdwLiRPcTabw/2DFt+POMy1rPnucc2ahpyFt&#10;tVVs+jGJM7hQUczK7nxqT4z22W1R/AjM4qoD26pM8uXkKG+aMorfUpIRHJXYD19RUgwcImalxsb3&#10;CZI0YGMeyOk2EDVGJujxfv7wMC/vOBNXXwHVNdH5EL8o7Fm61NwQ6QwMx22IiQhU15BUx+JGG5Pn&#10;bSwbEvhdmRMCGi2TM4UF3+5XxrMj0MZs8pe7Is/bsIS8htCd47LrvEseD1bmKp0C+flyj6DN+U6s&#10;jL2olIQ5S7xHedr5q3o060z/spdpmd7aOfvX37P8CQAA//8DAFBLAwQUAAYACAAAACEAcAIiAd8A&#10;AAALAQAADwAAAGRycy9kb3ducmV2LnhtbEyPwW7CMAyG75N4h8hIu42UDVYoTRGatB2HYFx2SxvT&#10;dGucrgltx9MTpEns6N+ffn9O14OpWYetqywJmE4iYEiFVRWVAg4frw8LYM5LUrK2hAJ+0cE6G92l&#10;MlG2px12e1+yUEIukQK0903CuSs0GukmtkEKu6NtjfRhbEuuWtmHclPzxyh65kZWFC5o2eCLxuJ7&#10;fzIC3jbn4TjbqTkW28/+vfv50of8LMT9eNisgHkc/A2Gq35Qhyw45fZEyrFawPJpGsiQx/MY2BWI&#10;lvEMWP4X8Szl/3/ILgAAAP//AwBQSwECLQAUAAYACAAAACEAtoM4kv4AAADhAQAAEwAAAAAAAAAA&#10;AAAAAAAAAAAAW0NvbnRlbnRfVHlwZXNdLnhtbFBLAQItABQABgAIAAAAIQA4/SH/1gAAAJQBAAAL&#10;AAAAAAAAAAAAAAAAAC8BAABfcmVscy8ucmVsc1BLAQItABQABgAIAAAAIQA7FbfOzQEAAIUDAAAO&#10;AAAAAAAAAAAAAAAAAC4CAABkcnMvZTJvRG9jLnhtbFBLAQItABQABgAIAAAAIQBwAiIB3wAAAAsB&#10;AAAPAAAAAAAAAAAAAAAAACcEAABkcnMvZG93bnJldi54bWxQSwUGAAAAAAQABADzAAAAMwUAAAAA&#10;" strokecolor="white" strokeweight=".5pt">
                <w10:wrap anchorx="page" anchory="page"/>
              </v:line>
            </w:pict>
          </mc:Fallback>
        </mc:AlternateContent>
      </w:r>
      <w:r>
        <w:rPr>
          <w:noProof/>
          <w:lang w:val="en-AU" w:eastAsia="en-AU"/>
        </w:rPr>
        <mc:AlternateContent>
          <mc:Choice Requires="wps">
            <w:drawing>
              <wp:anchor distT="0" distB="0" distL="114300" distR="114300" simplePos="0" relativeHeight="252017152" behindDoc="0" locked="0" layoutInCell="1" allowOverlap="1" wp14:anchorId="071325B6" wp14:editId="049A6F2B">
                <wp:simplePos x="0" y="0"/>
                <wp:positionH relativeFrom="page">
                  <wp:posOffset>591185</wp:posOffset>
                </wp:positionH>
                <wp:positionV relativeFrom="page">
                  <wp:posOffset>1304290</wp:posOffset>
                </wp:positionV>
                <wp:extent cx="6377305" cy="0"/>
                <wp:effectExtent l="0" t="0" r="0" b="0"/>
                <wp:wrapNone/>
                <wp:docPr id="29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56CAD" id="Line 13" o:spid="_x0000_s1026" style="position:absolute;z-index:2520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102.7pt" to="548.7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EMzQEAAIUDAAAOAAAAZHJzL2Uyb0RvYy54bWysU8Fu2zAMvQ/YPwi6L3YStN2MOD0kyy7Z&#10;FqDdBzCSHAuVRUFSYufvR8lJ2m23oT4Iokg+Pj7Si8ehM+ykfNBoaz6dlJwpK1Bqe6j5r+fNp8+c&#10;hQhWgkGran5WgT8uP35Y9K5SM2zRSOUZgdhQ9a7mbYyuKoogWtVBmKBTlpwN+g4imf5QSA89oXem&#10;mJXlfdGjl86jUCHQ63p08mXGbxol4s+mCSoyU3PiFvPp87lPZ7FcQHXw4FotLjTgP1h0oC0VvUGt&#10;IQI7ev0PVKeFx4BNnAjsCmwaLVTugbqZln9189SCU7kXEie4m0zh/WDFj9POMy1rPvsy48xCR0Pa&#10;aqvYdJ7E6V2oKGZldz61Jwb75LYoXgKzuGrBHlQm+Xx2lDdNGcUfKckIjkrs++8oKQaOEbNSQ+O7&#10;BEkasCEP5HwbiBoiE/R4P394mJd3nImrr4Dqmuh8iN8Udixdam6IdAaG0zbERASqa0iqY3Gjjcnz&#10;Npb1CfyuzAkBjZbJmcKCP+xXxrMT0MZs8pe7Is/bsIS8htCOcdk17pLHo5W5SqtAfr3cI2gz3omV&#10;sReVkjCjxHuU552/qkezzvQve5mW6a2ds1//nuVvAAAA//8DAFBLAwQUAAYACAAAACEAU+t3pt8A&#10;AAALAQAADwAAAGRycy9kb3ducmV2LnhtbEyPTU/CQBCG7yT+h82YeINdEFBqt4SY6FEDcvG27Q7d&#10;ane2dpe28utdEhO4zceTd55J14OtWYetrxxJmE4EMKTC6YpKCfuPl/EjMB8UaVU7Qgm/6GGd3YxS&#10;lWjX0xa7XShZDCGfKAkmhCbh3BcGrfIT1yDF3cG1VoXYtiXXrepjuK35TIglt6qieMGoBp8NFt+7&#10;o5XwujkNh/lWL7B4/+zfup8vs89PUt7dDpsnYAGHcIHhrB/VIYtOuTuS9qyWsLqfRlLCTCzmwM6A&#10;WD3EKv8f8Szl1z9kfwAAAP//AwBQSwECLQAUAAYACAAAACEAtoM4kv4AAADhAQAAEwAAAAAAAAAA&#10;AAAAAAAAAAAAW0NvbnRlbnRfVHlwZXNdLnhtbFBLAQItABQABgAIAAAAIQA4/SH/1gAAAJQBAAAL&#10;AAAAAAAAAAAAAAAAAC8BAABfcmVscy8ucmVsc1BLAQItABQABgAIAAAAIQAS6FEMzQEAAIUDAAAO&#10;AAAAAAAAAAAAAAAAAC4CAABkcnMvZTJvRG9jLnhtbFBLAQItABQABgAIAAAAIQBT63em3wAAAAsB&#10;AAAPAAAAAAAAAAAAAAAAACcEAABkcnMvZG93bnJldi54bWxQSwUGAAAAAAQABADzAAAAMwUAAAAA&#10;" strokecolor="white" strokeweight=".5pt">
                <w10:wrap anchorx="page" anchory="page"/>
              </v:line>
            </w:pict>
          </mc:Fallback>
        </mc:AlternateContent>
      </w:r>
      <w:r>
        <w:rPr>
          <w:noProof/>
          <w:lang w:val="en-AU" w:eastAsia="en-AU"/>
        </w:rPr>
        <mc:AlternateContent>
          <mc:Choice Requires="wps">
            <w:drawing>
              <wp:anchor distT="0" distB="0" distL="114300" distR="114300" simplePos="0" relativeHeight="252018176" behindDoc="0" locked="0" layoutInCell="1" allowOverlap="1" wp14:anchorId="33A77301" wp14:editId="39F3B18C">
                <wp:simplePos x="0" y="0"/>
                <wp:positionH relativeFrom="page">
                  <wp:posOffset>591185</wp:posOffset>
                </wp:positionH>
                <wp:positionV relativeFrom="page">
                  <wp:posOffset>1493520</wp:posOffset>
                </wp:positionV>
                <wp:extent cx="6377305" cy="0"/>
                <wp:effectExtent l="0" t="0" r="0" b="0"/>
                <wp:wrapNone/>
                <wp:docPr id="29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5CC7F" id="Line 12" o:spid="_x0000_s1026" style="position:absolute;z-index:25201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117.6pt" to="548.7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DHzQEAAIUDAAAOAAAAZHJzL2Uyb0RvYy54bWysU01v2zAMvQ/YfxB0X2ynaLsZcXpIll2y&#10;LUC7H8BIsi1MFgVJiZ1/P0r5aLfdhvkgiCL5+PhIL56mwbCj8kGjbXg1KzlTVqDUtmv4j5fNh4+c&#10;hQhWgkGrGn5SgT8t379bjK5Wc+zRSOUZgdhQj67hfYyuLoogejVAmKFTlpwt+gEimb4rpIeR0AdT&#10;zMvyoRjRS+dRqBDodX128mXGb1sl4ve2DSoy03DiFvPp87lPZ7FcQN15cL0WFxrwDywG0JaK3qDW&#10;EIEdvP4LatDCY8A2zgQOBbatFir3QN1U5R/dPPfgVO6FxAnuJlP4f7Di23HnmZYNn3+qOLMw0JC2&#10;2ipWzZM4ows1xazszqf2xGSf3RbFz8AsrnqwncokX06O8qqUUfyWkozgqMR+/IqSYuAQMSs1tX5I&#10;kKQBm/JATreBqCkyQY8Pd4+Pd+U9Z+LqK6C+Jjof4heFA0uXhhsinYHhuA0xEYH6GpLqWNxoY/K8&#10;jWVjAr8vc0JAo2VyprDgu/3KeHYE2phN/nJX5HkblpDXEPpzXHadd8njwcpcpVcgP1/uEbQ534mV&#10;sReVkjBnifcoTzt/VY9mnelf9jIt01s7Z7/+PctfAAAA//8DAFBLAwQUAAYACAAAACEA5dLZ8eAA&#10;AAALAQAADwAAAGRycy9kb3ducmV2LnhtbEyPy07DMBBF90j9B2sqsaNO05bSEKeqkGAJ6mPTnRNP&#10;40A8DrGbhH49roRElzNzdOfcdD2YmnXYusqSgOkkAoZUWFVRKeCwf314Aua8JCVrSyjgBx2ss9Fd&#10;KhNle9pit/MlCyHkEilAe98knLtCo5FuYhukcDvZ1kgfxrbkqpV9CDc1j6PokRtZUfigZYMvGouv&#10;3dkIeNtchtN8qxZYfBz79+77Ux/yixD342HzDMzj4P9huOoHdciCU27PpByrBaxm00AKiGeLGNgV&#10;iFbLObD8b8WzlN92yH4BAAD//wMAUEsBAi0AFAAGAAgAAAAhALaDOJL+AAAA4QEAABMAAAAAAAAA&#10;AAAAAAAAAAAAAFtDb250ZW50X1R5cGVzXS54bWxQSwECLQAUAAYACAAAACEAOP0h/9YAAACUAQAA&#10;CwAAAAAAAAAAAAAAAAAvAQAAX3JlbHMvLnJlbHNQSwECLQAUAAYACAAAACEAK1bAx80BAACFAwAA&#10;DgAAAAAAAAAAAAAAAAAuAgAAZHJzL2Uyb0RvYy54bWxQSwECLQAUAAYACAAAACEA5dLZ8eAAAAAL&#10;AQAADwAAAAAAAAAAAAAAAAAnBAAAZHJzL2Rvd25yZXYueG1sUEsFBgAAAAAEAAQA8wAAADQFAAAA&#10;AA==&#10;" strokecolor="white" strokeweight=".5pt">
                <w10:wrap anchorx="page" anchory="page"/>
              </v:line>
            </w:pict>
          </mc:Fallback>
        </mc:AlternateContent>
      </w:r>
      <w:r>
        <w:rPr>
          <w:noProof/>
          <w:lang w:val="en-AU" w:eastAsia="en-AU"/>
        </w:rPr>
        <mc:AlternateContent>
          <mc:Choice Requires="wps">
            <w:drawing>
              <wp:anchor distT="0" distB="0" distL="114300" distR="114300" simplePos="0" relativeHeight="252019200" behindDoc="0" locked="0" layoutInCell="1" allowOverlap="1" wp14:anchorId="54EF2CF0" wp14:editId="769BCE4C">
                <wp:simplePos x="0" y="0"/>
                <wp:positionH relativeFrom="page">
                  <wp:posOffset>591185</wp:posOffset>
                </wp:positionH>
                <wp:positionV relativeFrom="page">
                  <wp:posOffset>1679575</wp:posOffset>
                </wp:positionV>
                <wp:extent cx="6377305" cy="0"/>
                <wp:effectExtent l="0" t="0" r="0" b="0"/>
                <wp:wrapNone/>
                <wp:docPr id="29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3175">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1DE57" id="Line 11" o:spid="_x0000_s1026" style="position:absolute;z-index:25201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132.25pt" to="548.7pt,1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C/zgEAAIUDAAAOAAAAZHJzL2Uyb0RvYy54bWysU8GO2jAQvVfqP1i+lwTQLm1E2AOUXmiL&#10;tNsPGGyHWHU8lm1I+PuOHaC77a1qDpbH8+bNzJvJ8mnoDDsrHzTamk8nJWfKCpTaHmv+42X74SNn&#10;IYKVYNCqml9U4E+r9++WvavUDFs0UnlGJDZUvat5G6OriiKIVnUQJuiUJWeDvoNIpj8W0kNP7J0p&#10;ZmX5WPTopfMoVAj0uhmdfJX5m0aJ+L1pgorM1Jxqi/n0+Tyks1gtoTp6cK0W1zLgH6roQFtKeqfa&#10;QAR28vovqk4LjwGbOBHYFdg0WqjcA3UzLf/o5rkFp3IvJE5wd5nC/6MV3857z7Ss+ewT6WOhoyHt&#10;tFVsOk3i9C5UhFnbvU/ticE+ux2Kn4FZXLdgjyoX+XJxFJcjijchyQiOUhz6rygJA6eIWamh8V2i&#10;JA3YkAdyuQ9EDZEJenycLxbz8oEzcfMVUN0CnQ/xi8KOpUvNDRWdieG8C5FKJ+gNkvJY3Gpj8ryN&#10;ZX3N59PFQw4IaLRMzgQL/nhYG8/OQBuzzV/SgcjewBLzBkI74rJr3CWPJytzllaB/Hy9R9BmvBOR&#10;scR3E2aU+IDysvcpT3qnWeeM171My/Tazqjff8/qFwAAAP//AwBQSwMEFAAGAAgAAAAhAHlFwYLg&#10;AAAACwEAAA8AAABkcnMvZG93bnJldi54bWxMj9FKwzAUhu8F3yEcwZvhks1ubrXpkI7diCCbPkDW&#10;HNvS5qQk2Vp9ejMQ5uU55+M/359tRtOxMzrfWJIwmwpgSKXVDVUSPj92DytgPijSqrOEEr7Rwya/&#10;vclUqu1AezwfQsViCPlUSahD6FPOfVmjUX5qe6R4+7LOqBBHV3Ht1BDDTcfnQiy5UQ3FD7Xqsaix&#10;bA8nI6EYh2H7Qzv3tm3fE3qdFGLVNlLe340vz8ACjuEKw0U/qkMenY72RNqzTsL6cRZJCfNlsgB2&#10;AcT6KQF2/FvxPOP/O+S/AAAA//8DAFBLAQItABQABgAIAAAAIQC2gziS/gAAAOEBAAATAAAAAAAA&#10;AAAAAAAAAAAAAABbQ29udGVudF9UeXBlc10ueG1sUEsBAi0AFAAGAAgAAAAhADj9If/WAAAAlAEA&#10;AAsAAAAAAAAAAAAAAAAALwEAAF9yZWxzLy5yZWxzUEsBAi0AFAAGAAgAAAAhAM8QUL/OAQAAhQMA&#10;AA4AAAAAAAAAAAAAAAAALgIAAGRycy9lMm9Eb2MueG1sUEsBAi0AFAAGAAgAAAAhAHlFwYLgAAAA&#10;CwEAAA8AAAAAAAAAAAAAAAAAKAQAAGRycy9kb3ducmV2LnhtbFBLBQYAAAAABAAEAPMAAAA1BQAA&#10;AAA=&#10;" strokecolor="white" strokeweight=".25pt">
                <w10:wrap anchorx="page" anchory="page"/>
              </v:line>
            </w:pict>
          </mc:Fallback>
        </mc:AlternateContent>
      </w:r>
      <w:r>
        <w:rPr>
          <w:noProof/>
          <w:lang w:val="en-AU" w:eastAsia="en-AU"/>
        </w:rPr>
        <mc:AlternateContent>
          <mc:Choice Requires="wps">
            <w:drawing>
              <wp:anchor distT="0" distB="0" distL="114300" distR="114300" simplePos="0" relativeHeight="252020224" behindDoc="0" locked="0" layoutInCell="1" allowOverlap="1" wp14:anchorId="52463504" wp14:editId="6A6CBA95">
                <wp:simplePos x="0" y="0"/>
                <wp:positionH relativeFrom="page">
                  <wp:posOffset>591185</wp:posOffset>
                </wp:positionH>
                <wp:positionV relativeFrom="page">
                  <wp:posOffset>1868170</wp:posOffset>
                </wp:positionV>
                <wp:extent cx="6377305" cy="0"/>
                <wp:effectExtent l="0" t="0" r="0" b="0"/>
                <wp:wrapNone/>
                <wp:docPr id="28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FD020" id="Line 10" o:spid="_x0000_s1026" style="position:absolute;z-index:2520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147.1pt" to="548.7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bizQEAAIUDAAAOAAAAZHJzL2Uyb0RvYy54bWysU8uO2zAMvBfoPwi6N3ay2EeNOHtIml7S&#10;NsBuP4CR5FioJAqiEjt/X0l5dNveivogiCI5HA7p+fNoDTuqQBpdy6eTmjPlBErt9i3//rr+8MQZ&#10;RXASDDrV8pMi/rx4/24++EbNsEcjVWAJxFEz+Jb3Mfqmqkj0ygJN0CuXnB0GCzGZYV/JAENCt6aa&#10;1fVDNWCQPqBQROl1dXbyRcHvOiXit64jFZlpeeIWyxnKuctntZhDsw/gey0uNOAfWFjQLhW9Qa0g&#10;AjsE/ReU1SIgYRcnAm2FXaeFKj2kbqb1H9289OBV6SWJQ/4mE/0/WPH1uA1My5bPnj5y5sCmIW20&#10;U2xaxBk8NSlm6bYhtydG9+I3KH4Qc7jswe1VIfl68ilvmuWsfkvJBvlUYjd8QZli4BCxKDV2wWbI&#10;pAEby0BOt4GoMTKRHh/uHh/v6nvOxNVXQXNN9IHiZ4WW5UvLTSJdgOG4oZiJQHMNyXUcrrUxZd7G&#10;sSGD39clgdBomZ05jMJ+tzSBHSFtzLp8pavkeRuWkVdA/TmuuM67FPDgZKnSK5CfLvcI2pzviZVx&#10;F5WyMHlTqdmhPG3DVb0060L/spd5md7aJfvX37P4CQAA//8DAFBLAwQUAAYACAAAACEAMUmK5OAA&#10;AAALAQAADwAAAGRycy9kb3ducmV2LnhtbEyPy07DMBBF90j9B2sqsaNOQ3gkxKkqJFiCWrph58TT&#10;OG08DrGbhH49roQEy5k5unNuvppMywbsXWNJwHIRAUOqrGqoFrD7eLl5BOa8JCVbSyjgGx2sitlV&#10;LjNlR9rgsPU1CyHkMilAe99lnLtKo5FuYTukcNvb3kgfxr7mqpdjCDctj6PonhvZUPigZYfPGqvj&#10;9mQEvK7P0z7ZqDus3j/Ht+HroHflWYjr+bR+AuZx8n8wXPSDOhTBqbQnUo61AtLbZSAFxGkSA7sA&#10;UfqQACt/V7zI+f8OxQ8AAAD//wMAUEsBAi0AFAAGAAgAAAAhALaDOJL+AAAA4QEAABMAAAAAAAAA&#10;AAAAAAAAAAAAAFtDb250ZW50X1R5cGVzXS54bWxQSwECLQAUAAYACAAAACEAOP0h/9YAAACUAQAA&#10;CwAAAAAAAAAAAAAAAAAvAQAAX3JlbHMvLnJlbHNQSwECLQAUAAYACAAAACEAFJHG4s0BAACFAwAA&#10;DgAAAAAAAAAAAAAAAAAuAgAAZHJzL2Uyb0RvYy54bWxQSwECLQAUAAYACAAAACEAMUmK5OAAAAAL&#10;AQAADwAAAAAAAAAAAAAAAAAnBAAAZHJzL2Rvd25yZXYueG1sUEsFBgAAAAAEAAQA8wAAADQFAAAA&#10;AA==&#10;" strokecolor="white" strokeweight=".5pt">
                <w10:wrap anchorx="page" anchory="page"/>
              </v:line>
            </w:pict>
          </mc:Fallback>
        </mc:AlternateContent>
      </w:r>
      <w:r>
        <w:rPr>
          <w:noProof/>
          <w:lang w:val="en-AU" w:eastAsia="en-AU"/>
        </w:rPr>
        <mc:AlternateContent>
          <mc:Choice Requires="wps">
            <w:drawing>
              <wp:anchor distT="0" distB="0" distL="114300" distR="114300" simplePos="0" relativeHeight="252021248" behindDoc="0" locked="0" layoutInCell="1" allowOverlap="1" wp14:anchorId="683EE80D" wp14:editId="50593993">
                <wp:simplePos x="0" y="0"/>
                <wp:positionH relativeFrom="page">
                  <wp:posOffset>591185</wp:posOffset>
                </wp:positionH>
                <wp:positionV relativeFrom="page">
                  <wp:posOffset>2057400</wp:posOffset>
                </wp:positionV>
                <wp:extent cx="6377305" cy="0"/>
                <wp:effectExtent l="0" t="0" r="0" b="0"/>
                <wp:wrapNone/>
                <wp:docPr id="28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6FB41" id="Line 9" o:spid="_x0000_s1026" style="position:absolute;z-index:25202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162pt" to="548.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W6zAEAAIQDAAAOAAAAZHJzL2Uyb0RvYy54bWysU8uO2zAMvBfoPwi6N3ay2EeNOHtIml7S&#10;NsBuP4CRZFuoLAqSEjt/X0pO0m17K+qDIIrkcDikl89jb9hJ+aDR1nw+KzlTVqDUtq3599fthyfO&#10;QgQrwaBVNT+rwJ9X798tB1epBXZopPKMQGyoBlfzLkZXFUUQneohzNApS84GfQ+RTN8W0sNA6L0p&#10;FmX5UAzopfMoVAj0upmcfJXxm0aJ+K1pgorM1Jy4xXz6fB7SWayWULUeXKfFhQb8A4setKWiN6gN&#10;RGBHr/+C6rXwGLCJM4F9gU2jhco9UDfz8o9uXjpwKvdC4gR3kyn8P1jx9bT3TMuaL55oVBZ6GtJO&#10;W8U+Jm0GFyoKWdu9T92J0b64HYofgVlcd2BblTm+nh2lzVNG8VtKMoKjCofhC0qKgWPELNTY+D5B&#10;kgRszPM43+ahxsgEPT7cPT7elfeciauvgOqa6HyInxX2LF1qbohzBobTLsREBKprSKpjcauNyeM2&#10;lg0J/L7MCQGNlsmZwoJvD2vj2QloYbb5y12R521YQt5A6Ka47JpWyePRylylUyA/Xe4RtJnuxMrY&#10;i0pJmEniA8rz3l/Vo1Fn+pe1TLv01s7Zv36e1U8AAAD//wMAUEsDBBQABgAIAAAAIQDG/EKh3wAA&#10;AAsBAAAPAAAAZHJzL2Rvd25yZXYueG1sTI/BbsIwDIbvk/YOkSdxGynQbdA1RQgJjptgXLiljWm6&#10;NU7XhLbj6RekSexo+9Pv70+Xg6lZh62rLAmYjCNgSIVVFZUCDh+bxzkw5yUpWVtCAT/oYJnd36Uy&#10;UbanHXZ7X7IQQi6RArT3TcK5KzQa6ca2QQq3k22N9GFsS65a2YdwU/NpFD1zIysKH7RscK2x+Nqf&#10;jYDt6jKc4p16wuL92L9135/6kF+EGD0Mq1dgHgd/g+GqH9QhC065PZNyrBawmE0CKWA2jUOnKxAt&#10;XmJg+d+KZyn/3yH7BQAA//8DAFBLAQItABQABgAIAAAAIQC2gziS/gAAAOEBAAATAAAAAAAAAAAA&#10;AAAAAAAAAABbQ29udGVudF9UeXBlc10ueG1sUEsBAi0AFAAGAAgAAAAhADj9If/WAAAAlAEAAAsA&#10;AAAAAAAAAAAAAAAALwEAAF9yZWxzLy5yZWxzUEsBAi0AFAAGAAgAAAAhAKA0tbrMAQAAhAMAAA4A&#10;AAAAAAAAAAAAAAAALgIAAGRycy9lMm9Eb2MueG1sUEsBAi0AFAAGAAgAAAAhAMb8QqHfAAAACwEA&#10;AA8AAAAAAAAAAAAAAAAAJgQAAGRycy9kb3ducmV2LnhtbFBLBQYAAAAABAAEAPMAAAAyBQAAAAA=&#10;" strokecolor="white" strokeweight=".5pt">
                <w10:wrap anchorx="page" anchory="page"/>
              </v:line>
            </w:pict>
          </mc:Fallback>
        </mc:AlternateContent>
      </w:r>
      <w:r>
        <w:rPr>
          <w:noProof/>
          <w:lang w:val="en-AU" w:eastAsia="en-AU"/>
        </w:rPr>
        <mc:AlternateContent>
          <mc:Choice Requires="wps">
            <w:drawing>
              <wp:anchor distT="0" distB="0" distL="114300" distR="114300" simplePos="0" relativeHeight="252022272" behindDoc="0" locked="0" layoutInCell="1" allowOverlap="1" wp14:anchorId="0A02AA1A" wp14:editId="234457ED">
                <wp:simplePos x="0" y="0"/>
                <wp:positionH relativeFrom="page">
                  <wp:posOffset>591185</wp:posOffset>
                </wp:positionH>
                <wp:positionV relativeFrom="page">
                  <wp:posOffset>2246630</wp:posOffset>
                </wp:positionV>
                <wp:extent cx="6377305" cy="0"/>
                <wp:effectExtent l="0" t="0" r="0" b="0"/>
                <wp:wrapNone/>
                <wp:docPr id="28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3336E" id="Line 8" o:spid="_x0000_s1026" style="position:absolute;z-index:25202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55pt,176.9pt" to="548.7pt,1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TywEAAIQDAAAOAAAAZHJzL2Uyb0RvYy54bWysU8GO2jAQvVfqP1i+lwRWu6CIsAcovdAW&#10;abcfMNhOYtXxWLYh8PcdO8Bu21vVHCyPZ+bNmzeT5fO5N+ykfNBoaz6dlJwpK1Bq29b8x+v204Kz&#10;EMFKMGhVzS8q8OfVxw/LwVVqhh0aqTwjEBuqwdW8i9FVRRFEp3oIE3TKkrNB30Mk07eF9DAQem+K&#10;WVk+FQN66TwKFQK9bkYnX2X8plEifm+aoCIzNSduMZ8+n4d0FqslVK0H12lxpQH/wKIHbanoHWoD&#10;EdjR67+gei08BmziRGBfYNNooXIP1M20/KOblw6cyr2QOMHdZQr/D1Z8O+0907Lms8WcMws9DWmn&#10;rWKLpM3gQkUha7v3qTtxti9uh+JnYBbXHdhWZY6vF0dp05RR/JaSjOCowmH4ipJi4BgxC3VufJ8g&#10;SQJ2zvO43OehzpEJenx6mM8fykfOxM1XQHVLdD7ELwp7li41N8Q5A8NpF2IiAtUtJNWxuNXG5HEb&#10;y4YE/ljmhIBGy+RMYcG3h7Xx7AS0MNv85a7I8z4sIW8gdGNcdo2r5PFoZa7SKZCfr/cI2ox3YmXs&#10;VaUkzCjxAeVl72/q0agz/etapl16b+fst59n9QsAAP//AwBQSwMEFAAGAAgAAAAhAFf80l/fAAAA&#10;CwEAAA8AAABkcnMvZG93bnJldi54bWxMj8FuwjAMhu+T9g6RJ3EbKSts0DVFaBIcN8G4cEsb03Rr&#10;nK4JbeHpF6RJ7Gj70+/vT5eDqVmHrassCZiMI2BIhVUVlQL2n+vHOTDnJSlZW0IBZ3SwzO7vUpko&#10;29MWu50vWQghl0gB2vsm4dwVGo10Y9sghdvRtkb6MLYlV63sQ7ip+VMUPXMjKwoftGzwTWPxvTsZ&#10;AZvVZThOt2qGxcehf+9+vvQ+vwgxehhWr8A8Dv4Gw1U/qEMWnHJ7IuVYLWARTwIpIJ7FocIViBYv&#10;U2D534pnKf/fIfsFAAD//wMAUEsBAi0AFAAGAAgAAAAhALaDOJL+AAAA4QEAABMAAAAAAAAAAAAA&#10;AAAAAAAAAFtDb250ZW50X1R5cGVzXS54bWxQSwECLQAUAAYACAAAACEAOP0h/9YAAACUAQAACwAA&#10;AAAAAAAAAAAAAAAvAQAAX3JlbHMvLnJlbHNQSwECLQAUAAYACAAAACEAPpl708sBAACEAwAADgAA&#10;AAAAAAAAAAAAAAAuAgAAZHJzL2Uyb0RvYy54bWxQSwECLQAUAAYACAAAACEAV/zSX98AAAALAQAA&#10;DwAAAAAAAAAAAAAAAAAlBAAAZHJzL2Rvd25yZXYueG1sUEsFBgAAAAAEAAQA8wAAADEFAAAAAA==&#10;" strokecolor="white" strokeweight=".5pt">
                <w10:wrap anchorx="page" anchory="page"/>
              </v:line>
            </w:pict>
          </mc:Fallback>
        </mc:AlternateContent>
      </w:r>
      <w:r w:rsidR="00083242">
        <w:rPr>
          <w:rFonts w:ascii="Tahoma" w:eastAsia="Tahoma" w:hAnsi="Tahoma"/>
          <w:color w:val="404042"/>
          <w:spacing w:val="7"/>
          <w:sz w:val="18"/>
        </w:rPr>
        <w:t>WA Government School Curriculum and Standards Authority</w:t>
      </w:r>
    </w:p>
    <w:p w14:paraId="5606B295" w14:textId="77777777" w:rsidR="009757A9" w:rsidRDefault="00083242">
      <w:pPr>
        <w:shd w:val="solid" w:color="F6F8F9" w:fill="F6F8F9"/>
        <w:spacing w:before="78" w:line="209" w:lineRule="exact"/>
        <w:ind w:left="144"/>
        <w:textAlignment w:val="baseline"/>
        <w:rPr>
          <w:rFonts w:ascii="Tahoma" w:eastAsia="Tahoma" w:hAnsi="Tahoma"/>
          <w:color w:val="404042"/>
          <w:spacing w:val="6"/>
          <w:sz w:val="18"/>
        </w:rPr>
      </w:pPr>
      <w:r>
        <w:rPr>
          <w:rFonts w:ascii="Tahoma" w:eastAsia="Tahoma" w:hAnsi="Tahoma"/>
          <w:color w:val="404042"/>
          <w:spacing w:val="6"/>
          <w:sz w:val="18"/>
        </w:rPr>
        <w:t>Wallwork, Brendon</w:t>
      </w:r>
    </w:p>
    <w:p w14:paraId="59FDE06F" w14:textId="77777777" w:rsidR="009757A9" w:rsidRDefault="00083242">
      <w:pPr>
        <w:shd w:val="solid" w:color="F6F8F9" w:fill="F6F8F9"/>
        <w:spacing w:before="84" w:line="220" w:lineRule="exact"/>
        <w:ind w:left="144"/>
        <w:textAlignment w:val="baseline"/>
        <w:rPr>
          <w:rFonts w:ascii="Tahoma" w:eastAsia="Tahoma" w:hAnsi="Tahoma"/>
          <w:color w:val="404042"/>
          <w:spacing w:val="6"/>
          <w:sz w:val="18"/>
        </w:rPr>
      </w:pPr>
      <w:r>
        <w:rPr>
          <w:rFonts w:ascii="Tahoma" w:eastAsia="Tahoma" w:hAnsi="Tahoma"/>
          <w:color w:val="404042"/>
          <w:spacing w:val="6"/>
          <w:sz w:val="18"/>
        </w:rPr>
        <w:t>Western Australian Council of State School Organisations</w:t>
      </w:r>
    </w:p>
    <w:p w14:paraId="7B97E826" w14:textId="77777777" w:rsidR="009757A9" w:rsidRDefault="00083242">
      <w:pPr>
        <w:shd w:val="solid" w:color="F6F8F9" w:fill="F6F8F9"/>
        <w:spacing w:before="77" w:line="220" w:lineRule="exact"/>
        <w:ind w:left="144"/>
        <w:textAlignment w:val="baseline"/>
        <w:rPr>
          <w:rFonts w:ascii="Tahoma" w:eastAsia="Tahoma" w:hAnsi="Tahoma"/>
          <w:color w:val="404042"/>
          <w:spacing w:val="7"/>
          <w:sz w:val="18"/>
        </w:rPr>
      </w:pPr>
      <w:r>
        <w:rPr>
          <w:rFonts w:ascii="Tahoma" w:eastAsia="Tahoma" w:hAnsi="Tahoma"/>
          <w:color w:val="404042"/>
          <w:spacing w:val="7"/>
          <w:sz w:val="18"/>
        </w:rPr>
        <w:t>Western Australian Government Department of Education</w:t>
      </w:r>
    </w:p>
    <w:p w14:paraId="0DB1F43E" w14:textId="77777777" w:rsidR="009757A9" w:rsidRDefault="00083242">
      <w:pPr>
        <w:shd w:val="solid" w:color="F6F8F9" w:fill="F6F8F9"/>
        <w:spacing w:before="78" w:line="220" w:lineRule="exact"/>
        <w:ind w:left="144"/>
        <w:textAlignment w:val="baseline"/>
        <w:rPr>
          <w:rFonts w:ascii="Tahoma" w:eastAsia="Tahoma" w:hAnsi="Tahoma"/>
          <w:color w:val="404042"/>
          <w:spacing w:val="4"/>
          <w:sz w:val="18"/>
        </w:rPr>
      </w:pPr>
      <w:r>
        <w:rPr>
          <w:rFonts w:ascii="Tahoma" w:eastAsia="Tahoma" w:hAnsi="Tahoma"/>
          <w:color w:val="404042"/>
          <w:spacing w:val="4"/>
          <w:sz w:val="18"/>
        </w:rPr>
        <w:t>Whittingham, John</w:t>
      </w:r>
    </w:p>
    <w:p w14:paraId="7EF39A81" w14:textId="77777777" w:rsidR="009757A9" w:rsidRDefault="00083242">
      <w:pPr>
        <w:shd w:val="solid" w:color="F6F8F9" w:fill="F6F8F9"/>
        <w:spacing w:before="78" w:line="209" w:lineRule="exact"/>
        <w:ind w:left="144"/>
        <w:textAlignment w:val="baseline"/>
        <w:rPr>
          <w:rFonts w:ascii="Tahoma" w:eastAsia="Tahoma" w:hAnsi="Tahoma"/>
          <w:color w:val="404042"/>
          <w:spacing w:val="5"/>
          <w:sz w:val="18"/>
        </w:rPr>
      </w:pPr>
      <w:r>
        <w:rPr>
          <w:rFonts w:ascii="Tahoma" w:eastAsia="Tahoma" w:hAnsi="Tahoma"/>
          <w:color w:val="404042"/>
          <w:spacing w:val="5"/>
          <w:sz w:val="18"/>
        </w:rPr>
        <w:t>Wilson, Caroline</w:t>
      </w:r>
    </w:p>
    <w:p w14:paraId="627B389A" w14:textId="77777777" w:rsidR="009757A9" w:rsidRDefault="00083242">
      <w:pPr>
        <w:shd w:val="solid" w:color="F6F8F9" w:fill="F6F8F9"/>
        <w:spacing w:before="88" w:line="209" w:lineRule="exact"/>
        <w:ind w:left="144"/>
        <w:textAlignment w:val="baseline"/>
        <w:rPr>
          <w:rFonts w:ascii="Tahoma" w:eastAsia="Tahoma" w:hAnsi="Tahoma"/>
          <w:color w:val="404042"/>
          <w:spacing w:val="6"/>
          <w:sz w:val="18"/>
        </w:rPr>
      </w:pPr>
      <w:r>
        <w:rPr>
          <w:rFonts w:ascii="Tahoma" w:eastAsia="Tahoma" w:hAnsi="Tahoma"/>
          <w:color w:val="404042"/>
          <w:spacing w:val="6"/>
          <w:sz w:val="18"/>
        </w:rPr>
        <w:t>Wood, Christine</w:t>
      </w:r>
    </w:p>
    <w:p w14:paraId="2C3761F5" w14:textId="77777777" w:rsidR="009757A9" w:rsidRDefault="00083242">
      <w:pPr>
        <w:shd w:val="solid" w:color="F6F8F9" w:fill="F6F8F9"/>
        <w:spacing w:before="84" w:line="209" w:lineRule="exact"/>
        <w:ind w:left="144"/>
        <w:textAlignment w:val="baseline"/>
        <w:rPr>
          <w:rFonts w:ascii="Tahoma" w:eastAsia="Tahoma" w:hAnsi="Tahoma"/>
          <w:color w:val="404042"/>
          <w:spacing w:val="2"/>
          <w:sz w:val="18"/>
        </w:rPr>
      </w:pPr>
      <w:r>
        <w:rPr>
          <w:rFonts w:ascii="Tahoma" w:eastAsia="Tahoma" w:hAnsi="Tahoma"/>
          <w:color w:val="404042"/>
          <w:spacing w:val="2"/>
          <w:sz w:val="18"/>
        </w:rPr>
        <w:t>Xiao, Sean</w:t>
      </w:r>
    </w:p>
    <w:p w14:paraId="63B5D110" w14:textId="77777777" w:rsidR="009757A9" w:rsidRDefault="00083242">
      <w:pPr>
        <w:shd w:val="solid" w:color="F6F8F9" w:fill="F6F8F9"/>
        <w:spacing w:before="89" w:after="66" w:line="220" w:lineRule="exact"/>
        <w:ind w:left="144"/>
        <w:textAlignment w:val="baseline"/>
        <w:rPr>
          <w:rFonts w:ascii="Tahoma" w:eastAsia="Tahoma" w:hAnsi="Tahoma"/>
          <w:color w:val="404042"/>
          <w:spacing w:val="7"/>
          <w:sz w:val="18"/>
        </w:rPr>
      </w:pPr>
      <w:r>
        <w:rPr>
          <w:rFonts w:ascii="Tahoma" w:eastAsia="Tahoma" w:hAnsi="Tahoma"/>
          <w:color w:val="404042"/>
          <w:spacing w:val="7"/>
          <w:sz w:val="18"/>
        </w:rPr>
        <w:t>yourtown</w:t>
      </w:r>
    </w:p>
    <w:p w14:paraId="51224394" w14:textId="77777777" w:rsidR="009757A9" w:rsidRDefault="009757A9">
      <w:pPr>
        <w:spacing w:before="89" w:after="66" w:line="220" w:lineRule="exact"/>
        <w:sectPr w:rsidR="009757A9">
          <w:pgSz w:w="11909" w:h="16838"/>
          <w:pgMar w:top="880" w:right="850" w:bottom="0" w:left="850" w:header="720" w:footer="720" w:gutter="0"/>
          <w:cols w:space="720"/>
        </w:sectPr>
      </w:pPr>
    </w:p>
    <w:p w14:paraId="2A876CC5" w14:textId="77777777" w:rsidR="009757A9" w:rsidRDefault="009757A9">
      <w:pPr>
        <w:spacing w:before="11128" w:line="288" w:lineRule="exact"/>
        <w:textAlignment w:val="baseline"/>
        <w:rPr>
          <w:rFonts w:eastAsia="Times New Roman"/>
          <w:color w:val="000000"/>
          <w:sz w:val="24"/>
        </w:rPr>
      </w:pPr>
    </w:p>
    <w:p w14:paraId="2864798A" w14:textId="77777777" w:rsidR="009757A9" w:rsidRDefault="009757A9">
      <w:pPr>
        <w:sectPr w:rsidR="009757A9">
          <w:type w:val="continuous"/>
          <w:pgSz w:w="11909" w:h="16838"/>
          <w:pgMar w:top="880" w:right="0" w:bottom="0" w:left="0" w:header="720" w:footer="720" w:gutter="0"/>
          <w:cols w:space="720"/>
        </w:sectPr>
      </w:pPr>
    </w:p>
    <w:p w14:paraId="319770E9" w14:textId="77777777" w:rsidR="009757A9" w:rsidRDefault="00083242">
      <w:pPr>
        <w:spacing w:after="634" w:line="208" w:lineRule="exact"/>
        <w:ind w:left="9576"/>
        <w:textAlignment w:val="baseline"/>
        <w:rPr>
          <w:rFonts w:ascii="Tahoma" w:eastAsia="Tahoma" w:hAnsi="Tahoma"/>
          <w:color w:val="404042"/>
          <w:spacing w:val="13"/>
          <w:sz w:val="14"/>
        </w:rPr>
      </w:pPr>
      <w:r>
        <w:rPr>
          <w:rFonts w:ascii="Tahoma" w:eastAsia="Tahoma" w:hAnsi="Tahoma"/>
          <w:color w:val="404042"/>
          <w:spacing w:val="13"/>
          <w:sz w:val="14"/>
        </w:rPr>
        <w:t>Consultations</w:t>
      </w:r>
      <w:r>
        <w:rPr>
          <w:rFonts w:ascii="Arial" w:eastAsia="Arial" w:hAnsi="Arial"/>
          <w:b/>
          <w:color w:val="5556A1"/>
          <w:spacing w:val="13"/>
          <w:sz w:val="19"/>
        </w:rPr>
        <w:t xml:space="preserve"> 167</w:t>
      </w:r>
    </w:p>
    <w:p w14:paraId="19D362F4" w14:textId="77777777" w:rsidR="009757A9" w:rsidRDefault="00083242">
      <w:pPr>
        <w:textAlignment w:val="baseline"/>
      </w:pPr>
      <w:r>
        <w:rPr>
          <w:noProof/>
          <w:lang w:val="en-AU" w:eastAsia="en-AU"/>
        </w:rPr>
        <w:drawing>
          <wp:anchor distT="0" distB="0" distL="114300" distR="114300" simplePos="0" relativeHeight="252113408" behindDoc="1" locked="0" layoutInCell="1" allowOverlap="1" wp14:anchorId="0FEDE695" wp14:editId="2311FEEC">
            <wp:simplePos x="0" y="0"/>
            <wp:positionH relativeFrom="page">
              <wp:align>left</wp:align>
            </wp:positionH>
            <wp:positionV relativeFrom="paragraph">
              <wp:posOffset>180340</wp:posOffset>
            </wp:positionV>
            <wp:extent cx="7562215" cy="462915"/>
            <wp:effectExtent l="0" t="0" r="635" b="0"/>
            <wp:wrapNone/>
            <wp:docPr id="270" name="Picture"/>
            <wp:cNvGraphicFramePr/>
            <a:graphic xmlns:a="http://schemas.openxmlformats.org/drawingml/2006/main">
              <a:graphicData uri="http://schemas.openxmlformats.org/drawingml/2006/picture">
                <pic:pic xmlns:pic="http://schemas.openxmlformats.org/drawingml/2006/picture">
                  <pic:nvPicPr>
                    <pic:cNvPr id="270" name="Picture"/>
                    <pic:cNvPicPr preferRelativeResize="0"/>
                  </pic:nvPicPr>
                  <pic:blipFill>
                    <a:blip r:embed="rId350">
                      <a:extLst>
                        <a:ext uri="{28A0092B-C50C-407E-A947-70E740481C1C}">
                          <a14:useLocalDpi xmlns:a14="http://schemas.microsoft.com/office/drawing/2010/main" val="0"/>
                        </a:ext>
                      </a:extLst>
                    </a:blip>
                    <a:stretch>
                      <a:fillRect/>
                    </a:stretch>
                  </pic:blipFill>
                  <pic:spPr>
                    <a:xfrm>
                      <a:off x="0" y="0"/>
                      <a:ext cx="7562215" cy="462915"/>
                    </a:xfrm>
                    <a:prstGeom prst="rect">
                      <a:avLst/>
                    </a:prstGeom>
                  </pic:spPr>
                </pic:pic>
              </a:graphicData>
            </a:graphic>
            <wp14:sizeRelH relativeFrom="page">
              <wp14:pctWidth>0</wp14:pctWidth>
            </wp14:sizeRelH>
            <wp14:sizeRelV relativeFrom="page">
              <wp14:pctHeight>0</wp14:pctHeight>
            </wp14:sizeRelV>
          </wp:anchor>
        </w:drawing>
      </w:r>
    </w:p>
    <w:p w14:paraId="5D87E8FB" w14:textId="77777777" w:rsidR="009757A9" w:rsidRDefault="009757A9">
      <w:pPr>
        <w:sectPr w:rsidR="009757A9">
          <w:type w:val="continuous"/>
          <w:pgSz w:w="11909" w:h="16838"/>
          <w:pgMar w:top="880" w:right="0" w:bottom="0" w:left="0" w:header="720" w:footer="720" w:gutter="0"/>
          <w:cols w:space="720"/>
        </w:sectPr>
      </w:pPr>
    </w:p>
    <w:p w14:paraId="4201C3D1" w14:textId="77777777" w:rsidR="009757A9" w:rsidRDefault="00083242">
      <w:pPr>
        <w:spacing w:before="2" w:after="220" w:line="454" w:lineRule="exact"/>
        <w:ind w:left="864"/>
        <w:textAlignment w:val="baseline"/>
        <w:rPr>
          <w:rFonts w:ascii="Arial" w:eastAsia="Arial" w:hAnsi="Arial"/>
          <w:b/>
          <w:color w:val="00708E"/>
          <w:spacing w:val="12"/>
          <w:w w:val="85"/>
          <w:sz w:val="39"/>
        </w:rPr>
      </w:pPr>
      <w:r>
        <w:rPr>
          <w:rFonts w:ascii="Arial" w:eastAsia="Arial" w:hAnsi="Arial"/>
          <w:b/>
          <w:color w:val="00708E"/>
          <w:spacing w:val="12"/>
          <w:w w:val="85"/>
          <w:sz w:val="39"/>
        </w:rPr>
        <w:lastRenderedPageBreak/>
        <w:t>REFERENCES</w:t>
      </w:r>
    </w:p>
    <w:p w14:paraId="58C21293" w14:textId="77777777" w:rsidR="009757A9" w:rsidRDefault="00083242">
      <w:pPr>
        <w:spacing w:line="241" w:lineRule="exact"/>
        <w:ind w:left="864" w:right="1368"/>
        <w:textAlignment w:val="baseline"/>
        <w:rPr>
          <w:rFonts w:ascii="Tahoma" w:eastAsia="Tahoma" w:hAnsi="Tahoma"/>
          <w:color w:val="404042"/>
          <w:sz w:val="18"/>
        </w:rPr>
      </w:pPr>
      <w:r>
        <w:rPr>
          <w:rFonts w:ascii="Tahoma" w:eastAsia="Tahoma" w:hAnsi="Tahoma"/>
          <w:color w:val="404042"/>
          <w:sz w:val="18"/>
        </w:rPr>
        <w:t xml:space="preserve">ACIL Allen Consulting (2017), </w:t>
      </w:r>
      <w:r>
        <w:rPr>
          <w:rFonts w:ascii="Tahoma" w:eastAsia="Tahoma" w:hAnsi="Tahoma"/>
          <w:i/>
          <w:color w:val="404042"/>
          <w:sz w:val="18"/>
        </w:rPr>
        <w:t>National Disability Coordination Officer Program: Evaluation</w:t>
      </w:r>
      <w:r>
        <w:rPr>
          <w:rFonts w:ascii="Tahoma" w:eastAsia="Tahoma" w:hAnsi="Tahoma"/>
          <w:color w:val="404042"/>
          <w:sz w:val="18"/>
        </w:rPr>
        <w:t>, January 2017,</w:t>
      </w:r>
      <w:r>
        <w:rPr>
          <w:rFonts w:ascii="Tahoma" w:eastAsia="Tahoma" w:hAnsi="Tahoma"/>
          <w:color w:val="007896"/>
          <w:sz w:val="18"/>
        </w:rPr>
        <w:t xml:space="preserve"> </w:t>
      </w:r>
      <w:hyperlink r:id="rId351">
        <w:r>
          <w:rPr>
            <w:rFonts w:ascii="Tahoma" w:eastAsia="Tahoma" w:hAnsi="Tahoma"/>
            <w:color w:val="0000FF"/>
            <w:sz w:val="18"/>
            <w:u w:val="single"/>
          </w:rPr>
          <w:t xml:space="preserve">https://docs. </w:t>
        </w:r>
      </w:hyperlink>
      <w:r>
        <w:rPr>
          <w:rFonts w:ascii="Tahoma" w:eastAsia="Tahoma" w:hAnsi="Tahoma"/>
          <w:color w:val="0000FF"/>
          <w:sz w:val="18"/>
          <w:u w:val="single"/>
        </w:rPr>
        <w:t>education.gov.au/system/files/doc/other/ndco_evaluation_final_report.pdf</w:t>
      </w:r>
      <w:r>
        <w:rPr>
          <w:rFonts w:ascii="Tahoma" w:eastAsia="Tahoma" w:hAnsi="Tahoma"/>
          <w:color w:val="007896"/>
          <w:sz w:val="18"/>
        </w:rPr>
        <w:t>.</w:t>
      </w:r>
    </w:p>
    <w:p w14:paraId="284F6F97" w14:textId="77777777" w:rsidR="009757A9" w:rsidRDefault="00083242">
      <w:pPr>
        <w:spacing w:before="173" w:line="240" w:lineRule="exact"/>
        <w:ind w:left="864"/>
        <w:textAlignment w:val="baseline"/>
        <w:rPr>
          <w:rFonts w:ascii="Tahoma" w:eastAsia="Tahoma" w:hAnsi="Tahoma"/>
          <w:color w:val="404042"/>
          <w:sz w:val="18"/>
        </w:rPr>
      </w:pPr>
      <w:r>
        <w:rPr>
          <w:rFonts w:ascii="Tahoma" w:eastAsia="Tahoma" w:hAnsi="Tahoma"/>
          <w:color w:val="404042"/>
          <w:sz w:val="18"/>
        </w:rPr>
        <w:t xml:space="preserve">Ackehurst, M., Polvere, R., and Windley, G. (2017), </w:t>
      </w:r>
      <w:r>
        <w:rPr>
          <w:rFonts w:ascii="Arial" w:eastAsia="Arial" w:hAnsi="Arial"/>
          <w:i/>
          <w:color w:val="404042"/>
          <w:sz w:val="18"/>
        </w:rPr>
        <w:t>Indigenous Participation in VET: Understanding the research</w:t>
      </w:r>
      <w:r>
        <w:rPr>
          <w:rFonts w:ascii="Tahoma" w:eastAsia="Tahoma" w:hAnsi="Tahoma"/>
          <w:color w:val="404042"/>
          <w:sz w:val="18"/>
        </w:rPr>
        <w:t>,</w:t>
      </w:r>
    </w:p>
    <w:p w14:paraId="0A78B3B3" w14:textId="77777777" w:rsidR="009757A9" w:rsidRDefault="00083242">
      <w:pPr>
        <w:spacing w:line="240" w:lineRule="exact"/>
        <w:ind w:left="864" w:right="1224"/>
        <w:textAlignment w:val="baseline"/>
        <w:rPr>
          <w:rFonts w:ascii="Tahoma" w:eastAsia="Tahoma" w:hAnsi="Tahoma"/>
          <w:color w:val="404042"/>
          <w:sz w:val="18"/>
        </w:rPr>
      </w:pPr>
      <w:r>
        <w:rPr>
          <w:rFonts w:ascii="Tahoma" w:eastAsia="Tahoma" w:hAnsi="Tahoma"/>
          <w:color w:val="404042"/>
          <w:sz w:val="18"/>
        </w:rPr>
        <w:t>National Centre for Vocational Education Research,</w:t>
      </w:r>
      <w:r>
        <w:rPr>
          <w:rFonts w:ascii="Tahoma" w:eastAsia="Tahoma" w:hAnsi="Tahoma"/>
          <w:color w:val="007896"/>
          <w:sz w:val="18"/>
        </w:rPr>
        <w:t xml:space="preserve"> </w:t>
      </w:r>
      <w:hyperlink r:id="rId352">
        <w:r>
          <w:rPr>
            <w:rFonts w:ascii="Tahoma" w:eastAsia="Tahoma" w:hAnsi="Tahoma"/>
            <w:color w:val="0000FF"/>
            <w:sz w:val="18"/>
            <w:u w:val="single"/>
          </w:rPr>
          <w:t xml:space="preserve">https://www.ncver.edu.au/__data/assets/pdf_file/0029/484463/ </w:t>
        </w:r>
      </w:hyperlink>
      <w:r>
        <w:rPr>
          <w:rFonts w:ascii="Tahoma" w:eastAsia="Tahoma" w:hAnsi="Tahoma"/>
          <w:color w:val="0000FF"/>
          <w:sz w:val="18"/>
          <w:u w:val="single"/>
        </w:rPr>
        <w:t>Indigenous-participation-in-VET.pdf</w:t>
      </w:r>
      <w:r>
        <w:rPr>
          <w:rFonts w:ascii="Tahoma" w:eastAsia="Tahoma" w:hAnsi="Tahoma"/>
          <w:color w:val="007896"/>
          <w:sz w:val="18"/>
        </w:rPr>
        <w:t>.</w:t>
      </w:r>
    </w:p>
    <w:p w14:paraId="53928436" w14:textId="77777777" w:rsidR="009757A9" w:rsidRDefault="00083242">
      <w:pPr>
        <w:spacing w:before="168" w:line="240" w:lineRule="exact"/>
        <w:ind w:left="864" w:right="2160"/>
        <w:textAlignment w:val="baseline"/>
        <w:rPr>
          <w:rFonts w:ascii="Tahoma" w:eastAsia="Tahoma" w:hAnsi="Tahoma"/>
          <w:color w:val="404042"/>
          <w:sz w:val="18"/>
        </w:rPr>
      </w:pPr>
      <w:r>
        <w:rPr>
          <w:rFonts w:ascii="Tahoma" w:eastAsia="Tahoma" w:hAnsi="Tahoma"/>
          <w:color w:val="404042"/>
          <w:sz w:val="18"/>
        </w:rPr>
        <w:t xml:space="preserve">AlphaBeta (2017), </w:t>
      </w:r>
      <w:r>
        <w:rPr>
          <w:rFonts w:ascii="Arial" w:eastAsia="Arial" w:hAnsi="Arial"/>
          <w:i/>
          <w:color w:val="404042"/>
          <w:sz w:val="18"/>
        </w:rPr>
        <w:t>The Automation Advantage</w:t>
      </w:r>
      <w:r>
        <w:rPr>
          <w:rFonts w:ascii="Tahoma" w:eastAsia="Tahoma" w:hAnsi="Tahoma"/>
          <w:color w:val="404042"/>
          <w:sz w:val="18"/>
        </w:rPr>
        <w:t>,</w:t>
      </w:r>
      <w:r>
        <w:rPr>
          <w:rFonts w:ascii="Tahoma" w:eastAsia="Tahoma" w:hAnsi="Tahoma"/>
          <w:color w:val="007896"/>
          <w:sz w:val="18"/>
        </w:rPr>
        <w:t xml:space="preserve"> </w:t>
      </w:r>
      <w:hyperlink r:id="rId353">
        <w:r>
          <w:rPr>
            <w:rFonts w:ascii="Tahoma" w:eastAsia="Tahoma" w:hAnsi="Tahoma"/>
            <w:color w:val="0000FF"/>
            <w:sz w:val="18"/>
            <w:u w:val="single"/>
          </w:rPr>
          <w:t>https://www.alphabeta.com/wp-content/uploads/2017/08/ The-Automation-Advantage.pdf</w:t>
        </w:r>
      </w:hyperlink>
      <w:r>
        <w:rPr>
          <w:rFonts w:ascii="Tahoma" w:eastAsia="Tahoma" w:hAnsi="Tahoma"/>
          <w:color w:val="007896"/>
          <w:sz w:val="18"/>
        </w:rPr>
        <w:t>.</w:t>
      </w:r>
    </w:p>
    <w:p w14:paraId="36E6EF93" w14:textId="77777777" w:rsidR="009757A9" w:rsidRDefault="00083242">
      <w:pPr>
        <w:spacing w:before="168" w:line="240" w:lineRule="exact"/>
        <w:ind w:left="864"/>
        <w:textAlignment w:val="baseline"/>
        <w:rPr>
          <w:rFonts w:ascii="Tahoma" w:eastAsia="Tahoma" w:hAnsi="Tahoma"/>
          <w:color w:val="404042"/>
          <w:spacing w:val="4"/>
          <w:sz w:val="18"/>
        </w:rPr>
      </w:pPr>
      <w:r>
        <w:rPr>
          <w:rFonts w:ascii="Tahoma" w:eastAsia="Tahoma" w:hAnsi="Tahoma"/>
          <w:color w:val="404042"/>
          <w:spacing w:val="4"/>
          <w:sz w:val="18"/>
        </w:rPr>
        <w:t xml:space="preserve">AlphaBeta (2018), </w:t>
      </w:r>
      <w:r>
        <w:rPr>
          <w:rFonts w:ascii="Arial" w:eastAsia="Arial" w:hAnsi="Arial"/>
          <w:i/>
          <w:color w:val="404042"/>
          <w:spacing w:val="4"/>
          <w:sz w:val="18"/>
        </w:rPr>
        <w:t>Future Skills</w:t>
      </w:r>
      <w:r>
        <w:rPr>
          <w:rFonts w:ascii="Tahoma" w:eastAsia="Tahoma" w:hAnsi="Tahoma"/>
          <w:color w:val="404042"/>
          <w:spacing w:val="4"/>
          <w:sz w:val="18"/>
        </w:rPr>
        <w:t>,</w:t>
      </w:r>
      <w:r>
        <w:rPr>
          <w:rFonts w:ascii="Tahoma" w:eastAsia="Tahoma" w:hAnsi="Tahoma"/>
          <w:color w:val="007896"/>
          <w:spacing w:val="4"/>
          <w:sz w:val="18"/>
        </w:rPr>
        <w:t xml:space="preserve"> </w:t>
      </w:r>
      <w:hyperlink r:id="rId354">
        <w:r>
          <w:rPr>
            <w:rFonts w:ascii="Tahoma" w:eastAsia="Tahoma" w:hAnsi="Tahoma"/>
            <w:color w:val="0000FF"/>
            <w:spacing w:val="4"/>
            <w:sz w:val="18"/>
            <w:u w:val="single"/>
          </w:rPr>
          <w:t>https://www.alphabeta.com/wp-content/uploads/2019/01/google-skills-report.pdf</w:t>
        </w:r>
      </w:hyperlink>
      <w:r>
        <w:rPr>
          <w:rFonts w:ascii="Tahoma" w:eastAsia="Tahoma" w:hAnsi="Tahoma"/>
          <w:color w:val="007896"/>
          <w:spacing w:val="4"/>
          <w:sz w:val="18"/>
        </w:rPr>
        <w:t>.</w:t>
      </w:r>
    </w:p>
    <w:p w14:paraId="548199B7" w14:textId="77777777" w:rsidR="009757A9" w:rsidRDefault="00083242">
      <w:pPr>
        <w:spacing w:before="173" w:line="240" w:lineRule="exact"/>
        <w:ind w:left="864" w:right="1656"/>
        <w:textAlignment w:val="baseline"/>
        <w:rPr>
          <w:rFonts w:ascii="Tahoma" w:eastAsia="Tahoma" w:hAnsi="Tahoma"/>
          <w:color w:val="404042"/>
          <w:sz w:val="18"/>
        </w:rPr>
      </w:pPr>
      <w:r>
        <w:rPr>
          <w:rFonts w:ascii="Tahoma" w:eastAsia="Tahoma" w:hAnsi="Tahoma"/>
          <w:color w:val="404042"/>
          <w:sz w:val="18"/>
        </w:rPr>
        <w:t xml:space="preserve">Australasian Curriculum, Assessment and Certification Authorities (2018), </w:t>
      </w:r>
      <w:r>
        <w:rPr>
          <w:rFonts w:ascii="Tahoma" w:eastAsia="Tahoma" w:hAnsi="Tahoma"/>
          <w:i/>
          <w:color w:val="404042"/>
          <w:sz w:val="18"/>
        </w:rPr>
        <w:t xml:space="preserve">VET in Senior Secondary Certificates of </w:t>
      </w:r>
      <w:r>
        <w:rPr>
          <w:rFonts w:ascii="Arial" w:eastAsia="Arial" w:hAnsi="Arial"/>
          <w:i/>
          <w:color w:val="404042"/>
          <w:sz w:val="18"/>
        </w:rPr>
        <w:t>Education</w:t>
      </w:r>
      <w:r>
        <w:rPr>
          <w:rFonts w:ascii="Tahoma" w:eastAsia="Tahoma" w:hAnsi="Tahoma"/>
          <w:color w:val="404042"/>
          <w:sz w:val="18"/>
        </w:rPr>
        <w:t>, April 2018,</w:t>
      </w:r>
      <w:r>
        <w:rPr>
          <w:rFonts w:ascii="Tahoma" w:eastAsia="Tahoma" w:hAnsi="Tahoma"/>
          <w:color w:val="007896"/>
          <w:sz w:val="18"/>
        </w:rPr>
        <w:t xml:space="preserve"> </w:t>
      </w:r>
      <w:hyperlink r:id="rId355">
        <w:r>
          <w:rPr>
            <w:rFonts w:ascii="Tahoma" w:eastAsia="Tahoma" w:hAnsi="Tahoma"/>
            <w:color w:val="0000FF"/>
            <w:sz w:val="18"/>
            <w:u w:val="single"/>
          </w:rPr>
          <w:t>http://www.acaca.edu.au/?wpfb_dl=1279</w:t>
        </w:r>
      </w:hyperlink>
      <w:r>
        <w:rPr>
          <w:rFonts w:ascii="Tahoma" w:eastAsia="Tahoma" w:hAnsi="Tahoma"/>
          <w:color w:val="007896"/>
          <w:sz w:val="18"/>
        </w:rPr>
        <w:t>.</w:t>
      </w:r>
    </w:p>
    <w:p w14:paraId="0AF2EDFB"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Australian Bureau of Statistics (1991), </w:t>
      </w:r>
      <w:r>
        <w:rPr>
          <w:rFonts w:ascii="Arial" w:eastAsia="Arial" w:hAnsi="Arial"/>
          <w:i/>
          <w:color w:val="404042"/>
          <w:sz w:val="18"/>
        </w:rPr>
        <w:t>Schools, Australia, 1990</w:t>
      </w:r>
      <w:r>
        <w:rPr>
          <w:rFonts w:ascii="Tahoma" w:eastAsia="Tahoma" w:hAnsi="Tahoma"/>
          <w:color w:val="404042"/>
          <w:sz w:val="18"/>
        </w:rPr>
        <w:t>, cat. no. 4221.0,</w:t>
      </w:r>
      <w:r>
        <w:rPr>
          <w:rFonts w:ascii="Tahoma" w:eastAsia="Tahoma" w:hAnsi="Tahoma"/>
          <w:color w:val="007896"/>
          <w:sz w:val="18"/>
        </w:rPr>
        <w:t xml:space="preserve"> </w:t>
      </w:r>
      <w:hyperlink r:id="rId356">
        <w:r>
          <w:rPr>
            <w:rFonts w:ascii="Tahoma" w:eastAsia="Tahoma" w:hAnsi="Tahoma"/>
            <w:color w:val="0000FF"/>
            <w:sz w:val="18"/>
            <w:u w:val="single"/>
          </w:rPr>
          <w:t>https://www.abs.gov.au/AUSSTATS/abs@. nsf/allprimarymainfeatures/1A6958EE78EA4DAACA257441001B8B29?opendocument</w:t>
        </w:r>
      </w:hyperlink>
      <w:r>
        <w:rPr>
          <w:rFonts w:ascii="Tahoma" w:eastAsia="Tahoma" w:hAnsi="Tahoma"/>
          <w:color w:val="007896"/>
          <w:sz w:val="18"/>
        </w:rPr>
        <w:t>.</w:t>
      </w:r>
    </w:p>
    <w:p w14:paraId="24A06A43" w14:textId="77777777" w:rsidR="009757A9" w:rsidRDefault="00083242">
      <w:pPr>
        <w:spacing w:before="173"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Australian Bureau of Statistics (1996), </w:t>
      </w:r>
      <w:r>
        <w:rPr>
          <w:rFonts w:ascii="Arial" w:eastAsia="Arial" w:hAnsi="Arial"/>
          <w:i/>
          <w:color w:val="404042"/>
          <w:sz w:val="18"/>
        </w:rPr>
        <w:t>Transition from Education to Work, Australia, May 1996</w:t>
      </w:r>
      <w:r>
        <w:rPr>
          <w:rFonts w:ascii="Tahoma" w:eastAsia="Tahoma" w:hAnsi="Tahoma"/>
          <w:color w:val="404042"/>
          <w:sz w:val="18"/>
        </w:rPr>
        <w:t xml:space="preserve">, cat. no. 6227.0, </w:t>
      </w:r>
      <w:hyperlink r:id="rId357">
        <w:r>
          <w:rPr>
            <w:rFonts w:ascii="Tahoma" w:eastAsia="Tahoma" w:hAnsi="Tahoma"/>
            <w:color w:val="0000FF"/>
            <w:sz w:val="18"/>
            <w:u w:val="single"/>
          </w:rPr>
          <w:t>https://www.ausstats.abs.gov.au/ausstats/free.nsf/0/A5D41B6DD31B7B4DCA25722500073702/$File/62270_1996.pdf</w:t>
        </w:r>
      </w:hyperlink>
      <w:r>
        <w:rPr>
          <w:rFonts w:ascii="Tahoma" w:eastAsia="Tahoma" w:hAnsi="Tahoma"/>
          <w:color w:val="007896"/>
          <w:sz w:val="18"/>
        </w:rPr>
        <w:t>.</w:t>
      </w:r>
    </w:p>
    <w:p w14:paraId="39194908" w14:textId="77777777" w:rsidR="009757A9" w:rsidRDefault="00083242">
      <w:pPr>
        <w:spacing w:before="168"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t xml:space="preserve">Australian Bureau of Statistics (1999), </w:t>
      </w:r>
      <w:r>
        <w:rPr>
          <w:rFonts w:ascii="Arial" w:eastAsia="Arial" w:hAnsi="Arial"/>
          <w:i/>
          <w:color w:val="404042"/>
          <w:spacing w:val="1"/>
          <w:sz w:val="18"/>
        </w:rPr>
        <w:t>Australian Social Trends, 1999: Participation in education</w:t>
      </w:r>
    </w:p>
    <w:p w14:paraId="1A1396B1" w14:textId="77777777" w:rsidR="009757A9" w:rsidRDefault="00083242">
      <w:pPr>
        <w:spacing w:line="240" w:lineRule="exact"/>
        <w:ind w:left="864"/>
        <w:textAlignment w:val="baseline"/>
        <w:rPr>
          <w:rFonts w:ascii="Arial" w:eastAsia="Arial" w:hAnsi="Arial"/>
          <w:i/>
          <w:color w:val="404042"/>
          <w:spacing w:val="1"/>
          <w:sz w:val="18"/>
        </w:rPr>
      </w:pPr>
      <w:r>
        <w:rPr>
          <w:rFonts w:ascii="Arial" w:eastAsia="Arial" w:hAnsi="Arial"/>
          <w:i/>
          <w:color w:val="404042"/>
          <w:spacing w:val="1"/>
          <w:sz w:val="18"/>
        </w:rPr>
        <w:t>– Destinations of school leavers</w:t>
      </w:r>
      <w:r>
        <w:rPr>
          <w:rFonts w:ascii="Tahoma" w:eastAsia="Tahoma" w:hAnsi="Tahoma"/>
          <w:color w:val="404042"/>
          <w:spacing w:val="1"/>
          <w:sz w:val="18"/>
        </w:rPr>
        <w:t>, cat. no. 4102.0,</w:t>
      </w:r>
      <w:r>
        <w:rPr>
          <w:rFonts w:ascii="Tahoma" w:eastAsia="Tahoma" w:hAnsi="Tahoma"/>
          <w:color w:val="007896"/>
          <w:spacing w:val="1"/>
          <w:sz w:val="18"/>
        </w:rPr>
        <w:t xml:space="preserve"> </w:t>
      </w:r>
      <w:hyperlink r:id="rId358">
        <w:r>
          <w:rPr>
            <w:rFonts w:ascii="Tahoma" w:eastAsia="Tahoma" w:hAnsi="Tahoma"/>
            <w:color w:val="0000FF"/>
            <w:spacing w:val="1"/>
            <w:sz w:val="18"/>
            <w:u w:val="single"/>
          </w:rPr>
          <w:t>https://www.abs.gov.au/AUSSTATS/abs@.</w:t>
        </w:r>
      </w:hyperlink>
      <w:r>
        <w:rPr>
          <w:rFonts w:ascii="Tahoma" w:eastAsia="Tahoma" w:hAnsi="Tahoma"/>
          <w:color w:val="007896"/>
          <w:spacing w:val="1"/>
          <w:sz w:val="18"/>
        </w:rPr>
        <w:t xml:space="preserve"> </w:t>
      </w:r>
    </w:p>
    <w:p w14:paraId="7C88D585" w14:textId="77777777" w:rsidR="009757A9" w:rsidRDefault="00837BFF">
      <w:pPr>
        <w:spacing w:before="20" w:line="220" w:lineRule="exact"/>
        <w:ind w:left="864"/>
        <w:textAlignment w:val="baseline"/>
        <w:rPr>
          <w:rFonts w:ascii="Tahoma" w:eastAsia="Tahoma" w:hAnsi="Tahoma"/>
          <w:color w:val="007896"/>
          <w:spacing w:val="7"/>
          <w:sz w:val="18"/>
        </w:rPr>
      </w:pPr>
      <w:hyperlink r:id="rId359">
        <w:r w:rsidR="00083242">
          <w:rPr>
            <w:rFonts w:ascii="Tahoma" w:eastAsia="Tahoma" w:hAnsi="Tahoma"/>
            <w:color w:val="0000FF"/>
            <w:spacing w:val="7"/>
            <w:sz w:val="18"/>
            <w:u w:val="single"/>
          </w:rPr>
          <w:t>nsf/2f762f95845417aeca25706c00834efa/2f3f76f60abec87aca2570ec00112c40!OpenDocument</w:t>
        </w:r>
      </w:hyperlink>
      <w:r w:rsidR="00083242">
        <w:rPr>
          <w:rFonts w:ascii="Tahoma" w:eastAsia="Tahoma" w:hAnsi="Tahoma"/>
          <w:color w:val="007896"/>
          <w:spacing w:val="7"/>
          <w:sz w:val="18"/>
        </w:rPr>
        <w:t>.</w:t>
      </w:r>
    </w:p>
    <w:p w14:paraId="28744BA0" w14:textId="77777777" w:rsidR="009757A9" w:rsidRDefault="00083242">
      <w:pPr>
        <w:spacing w:before="186"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Australian Bureau of Statistics (2014a), </w:t>
      </w:r>
      <w:r>
        <w:rPr>
          <w:rFonts w:ascii="Arial" w:eastAsia="Arial" w:hAnsi="Arial"/>
          <w:i/>
          <w:color w:val="404042"/>
          <w:sz w:val="18"/>
        </w:rPr>
        <w:t>Education Variables, June 2014</w:t>
      </w:r>
      <w:r>
        <w:rPr>
          <w:rFonts w:ascii="Tahoma" w:eastAsia="Tahoma" w:hAnsi="Tahoma"/>
          <w:color w:val="404042"/>
          <w:sz w:val="18"/>
        </w:rPr>
        <w:t>, cat. no. 1246.0,</w:t>
      </w:r>
      <w:r>
        <w:rPr>
          <w:rFonts w:ascii="Tahoma" w:eastAsia="Tahoma" w:hAnsi="Tahoma"/>
          <w:color w:val="007896"/>
          <w:sz w:val="18"/>
        </w:rPr>
        <w:t xml:space="preserve"> </w:t>
      </w:r>
      <w:hyperlink r:id="rId360">
        <w:r>
          <w:rPr>
            <w:rFonts w:ascii="Tahoma" w:eastAsia="Tahoma" w:hAnsi="Tahoma"/>
            <w:color w:val="0000FF"/>
            <w:sz w:val="18"/>
            <w:u w:val="single"/>
          </w:rPr>
          <w:t>https://www.abs.gov.au/ausstats/ abs@.nsf/Lookup/1246.0main+features24june%202014</w:t>
        </w:r>
      </w:hyperlink>
      <w:r>
        <w:rPr>
          <w:rFonts w:ascii="Calibri" w:eastAsia="Calibri" w:hAnsi="Calibri"/>
          <w:color w:val="007896"/>
          <w:sz w:val="23"/>
        </w:rPr>
        <w:t>.</w:t>
      </w:r>
    </w:p>
    <w:p w14:paraId="1085F9CB" w14:textId="77777777" w:rsidR="009757A9" w:rsidRDefault="00083242">
      <w:pPr>
        <w:spacing w:before="154" w:line="240" w:lineRule="exact"/>
        <w:ind w:left="864" w:right="1512"/>
        <w:textAlignment w:val="baseline"/>
        <w:rPr>
          <w:rFonts w:ascii="Tahoma" w:eastAsia="Tahoma" w:hAnsi="Tahoma"/>
          <w:color w:val="404042"/>
          <w:sz w:val="18"/>
        </w:rPr>
      </w:pPr>
      <w:r>
        <w:rPr>
          <w:rFonts w:ascii="Tahoma" w:eastAsia="Tahoma" w:hAnsi="Tahoma"/>
          <w:color w:val="404042"/>
          <w:sz w:val="18"/>
        </w:rPr>
        <w:t xml:space="preserve">Australian Bureau of Statistics (2014b), </w:t>
      </w:r>
      <w:r>
        <w:rPr>
          <w:rFonts w:ascii="Arial" w:eastAsia="Arial" w:hAnsi="Arial"/>
          <w:i/>
          <w:color w:val="404042"/>
          <w:sz w:val="18"/>
        </w:rPr>
        <w:t>Schools, Australia, 2013: Students</w:t>
      </w:r>
      <w:r>
        <w:rPr>
          <w:rFonts w:ascii="Tahoma" w:eastAsia="Tahoma" w:hAnsi="Tahoma"/>
          <w:color w:val="404042"/>
          <w:sz w:val="18"/>
        </w:rPr>
        <w:t>, cat. no. 4221.0,</w:t>
      </w:r>
      <w:r>
        <w:rPr>
          <w:rFonts w:ascii="Tahoma" w:eastAsia="Tahoma" w:hAnsi="Tahoma"/>
          <w:color w:val="007896"/>
          <w:sz w:val="18"/>
        </w:rPr>
        <w:t xml:space="preserve"> </w:t>
      </w:r>
      <w:hyperlink r:id="rId361">
        <w:r>
          <w:rPr>
            <w:rFonts w:ascii="Tahoma" w:eastAsia="Tahoma" w:hAnsi="Tahoma"/>
            <w:color w:val="0000FF"/>
            <w:sz w:val="18"/>
            <w:u w:val="single"/>
          </w:rPr>
          <w:t>https://www.abs.gov.au/ ausstats/abs@.nsf/Lookup/4221.0main+features42013</w:t>
        </w:r>
      </w:hyperlink>
      <w:r>
        <w:rPr>
          <w:rFonts w:ascii="Tahoma" w:eastAsia="Tahoma" w:hAnsi="Tahoma"/>
          <w:color w:val="007896"/>
          <w:sz w:val="18"/>
        </w:rPr>
        <w:t>.</w:t>
      </w:r>
    </w:p>
    <w:p w14:paraId="7ECC8ADA" w14:textId="77777777" w:rsidR="009757A9" w:rsidRDefault="00083242">
      <w:pPr>
        <w:spacing w:before="168" w:line="240" w:lineRule="exact"/>
        <w:ind w:left="864" w:right="2088"/>
        <w:textAlignment w:val="baseline"/>
        <w:rPr>
          <w:rFonts w:ascii="Tahoma" w:eastAsia="Tahoma" w:hAnsi="Tahoma"/>
          <w:color w:val="404042"/>
          <w:sz w:val="18"/>
        </w:rPr>
      </w:pPr>
      <w:r>
        <w:rPr>
          <w:rFonts w:ascii="Tahoma" w:eastAsia="Tahoma" w:hAnsi="Tahoma"/>
          <w:color w:val="404042"/>
          <w:sz w:val="18"/>
        </w:rPr>
        <w:t xml:space="preserve">Australian Bureau of Statistics (2016), </w:t>
      </w:r>
      <w:r>
        <w:rPr>
          <w:rFonts w:ascii="Tahoma" w:eastAsia="Tahoma" w:hAnsi="Tahoma"/>
          <w:i/>
          <w:color w:val="404042"/>
          <w:sz w:val="18"/>
        </w:rPr>
        <w:t xml:space="preserve">Census of Population and Housing: Reflecting Australia – Stories from </w:t>
      </w:r>
      <w:r>
        <w:rPr>
          <w:rFonts w:ascii="Arial" w:eastAsia="Arial" w:hAnsi="Arial"/>
          <w:i/>
          <w:color w:val="404042"/>
          <w:sz w:val="18"/>
        </w:rPr>
        <w:t>the Census, 2016</w:t>
      </w:r>
      <w:r>
        <w:rPr>
          <w:rFonts w:ascii="Tahoma" w:eastAsia="Tahoma" w:hAnsi="Tahoma"/>
          <w:color w:val="404042"/>
          <w:sz w:val="18"/>
        </w:rPr>
        <w:t>, cat. no. 2071.0, ‘Small towns’,</w:t>
      </w:r>
      <w:r>
        <w:rPr>
          <w:rFonts w:ascii="Tahoma" w:eastAsia="Tahoma" w:hAnsi="Tahoma"/>
          <w:color w:val="007896"/>
          <w:sz w:val="18"/>
        </w:rPr>
        <w:t xml:space="preserve"> </w:t>
      </w:r>
      <w:hyperlink r:id="rId362">
        <w:r>
          <w:rPr>
            <w:rFonts w:ascii="Tahoma" w:eastAsia="Tahoma" w:hAnsi="Tahoma"/>
            <w:color w:val="0000FF"/>
            <w:sz w:val="18"/>
            <w:u w:val="single"/>
          </w:rPr>
          <w:t>https://www.abs.gov.au/ausstats/abs@.nsf/Lookup/by%20 Subject/2071.0</w:t>
        </w:r>
      </w:hyperlink>
      <w:r>
        <w:rPr>
          <w:rFonts w:ascii="Tahoma" w:eastAsia="Tahoma" w:hAnsi="Tahoma"/>
          <w:color w:val="0000FF"/>
          <w:sz w:val="18"/>
          <w:u w:val="single"/>
        </w:rPr>
        <w:t>-2016-Main%20Features-Small%20Towns-113</w:t>
      </w:r>
      <w:r>
        <w:rPr>
          <w:rFonts w:ascii="Tahoma" w:eastAsia="Tahoma" w:hAnsi="Tahoma"/>
          <w:color w:val="007896"/>
          <w:sz w:val="18"/>
        </w:rPr>
        <w:t>.</w:t>
      </w:r>
    </w:p>
    <w:p w14:paraId="07F7D08C" w14:textId="77777777" w:rsidR="009757A9" w:rsidRDefault="00083242">
      <w:pPr>
        <w:spacing w:before="173"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Australian Bureau of Statistics (2018), </w:t>
      </w:r>
      <w:r>
        <w:rPr>
          <w:rFonts w:ascii="Arial" w:eastAsia="Arial" w:hAnsi="Arial"/>
          <w:i/>
          <w:color w:val="404042"/>
          <w:sz w:val="18"/>
        </w:rPr>
        <w:t>Education and Work, Australia, May 2018</w:t>
      </w:r>
      <w:r>
        <w:rPr>
          <w:rFonts w:ascii="Tahoma" w:eastAsia="Tahoma" w:hAnsi="Tahoma"/>
          <w:color w:val="404042"/>
          <w:sz w:val="18"/>
        </w:rPr>
        <w:t>, cat. no. 6227.0,</w:t>
      </w:r>
      <w:r>
        <w:rPr>
          <w:rFonts w:ascii="Tahoma" w:eastAsia="Tahoma" w:hAnsi="Tahoma"/>
          <w:color w:val="007896"/>
          <w:sz w:val="18"/>
        </w:rPr>
        <w:t xml:space="preserve"> </w:t>
      </w:r>
      <w:hyperlink r:id="rId363">
        <w:r>
          <w:rPr>
            <w:rFonts w:ascii="Tahoma" w:eastAsia="Tahoma" w:hAnsi="Tahoma"/>
            <w:color w:val="0000FF"/>
            <w:sz w:val="18"/>
            <w:u w:val="single"/>
          </w:rPr>
          <w:t>https://www.abs.gov.au/ AUSSTATS/abs@.nsf/Lookup/6227.0Main+Features1May%202018?OpenDocument</w:t>
        </w:r>
      </w:hyperlink>
      <w:r>
        <w:rPr>
          <w:rFonts w:ascii="Tahoma" w:eastAsia="Tahoma" w:hAnsi="Tahoma"/>
          <w:color w:val="007896"/>
          <w:sz w:val="18"/>
        </w:rPr>
        <w:t>.</w:t>
      </w:r>
    </w:p>
    <w:p w14:paraId="49084E5F"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Australian Bureau of Statistics (2019a), </w:t>
      </w:r>
      <w:r>
        <w:rPr>
          <w:rFonts w:ascii="Tahoma" w:eastAsia="Tahoma" w:hAnsi="Tahoma"/>
          <w:i/>
          <w:color w:val="404042"/>
          <w:sz w:val="18"/>
        </w:rPr>
        <w:t>Disability, Ageing and Carers, Australia: Summary of findings, 2018</w:t>
      </w:r>
      <w:r>
        <w:rPr>
          <w:rFonts w:ascii="Tahoma" w:eastAsia="Tahoma" w:hAnsi="Tahoma"/>
          <w:color w:val="404042"/>
          <w:sz w:val="18"/>
        </w:rPr>
        <w:t xml:space="preserve">, cat. no. 4430.0, </w:t>
      </w:r>
      <w:hyperlink r:id="rId364">
        <w:r>
          <w:rPr>
            <w:rFonts w:ascii="Tahoma" w:eastAsia="Tahoma" w:hAnsi="Tahoma"/>
            <w:color w:val="0000FF"/>
            <w:sz w:val="18"/>
            <w:u w:val="single"/>
          </w:rPr>
          <w:t>https://www.abs.gov.au/ausstats/abs@.nsf/mf/4430.0</w:t>
        </w:r>
      </w:hyperlink>
      <w:r>
        <w:rPr>
          <w:rFonts w:ascii="Tahoma" w:eastAsia="Tahoma" w:hAnsi="Tahoma"/>
          <w:color w:val="007896"/>
          <w:sz w:val="18"/>
        </w:rPr>
        <w:t>.</w:t>
      </w:r>
    </w:p>
    <w:p w14:paraId="5EB35F3D" w14:textId="77777777" w:rsidR="009757A9" w:rsidRDefault="00083242">
      <w:pPr>
        <w:spacing w:before="173" w:line="240" w:lineRule="exact"/>
        <w:ind w:left="864" w:right="2880"/>
        <w:textAlignment w:val="baseline"/>
        <w:rPr>
          <w:rFonts w:ascii="Tahoma" w:eastAsia="Tahoma" w:hAnsi="Tahoma"/>
          <w:color w:val="404042"/>
          <w:sz w:val="18"/>
        </w:rPr>
      </w:pPr>
      <w:r>
        <w:rPr>
          <w:rFonts w:ascii="Tahoma" w:eastAsia="Tahoma" w:hAnsi="Tahoma"/>
          <w:color w:val="404042"/>
          <w:sz w:val="18"/>
        </w:rPr>
        <w:t xml:space="preserve">Australian Bureau of Statistics (2019b), </w:t>
      </w:r>
      <w:r>
        <w:rPr>
          <w:rFonts w:ascii="Arial" w:eastAsia="Arial" w:hAnsi="Arial"/>
          <w:i/>
          <w:color w:val="404042"/>
          <w:sz w:val="18"/>
        </w:rPr>
        <w:t>Education and Work, Australia, May 2019</w:t>
      </w:r>
      <w:r>
        <w:rPr>
          <w:rFonts w:ascii="Tahoma" w:eastAsia="Tahoma" w:hAnsi="Tahoma"/>
          <w:color w:val="404042"/>
          <w:sz w:val="18"/>
        </w:rPr>
        <w:t xml:space="preserve">, cat. no. 6227.0, </w:t>
      </w:r>
      <w:hyperlink r:id="rId365">
        <w:r>
          <w:rPr>
            <w:rFonts w:ascii="Tahoma" w:eastAsia="Tahoma" w:hAnsi="Tahoma"/>
            <w:color w:val="0000FF"/>
            <w:sz w:val="18"/>
            <w:u w:val="single"/>
          </w:rPr>
          <w:t>https://www.abs.gov.au/ausstats/abs@.nsf/Latestproducts/6227.0Main%20Features30May%20 2019?opendocument&amp;tabname=Summary&amp;prodno=6227.0&amp;issue=May%202019&amp;num=&amp;view=</w:t>
        </w:r>
      </w:hyperlink>
      <w:r>
        <w:rPr>
          <w:rFonts w:ascii="Tahoma" w:eastAsia="Tahoma" w:hAnsi="Tahoma"/>
          <w:color w:val="007896"/>
          <w:sz w:val="18"/>
        </w:rPr>
        <w:t>.</w:t>
      </w:r>
    </w:p>
    <w:p w14:paraId="22598100" w14:textId="77777777" w:rsidR="009757A9" w:rsidRDefault="00083242">
      <w:pPr>
        <w:spacing w:before="168" w:line="240" w:lineRule="exact"/>
        <w:ind w:left="864" w:right="2520"/>
        <w:textAlignment w:val="baseline"/>
        <w:rPr>
          <w:rFonts w:ascii="Tahoma" w:eastAsia="Tahoma" w:hAnsi="Tahoma"/>
          <w:color w:val="404042"/>
          <w:sz w:val="18"/>
        </w:rPr>
      </w:pPr>
      <w:r>
        <w:rPr>
          <w:rFonts w:ascii="Tahoma" w:eastAsia="Tahoma" w:hAnsi="Tahoma"/>
          <w:color w:val="404042"/>
          <w:sz w:val="18"/>
        </w:rPr>
        <w:t xml:space="preserve">Australian Bureau of Statistics (2020a), </w:t>
      </w:r>
      <w:r>
        <w:rPr>
          <w:rFonts w:ascii="Arial" w:eastAsia="Arial" w:hAnsi="Arial"/>
          <w:i/>
          <w:color w:val="404042"/>
          <w:sz w:val="18"/>
        </w:rPr>
        <w:t>Schools, Australia, 2019: Aboriginal and Torres Strait Islander students</w:t>
      </w:r>
      <w:r>
        <w:rPr>
          <w:rFonts w:ascii="Tahoma" w:eastAsia="Tahoma" w:hAnsi="Tahoma"/>
          <w:color w:val="404042"/>
          <w:sz w:val="18"/>
        </w:rPr>
        <w:t>, cat. no. 4221.0,</w:t>
      </w:r>
      <w:r>
        <w:rPr>
          <w:rFonts w:ascii="Tahoma" w:eastAsia="Tahoma" w:hAnsi="Tahoma"/>
          <w:color w:val="007896"/>
          <w:sz w:val="18"/>
        </w:rPr>
        <w:t xml:space="preserve"> </w:t>
      </w:r>
      <w:hyperlink r:id="rId366">
        <w:r>
          <w:rPr>
            <w:rFonts w:ascii="Tahoma" w:eastAsia="Tahoma" w:hAnsi="Tahoma"/>
            <w:color w:val="0000FF"/>
            <w:sz w:val="18"/>
            <w:u w:val="single"/>
          </w:rPr>
          <w:t>https://www.abs.gov.au/ausstats/abs@.nsf/Latestproducts/4221.0Main%20 Features102019?opendocument&amp;tabname=Summary&amp;prodno=4221.0&amp;issue=2019&amp;num=&amp;view=</w:t>
        </w:r>
      </w:hyperlink>
      <w:r>
        <w:rPr>
          <w:rFonts w:ascii="Tahoma" w:eastAsia="Tahoma" w:hAnsi="Tahoma"/>
          <w:color w:val="007896"/>
          <w:sz w:val="18"/>
        </w:rPr>
        <w:t>.</w:t>
      </w:r>
    </w:p>
    <w:p w14:paraId="5EB6AEAC" w14:textId="77777777" w:rsidR="009757A9" w:rsidRDefault="00083242">
      <w:pPr>
        <w:spacing w:before="162"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Australian Bureau of Statistics (2020b), </w:t>
      </w:r>
      <w:r>
        <w:rPr>
          <w:rFonts w:ascii="Arial" w:eastAsia="Arial" w:hAnsi="Arial"/>
          <w:i/>
          <w:color w:val="404042"/>
          <w:sz w:val="18"/>
        </w:rPr>
        <w:t>Schools, Australia, 2019: Key statistics</w:t>
      </w:r>
      <w:r>
        <w:rPr>
          <w:rFonts w:ascii="Tahoma" w:eastAsia="Tahoma" w:hAnsi="Tahoma"/>
          <w:color w:val="404042"/>
          <w:sz w:val="18"/>
        </w:rPr>
        <w:t>, cat. no. 4221.0,</w:t>
      </w:r>
      <w:r>
        <w:rPr>
          <w:rFonts w:ascii="Tahoma" w:eastAsia="Tahoma" w:hAnsi="Tahoma"/>
          <w:color w:val="007896"/>
          <w:sz w:val="18"/>
        </w:rPr>
        <w:t xml:space="preserve"> </w:t>
      </w:r>
      <w:hyperlink r:id="rId367">
        <w:r>
          <w:rPr>
            <w:rFonts w:ascii="Tahoma" w:eastAsia="Tahoma" w:hAnsi="Tahoma"/>
            <w:color w:val="0000FF"/>
            <w:sz w:val="18"/>
            <w:u w:val="single"/>
          </w:rPr>
          <w:t>https://www.abs.gov.au/ ausstats/abs@.nsf/mf/4221.0</w:t>
        </w:r>
      </w:hyperlink>
      <w:r>
        <w:rPr>
          <w:rFonts w:ascii="Tahoma" w:eastAsia="Tahoma" w:hAnsi="Tahoma"/>
          <w:color w:val="007896"/>
          <w:sz w:val="18"/>
        </w:rPr>
        <w:t>.</w:t>
      </w:r>
    </w:p>
    <w:p w14:paraId="2157D5E0" w14:textId="77777777" w:rsidR="009757A9" w:rsidRDefault="00083242">
      <w:pPr>
        <w:spacing w:before="179"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Australian Chamber of Commerce and Industry (2019), </w:t>
      </w:r>
      <w:r>
        <w:rPr>
          <w:rFonts w:ascii="Arial" w:eastAsia="Arial" w:hAnsi="Arial"/>
          <w:i/>
          <w:color w:val="404042"/>
          <w:sz w:val="18"/>
        </w:rPr>
        <w:t>Review of Senior Secondary Pathways into Work, Further Education and Training: Submission to the Education Council</w:t>
      </w:r>
      <w:r>
        <w:rPr>
          <w:rFonts w:ascii="Tahoma" w:eastAsia="Tahoma" w:hAnsi="Tahoma"/>
          <w:color w:val="404042"/>
          <w:sz w:val="18"/>
        </w:rPr>
        <w:t>, December 2019,</w:t>
      </w:r>
      <w:r>
        <w:rPr>
          <w:rFonts w:ascii="Tahoma" w:eastAsia="Tahoma" w:hAnsi="Tahoma"/>
          <w:color w:val="007896"/>
          <w:sz w:val="18"/>
        </w:rPr>
        <w:t xml:space="preserve"> </w:t>
      </w:r>
      <w:hyperlink r:id="rId368">
        <w:r>
          <w:rPr>
            <w:rFonts w:ascii="Tahoma" w:eastAsia="Tahoma" w:hAnsi="Tahoma"/>
            <w:color w:val="0000FF"/>
            <w:sz w:val="18"/>
            <w:u w:val="single"/>
          </w:rPr>
          <w:t>https://www.australianchamber.com.au/wp-content/ uploads/2019/12/ACCI-Submission-Education-Council-Review-into-Senior-Secondary-Pathways-Final.pdf</w:t>
        </w:r>
      </w:hyperlink>
      <w:r>
        <w:rPr>
          <w:rFonts w:ascii="Tahoma" w:eastAsia="Tahoma" w:hAnsi="Tahoma"/>
          <w:color w:val="007896"/>
          <w:sz w:val="18"/>
        </w:rPr>
        <w:t>.</w:t>
      </w:r>
    </w:p>
    <w:p w14:paraId="41B4C09A" w14:textId="77777777" w:rsidR="009757A9" w:rsidRDefault="00083242">
      <w:pPr>
        <w:spacing w:before="173"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Australian Curriculum, Assessment and Reporting Authority (2019a), </w:t>
      </w:r>
      <w:r>
        <w:rPr>
          <w:rFonts w:ascii="Arial" w:eastAsia="Arial" w:hAnsi="Arial"/>
          <w:i/>
          <w:color w:val="404042"/>
          <w:sz w:val="18"/>
        </w:rPr>
        <w:t>Measurement Framework for Schooling in Australia 2019</w:t>
      </w:r>
      <w:r>
        <w:rPr>
          <w:rFonts w:ascii="Tahoma" w:eastAsia="Tahoma" w:hAnsi="Tahoma"/>
          <w:color w:val="404042"/>
          <w:sz w:val="18"/>
        </w:rPr>
        <w:t>,</w:t>
      </w:r>
      <w:r>
        <w:rPr>
          <w:rFonts w:ascii="Tahoma" w:eastAsia="Tahoma" w:hAnsi="Tahoma"/>
          <w:color w:val="007896"/>
          <w:sz w:val="18"/>
        </w:rPr>
        <w:t xml:space="preserve"> </w:t>
      </w:r>
      <w:hyperlink r:id="rId369">
        <w:r>
          <w:rPr>
            <w:rFonts w:ascii="Tahoma" w:eastAsia="Tahoma" w:hAnsi="Tahoma"/>
            <w:color w:val="0000FF"/>
            <w:sz w:val="18"/>
            <w:u w:val="single"/>
          </w:rPr>
          <w:t>https://www.acara.edu.au/reporting/measurement-framework-for-schooling-in-australia</w:t>
        </w:r>
      </w:hyperlink>
      <w:r>
        <w:rPr>
          <w:rFonts w:ascii="Tahoma" w:eastAsia="Tahoma" w:hAnsi="Tahoma"/>
          <w:color w:val="007896"/>
          <w:sz w:val="18"/>
        </w:rPr>
        <w:t>.</w:t>
      </w:r>
    </w:p>
    <w:p w14:paraId="4E4D9FB3" w14:textId="77777777" w:rsidR="009757A9" w:rsidRDefault="00083242">
      <w:pPr>
        <w:tabs>
          <w:tab w:val="left" w:pos="1368"/>
        </w:tabs>
        <w:spacing w:before="750"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168</w:t>
      </w:r>
      <w:r>
        <w:rPr>
          <w:rFonts w:ascii="Tahoma" w:eastAsia="Tahoma" w:hAnsi="Tahoma"/>
          <w:color w:val="404042"/>
          <w:spacing w:val="4"/>
          <w:sz w:val="14"/>
        </w:rPr>
        <w:tab/>
        <w:t>Looking to the future</w:t>
      </w:r>
    </w:p>
    <w:p w14:paraId="12F46202" w14:textId="77777777" w:rsidR="009757A9" w:rsidRDefault="00083242">
      <w:pPr>
        <w:textAlignment w:val="baseline"/>
      </w:pPr>
      <w:r>
        <w:rPr>
          <w:noProof/>
          <w:lang w:val="en-AU" w:eastAsia="en-AU"/>
        </w:rPr>
        <w:drawing>
          <wp:inline distT="0" distB="0" distL="0" distR="0" wp14:anchorId="6A22DA19" wp14:editId="5615D69C">
            <wp:extent cx="7562215" cy="462915"/>
            <wp:effectExtent l="0" t="0" r="0" b="0"/>
            <wp:docPr id="271" name="Picture"/>
            <wp:cNvGraphicFramePr/>
            <a:graphic xmlns:a="http://schemas.openxmlformats.org/drawingml/2006/main">
              <a:graphicData uri="http://schemas.openxmlformats.org/drawingml/2006/picture">
                <pic:pic xmlns:pic="http://schemas.openxmlformats.org/drawingml/2006/picture">
                  <pic:nvPicPr>
                    <pic:cNvPr id="271" name="Picture"/>
                    <pic:cNvPicPr preferRelativeResize="0"/>
                  </pic:nvPicPr>
                  <pic:blipFill>
                    <a:blip r:embed="rId33"/>
                    <a:stretch>
                      <a:fillRect/>
                    </a:stretch>
                  </pic:blipFill>
                  <pic:spPr>
                    <a:xfrm>
                      <a:off x="0" y="0"/>
                      <a:ext cx="7562215" cy="462915"/>
                    </a:xfrm>
                    <a:prstGeom prst="rect">
                      <a:avLst/>
                    </a:prstGeom>
                  </pic:spPr>
                </pic:pic>
              </a:graphicData>
            </a:graphic>
          </wp:inline>
        </w:drawing>
      </w:r>
    </w:p>
    <w:p w14:paraId="4460A13F" w14:textId="77777777" w:rsidR="009757A9" w:rsidRDefault="009757A9">
      <w:pPr>
        <w:sectPr w:rsidR="009757A9">
          <w:pgSz w:w="11909" w:h="16838"/>
          <w:pgMar w:top="1080" w:right="0" w:bottom="0" w:left="0" w:header="720" w:footer="720" w:gutter="0"/>
          <w:cols w:space="720"/>
        </w:sectPr>
      </w:pPr>
    </w:p>
    <w:p w14:paraId="4A16C268" w14:textId="77777777" w:rsidR="009757A9" w:rsidRDefault="00083242">
      <w:pPr>
        <w:spacing w:before="6" w:line="240" w:lineRule="exact"/>
        <w:ind w:left="864"/>
        <w:textAlignment w:val="baseline"/>
        <w:rPr>
          <w:rFonts w:ascii="Tahoma" w:eastAsia="Tahoma" w:hAnsi="Tahoma"/>
          <w:color w:val="404042"/>
          <w:spacing w:val="3"/>
          <w:sz w:val="18"/>
        </w:rPr>
      </w:pPr>
      <w:r>
        <w:rPr>
          <w:rFonts w:ascii="Tahoma" w:eastAsia="Tahoma" w:hAnsi="Tahoma"/>
          <w:color w:val="404042"/>
          <w:spacing w:val="3"/>
          <w:sz w:val="18"/>
        </w:rPr>
        <w:lastRenderedPageBreak/>
        <w:t xml:space="preserve">Australian Curriculum, Assessment and Reporting Authority (2019b), </w:t>
      </w:r>
      <w:r>
        <w:rPr>
          <w:rFonts w:ascii="Arial" w:eastAsia="Arial" w:hAnsi="Arial"/>
          <w:i/>
          <w:color w:val="404042"/>
          <w:spacing w:val="3"/>
          <w:sz w:val="18"/>
        </w:rPr>
        <w:t>National Assessment Program – Literacy and</w:t>
      </w:r>
    </w:p>
    <w:p w14:paraId="662CE56C" w14:textId="77777777" w:rsidR="009757A9" w:rsidRDefault="00083242">
      <w:pPr>
        <w:spacing w:line="237" w:lineRule="exact"/>
        <w:ind w:left="864" w:right="864"/>
        <w:textAlignment w:val="baseline"/>
        <w:rPr>
          <w:rFonts w:ascii="Arial" w:eastAsia="Arial" w:hAnsi="Arial"/>
          <w:i/>
          <w:color w:val="404042"/>
          <w:sz w:val="18"/>
        </w:rPr>
      </w:pPr>
      <w:r>
        <w:rPr>
          <w:rFonts w:ascii="Arial" w:eastAsia="Arial" w:hAnsi="Arial"/>
          <w:i/>
          <w:color w:val="404042"/>
          <w:sz w:val="18"/>
        </w:rPr>
        <w:t>Numeracy: Achievement in Reading, Writing, Language Conventions and Numeracy: National report for 2019</w:t>
      </w:r>
      <w:r>
        <w:rPr>
          <w:rFonts w:ascii="Tahoma" w:eastAsia="Tahoma" w:hAnsi="Tahoma"/>
          <w:color w:val="404042"/>
          <w:sz w:val="18"/>
        </w:rPr>
        <w:t>,</w:t>
      </w:r>
      <w:r>
        <w:rPr>
          <w:rFonts w:ascii="Tahoma" w:eastAsia="Tahoma" w:hAnsi="Tahoma"/>
          <w:color w:val="007896"/>
          <w:sz w:val="18"/>
        </w:rPr>
        <w:t xml:space="preserve"> </w:t>
      </w:r>
      <w:hyperlink r:id="rId370">
        <w:r>
          <w:rPr>
            <w:rFonts w:ascii="Tahoma" w:eastAsia="Tahoma" w:hAnsi="Tahoma"/>
            <w:color w:val="0000FF"/>
            <w:sz w:val="18"/>
            <w:u w:val="single"/>
          </w:rPr>
          <w:t>https://nap.edu. au/docs/default-source/resources/naplan-2019-national-report.pdf</w:t>
        </w:r>
      </w:hyperlink>
      <w:r>
        <w:rPr>
          <w:rFonts w:ascii="Tahoma" w:eastAsia="Tahoma" w:hAnsi="Tahoma"/>
          <w:color w:val="007896"/>
          <w:sz w:val="18"/>
        </w:rPr>
        <w:t>.</w:t>
      </w:r>
    </w:p>
    <w:p w14:paraId="636A51AD" w14:textId="77777777" w:rsidR="009757A9" w:rsidRDefault="00083242">
      <w:pPr>
        <w:spacing w:before="188"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Australian Curriculum, Assessment and Reporting Authority, ‘Apparent retention’, National Report on Schooling in</w:t>
      </w:r>
    </w:p>
    <w:p w14:paraId="00CC33D7" w14:textId="77777777" w:rsidR="009757A9" w:rsidRDefault="00083242">
      <w:pPr>
        <w:spacing w:line="240" w:lineRule="exact"/>
        <w:ind w:left="864" w:right="864"/>
        <w:textAlignment w:val="baseline"/>
        <w:rPr>
          <w:rFonts w:ascii="Verdana" w:eastAsia="Verdana" w:hAnsi="Verdana"/>
          <w:color w:val="404042"/>
          <w:sz w:val="17"/>
        </w:rPr>
      </w:pPr>
      <w:r>
        <w:rPr>
          <w:rFonts w:ascii="Verdana" w:eastAsia="Verdana" w:hAnsi="Verdana"/>
          <w:color w:val="404042"/>
          <w:sz w:val="17"/>
        </w:rPr>
        <w:t>Australia data portal (accessed 28 April 2020),</w:t>
      </w:r>
      <w:r>
        <w:rPr>
          <w:rFonts w:ascii="Tahoma" w:eastAsia="Tahoma" w:hAnsi="Tahoma"/>
          <w:color w:val="007896"/>
          <w:sz w:val="18"/>
        </w:rPr>
        <w:t xml:space="preserve"> </w:t>
      </w:r>
      <w:hyperlink r:id="rId371">
        <w:r>
          <w:rPr>
            <w:rFonts w:ascii="Tahoma" w:eastAsia="Tahoma" w:hAnsi="Tahoma"/>
            <w:color w:val="0000FF"/>
            <w:sz w:val="18"/>
            <w:u w:val="single"/>
          </w:rPr>
          <w:t>https://www.acara.edu.au/reporting/national-report-on-schooling-in-aus</w:t>
        </w:r>
      </w:hyperlink>
      <w:r>
        <w:rPr>
          <w:rFonts w:ascii="Tahoma" w:eastAsia="Tahoma" w:hAnsi="Tahoma"/>
          <w:color w:val="007896"/>
          <w:sz w:val="18"/>
        </w:rPr>
        <w:t xml:space="preserve"> tralia/national-report-on-schooling-in-australia-data-portal/apparent-retention#View3.</w:t>
      </w:r>
    </w:p>
    <w:p w14:paraId="34ED785A" w14:textId="77777777" w:rsidR="009757A9" w:rsidRDefault="00083242">
      <w:pPr>
        <w:spacing w:before="173" w:line="240" w:lineRule="exact"/>
        <w:ind w:left="864" w:right="1512"/>
        <w:textAlignment w:val="baseline"/>
        <w:rPr>
          <w:rFonts w:ascii="Tahoma" w:eastAsia="Tahoma" w:hAnsi="Tahoma"/>
          <w:color w:val="404042"/>
          <w:spacing w:val="5"/>
          <w:sz w:val="18"/>
        </w:rPr>
      </w:pPr>
      <w:r>
        <w:rPr>
          <w:rFonts w:ascii="Tahoma" w:eastAsia="Tahoma" w:hAnsi="Tahoma"/>
          <w:color w:val="404042"/>
          <w:spacing w:val="5"/>
          <w:sz w:val="18"/>
        </w:rPr>
        <w:t>Australian Curriculum, Assessment and Reporting Authority, ‘Australian Curriculum: F–10 curriculum: General capabilities’, webpage (accessed 20 November 2019),</w:t>
      </w:r>
      <w:r>
        <w:rPr>
          <w:rFonts w:ascii="Tahoma" w:eastAsia="Tahoma" w:hAnsi="Tahoma"/>
          <w:color w:val="007896"/>
          <w:spacing w:val="5"/>
          <w:sz w:val="18"/>
        </w:rPr>
        <w:t xml:space="preserve"> </w:t>
      </w:r>
      <w:hyperlink r:id="rId372">
        <w:r>
          <w:rPr>
            <w:rFonts w:ascii="Tahoma" w:eastAsia="Tahoma" w:hAnsi="Tahoma"/>
            <w:color w:val="0000FF"/>
            <w:spacing w:val="5"/>
            <w:sz w:val="18"/>
            <w:u w:val="single"/>
          </w:rPr>
          <w:t>https://www.australiancurriculum.edu.au/f-10-curriculum/ general-capabilities</w:t>
        </w:r>
      </w:hyperlink>
      <w:r>
        <w:rPr>
          <w:rFonts w:ascii="Tahoma" w:eastAsia="Tahoma" w:hAnsi="Tahoma"/>
          <w:color w:val="007896"/>
          <w:spacing w:val="5"/>
          <w:sz w:val="18"/>
        </w:rPr>
        <w:t>.</w:t>
      </w:r>
    </w:p>
    <w:p w14:paraId="152EE5D9" w14:textId="77777777" w:rsidR="009757A9" w:rsidRDefault="00083242">
      <w:pPr>
        <w:spacing w:before="168" w:line="240" w:lineRule="exact"/>
        <w:ind w:left="864" w:right="2592"/>
        <w:textAlignment w:val="baseline"/>
        <w:rPr>
          <w:rFonts w:ascii="Tahoma" w:eastAsia="Tahoma" w:hAnsi="Tahoma"/>
          <w:color w:val="404042"/>
          <w:sz w:val="18"/>
        </w:rPr>
      </w:pPr>
      <w:r>
        <w:rPr>
          <w:rFonts w:ascii="Tahoma" w:eastAsia="Tahoma" w:hAnsi="Tahoma"/>
          <w:color w:val="404042"/>
          <w:sz w:val="18"/>
        </w:rPr>
        <w:t xml:space="preserve">Australian Government (2015), Higher Education Standards Framework (Threshold Standards) 2015, </w:t>
      </w:r>
      <w:hyperlink r:id="rId373" w:anchor="_Toc428368847.">
        <w:r>
          <w:rPr>
            <w:rFonts w:ascii="Tahoma" w:eastAsia="Tahoma" w:hAnsi="Tahoma"/>
            <w:color w:val="0000FF"/>
            <w:sz w:val="18"/>
            <w:u w:val="single"/>
          </w:rPr>
          <w:t>https://www.legislation.gov.au/Details/F2015L01639/Html/Text#_Toc428368847.</w:t>
        </w:r>
      </w:hyperlink>
      <w:r>
        <w:rPr>
          <w:rFonts w:ascii="Tahoma" w:eastAsia="Tahoma" w:hAnsi="Tahoma"/>
          <w:color w:val="007896"/>
          <w:sz w:val="18"/>
        </w:rPr>
        <w:t xml:space="preserve"> </w:t>
      </w:r>
    </w:p>
    <w:p w14:paraId="433469F2" w14:textId="77777777" w:rsidR="009757A9" w:rsidRDefault="00083242">
      <w:pPr>
        <w:spacing w:before="173" w:line="240" w:lineRule="exact"/>
        <w:ind w:left="864" w:right="1008"/>
        <w:textAlignment w:val="baseline"/>
        <w:rPr>
          <w:rFonts w:ascii="Tahoma" w:eastAsia="Tahoma" w:hAnsi="Tahoma"/>
          <w:color w:val="404042"/>
          <w:spacing w:val="-1"/>
          <w:sz w:val="18"/>
        </w:rPr>
      </w:pPr>
      <w:r>
        <w:rPr>
          <w:rFonts w:ascii="Tahoma" w:eastAsia="Tahoma" w:hAnsi="Tahoma"/>
          <w:color w:val="404042"/>
          <w:spacing w:val="-1"/>
          <w:sz w:val="18"/>
        </w:rPr>
        <w:t xml:space="preserve">Australian Government (2018), </w:t>
      </w:r>
      <w:r>
        <w:rPr>
          <w:rFonts w:ascii="Arial" w:eastAsia="Arial" w:hAnsi="Arial"/>
          <w:i/>
          <w:color w:val="404042"/>
          <w:spacing w:val="-1"/>
          <w:sz w:val="18"/>
        </w:rPr>
        <w:t>Through Growth to Achievement: Report of the Review to Achieve Educational Excellence in Australian Schools</w:t>
      </w:r>
      <w:r>
        <w:rPr>
          <w:rFonts w:ascii="Tahoma" w:eastAsia="Tahoma" w:hAnsi="Tahoma"/>
          <w:color w:val="404042"/>
          <w:spacing w:val="-1"/>
          <w:sz w:val="18"/>
        </w:rPr>
        <w:t>, March 2018,</w:t>
      </w:r>
      <w:r>
        <w:rPr>
          <w:rFonts w:ascii="Verdana" w:eastAsia="Verdana" w:hAnsi="Verdana"/>
          <w:color w:val="007896"/>
          <w:spacing w:val="-1"/>
          <w:sz w:val="17"/>
        </w:rPr>
        <w:t xml:space="preserve"> </w:t>
      </w:r>
      <w:hyperlink r:id="rId374">
        <w:r>
          <w:rPr>
            <w:rFonts w:ascii="Verdana" w:eastAsia="Verdana" w:hAnsi="Verdana"/>
            <w:color w:val="0000FF"/>
            <w:spacing w:val="-1"/>
            <w:sz w:val="17"/>
            <w:u w:val="single"/>
          </w:rPr>
          <w:t xml:space="preserve">https://docs.education.gov.au/system/files/doc/other/662684_tgta_accessible_final_0. </w:t>
        </w:r>
      </w:hyperlink>
      <w:r>
        <w:rPr>
          <w:rFonts w:ascii="Tahoma" w:eastAsia="Tahoma" w:hAnsi="Tahoma"/>
          <w:color w:val="0000FF"/>
          <w:spacing w:val="-1"/>
          <w:sz w:val="18"/>
          <w:u w:val="single"/>
        </w:rPr>
        <w:t>pdf</w:t>
      </w:r>
      <w:r>
        <w:rPr>
          <w:rFonts w:ascii="Tahoma" w:eastAsia="Tahoma" w:hAnsi="Tahoma"/>
          <w:color w:val="007896"/>
          <w:spacing w:val="-1"/>
          <w:sz w:val="18"/>
        </w:rPr>
        <w:t>.</w:t>
      </w:r>
    </w:p>
    <w:p w14:paraId="4CD13C45"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Australian Government, ‘Common career education terms’,</w:t>
      </w:r>
      <w:r>
        <w:rPr>
          <w:rFonts w:ascii="Tahoma" w:eastAsia="Tahoma" w:hAnsi="Tahoma"/>
          <w:color w:val="007896"/>
          <w:sz w:val="18"/>
        </w:rPr>
        <w:t xml:space="preserve"> </w:t>
      </w:r>
      <w:hyperlink r:id="rId375">
        <w:r>
          <w:rPr>
            <w:rFonts w:ascii="Tahoma" w:eastAsia="Tahoma" w:hAnsi="Tahoma"/>
            <w:color w:val="0000FF"/>
            <w:sz w:val="18"/>
            <w:u w:val="single"/>
          </w:rPr>
          <w:t>https://pssfw.myskills.gov.au/media/1188/attachment-c-co mmon-career-education-terms-20151203.pdf</w:t>
        </w:r>
      </w:hyperlink>
      <w:r>
        <w:rPr>
          <w:rFonts w:ascii="Tahoma" w:eastAsia="Tahoma" w:hAnsi="Tahoma"/>
          <w:color w:val="007896"/>
          <w:sz w:val="18"/>
        </w:rPr>
        <w:t>.</w:t>
      </w:r>
    </w:p>
    <w:p w14:paraId="12021303" w14:textId="77777777" w:rsidR="009757A9" w:rsidRDefault="00083242">
      <w:pPr>
        <w:spacing w:before="172" w:line="240" w:lineRule="exact"/>
        <w:ind w:left="864" w:right="1512"/>
        <w:textAlignment w:val="baseline"/>
        <w:rPr>
          <w:rFonts w:ascii="Tahoma" w:eastAsia="Tahoma" w:hAnsi="Tahoma"/>
          <w:color w:val="404042"/>
          <w:sz w:val="18"/>
        </w:rPr>
      </w:pPr>
      <w:r>
        <w:rPr>
          <w:rFonts w:ascii="Tahoma" w:eastAsia="Tahoma" w:hAnsi="Tahoma"/>
          <w:color w:val="404042"/>
          <w:sz w:val="18"/>
        </w:rPr>
        <w:t xml:space="preserve">Australian Government, ‘What to do if you didn’t get the ATAR required for your course’, Job Jumpstart webpage </w:t>
      </w:r>
      <w:r>
        <w:rPr>
          <w:rFonts w:ascii="Verdana" w:eastAsia="Verdana" w:hAnsi="Verdana"/>
          <w:color w:val="404042"/>
          <w:sz w:val="17"/>
        </w:rPr>
        <w:t>(accessed 12 December 2019),</w:t>
      </w:r>
      <w:r>
        <w:rPr>
          <w:rFonts w:ascii="Tahoma" w:eastAsia="Tahoma" w:hAnsi="Tahoma"/>
          <w:color w:val="007896"/>
          <w:sz w:val="18"/>
        </w:rPr>
        <w:t xml:space="preserve"> </w:t>
      </w:r>
      <w:hyperlink r:id="rId376">
        <w:r>
          <w:rPr>
            <w:rFonts w:ascii="Tahoma" w:eastAsia="Tahoma" w:hAnsi="Tahoma"/>
            <w:color w:val="0000FF"/>
            <w:sz w:val="18"/>
            <w:u w:val="single"/>
          </w:rPr>
          <w:t>https://www.jobjumpstart.gov.au/article/what-do-if-you-didnt-get-atar-requir ed-your-course</w:t>
        </w:r>
      </w:hyperlink>
      <w:r>
        <w:rPr>
          <w:rFonts w:ascii="Tahoma" w:eastAsia="Tahoma" w:hAnsi="Tahoma"/>
          <w:color w:val="007896"/>
          <w:sz w:val="18"/>
        </w:rPr>
        <w:t>.</w:t>
      </w:r>
    </w:p>
    <w:p w14:paraId="74A01BCD" w14:textId="77777777" w:rsidR="009757A9" w:rsidRDefault="00083242">
      <w:pPr>
        <w:spacing w:before="188" w:line="220" w:lineRule="exact"/>
        <w:ind w:left="864"/>
        <w:textAlignment w:val="baseline"/>
        <w:rPr>
          <w:rFonts w:ascii="Tahoma" w:eastAsia="Tahoma" w:hAnsi="Tahoma"/>
          <w:color w:val="404042"/>
          <w:spacing w:val="-2"/>
          <w:sz w:val="18"/>
        </w:rPr>
      </w:pPr>
      <w:r>
        <w:rPr>
          <w:rFonts w:ascii="Tahoma" w:eastAsia="Tahoma" w:hAnsi="Tahoma"/>
          <w:color w:val="404042"/>
          <w:spacing w:val="-2"/>
          <w:sz w:val="18"/>
        </w:rPr>
        <w:t xml:space="preserve">Australian Human Rights Commission (2017), </w:t>
      </w:r>
      <w:r>
        <w:rPr>
          <w:rFonts w:ascii="Verdana" w:eastAsia="Verdana" w:hAnsi="Verdana"/>
          <w:i/>
          <w:color w:val="404042"/>
          <w:spacing w:val="-2"/>
          <w:sz w:val="17"/>
        </w:rPr>
        <w:t>The Rights and Needs of Young Parents and Their Children: A summary of key</w:t>
      </w:r>
    </w:p>
    <w:p w14:paraId="3D576CC7" w14:textId="77777777" w:rsidR="009757A9" w:rsidRDefault="00083242">
      <w:pPr>
        <w:spacing w:line="240" w:lineRule="exact"/>
        <w:ind w:left="864" w:right="864"/>
        <w:textAlignment w:val="baseline"/>
        <w:rPr>
          <w:rFonts w:ascii="Verdana" w:eastAsia="Verdana" w:hAnsi="Verdana"/>
          <w:i/>
          <w:color w:val="404042"/>
          <w:sz w:val="17"/>
        </w:rPr>
      </w:pPr>
      <w:r>
        <w:rPr>
          <w:rFonts w:ascii="Verdana" w:eastAsia="Verdana" w:hAnsi="Verdana"/>
          <w:i/>
          <w:color w:val="404042"/>
          <w:sz w:val="17"/>
        </w:rPr>
        <w:t>findings from the Children’s Rights Report 2017</w:t>
      </w:r>
      <w:r>
        <w:rPr>
          <w:rFonts w:ascii="Tahoma" w:eastAsia="Tahoma" w:hAnsi="Tahoma"/>
          <w:color w:val="404042"/>
          <w:sz w:val="18"/>
        </w:rPr>
        <w:t>,</w:t>
      </w:r>
      <w:r>
        <w:rPr>
          <w:rFonts w:ascii="Tahoma" w:eastAsia="Tahoma" w:hAnsi="Tahoma"/>
          <w:color w:val="007896"/>
          <w:sz w:val="18"/>
        </w:rPr>
        <w:t xml:space="preserve"> </w:t>
      </w:r>
      <w:hyperlink r:id="rId377">
        <w:r>
          <w:rPr>
            <w:rFonts w:ascii="Tahoma" w:eastAsia="Tahoma" w:hAnsi="Tahoma"/>
            <w:color w:val="0000FF"/>
            <w:sz w:val="18"/>
            <w:u w:val="single"/>
          </w:rPr>
          <w:t>https://www.humanrights.gov.au/our-work/publications/summary-childre ns-rights-report-2017</w:t>
        </w:r>
      </w:hyperlink>
      <w:r>
        <w:rPr>
          <w:rFonts w:ascii="Tahoma" w:eastAsia="Tahoma" w:hAnsi="Tahoma"/>
          <w:color w:val="007896"/>
          <w:sz w:val="18"/>
        </w:rPr>
        <w:t>.</w:t>
      </w:r>
    </w:p>
    <w:p w14:paraId="5DF4D7F2" w14:textId="77777777" w:rsidR="009757A9" w:rsidRDefault="00083242">
      <w:pPr>
        <w:spacing w:before="173"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Australian Industry Group (2018), </w:t>
      </w:r>
      <w:r>
        <w:rPr>
          <w:rFonts w:ascii="Arial" w:eastAsia="Arial" w:hAnsi="Arial"/>
          <w:i/>
          <w:color w:val="404042"/>
          <w:sz w:val="18"/>
        </w:rPr>
        <w:t>Skilling: A national imperative</w:t>
      </w:r>
      <w:r>
        <w:rPr>
          <w:rFonts w:ascii="Tahoma" w:eastAsia="Tahoma" w:hAnsi="Tahoma"/>
          <w:color w:val="404042"/>
          <w:sz w:val="18"/>
        </w:rPr>
        <w:t>, Workforce Development Needs Survey report,</w:t>
      </w:r>
      <w:r>
        <w:rPr>
          <w:rFonts w:ascii="Tahoma" w:eastAsia="Tahoma" w:hAnsi="Tahoma"/>
          <w:color w:val="007896"/>
          <w:sz w:val="18"/>
        </w:rPr>
        <w:t xml:space="preserve"> </w:t>
      </w:r>
      <w:hyperlink r:id="rId378">
        <w:r>
          <w:rPr>
            <w:rFonts w:ascii="Tahoma" w:eastAsia="Tahoma" w:hAnsi="Tahoma"/>
            <w:color w:val="0000FF"/>
            <w:sz w:val="18"/>
            <w:u w:val="single"/>
          </w:rPr>
          <w:t>https:// cdn.aigroup.com.au/Reports/2018/Survey_Report_WFDNeeds_Skilling_Sept2018.pdf</w:t>
        </w:r>
      </w:hyperlink>
      <w:r>
        <w:rPr>
          <w:rFonts w:ascii="Tahoma" w:eastAsia="Tahoma" w:hAnsi="Tahoma"/>
          <w:color w:val="007896"/>
          <w:sz w:val="18"/>
        </w:rPr>
        <w:t>.</w:t>
      </w:r>
    </w:p>
    <w:p w14:paraId="150D4DF6" w14:textId="77777777" w:rsidR="009757A9" w:rsidRDefault="00083242">
      <w:pPr>
        <w:spacing w:before="168"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Australian Industry Group (2019), </w:t>
      </w:r>
      <w:r>
        <w:rPr>
          <w:rFonts w:ascii="Arial" w:eastAsia="Arial" w:hAnsi="Arial"/>
          <w:i/>
          <w:color w:val="404042"/>
          <w:sz w:val="18"/>
        </w:rPr>
        <w:t>AiGroup Submission: Review of the Melbourne Declaration Response to the Discussion Paper</w:t>
      </w:r>
      <w:r>
        <w:rPr>
          <w:rFonts w:ascii="Tahoma" w:eastAsia="Tahoma" w:hAnsi="Tahoma"/>
          <w:color w:val="404042"/>
          <w:sz w:val="18"/>
        </w:rPr>
        <w:t>, June 2019,</w:t>
      </w:r>
      <w:r>
        <w:rPr>
          <w:rFonts w:ascii="Tahoma" w:eastAsia="Tahoma" w:hAnsi="Tahoma"/>
          <w:color w:val="007896"/>
          <w:sz w:val="18"/>
        </w:rPr>
        <w:t xml:space="preserve"> </w:t>
      </w:r>
      <w:hyperlink r:id="rId379">
        <w:r>
          <w:rPr>
            <w:rFonts w:ascii="Tahoma" w:eastAsia="Tahoma" w:hAnsi="Tahoma"/>
            <w:color w:val="0000FF"/>
            <w:sz w:val="18"/>
            <w:u w:val="single"/>
          </w:rPr>
          <w:t>https://cdn.aigroup.com.au/Submissions/Education_and_Training/2019/Review_of_the_Melbourne_ Declaration_-_Ai_Group_Response_June_2019.pdf</w:t>
        </w:r>
      </w:hyperlink>
      <w:r>
        <w:rPr>
          <w:rFonts w:ascii="Tahoma" w:eastAsia="Tahoma" w:hAnsi="Tahoma"/>
          <w:color w:val="007896"/>
          <w:sz w:val="18"/>
        </w:rPr>
        <w:t>.</w:t>
      </w:r>
    </w:p>
    <w:p w14:paraId="3A749130"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Australian Institute for Teaching and School Leadership (2018), </w:t>
      </w:r>
      <w:r>
        <w:rPr>
          <w:rFonts w:ascii="Arial" w:eastAsia="Arial" w:hAnsi="Arial"/>
          <w:i/>
          <w:color w:val="404042"/>
          <w:sz w:val="18"/>
        </w:rPr>
        <w:t>One Teaching Profession: Teacher registration in Australia</w:t>
      </w:r>
      <w:r>
        <w:rPr>
          <w:rFonts w:ascii="Tahoma" w:eastAsia="Tahoma" w:hAnsi="Tahoma"/>
          <w:color w:val="404042"/>
          <w:sz w:val="18"/>
        </w:rPr>
        <w:t>, September 2018,</w:t>
      </w:r>
      <w:r>
        <w:rPr>
          <w:rFonts w:ascii="Tahoma" w:eastAsia="Tahoma" w:hAnsi="Tahoma"/>
          <w:color w:val="007896"/>
          <w:sz w:val="18"/>
        </w:rPr>
        <w:t xml:space="preserve"> </w:t>
      </w:r>
      <w:hyperlink r:id="rId380">
        <w:r>
          <w:rPr>
            <w:rFonts w:ascii="Tahoma" w:eastAsia="Tahoma" w:hAnsi="Tahoma"/>
            <w:color w:val="0000FF"/>
            <w:sz w:val="18"/>
            <w:u w:val="single"/>
          </w:rPr>
          <w:t>https://www.aitsl.edu.au/docs/default-source/national-review-of-teacher-registration/report/ one-teaching-profession---teacher-registration-in-australia.pdf</w:t>
        </w:r>
      </w:hyperlink>
      <w:r>
        <w:rPr>
          <w:rFonts w:ascii="Tahoma" w:eastAsia="Tahoma" w:hAnsi="Tahoma"/>
          <w:color w:val="007896"/>
          <w:sz w:val="18"/>
        </w:rPr>
        <w:t>.</w:t>
      </w:r>
    </w:p>
    <w:p w14:paraId="24F2A878" w14:textId="77777777" w:rsidR="009757A9" w:rsidRDefault="00083242">
      <w:pPr>
        <w:spacing w:before="173" w:line="240" w:lineRule="exact"/>
        <w:ind w:left="864" w:right="1656"/>
        <w:textAlignment w:val="baseline"/>
        <w:rPr>
          <w:rFonts w:ascii="Tahoma" w:eastAsia="Tahoma" w:hAnsi="Tahoma"/>
          <w:color w:val="404042"/>
          <w:sz w:val="18"/>
        </w:rPr>
      </w:pPr>
      <w:r>
        <w:rPr>
          <w:rFonts w:ascii="Tahoma" w:eastAsia="Tahoma" w:hAnsi="Tahoma"/>
          <w:color w:val="404042"/>
          <w:sz w:val="18"/>
        </w:rPr>
        <w:t xml:space="preserve">Australian Institute of Health and Welfare (2017), ‘Disability in Australia: Changes over time in inclusion and </w:t>
      </w:r>
      <w:r>
        <w:rPr>
          <w:rFonts w:ascii="Verdana" w:eastAsia="Verdana" w:hAnsi="Verdana"/>
          <w:color w:val="404042"/>
          <w:sz w:val="17"/>
        </w:rPr>
        <w:t>participation in education’, fact sheet, cat. no. DIS 69,</w:t>
      </w:r>
      <w:r>
        <w:rPr>
          <w:rFonts w:ascii="Tahoma" w:eastAsia="Tahoma" w:hAnsi="Tahoma"/>
          <w:color w:val="007896"/>
          <w:sz w:val="18"/>
        </w:rPr>
        <w:t xml:space="preserve"> </w:t>
      </w:r>
      <w:hyperlink r:id="rId381">
        <w:r>
          <w:rPr>
            <w:rFonts w:ascii="Tahoma" w:eastAsia="Tahoma" w:hAnsi="Tahoma"/>
            <w:color w:val="0000FF"/>
            <w:sz w:val="18"/>
            <w:u w:val="single"/>
          </w:rPr>
          <w:t>https://www.aihw.gov.au/getmedia/34f09557-0acf-4adf-837d-eada7b74d466/Education-20905.pdf.aspx</w:t>
        </w:r>
      </w:hyperlink>
      <w:r>
        <w:rPr>
          <w:rFonts w:ascii="Tahoma" w:eastAsia="Tahoma" w:hAnsi="Tahoma"/>
          <w:color w:val="007896"/>
          <w:sz w:val="18"/>
        </w:rPr>
        <w:t>.</w:t>
      </w:r>
    </w:p>
    <w:p w14:paraId="0C35C8C2" w14:textId="77777777" w:rsidR="009757A9" w:rsidRDefault="00083242">
      <w:pPr>
        <w:spacing w:before="168"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Australian Institute of Health and Welfare (2018), </w:t>
      </w:r>
      <w:r>
        <w:rPr>
          <w:rFonts w:ascii="Arial" w:eastAsia="Arial" w:hAnsi="Arial"/>
          <w:i/>
          <w:color w:val="404042"/>
          <w:sz w:val="18"/>
        </w:rPr>
        <w:t>Teenage Mothers in Australia 2015</w:t>
      </w:r>
      <w:r>
        <w:rPr>
          <w:rFonts w:ascii="Tahoma" w:eastAsia="Tahoma" w:hAnsi="Tahoma"/>
          <w:color w:val="404042"/>
          <w:sz w:val="18"/>
        </w:rPr>
        <w:t>, May 2018,</w:t>
      </w:r>
      <w:r>
        <w:rPr>
          <w:rFonts w:ascii="Tahoma" w:eastAsia="Tahoma" w:hAnsi="Tahoma"/>
          <w:color w:val="007896"/>
          <w:sz w:val="18"/>
        </w:rPr>
        <w:t xml:space="preserve"> </w:t>
      </w:r>
      <w:hyperlink r:id="rId382">
        <w:r>
          <w:rPr>
            <w:rFonts w:ascii="Tahoma" w:eastAsia="Tahoma" w:hAnsi="Tahoma"/>
            <w:color w:val="0000FF"/>
            <w:sz w:val="18"/>
            <w:u w:val="single"/>
          </w:rPr>
          <w:t xml:space="preserve">https://www.aihw.gov.au/ </w:t>
        </w:r>
      </w:hyperlink>
      <w:r>
        <w:rPr>
          <w:rFonts w:ascii="Verdana" w:eastAsia="Verdana" w:hAnsi="Verdana"/>
          <w:color w:val="0000FF"/>
          <w:sz w:val="17"/>
          <w:u w:val="single"/>
        </w:rPr>
        <w:t>getmedia/6976ff0b-4649-4e3f-918f-849fc29d538f/aihw</w:t>
      </w:r>
      <w:r>
        <w:rPr>
          <w:rFonts w:ascii="Tahoma" w:eastAsia="Tahoma" w:hAnsi="Tahoma"/>
          <w:color w:val="0000FF"/>
          <w:sz w:val="18"/>
          <w:u w:val="single"/>
        </w:rPr>
        <w:t>-per-93.pdf.aspx?inline=true</w:t>
      </w:r>
      <w:r>
        <w:rPr>
          <w:rFonts w:ascii="Tahoma" w:eastAsia="Tahoma" w:hAnsi="Tahoma"/>
          <w:color w:val="007896"/>
          <w:sz w:val="18"/>
        </w:rPr>
        <w:t>.</w:t>
      </w:r>
    </w:p>
    <w:p w14:paraId="066360B2" w14:textId="77777777" w:rsidR="009757A9" w:rsidRDefault="00083242">
      <w:pPr>
        <w:spacing w:before="173"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Australian Institute of Health and Welfare (2019a), </w:t>
      </w:r>
      <w:r>
        <w:rPr>
          <w:rFonts w:ascii="Arial" w:eastAsia="Arial" w:hAnsi="Arial"/>
          <w:i/>
          <w:color w:val="404042"/>
          <w:sz w:val="18"/>
        </w:rPr>
        <w:t>People with Disability in Australia 2019: In brief</w:t>
      </w:r>
      <w:r>
        <w:rPr>
          <w:rFonts w:ascii="Tahoma" w:eastAsia="Tahoma" w:hAnsi="Tahoma"/>
          <w:color w:val="404042"/>
          <w:sz w:val="18"/>
        </w:rPr>
        <w:t>,</w:t>
      </w:r>
      <w:r>
        <w:rPr>
          <w:rFonts w:ascii="Tahoma" w:eastAsia="Tahoma" w:hAnsi="Tahoma"/>
          <w:color w:val="007896"/>
          <w:sz w:val="18"/>
        </w:rPr>
        <w:t xml:space="preserve"> </w:t>
      </w:r>
      <w:hyperlink r:id="rId383">
        <w:r>
          <w:rPr>
            <w:rFonts w:ascii="Tahoma" w:eastAsia="Tahoma" w:hAnsi="Tahoma"/>
            <w:color w:val="0000FF"/>
            <w:sz w:val="18"/>
            <w:u w:val="single"/>
          </w:rPr>
          <w:t>https://www.aihw.gov. au/getmedia/3bc5f549-216e-4199-9a82-fba1bba9208f/aihw-dis-74.pdf.aspx?inline=true</w:t>
        </w:r>
      </w:hyperlink>
      <w:r>
        <w:rPr>
          <w:rFonts w:ascii="Tahoma" w:eastAsia="Tahoma" w:hAnsi="Tahoma"/>
          <w:color w:val="007896"/>
          <w:sz w:val="18"/>
        </w:rPr>
        <w:t>.</w:t>
      </w:r>
    </w:p>
    <w:p w14:paraId="2D813234" w14:textId="77777777" w:rsidR="009757A9" w:rsidRDefault="00083242">
      <w:pPr>
        <w:spacing w:before="168" w:line="240" w:lineRule="exact"/>
        <w:ind w:left="864" w:right="1080"/>
        <w:textAlignment w:val="baseline"/>
        <w:rPr>
          <w:rFonts w:ascii="Tahoma" w:eastAsia="Tahoma" w:hAnsi="Tahoma"/>
          <w:color w:val="404042"/>
          <w:spacing w:val="6"/>
          <w:sz w:val="18"/>
        </w:rPr>
      </w:pPr>
      <w:r>
        <w:rPr>
          <w:rFonts w:ascii="Tahoma" w:eastAsia="Tahoma" w:hAnsi="Tahoma"/>
          <w:color w:val="404042"/>
          <w:spacing w:val="6"/>
          <w:sz w:val="18"/>
        </w:rPr>
        <w:t xml:space="preserve">Australian Institute of Health and Welfare (2019b), ‘Secondary education: School retention and completion’, snapshot, </w:t>
      </w:r>
      <w:r>
        <w:rPr>
          <w:rFonts w:ascii="Verdana" w:eastAsia="Verdana" w:hAnsi="Verdana"/>
          <w:color w:val="404042"/>
          <w:spacing w:val="6"/>
          <w:sz w:val="17"/>
        </w:rPr>
        <w:t>11 September 2019,</w:t>
      </w:r>
      <w:r>
        <w:rPr>
          <w:rFonts w:ascii="Tahoma" w:eastAsia="Tahoma" w:hAnsi="Tahoma"/>
          <w:color w:val="007896"/>
          <w:spacing w:val="6"/>
          <w:sz w:val="18"/>
        </w:rPr>
        <w:t xml:space="preserve"> </w:t>
      </w:r>
      <w:hyperlink r:id="rId384">
        <w:r>
          <w:rPr>
            <w:rFonts w:ascii="Tahoma" w:eastAsia="Tahoma" w:hAnsi="Tahoma"/>
            <w:color w:val="0000FF"/>
            <w:spacing w:val="6"/>
            <w:sz w:val="18"/>
            <w:u w:val="single"/>
          </w:rPr>
          <w:t>https://www.aihw.gov.au/reports/australias-welfare/secondary-education-school-retenti on-completion</w:t>
        </w:r>
      </w:hyperlink>
      <w:r>
        <w:rPr>
          <w:rFonts w:ascii="Tahoma" w:eastAsia="Tahoma" w:hAnsi="Tahoma"/>
          <w:color w:val="007896"/>
          <w:spacing w:val="6"/>
          <w:sz w:val="18"/>
        </w:rPr>
        <w:t>.</w:t>
      </w:r>
    </w:p>
    <w:p w14:paraId="506FCECE" w14:textId="77777777" w:rsidR="009757A9" w:rsidRDefault="00083242">
      <w:pPr>
        <w:spacing w:before="173" w:line="240" w:lineRule="exact"/>
        <w:ind w:left="864" w:right="1080"/>
        <w:textAlignment w:val="baseline"/>
        <w:rPr>
          <w:rFonts w:ascii="Verdana" w:eastAsia="Verdana" w:hAnsi="Verdana"/>
          <w:color w:val="404042"/>
          <w:sz w:val="17"/>
        </w:rPr>
      </w:pPr>
      <w:r>
        <w:rPr>
          <w:rFonts w:ascii="Verdana" w:eastAsia="Verdana" w:hAnsi="Verdana"/>
          <w:color w:val="404042"/>
          <w:sz w:val="17"/>
        </w:rPr>
        <w:t xml:space="preserve">Australian Qualifications Framework Council (2013), </w:t>
      </w:r>
      <w:r>
        <w:rPr>
          <w:rFonts w:ascii="Verdana" w:eastAsia="Verdana" w:hAnsi="Verdana"/>
          <w:i/>
          <w:color w:val="404042"/>
          <w:sz w:val="17"/>
        </w:rPr>
        <w:t>Australian Qualifications Framework</w:t>
      </w:r>
      <w:r>
        <w:rPr>
          <w:rFonts w:ascii="Tahoma" w:eastAsia="Tahoma" w:hAnsi="Tahoma"/>
          <w:i/>
          <w:color w:val="404042"/>
          <w:sz w:val="13"/>
        </w:rPr>
        <w:t xml:space="preserve">, </w:t>
      </w:r>
      <w:r>
        <w:rPr>
          <w:rFonts w:ascii="Tahoma" w:eastAsia="Tahoma" w:hAnsi="Tahoma"/>
          <w:color w:val="404042"/>
          <w:sz w:val="18"/>
        </w:rPr>
        <w:t xml:space="preserve">second edition, January 2013, </w:t>
      </w:r>
      <w:hyperlink r:id="rId385">
        <w:r>
          <w:rPr>
            <w:rFonts w:ascii="Verdana" w:eastAsia="Verdana" w:hAnsi="Verdana"/>
            <w:color w:val="0000FF"/>
            <w:sz w:val="17"/>
            <w:u w:val="single"/>
          </w:rPr>
          <w:t>https://www.aqf.edu.au/sites/aqf/files/aqf-2nd</w:t>
        </w:r>
      </w:hyperlink>
      <w:r>
        <w:rPr>
          <w:rFonts w:ascii="Tahoma" w:eastAsia="Tahoma" w:hAnsi="Tahoma"/>
          <w:color w:val="0000FF"/>
          <w:sz w:val="18"/>
          <w:u w:val="single"/>
        </w:rPr>
        <w:t>-edition-january-2013.pdf.</w:t>
      </w:r>
      <w:r>
        <w:rPr>
          <w:rFonts w:ascii="Tahoma" w:eastAsia="Tahoma" w:hAnsi="Tahoma"/>
          <w:color w:val="007896"/>
          <w:sz w:val="18"/>
        </w:rPr>
        <w:t xml:space="preserve"> </w:t>
      </w:r>
    </w:p>
    <w:p w14:paraId="6C5D8D79" w14:textId="77777777" w:rsidR="009757A9" w:rsidRDefault="00083242">
      <w:pPr>
        <w:spacing w:before="168" w:line="240" w:lineRule="exact"/>
        <w:ind w:left="864" w:right="1440"/>
        <w:textAlignment w:val="baseline"/>
        <w:rPr>
          <w:rFonts w:ascii="Verdana" w:eastAsia="Verdana" w:hAnsi="Verdana"/>
          <w:color w:val="404042"/>
          <w:sz w:val="17"/>
        </w:rPr>
      </w:pPr>
      <w:r>
        <w:rPr>
          <w:rFonts w:ascii="Verdana" w:eastAsia="Verdana" w:hAnsi="Verdana"/>
          <w:color w:val="404042"/>
          <w:sz w:val="17"/>
        </w:rPr>
        <w:t xml:space="preserve">Australian Youth Affairs Coalition (2012), </w:t>
      </w:r>
      <w:r>
        <w:rPr>
          <w:rFonts w:ascii="Arial" w:eastAsia="Arial" w:hAnsi="Arial"/>
          <w:i/>
          <w:color w:val="404042"/>
          <w:sz w:val="18"/>
        </w:rPr>
        <w:t>Beyond Earn or Learn</w:t>
      </w:r>
      <w:r>
        <w:rPr>
          <w:rFonts w:ascii="Tahoma" w:eastAsia="Tahoma" w:hAnsi="Tahoma"/>
          <w:color w:val="404042"/>
          <w:sz w:val="18"/>
        </w:rPr>
        <w:t>, November 2012,</w:t>
      </w:r>
      <w:r>
        <w:rPr>
          <w:rFonts w:ascii="Tahoma" w:eastAsia="Tahoma" w:hAnsi="Tahoma"/>
          <w:color w:val="007896"/>
          <w:sz w:val="18"/>
        </w:rPr>
        <w:t xml:space="preserve"> </w:t>
      </w:r>
      <w:hyperlink r:id="rId386">
        <w:r>
          <w:rPr>
            <w:rFonts w:ascii="Tahoma" w:eastAsia="Tahoma" w:hAnsi="Tahoma"/>
            <w:color w:val="0000FF"/>
            <w:sz w:val="18"/>
            <w:u w:val="single"/>
          </w:rPr>
          <w:t>http://www.ayac.org.au/uploads/ AYAC%20Beyond%20Learn%20or%20Earn%205.7MB.pdf</w:t>
        </w:r>
      </w:hyperlink>
      <w:r>
        <w:rPr>
          <w:rFonts w:ascii="Tahoma" w:eastAsia="Tahoma" w:hAnsi="Tahoma"/>
          <w:color w:val="007896"/>
          <w:sz w:val="18"/>
        </w:rPr>
        <w:t>.</w:t>
      </w:r>
    </w:p>
    <w:p w14:paraId="5C095696" w14:textId="77777777" w:rsidR="009757A9" w:rsidRDefault="00083242">
      <w:pPr>
        <w:spacing w:before="895" w:after="633" w:line="209" w:lineRule="exact"/>
        <w:ind w:left="9792"/>
        <w:textAlignment w:val="baseline"/>
        <w:rPr>
          <w:rFonts w:ascii="Tahoma" w:eastAsia="Tahoma" w:hAnsi="Tahoma"/>
          <w:color w:val="404042"/>
          <w:spacing w:val="13"/>
          <w:sz w:val="14"/>
        </w:rPr>
      </w:pPr>
      <w:r>
        <w:rPr>
          <w:rFonts w:ascii="Tahoma" w:eastAsia="Tahoma" w:hAnsi="Tahoma"/>
          <w:color w:val="404042"/>
          <w:spacing w:val="13"/>
          <w:sz w:val="14"/>
        </w:rPr>
        <w:t>References</w:t>
      </w:r>
      <w:r>
        <w:rPr>
          <w:rFonts w:ascii="Arial" w:eastAsia="Arial" w:hAnsi="Arial"/>
          <w:b/>
          <w:color w:val="5556A1"/>
          <w:spacing w:val="13"/>
          <w:sz w:val="19"/>
        </w:rPr>
        <w:t xml:space="preserve"> 169</w:t>
      </w:r>
    </w:p>
    <w:p w14:paraId="6D4BAD9A" w14:textId="77777777" w:rsidR="009757A9" w:rsidRDefault="00083242">
      <w:pPr>
        <w:textAlignment w:val="baseline"/>
      </w:pPr>
      <w:r>
        <w:rPr>
          <w:noProof/>
          <w:lang w:val="en-AU" w:eastAsia="en-AU"/>
        </w:rPr>
        <w:drawing>
          <wp:inline distT="0" distB="0" distL="0" distR="0" wp14:anchorId="1ED6FD3C" wp14:editId="38BDA31D">
            <wp:extent cx="7562215" cy="462915"/>
            <wp:effectExtent l="0" t="0" r="0" b="0"/>
            <wp:docPr id="272" name="Picture"/>
            <wp:cNvGraphicFramePr/>
            <a:graphic xmlns:a="http://schemas.openxmlformats.org/drawingml/2006/main">
              <a:graphicData uri="http://schemas.openxmlformats.org/drawingml/2006/picture">
                <pic:pic xmlns:pic="http://schemas.openxmlformats.org/drawingml/2006/picture">
                  <pic:nvPicPr>
                    <pic:cNvPr id="272" name="Picture"/>
                    <pic:cNvPicPr preferRelativeResize="0"/>
                  </pic:nvPicPr>
                  <pic:blipFill>
                    <a:blip r:embed="rId41"/>
                    <a:stretch>
                      <a:fillRect/>
                    </a:stretch>
                  </pic:blipFill>
                  <pic:spPr>
                    <a:xfrm>
                      <a:off x="0" y="0"/>
                      <a:ext cx="7562215" cy="462915"/>
                    </a:xfrm>
                    <a:prstGeom prst="rect">
                      <a:avLst/>
                    </a:prstGeom>
                  </pic:spPr>
                </pic:pic>
              </a:graphicData>
            </a:graphic>
          </wp:inline>
        </w:drawing>
      </w:r>
    </w:p>
    <w:p w14:paraId="0B4FE97B" w14:textId="77777777" w:rsidR="009757A9" w:rsidRDefault="009757A9">
      <w:pPr>
        <w:sectPr w:rsidR="009757A9">
          <w:pgSz w:w="11909" w:h="16838"/>
          <w:pgMar w:top="1080" w:right="0" w:bottom="0" w:left="0" w:header="720" w:footer="720" w:gutter="0"/>
          <w:cols w:space="720"/>
        </w:sectPr>
      </w:pPr>
    </w:p>
    <w:p w14:paraId="13BCC2F7" w14:textId="77777777" w:rsidR="009757A9" w:rsidRDefault="00083242">
      <w:pPr>
        <w:spacing w:before="1"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lastRenderedPageBreak/>
        <w:t xml:space="preserve">Behavioural Insights Team (2020), </w:t>
      </w:r>
      <w:r>
        <w:rPr>
          <w:rFonts w:ascii="Arial" w:eastAsia="Arial" w:hAnsi="Arial"/>
          <w:i/>
          <w:color w:val="404042"/>
          <w:spacing w:val="1"/>
          <w:sz w:val="18"/>
        </w:rPr>
        <w:t>Perceptions of Apprenticeships: Behavioural insights evidence review</w:t>
      </w:r>
      <w:r>
        <w:rPr>
          <w:rFonts w:ascii="Tahoma" w:eastAsia="Tahoma" w:hAnsi="Tahoma"/>
          <w:color w:val="404042"/>
          <w:spacing w:val="1"/>
          <w:sz w:val="18"/>
        </w:rPr>
        <w:t>, unpublished report.</w:t>
      </w:r>
    </w:p>
    <w:p w14:paraId="4B9048CF" w14:textId="77777777" w:rsidR="009757A9" w:rsidRDefault="00083242">
      <w:pPr>
        <w:spacing w:before="168" w:line="240" w:lineRule="exact"/>
        <w:ind w:left="864" w:right="1872"/>
        <w:textAlignment w:val="baseline"/>
        <w:rPr>
          <w:rFonts w:ascii="Tahoma" w:eastAsia="Tahoma" w:hAnsi="Tahoma"/>
          <w:color w:val="404042"/>
          <w:sz w:val="18"/>
        </w:rPr>
      </w:pPr>
      <w:r>
        <w:rPr>
          <w:rFonts w:ascii="Tahoma" w:eastAsia="Tahoma" w:hAnsi="Tahoma"/>
          <w:color w:val="404042"/>
          <w:sz w:val="18"/>
        </w:rPr>
        <w:t xml:space="preserve">Bisson, R. and Stubley, W. (2017), </w:t>
      </w:r>
      <w:r>
        <w:rPr>
          <w:rFonts w:ascii="Arial" w:eastAsia="Arial" w:hAnsi="Arial"/>
          <w:i/>
          <w:color w:val="404042"/>
          <w:sz w:val="18"/>
        </w:rPr>
        <w:t>After the ATAR: Understanding how Gen Z transition into further education and employment</w:t>
      </w:r>
      <w:r>
        <w:rPr>
          <w:rFonts w:ascii="Tahoma" w:eastAsia="Tahoma" w:hAnsi="Tahoma"/>
          <w:color w:val="404042"/>
          <w:sz w:val="18"/>
        </w:rPr>
        <w:t>, Year13 and YouthSense,</w:t>
      </w:r>
      <w:r>
        <w:rPr>
          <w:rFonts w:ascii="Tahoma" w:eastAsia="Tahoma" w:hAnsi="Tahoma"/>
          <w:color w:val="007896"/>
          <w:sz w:val="18"/>
        </w:rPr>
        <w:t xml:space="preserve"> </w:t>
      </w:r>
      <w:hyperlink r:id="rId387">
        <w:r>
          <w:rPr>
            <w:rFonts w:ascii="Tahoma" w:eastAsia="Tahoma" w:hAnsi="Tahoma"/>
            <w:color w:val="0000FF"/>
            <w:sz w:val="18"/>
            <w:u w:val="single"/>
          </w:rPr>
          <w:t>https://youthsense.com.au/research/after-the-atar-i</w:t>
        </w:r>
      </w:hyperlink>
      <w:r>
        <w:rPr>
          <w:rFonts w:ascii="Tahoma" w:eastAsia="Tahoma" w:hAnsi="Tahoma"/>
          <w:color w:val="007896"/>
          <w:sz w:val="18"/>
        </w:rPr>
        <w:t>.</w:t>
      </w:r>
    </w:p>
    <w:p w14:paraId="7946072F" w14:textId="77777777" w:rsidR="009757A9" w:rsidRDefault="00083242">
      <w:pPr>
        <w:spacing w:before="167"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Business Council of Australia (2016), </w:t>
      </w:r>
      <w:r>
        <w:rPr>
          <w:rFonts w:ascii="Arial" w:eastAsia="Arial" w:hAnsi="Arial"/>
          <w:i/>
          <w:color w:val="404042"/>
          <w:sz w:val="18"/>
        </w:rPr>
        <w:t>Being Work Ready: A guide to what employers want</w:t>
      </w:r>
      <w:r>
        <w:rPr>
          <w:rFonts w:ascii="Tahoma" w:eastAsia="Tahoma" w:hAnsi="Tahoma"/>
          <w:color w:val="404042"/>
          <w:sz w:val="18"/>
        </w:rPr>
        <w:t>,</w:t>
      </w:r>
      <w:r>
        <w:rPr>
          <w:rFonts w:ascii="Tahoma" w:eastAsia="Tahoma" w:hAnsi="Tahoma"/>
          <w:color w:val="007896"/>
          <w:sz w:val="18"/>
        </w:rPr>
        <w:t xml:space="preserve"> </w:t>
      </w:r>
      <w:hyperlink r:id="rId388">
        <w:r>
          <w:rPr>
            <w:rFonts w:ascii="Tahoma" w:eastAsia="Tahoma" w:hAnsi="Tahoma"/>
            <w:color w:val="0000FF"/>
            <w:sz w:val="18"/>
            <w:u w:val="single"/>
          </w:rPr>
          <w:t>https://www.bca.com.au/being_ work_ready_a_guide_to_what_employers_want</w:t>
        </w:r>
      </w:hyperlink>
      <w:r>
        <w:rPr>
          <w:rFonts w:ascii="Tahoma" w:eastAsia="Tahoma" w:hAnsi="Tahoma"/>
          <w:color w:val="007896"/>
          <w:sz w:val="18"/>
        </w:rPr>
        <w:t>.</w:t>
      </w:r>
    </w:p>
    <w:p w14:paraId="0E8E9C0D" w14:textId="77777777" w:rsidR="009757A9" w:rsidRDefault="00083242">
      <w:pPr>
        <w:spacing w:before="173"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Business Council of Australia (2018), </w:t>
      </w:r>
      <w:r>
        <w:rPr>
          <w:rFonts w:ascii="Arial" w:eastAsia="Arial" w:hAnsi="Arial"/>
          <w:i/>
          <w:color w:val="404042"/>
          <w:sz w:val="18"/>
        </w:rPr>
        <w:t>Future-proof: Australia’s future post-secondary education and skills system</w:t>
      </w:r>
      <w:r>
        <w:rPr>
          <w:rFonts w:ascii="Tahoma" w:eastAsia="Tahoma" w:hAnsi="Tahoma"/>
          <w:color w:val="404042"/>
          <w:sz w:val="18"/>
        </w:rPr>
        <w:t>, August 2018,</w:t>
      </w:r>
      <w:r>
        <w:rPr>
          <w:rFonts w:ascii="Tahoma" w:eastAsia="Tahoma" w:hAnsi="Tahoma"/>
          <w:color w:val="007896"/>
          <w:sz w:val="18"/>
        </w:rPr>
        <w:t xml:space="preserve"> </w:t>
      </w:r>
      <w:hyperlink r:id="rId389">
        <w:r>
          <w:rPr>
            <w:rFonts w:ascii="Tahoma" w:eastAsia="Tahoma" w:hAnsi="Tahoma"/>
            <w:color w:val="0000FF"/>
            <w:sz w:val="18"/>
            <w:u w:val="single"/>
          </w:rPr>
          <w:t>https://d3n8a8pro7vhmx.cloudfront.net/bca/pages/4386/attachments/original/1542258016/LoRes-2018_BCA_ EDUC_Future_Proof_WIP1A_%281%29.pdf?1542258016</w:t>
        </w:r>
      </w:hyperlink>
      <w:r>
        <w:rPr>
          <w:rFonts w:ascii="Tahoma" w:eastAsia="Tahoma" w:hAnsi="Tahoma"/>
          <w:color w:val="007896"/>
          <w:sz w:val="18"/>
        </w:rPr>
        <w:t>.</w:t>
      </w:r>
    </w:p>
    <w:p w14:paraId="10054983" w14:textId="77777777" w:rsidR="009757A9" w:rsidRDefault="00083242">
      <w:pPr>
        <w:spacing w:before="174"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t xml:space="preserve">Business Council of Australia (2020), </w:t>
      </w:r>
      <w:r>
        <w:rPr>
          <w:rFonts w:ascii="Arial" w:eastAsia="Arial" w:hAnsi="Arial"/>
          <w:i/>
          <w:color w:val="404042"/>
          <w:spacing w:val="1"/>
          <w:sz w:val="18"/>
        </w:rPr>
        <w:t>The Modern Worker: A guide to what employers want</w:t>
      </w:r>
      <w:r>
        <w:rPr>
          <w:rFonts w:ascii="Tahoma" w:eastAsia="Tahoma" w:hAnsi="Tahoma"/>
          <w:color w:val="404042"/>
          <w:spacing w:val="1"/>
          <w:sz w:val="18"/>
        </w:rPr>
        <w:t>.</w:t>
      </w:r>
    </w:p>
    <w:p w14:paraId="35E1CF34" w14:textId="77777777" w:rsidR="009757A9" w:rsidRDefault="00083242">
      <w:pPr>
        <w:spacing w:before="168" w:line="240" w:lineRule="exact"/>
        <w:ind w:left="864" w:right="1368"/>
        <w:textAlignment w:val="baseline"/>
        <w:rPr>
          <w:rFonts w:ascii="Tahoma" w:eastAsia="Tahoma" w:hAnsi="Tahoma"/>
          <w:color w:val="404042"/>
          <w:sz w:val="18"/>
        </w:rPr>
      </w:pPr>
      <w:r>
        <w:rPr>
          <w:rFonts w:ascii="Tahoma" w:eastAsia="Tahoma" w:hAnsi="Tahoma"/>
          <w:color w:val="404042"/>
          <w:sz w:val="18"/>
        </w:rPr>
        <w:t xml:space="preserve">Business–School Connections Roundtable (2012), </w:t>
      </w:r>
      <w:r>
        <w:rPr>
          <w:rFonts w:ascii="Arial" w:eastAsia="Arial" w:hAnsi="Arial"/>
          <w:i/>
          <w:color w:val="404042"/>
          <w:sz w:val="18"/>
        </w:rPr>
        <w:t>Realising Potential: Businesses helping schools to develop Australia’s future</w:t>
      </w:r>
      <w:r>
        <w:rPr>
          <w:rFonts w:ascii="Tahoma" w:eastAsia="Tahoma" w:hAnsi="Tahoma"/>
          <w:color w:val="404042"/>
          <w:sz w:val="18"/>
        </w:rPr>
        <w:t>,</w:t>
      </w:r>
      <w:r>
        <w:rPr>
          <w:rFonts w:ascii="Verdana" w:eastAsia="Verdana" w:hAnsi="Verdana"/>
          <w:color w:val="007896"/>
          <w:sz w:val="18"/>
        </w:rPr>
        <w:t xml:space="preserve"> </w:t>
      </w:r>
      <w:hyperlink r:id="rId390">
        <w:r>
          <w:rPr>
            <w:rFonts w:ascii="Verdana" w:eastAsia="Verdana" w:hAnsi="Verdana"/>
            <w:color w:val="0000FF"/>
            <w:sz w:val="18"/>
            <w:u w:val="single"/>
          </w:rPr>
          <w:t>https://docs.education.gov.au/system/files/doc/other/realising_potential.pdf</w:t>
        </w:r>
      </w:hyperlink>
      <w:r>
        <w:rPr>
          <w:rFonts w:ascii="Tahoma" w:eastAsia="Tahoma" w:hAnsi="Tahoma"/>
          <w:color w:val="007896"/>
          <w:sz w:val="18"/>
        </w:rPr>
        <w:t>.</w:t>
      </w:r>
    </w:p>
    <w:p w14:paraId="32D6C29A" w14:textId="77777777" w:rsidR="009757A9" w:rsidRDefault="00083242">
      <w:pPr>
        <w:spacing w:before="167"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Cardak, B. et al. (2017), </w:t>
      </w:r>
      <w:r>
        <w:rPr>
          <w:rFonts w:ascii="Verdana" w:eastAsia="Verdana" w:hAnsi="Verdana"/>
          <w:i/>
          <w:color w:val="404042"/>
          <w:sz w:val="18"/>
        </w:rPr>
        <w:t xml:space="preserve">Regional Student Participation and Migration: Analysis of factors influencing regional student </w:t>
      </w:r>
      <w:r>
        <w:rPr>
          <w:rFonts w:ascii="Arial" w:eastAsia="Arial" w:hAnsi="Arial"/>
          <w:i/>
          <w:color w:val="404042"/>
          <w:sz w:val="18"/>
        </w:rPr>
        <w:t>participation and internal migration in Australian higher education</w:t>
      </w:r>
      <w:r>
        <w:rPr>
          <w:rFonts w:ascii="Tahoma" w:eastAsia="Tahoma" w:hAnsi="Tahoma"/>
          <w:color w:val="404042"/>
          <w:sz w:val="18"/>
        </w:rPr>
        <w:t>, National Centre for Student Equity in Higher Education: Curtin University, February 2017,</w:t>
      </w:r>
      <w:r>
        <w:rPr>
          <w:rFonts w:ascii="Tahoma" w:eastAsia="Tahoma" w:hAnsi="Tahoma"/>
          <w:color w:val="007896"/>
          <w:sz w:val="18"/>
        </w:rPr>
        <w:t xml:space="preserve"> </w:t>
      </w:r>
      <w:hyperlink r:id="rId391">
        <w:r>
          <w:rPr>
            <w:rFonts w:ascii="Tahoma" w:eastAsia="Tahoma" w:hAnsi="Tahoma"/>
            <w:color w:val="0000FF"/>
            <w:sz w:val="18"/>
            <w:u w:val="single"/>
          </w:rPr>
          <w:t>https://www.ncsehe.edu.au/wp-content/uploads/2017/02/Regional-Student-Participat ion-and-Migration-20170227-Final.pdf</w:t>
        </w:r>
      </w:hyperlink>
      <w:r>
        <w:rPr>
          <w:rFonts w:ascii="Tahoma" w:eastAsia="Tahoma" w:hAnsi="Tahoma"/>
          <w:color w:val="007896"/>
          <w:sz w:val="18"/>
        </w:rPr>
        <w:t>.</w:t>
      </w:r>
    </w:p>
    <w:p w14:paraId="73F45713" w14:textId="77777777" w:rsidR="009757A9" w:rsidRDefault="00083242">
      <w:pPr>
        <w:spacing w:before="168" w:line="240" w:lineRule="exact"/>
        <w:ind w:left="864" w:right="1152"/>
        <w:textAlignment w:val="baseline"/>
        <w:rPr>
          <w:rFonts w:ascii="Verdana" w:eastAsia="Verdana" w:hAnsi="Verdana"/>
          <w:color w:val="404042"/>
          <w:spacing w:val="-7"/>
          <w:sz w:val="18"/>
        </w:rPr>
      </w:pPr>
      <w:r>
        <w:rPr>
          <w:rFonts w:ascii="Verdana" w:eastAsia="Verdana" w:hAnsi="Verdana"/>
          <w:color w:val="404042"/>
          <w:spacing w:val="-7"/>
          <w:sz w:val="18"/>
        </w:rPr>
        <w:t>Career Industry Council of Australia and McCrindle (2017), ‘As key influencers, school career practitioners need more time to assist students make well-informed decisions’, media release, 21 June 2017,</w:t>
      </w:r>
      <w:r>
        <w:rPr>
          <w:rFonts w:ascii="Tahoma" w:eastAsia="Tahoma" w:hAnsi="Tahoma"/>
          <w:color w:val="007896"/>
          <w:spacing w:val="-7"/>
          <w:sz w:val="18"/>
        </w:rPr>
        <w:t xml:space="preserve"> </w:t>
      </w:r>
      <w:hyperlink r:id="rId392">
        <w:r>
          <w:rPr>
            <w:rFonts w:ascii="Tahoma" w:eastAsia="Tahoma" w:hAnsi="Tahoma"/>
            <w:color w:val="0000FF"/>
            <w:spacing w:val="-7"/>
            <w:sz w:val="18"/>
            <w:u w:val="single"/>
          </w:rPr>
          <w:t>https://cica.org.au/wp-content/ uploads/CICA-Media-Release-21-June-2017.pdf</w:t>
        </w:r>
      </w:hyperlink>
      <w:r>
        <w:rPr>
          <w:rFonts w:ascii="Tahoma" w:eastAsia="Tahoma" w:hAnsi="Tahoma"/>
          <w:color w:val="007896"/>
          <w:spacing w:val="-7"/>
          <w:sz w:val="18"/>
        </w:rPr>
        <w:t>.</w:t>
      </w:r>
    </w:p>
    <w:p w14:paraId="7FBD5887" w14:textId="77777777" w:rsidR="009757A9" w:rsidRDefault="00083242">
      <w:pPr>
        <w:spacing w:before="177" w:line="240" w:lineRule="exact"/>
        <w:ind w:left="864" w:right="1368"/>
        <w:textAlignment w:val="baseline"/>
        <w:rPr>
          <w:rFonts w:ascii="Tahoma" w:eastAsia="Tahoma" w:hAnsi="Tahoma"/>
          <w:color w:val="404042"/>
          <w:sz w:val="18"/>
        </w:rPr>
      </w:pPr>
      <w:r>
        <w:rPr>
          <w:rFonts w:ascii="Tahoma" w:eastAsia="Tahoma" w:hAnsi="Tahoma"/>
          <w:color w:val="404042"/>
          <w:sz w:val="18"/>
        </w:rPr>
        <w:t>Catholic School Parents Australia (2019), ‘Submission to Prof. Peter Shergold AC (Chair) in relation to the Review of Senior Secondary Pathways’, 5 December 2019,</w:t>
      </w:r>
      <w:r>
        <w:rPr>
          <w:rFonts w:ascii="Tahoma" w:eastAsia="Tahoma" w:hAnsi="Tahoma"/>
          <w:color w:val="007896"/>
          <w:sz w:val="18"/>
        </w:rPr>
        <w:t xml:space="preserve"> </w:t>
      </w:r>
      <w:hyperlink r:id="rId393">
        <w:r>
          <w:rPr>
            <w:rFonts w:ascii="Tahoma" w:eastAsia="Tahoma" w:hAnsi="Tahoma"/>
            <w:color w:val="0000FF"/>
            <w:sz w:val="18"/>
            <w:u w:val="single"/>
          </w:rPr>
          <w:t>http://www.cspa.catholic.edu.au/submissions</w:t>
        </w:r>
      </w:hyperlink>
      <w:r>
        <w:rPr>
          <w:rFonts w:ascii="Tahoma" w:eastAsia="Tahoma" w:hAnsi="Tahoma"/>
          <w:color w:val="007896"/>
          <w:sz w:val="18"/>
        </w:rPr>
        <w:t>.</w:t>
      </w:r>
    </w:p>
    <w:p w14:paraId="1DFA3126" w14:textId="77777777" w:rsidR="009757A9" w:rsidRDefault="00083242">
      <w:pPr>
        <w:spacing w:before="163" w:line="240" w:lineRule="exact"/>
        <w:ind w:left="864" w:right="1728"/>
        <w:textAlignment w:val="baseline"/>
        <w:rPr>
          <w:rFonts w:ascii="Tahoma" w:eastAsia="Tahoma" w:hAnsi="Tahoma"/>
          <w:color w:val="404042"/>
          <w:sz w:val="18"/>
        </w:rPr>
      </w:pPr>
      <w:r>
        <w:rPr>
          <w:rFonts w:ascii="Tahoma" w:eastAsia="Tahoma" w:hAnsi="Tahoma"/>
          <w:color w:val="404042"/>
          <w:sz w:val="18"/>
        </w:rPr>
        <w:t xml:space="preserve">Centre for Multicultural Youth (2014), </w:t>
      </w:r>
      <w:r>
        <w:rPr>
          <w:rFonts w:ascii="Arial" w:eastAsia="Arial" w:hAnsi="Arial"/>
          <w:i/>
          <w:color w:val="404042"/>
          <w:sz w:val="18"/>
        </w:rPr>
        <w:t>Fair and Accurate? Migrant and refugee young people, crime and the media</w:t>
      </w:r>
      <w:r>
        <w:rPr>
          <w:rFonts w:ascii="Tahoma" w:eastAsia="Tahoma" w:hAnsi="Tahoma"/>
          <w:color w:val="404042"/>
          <w:sz w:val="18"/>
        </w:rPr>
        <w:t xml:space="preserve">, </w:t>
      </w:r>
      <w:hyperlink r:id="rId394">
        <w:r>
          <w:rPr>
            <w:rFonts w:ascii="Tahoma" w:eastAsia="Tahoma" w:hAnsi="Tahoma"/>
            <w:color w:val="0000FF"/>
            <w:sz w:val="18"/>
            <w:u w:val="single"/>
          </w:rPr>
          <w:t>https://www.cmy.net.au/knowledge-hub</w:t>
        </w:r>
      </w:hyperlink>
      <w:r>
        <w:rPr>
          <w:rFonts w:ascii="Tahoma" w:eastAsia="Tahoma" w:hAnsi="Tahoma"/>
          <w:color w:val="007896"/>
          <w:sz w:val="18"/>
        </w:rPr>
        <w:t>.</w:t>
      </w:r>
    </w:p>
    <w:p w14:paraId="223C4D42" w14:textId="77777777" w:rsidR="009757A9" w:rsidRDefault="00083242">
      <w:pPr>
        <w:spacing w:before="168" w:line="240" w:lineRule="exact"/>
        <w:ind w:left="864" w:right="1512"/>
        <w:textAlignment w:val="baseline"/>
        <w:rPr>
          <w:rFonts w:ascii="Tahoma" w:eastAsia="Tahoma" w:hAnsi="Tahoma"/>
          <w:color w:val="404042"/>
          <w:sz w:val="18"/>
        </w:rPr>
      </w:pPr>
      <w:r>
        <w:rPr>
          <w:rFonts w:ascii="Tahoma" w:eastAsia="Tahoma" w:hAnsi="Tahoma"/>
          <w:color w:val="404042"/>
          <w:sz w:val="18"/>
        </w:rPr>
        <w:t xml:space="preserve">Cherastidtham, I. (2018), ‘University admission: ATAR best guide to student performance’, </w:t>
      </w:r>
      <w:r>
        <w:rPr>
          <w:rFonts w:ascii="Arial" w:eastAsia="Arial" w:hAnsi="Arial"/>
          <w:i/>
          <w:color w:val="404042"/>
          <w:sz w:val="18"/>
        </w:rPr>
        <w:t>The Australian</w:t>
      </w:r>
      <w:r>
        <w:rPr>
          <w:rFonts w:ascii="Verdana" w:eastAsia="Verdana" w:hAnsi="Verdana"/>
          <w:color w:val="404042"/>
          <w:sz w:val="18"/>
        </w:rPr>
        <w:t xml:space="preserve">, 30 May </w:t>
      </w:r>
      <w:r>
        <w:rPr>
          <w:rFonts w:ascii="Tahoma" w:eastAsia="Tahoma" w:hAnsi="Tahoma"/>
          <w:color w:val="404042"/>
          <w:sz w:val="18"/>
        </w:rPr>
        <w:t>2018. Also published by the Grattan Institute,</w:t>
      </w:r>
      <w:r>
        <w:rPr>
          <w:rFonts w:ascii="Tahoma" w:eastAsia="Tahoma" w:hAnsi="Tahoma"/>
          <w:color w:val="007896"/>
          <w:sz w:val="18"/>
        </w:rPr>
        <w:t xml:space="preserve"> </w:t>
      </w:r>
      <w:hyperlink r:id="rId395">
        <w:r>
          <w:rPr>
            <w:rFonts w:ascii="Tahoma" w:eastAsia="Tahoma" w:hAnsi="Tahoma"/>
            <w:color w:val="0000FF"/>
            <w:sz w:val="18"/>
            <w:u w:val="single"/>
          </w:rPr>
          <w:t>https://grattan.edu.au/news/university-admission-atar-best-gui de-to-student-performance</w:t>
        </w:r>
      </w:hyperlink>
      <w:r>
        <w:rPr>
          <w:rFonts w:ascii="Tahoma" w:eastAsia="Tahoma" w:hAnsi="Tahoma"/>
          <w:color w:val="007896"/>
          <w:sz w:val="18"/>
        </w:rPr>
        <w:t>.</w:t>
      </w:r>
    </w:p>
    <w:p w14:paraId="7E6C9744" w14:textId="77777777" w:rsidR="009757A9" w:rsidRDefault="00083242">
      <w:pPr>
        <w:spacing w:before="173" w:line="240" w:lineRule="exact"/>
        <w:ind w:left="864" w:right="1368"/>
        <w:textAlignment w:val="baseline"/>
        <w:rPr>
          <w:rFonts w:ascii="Tahoma" w:eastAsia="Tahoma" w:hAnsi="Tahoma"/>
          <w:color w:val="404042"/>
          <w:sz w:val="18"/>
        </w:rPr>
      </w:pPr>
      <w:r>
        <w:rPr>
          <w:rFonts w:ascii="Tahoma" w:eastAsia="Tahoma" w:hAnsi="Tahoma"/>
          <w:color w:val="404042"/>
          <w:sz w:val="18"/>
        </w:rPr>
        <w:t xml:space="preserve">Children with Disability Australia (2015), </w:t>
      </w:r>
      <w:r>
        <w:rPr>
          <w:rFonts w:ascii="Arial" w:eastAsia="Arial" w:hAnsi="Arial"/>
          <w:i/>
          <w:color w:val="404042"/>
          <w:sz w:val="18"/>
        </w:rPr>
        <w:t>Post School Transition: The experiences of students with disability</w:t>
      </w:r>
      <w:r>
        <w:rPr>
          <w:rFonts w:ascii="Tahoma" w:eastAsia="Tahoma" w:hAnsi="Tahoma"/>
          <w:color w:val="404042"/>
          <w:sz w:val="18"/>
        </w:rPr>
        <w:t xml:space="preserve">, </w:t>
      </w:r>
      <w:hyperlink r:id="rId396">
        <w:r>
          <w:rPr>
            <w:rFonts w:ascii="Tahoma" w:eastAsia="Tahoma" w:hAnsi="Tahoma"/>
            <w:color w:val="0000FF"/>
            <w:sz w:val="18"/>
            <w:u w:val="single"/>
          </w:rPr>
          <w:t>https://www.cyda.org.au/resources/details/85/post-school-transition-the-experiences-of-students-with-disability</w:t>
        </w:r>
      </w:hyperlink>
      <w:r>
        <w:rPr>
          <w:rFonts w:ascii="Tahoma" w:eastAsia="Tahoma" w:hAnsi="Tahoma"/>
          <w:color w:val="007896"/>
          <w:sz w:val="18"/>
        </w:rPr>
        <w:t>.</w:t>
      </w:r>
    </w:p>
    <w:p w14:paraId="26F4180C" w14:textId="77777777" w:rsidR="009757A9" w:rsidRDefault="00083242">
      <w:pPr>
        <w:spacing w:before="173" w:line="240" w:lineRule="exact"/>
        <w:ind w:left="864" w:right="1512"/>
        <w:textAlignment w:val="baseline"/>
        <w:rPr>
          <w:rFonts w:ascii="Verdana" w:eastAsia="Verdana" w:hAnsi="Verdana"/>
          <w:color w:val="404042"/>
          <w:sz w:val="18"/>
        </w:rPr>
      </w:pPr>
      <w:r>
        <w:rPr>
          <w:rFonts w:ascii="Verdana" w:eastAsia="Verdana" w:hAnsi="Verdana"/>
          <w:color w:val="404042"/>
          <w:sz w:val="18"/>
        </w:rPr>
        <w:t xml:space="preserve">Commonwealth Department of Education (2019a), ‘Benefits of educational attainment: Employment and income </w:t>
      </w:r>
      <w:r>
        <w:rPr>
          <w:rFonts w:ascii="Tahoma" w:eastAsia="Tahoma" w:hAnsi="Tahoma"/>
          <w:color w:val="404042"/>
          <w:sz w:val="18"/>
        </w:rPr>
        <w:t>support’,</w:t>
      </w:r>
      <w:r>
        <w:rPr>
          <w:rFonts w:ascii="Tahoma" w:eastAsia="Tahoma" w:hAnsi="Tahoma"/>
          <w:color w:val="007896"/>
          <w:sz w:val="18"/>
        </w:rPr>
        <w:t xml:space="preserve"> </w:t>
      </w:r>
      <w:hyperlink r:id="rId397">
        <w:r>
          <w:rPr>
            <w:rFonts w:ascii="Tahoma" w:eastAsia="Tahoma" w:hAnsi="Tahoma"/>
            <w:color w:val="0000FF"/>
            <w:sz w:val="18"/>
            <w:u w:val="single"/>
          </w:rPr>
          <w:t>https://www.education.gov.au/employment-and-income-support</w:t>
        </w:r>
      </w:hyperlink>
      <w:r>
        <w:rPr>
          <w:rFonts w:ascii="Tahoma" w:eastAsia="Tahoma" w:hAnsi="Tahoma"/>
          <w:color w:val="007896"/>
          <w:sz w:val="18"/>
        </w:rPr>
        <w:t>.</w:t>
      </w:r>
    </w:p>
    <w:p w14:paraId="7D4B4013" w14:textId="77777777" w:rsidR="009757A9" w:rsidRDefault="00083242">
      <w:pPr>
        <w:spacing w:before="168" w:line="240" w:lineRule="exact"/>
        <w:ind w:left="864" w:right="1512"/>
        <w:textAlignment w:val="baseline"/>
        <w:rPr>
          <w:rFonts w:ascii="Verdana" w:eastAsia="Verdana" w:hAnsi="Verdana"/>
          <w:color w:val="404042"/>
          <w:sz w:val="18"/>
        </w:rPr>
      </w:pPr>
      <w:r>
        <w:rPr>
          <w:rFonts w:ascii="Verdana" w:eastAsia="Verdana" w:hAnsi="Verdana"/>
          <w:color w:val="404042"/>
          <w:sz w:val="18"/>
        </w:rPr>
        <w:t xml:space="preserve">Commonwealth Department of Education (2019b), ‘Benefits of educational attainment: Introduction’, fact sheet, </w:t>
      </w:r>
      <w:hyperlink r:id="rId398">
        <w:r>
          <w:rPr>
            <w:rFonts w:ascii="Verdana" w:eastAsia="Verdana" w:hAnsi="Verdana"/>
            <w:color w:val="0000FF"/>
            <w:sz w:val="18"/>
            <w:u w:val="single"/>
          </w:rPr>
          <w:t>https://docs.education.gov.au/documents/benefits</w:t>
        </w:r>
      </w:hyperlink>
      <w:r>
        <w:rPr>
          <w:rFonts w:ascii="Tahoma" w:eastAsia="Tahoma" w:hAnsi="Tahoma"/>
          <w:color w:val="0000FF"/>
          <w:sz w:val="18"/>
          <w:u w:val="single"/>
        </w:rPr>
        <w:t>-educational-attainment-introduction</w:t>
      </w:r>
      <w:r>
        <w:rPr>
          <w:rFonts w:ascii="Tahoma" w:eastAsia="Tahoma" w:hAnsi="Tahoma"/>
          <w:color w:val="007896"/>
          <w:sz w:val="18"/>
        </w:rPr>
        <w:t>.</w:t>
      </w:r>
    </w:p>
    <w:p w14:paraId="4AE61030" w14:textId="77777777" w:rsidR="009757A9" w:rsidRDefault="00083242">
      <w:pPr>
        <w:spacing w:before="173" w:line="240" w:lineRule="exact"/>
        <w:ind w:left="864" w:right="1080"/>
        <w:textAlignment w:val="baseline"/>
        <w:rPr>
          <w:rFonts w:ascii="Tahoma" w:eastAsia="Tahoma" w:hAnsi="Tahoma"/>
          <w:color w:val="404042"/>
          <w:spacing w:val="-4"/>
          <w:sz w:val="18"/>
        </w:rPr>
      </w:pPr>
      <w:r>
        <w:rPr>
          <w:rFonts w:ascii="Tahoma" w:eastAsia="Tahoma" w:hAnsi="Tahoma"/>
          <w:color w:val="404042"/>
          <w:spacing w:val="-4"/>
          <w:sz w:val="18"/>
        </w:rPr>
        <w:t xml:space="preserve">Commonwealth Department of Education (2019c), </w:t>
      </w:r>
      <w:r>
        <w:rPr>
          <w:rFonts w:ascii="Verdana" w:eastAsia="Verdana" w:hAnsi="Verdana"/>
          <w:i/>
          <w:color w:val="404042"/>
          <w:spacing w:val="-4"/>
          <w:sz w:val="18"/>
        </w:rPr>
        <w:t>Undergraduate Applications, Offers and Acceptances 2019</w:t>
      </w:r>
      <w:r>
        <w:rPr>
          <w:rFonts w:ascii="Tahoma" w:eastAsia="Tahoma" w:hAnsi="Tahoma"/>
          <w:color w:val="404042"/>
          <w:spacing w:val="-4"/>
          <w:sz w:val="18"/>
        </w:rPr>
        <w:t>, October 2019,</w:t>
      </w:r>
      <w:r>
        <w:rPr>
          <w:rFonts w:ascii="Verdana" w:eastAsia="Verdana" w:hAnsi="Verdana"/>
          <w:color w:val="007896"/>
          <w:spacing w:val="-4"/>
          <w:sz w:val="18"/>
        </w:rPr>
        <w:t xml:space="preserve"> </w:t>
      </w:r>
      <w:hyperlink r:id="rId399">
        <w:r>
          <w:rPr>
            <w:rFonts w:ascii="Verdana" w:eastAsia="Verdana" w:hAnsi="Verdana"/>
            <w:color w:val="0000FF"/>
            <w:spacing w:val="-4"/>
            <w:sz w:val="18"/>
            <w:u w:val="single"/>
          </w:rPr>
          <w:t xml:space="preserve">https://docs.education.gov.au/system/files/doc/other/dept_of_education_-_undergraduate_applicationsoffers_ </w:t>
        </w:r>
      </w:hyperlink>
      <w:r>
        <w:rPr>
          <w:rFonts w:ascii="Tahoma" w:eastAsia="Tahoma" w:hAnsi="Tahoma"/>
          <w:color w:val="0000FF"/>
          <w:spacing w:val="-4"/>
          <w:sz w:val="18"/>
          <w:u w:val="single"/>
        </w:rPr>
        <w:t>and_acceptances_2019.pdf</w:t>
      </w:r>
      <w:r>
        <w:rPr>
          <w:rFonts w:ascii="Tahoma" w:eastAsia="Tahoma" w:hAnsi="Tahoma"/>
          <w:color w:val="007896"/>
          <w:spacing w:val="-4"/>
          <w:sz w:val="18"/>
        </w:rPr>
        <w:t>.</w:t>
      </w:r>
    </w:p>
    <w:p w14:paraId="7707E1DE" w14:textId="77777777" w:rsidR="009757A9" w:rsidRDefault="00083242">
      <w:pPr>
        <w:spacing w:before="168" w:line="240" w:lineRule="exact"/>
        <w:ind w:left="864" w:right="1224"/>
        <w:textAlignment w:val="baseline"/>
        <w:rPr>
          <w:rFonts w:ascii="Tahoma" w:eastAsia="Tahoma" w:hAnsi="Tahoma"/>
          <w:color w:val="404042"/>
          <w:sz w:val="18"/>
        </w:rPr>
      </w:pPr>
      <w:r>
        <w:rPr>
          <w:rFonts w:ascii="Tahoma" w:eastAsia="Tahoma" w:hAnsi="Tahoma"/>
          <w:color w:val="404042"/>
          <w:sz w:val="18"/>
        </w:rPr>
        <w:t>Commonwealth Department of Education and Training (2018a), Selected Higher Education Statistics – 2018 student data,</w:t>
      </w:r>
      <w:r>
        <w:rPr>
          <w:rFonts w:ascii="Tahoma" w:eastAsia="Tahoma" w:hAnsi="Tahoma"/>
          <w:color w:val="007896"/>
          <w:sz w:val="18"/>
        </w:rPr>
        <w:t xml:space="preserve"> </w:t>
      </w:r>
      <w:hyperlink r:id="rId400">
        <w:r>
          <w:rPr>
            <w:rFonts w:ascii="Tahoma" w:eastAsia="Tahoma" w:hAnsi="Tahoma"/>
            <w:color w:val="0000FF"/>
            <w:sz w:val="18"/>
            <w:u w:val="single"/>
          </w:rPr>
          <w:t>https://www.education.gov.au/selected-higher-education-statistics-2018-student-data</w:t>
        </w:r>
      </w:hyperlink>
      <w:r>
        <w:rPr>
          <w:rFonts w:ascii="Tahoma" w:eastAsia="Tahoma" w:hAnsi="Tahoma"/>
          <w:color w:val="007896"/>
          <w:sz w:val="18"/>
        </w:rPr>
        <w:t>.</w:t>
      </w:r>
    </w:p>
    <w:p w14:paraId="0470F917"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 xml:space="preserve">Commonwealth Department of Education and Training (2018b), </w:t>
      </w:r>
      <w:r>
        <w:rPr>
          <w:rFonts w:ascii="Verdana" w:eastAsia="Verdana" w:hAnsi="Verdana"/>
          <w:i/>
          <w:color w:val="404042"/>
          <w:spacing w:val="-6"/>
          <w:sz w:val="18"/>
        </w:rPr>
        <w:t>Undergraduate Applications, Offers and Acceptances 2018</w:t>
      </w:r>
      <w:r>
        <w:rPr>
          <w:rFonts w:ascii="Tahoma" w:eastAsia="Tahoma" w:hAnsi="Tahoma"/>
          <w:color w:val="404042"/>
          <w:spacing w:val="-6"/>
          <w:sz w:val="18"/>
        </w:rPr>
        <w:t xml:space="preserve">, </w:t>
      </w:r>
      <w:hyperlink r:id="rId401">
        <w:r>
          <w:rPr>
            <w:rFonts w:ascii="Verdana" w:eastAsia="Verdana" w:hAnsi="Verdana"/>
            <w:color w:val="0000FF"/>
            <w:spacing w:val="-6"/>
            <w:sz w:val="18"/>
            <w:u w:val="single"/>
          </w:rPr>
          <w:t>https://docs.education.gov.au/system/files/doc/other/undergraduate_applications_offers_and_acceptances_2018.pdf</w:t>
        </w:r>
      </w:hyperlink>
      <w:r>
        <w:rPr>
          <w:rFonts w:ascii="Tahoma" w:eastAsia="Tahoma" w:hAnsi="Tahoma"/>
          <w:color w:val="007896"/>
          <w:spacing w:val="-6"/>
          <w:sz w:val="18"/>
        </w:rPr>
        <w:t>.</w:t>
      </w:r>
    </w:p>
    <w:p w14:paraId="7D108925" w14:textId="77777777" w:rsidR="009757A9" w:rsidRDefault="00083242">
      <w:pPr>
        <w:spacing w:before="173" w:line="240" w:lineRule="exact"/>
        <w:ind w:left="864" w:right="936"/>
        <w:textAlignment w:val="baseline"/>
        <w:rPr>
          <w:rFonts w:ascii="Tahoma" w:eastAsia="Tahoma" w:hAnsi="Tahoma"/>
          <w:color w:val="404042"/>
          <w:spacing w:val="-2"/>
          <w:sz w:val="18"/>
        </w:rPr>
      </w:pPr>
      <w:r>
        <w:rPr>
          <w:rFonts w:ascii="Tahoma" w:eastAsia="Tahoma" w:hAnsi="Tahoma"/>
          <w:color w:val="404042"/>
          <w:spacing w:val="-2"/>
          <w:sz w:val="18"/>
        </w:rPr>
        <w:t xml:space="preserve">Commonwealth Department of Education and Training (2019), </w:t>
      </w:r>
      <w:r>
        <w:rPr>
          <w:rFonts w:ascii="Arial" w:eastAsia="Arial" w:hAnsi="Arial"/>
          <w:i/>
          <w:color w:val="404042"/>
          <w:spacing w:val="-2"/>
          <w:sz w:val="18"/>
        </w:rPr>
        <w:t>Future Ready Career Education: A student focused national career education strategy</w:t>
      </w:r>
      <w:r>
        <w:rPr>
          <w:rFonts w:ascii="Tahoma" w:eastAsia="Tahoma" w:hAnsi="Tahoma"/>
          <w:color w:val="404042"/>
          <w:spacing w:val="-2"/>
          <w:sz w:val="18"/>
        </w:rPr>
        <w:t>,</w:t>
      </w:r>
      <w:r>
        <w:rPr>
          <w:rFonts w:ascii="Verdana" w:eastAsia="Verdana" w:hAnsi="Verdana"/>
          <w:color w:val="007896"/>
          <w:spacing w:val="-2"/>
          <w:sz w:val="18"/>
        </w:rPr>
        <w:t xml:space="preserve"> </w:t>
      </w:r>
      <w:hyperlink r:id="rId402">
        <w:r>
          <w:rPr>
            <w:rFonts w:ascii="Verdana" w:eastAsia="Verdana" w:hAnsi="Verdana"/>
            <w:color w:val="0000FF"/>
            <w:spacing w:val="-2"/>
            <w:sz w:val="18"/>
            <w:u w:val="single"/>
          </w:rPr>
          <w:t xml:space="preserve">https://docs.education.gov.au/system/files/doc/other/future_ready_a_student_focused_ </w:t>
        </w:r>
      </w:hyperlink>
      <w:r>
        <w:rPr>
          <w:rFonts w:ascii="Tahoma" w:eastAsia="Tahoma" w:hAnsi="Tahoma"/>
          <w:color w:val="0000FF"/>
          <w:spacing w:val="-2"/>
          <w:sz w:val="18"/>
          <w:u w:val="single"/>
        </w:rPr>
        <w:t>national_career_education_strategy.pdf</w:t>
      </w:r>
      <w:r>
        <w:rPr>
          <w:rFonts w:ascii="Tahoma" w:eastAsia="Tahoma" w:hAnsi="Tahoma"/>
          <w:color w:val="007896"/>
          <w:spacing w:val="-2"/>
          <w:sz w:val="18"/>
        </w:rPr>
        <w:t>.</w:t>
      </w:r>
    </w:p>
    <w:p w14:paraId="7E6A4D91" w14:textId="77777777" w:rsidR="009757A9" w:rsidRDefault="00083242">
      <w:pPr>
        <w:spacing w:before="168"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Commonwealth Department of Employment, Skills, Small and Family Business (2019a), </w:t>
      </w:r>
      <w:r>
        <w:rPr>
          <w:rFonts w:ascii="Arial" w:eastAsia="Arial" w:hAnsi="Arial"/>
          <w:i/>
          <w:color w:val="404042"/>
          <w:sz w:val="18"/>
        </w:rPr>
        <w:t>Employment Outlook to May 2024</w:t>
      </w:r>
      <w:r>
        <w:rPr>
          <w:rFonts w:ascii="Tahoma" w:eastAsia="Tahoma" w:hAnsi="Tahoma"/>
          <w:color w:val="404042"/>
          <w:sz w:val="18"/>
        </w:rPr>
        <w:t xml:space="preserve">, </w:t>
      </w:r>
      <w:hyperlink r:id="rId403">
        <w:r>
          <w:rPr>
            <w:rFonts w:ascii="Tahoma" w:eastAsia="Tahoma" w:hAnsi="Tahoma"/>
            <w:color w:val="0000FF"/>
            <w:sz w:val="18"/>
            <w:u w:val="single"/>
          </w:rPr>
          <w:t>https://cica.org.au/wp-content/uploads/Employment-Outlook-to-May-2024.pdf</w:t>
        </w:r>
      </w:hyperlink>
      <w:r>
        <w:rPr>
          <w:rFonts w:ascii="Tahoma" w:eastAsia="Tahoma" w:hAnsi="Tahoma"/>
          <w:color w:val="007896"/>
          <w:sz w:val="18"/>
        </w:rPr>
        <w:t>.</w:t>
      </w:r>
    </w:p>
    <w:p w14:paraId="4F2EC111" w14:textId="77777777" w:rsidR="009757A9" w:rsidRDefault="00083242">
      <w:pPr>
        <w:tabs>
          <w:tab w:val="left" w:pos="1368"/>
        </w:tabs>
        <w:spacing w:before="798"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170</w:t>
      </w:r>
      <w:r>
        <w:rPr>
          <w:rFonts w:ascii="Tahoma" w:eastAsia="Tahoma" w:hAnsi="Tahoma"/>
          <w:color w:val="404042"/>
          <w:spacing w:val="4"/>
          <w:sz w:val="14"/>
        </w:rPr>
        <w:tab/>
        <w:t>Looking to the future</w:t>
      </w:r>
    </w:p>
    <w:p w14:paraId="4FB179B9" w14:textId="77777777" w:rsidR="009757A9" w:rsidRDefault="00083242">
      <w:pPr>
        <w:textAlignment w:val="baseline"/>
      </w:pPr>
      <w:r>
        <w:rPr>
          <w:noProof/>
          <w:lang w:val="en-AU" w:eastAsia="en-AU"/>
        </w:rPr>
        <w:drawing>
          <wp:inline distT="0" distB="0" distL="0" distR="0" wp14:anchorId="5E2771D7" wp14:editId="2A472AEF">
            <wp:extent cx="7562215" cy="462915"/>
            <wp:effectExtent l="0" t="0" r="0" b="0"/>
            <wp:docPr id="273" name="Picture"/>
            <wp:cNvGraphicFramePr/>
            <a:graphic xmlns:a="http://schemas.openxmlformats.org/drawingml/2006/main">
              <a:graphicData uri="http://schemas.openxmlformats.org/drawingml/2006/picture">
                <pic:pic xmlns:pic="http://schemas.openxmlformats.org/drawingml/2006/picture">
                  <pic:nvPicPr>
                    <pic:cNvPr id="273" name="Picture"/>
                    <pic:cNvPicPr preferRelativeResize="0"/>
                  </pic:nvPicPr>
                  <pic:blipFill>
                    <a:blip r:embed="rId40"/>
                    <a:stretch>
                      <a:fillRect/>
                    </a:stretch>
                  </pic:blipFill>
                  <pic:spPr>
                    <a:xfrm>
                      <a:off x="0" y="0"/>
                      <a:ext cx="7562215" cy="462915"/>
                    </a:xfrm>
                    <a:prstGeom prst="rect">
                      <a:avLst/>
                    </a:prstGeom>
                  </pic:spPr>
                </pic:pic>
              </a:graphicData>
            </a:graphic>
          </wp:inline>
        </w:drawing>
      </w:r>
    </w:p>
    <w:p w14:paraId="66979229" w14:textId="77777777" w:rsidR="009757A9" w:rsidRDefault="009757A9">
      <w:pPr>
        <w:sectPr w:rsidR="009757A9">
          <w:pgSz w:w="11909" w:h="16838"/>
          <w:pgMar w:top="1080" w:right="0" w:bottom="0" w:left="0" w:header="720" w:footer="720" w:gutter="0"/>
          <w:cols w:space="720"/>
        </w:sectPr>
      </w:pPr>
    </w:p>
    <w:p w14:paraId="5FCF1492" w14:textId="77777777" w:rsidR="009757A9" w:rsidRDefault="00083242">
      <w:pPr>
        <w:spacing w:before="1" w:line="240" w:lineRule="exact"/>
        <w:ind w:left="864" w:right="864"/>
        <w:textAlignment w:val="baseline"/>
        <w:rPr>
          <w:rFonts w:ascii="Tahoma" w:eastAsia="Tahoma" w:hAnsi="Tahoma"/>
          <w:color w:val="404042"/>
          <w:spacing w:val="-2"/>
          <w:sz w:val="18"/>
        </w:rPr>
      </w:pPr>
      <w:r>
        <w:rPr>
          <w:rFonts w:ascii="Tahoma" w:eastAsia="Tahoma" w:hAnsi="Tahoma"/>
          <w:color w:val="404042"/>
          <w:spacing w:val="-2"/>
          <w:sz w:val="18"/>
        </w:rPr>
        <w:lastRenderedPageBreak/>
        <w:t xml:space="preserve">Commonwealth Department of Employment, Skills, Small and Family Business (2019b), </w:t>
      </w:r>
      <w:r>
        <w:rPr>
          <w:rFonts w:ascii="Arial" w:eastAsia="Arial" w:hAnsi="Arial"/>
          <w:i/>
          <w:color w:val="404042"/>
          <w:spacing w:val="-2"/>
          <w:sz w:val="18"/>
        </w:rPr>
        <w:t>Ratings Summary: Labour market analysis of skills occupations</w:t>
      </w:r>
      <w:r>
        <w:rPr>
          <w:rFonts w:ascii="Tahoma" w:eastAsia="Tahoma" w:hAnsi="Tahoma"/>
          <w:color w:val="404042"/>
          <w:spacing w:val="-2"/>
          <w:sz w:val="18"/>
        </w:rPr>
        <w:t>,</w:t>
      </w:r>
      <w:r>
        <w:rPr>
          <w:rFonts w:ascii="Verdana" w:eastAsia="Verdana" w:hAnsi="Verdana"/>
          <w:color w:val="007896"/>
          <w:spacing w:val="-2"/>
          <w:sz w:val="17"/>
        </w:rPr>
        <w:t xml:space="preserve"> </w:t>
      </w:r>
      <w:hyperlink r:id="rId404">
        <w:r>
          <w:rPr>
            <w:rFonts w:ascii="Verdana" w:eastAsia="Verdana" w:hAnsi="Verdana"/>
            <w:color w:val="0000FF"/>
            <w:spacing w:val="-2"/>
            <w:sz w:val="17"/>
            <w:u w:val="single"/>
          </w:rPr>
          <w:t>https://docs.employment.gov.au/system/files/doc/other/ratingssummary_june2019_0.pdf</w:t>
        </w:r>
      </w:hyperlink>
      <w:r>
        <w:rPr>
          <w:rFonts w:ascii="Tahoma" w:eastAsia="Tahoma" w:hAnsi="Tahoma"/>
          <w:color w:val="007896"/>
          <w:spacing w:val="-2"/>
          <w:sz w:val="18"/>
        </w:rPr>
        <w:t>.</w:t>
      </w:r>
    </w:p>
    <w:p w14:paraId="2655118A" w14:textId="77777777" w:rsidR="009757A9" w:rsidRDefault="00083242">
      <w:pPr>
        <w:spacing w:before="167" w:line="240" w:lineRule="exact"/>
        <w:ind w:left="864"/>
        <w:textAlignment w:val="baseline"/>
        <w:rPr>
          <w:rFonts w:ascii="Tahoma" w:eastAsia="Tahoma" w:hAnsi="Tahoma"/>
          <w:color w:val="404042"/>
          <w:spacing w:val="2"/>
          <w:sz w:val="18"/>
        </w:rPr>
      </w:pPr>
      <w:r>
        <w:rPr>
          <w:rFonts w:ascii="Tahoma" w:eastAsia="Tahoma" w:hAnsi="Tahoma"/>
          <w:color w:val="404042"/>
          <w:spacing w:val="2"/>
          <w:sz w:val="18"/>
        </w:rPr>
        <w:t xml:space="preserve">Council of Australian Governments Education Council (2014), </w:t>
      </w:r>
      <w:r>
        <w:rPr>
          <w:rFonts w:ascii="Arial" w:eastAsia="Arial" w:hAnsi="Arial"/>
          <w:i/>
          <w:color w:val="404042"/>
          <w:spacing w:val="2"/>
          <w:sz w:val="18"/>
        </w:rPr>
        <w:t>Preparing Secondary Students for Work: A framework for</w:t>
      </w:r>
    </w:p>
    <w:p w14:paraId="288E8F36" w14:textId="77777777" w:rsidR="009757A9" w:rsidRDefault="00083242">
      <w:pPr>
        <w:spacing w:line="237" w:lineRule="exact"/>
        <w:ind w:left="864" w:right="864"/>
        <w:textAlignment w:val="baseline"/>
        <w:rPr>
          <w:rFonts w:ascii="Arial" w:eastAsia="Arial" w:hAnsi="Arial"/>
          <w:i/>
          <w:color w:val="404042"/>
          <w:sz w:val="18"/>
        </w:rPr>
      </w:pPr>
      <w:r>
        <w:rPr>
          <w:rFonts w:ascii="Arial" w:eastAsia="Arial" w:hAnsi="Arial"/>
          <w:i/>
          <w:color w:val="404042"/>
          <w:sz w:val="18"/>
        </w:rPr>
        <w:t>vocational learning and VET delivered to secondary students</w:t>
      </w:r>
      <w:r>
        <w:rPr>
          <w:rFonts w:ascii="Tahoma" w:eastAsia="Tahoma" w:hAnsi="Tahoma"/>
          <w:color w:val="404042"/>
          <w:sz w:val="18"/>
        </w:rPr>
        <w:t>,</w:t>
      </w:r>
      <w:r>
        <w:rPr>
          <w:rFonts w:ascii="Tahoma" w:eastAsia="Tahoma" w:hAnsi="Tahoma"/>
          <w:color w:val="007896"/>
          <w:sz w:val="18"/>
        </w:rPr>
        <w:t xml:space="preserve"> </w:t>
      </w:r>
      <w:hyperlink r:id="rId405">
        <w:r>
          <w:rPr>
            <w:rFonts w:ascii="Tahoma" w:eastAsia="Tahoma" w:hAnsi="Tahoma"/>
            <w:color w:val="0000FF"/>
            <w:sz w:val="18"/>
            <w:u w:val="single"/>
          </w:rPr>
          <w:t>https://pssfw.myskills.gov.au/media/1174/preparing-seconda ry-students-for-work-2014.pdf</w:t>
        </w:r>
      </w:hyperlink>
      <w:r>
        <w:rPr>
          <w:rFonts w:ascii="Tahoma" w:eastAsia="Tahoma" w:hAnsi="Tahoma"/>
          <w:color w:val="007896"/>
          <w:sz w:val="18"/>
        </w:rPr>
        <w:t>.</w:t>
      </w:r>
    </w:p>
    <w:p w14:paraId="0018C750" w14:textId="77777777" w:rsidR="009757A9" w:rsidRDefault="00083242">
      <w:pPr>
        <w:spacing w:before="178" w:line="240" w:lineRule="exact"/>
        <w:ind w:left="864" w:right="2448"/>
        <w:textAlignment w:val="baseline"/>
        <w:rPr>
          <w:rFonts w:ascii="Tahoma" w:eastAsia="Tahoma" w:hAnsi="Tahoma"/>
          <w:color w:val="404042"/>
          <w:sz w:val="18"/>
        </w:rPr>
      </w:pPr>
      <w:r>
        <w:rPr>
          <w:rFonts w:ascii="Tahoma" w:eastAsia="Tahoma" w:hAnsi="Tahoma"/>
          <w:color w:val="404042"/>
          <w:sz w:val="18"/>
        </w:rPr>
        <w:t xml:space="preserve">Council of Australian Governments Education Council (2018a), </w:t>
      </w:r>
      <w:r>
        <w:rPr>
          <w:rFonts w:ascii="Arial" w:eastAsia="Arial" w:hAnsi="Arial"/>
          <w:i/>
          <w:color w:val="404042"/>
          <w:sz w:val="18"/>
        </w:rPr>
        <w:t>Australian Student Wellbeing Framework</w:t>
      </w:r>
      <w:r>
        <w:rPr>
          <w:rFonts w:ascii="Tahoma" w:eastAsia="Tahoma" w:hAnsi="Tahoma"/>
          <w:color w:val="404042"/>
          <w:sz w:val="18"/>
        </w:rPr>
        <w:t xml:space="preserve">, </w:t>
      </w:r>
      <w:hyperlink r:id="rId406">
        <w:r>
          <w:rPr>
            <w:rFonts w:ascii="Tahoma" w:eastAsia="Tahoma" w:hAnsi="Tahoma"/>
            <w:color w:val="0000FF"/>
            <w:sz w:val="18"/>
            <w:u w:val="single"/>
          </w:rPr>
          <w:t>https://studentwellbeinghub.edu.au/media/9310/aswf_booklet.pdf</w:t>
        </w:r>
      </w:hyperlink>
      <w:r>
        <w:rPr>
          <w:rFonts w:ascii="Tahoma" w:eastAsia="Tahoma" w:hAnsi="Tahoma"/>
          <w:color w:val="007896"/>
          <w:sz w:val="18"/>
        </w:rPr>
        <w:t>.</w:t>
      </w:r>
    </w:p>
    <w:p w14:paraId="51A3007C" w14:textId="77777777" w:rsidR="009757A9" w:rsidRDefault="00083242">
      <w:pPr>
        <w:spacing w:before="168" w:line="240" w:lineRule="exact"/>
        <w:ind w:left="864"/>
        <w:textAlignment w:val="baseline"/>
        <w:rPr>
          <w:rFonts w:ascii="Tahoma" w:eastAsia="Tahoma" w:hAnsi="Tahoma"/>
          <w:color w:val="404042"/>
          <w:spacing w:val="2"/>
          <w:sz w:val="18"/>
        </w:rPr>
      </w:pPr>
      <w:r>
        <w:rPr>
          <w:rFonts w:ascii="Tahoma" w:eastAsia="Tahoma" w:hAnsi="Tahoma"/>
          <w:color w:val="404042"/>
          <w:spacing w:val="2"/>
          <w:sz w:val="18"/>
        </w:rPr>
        <w:t xml:space="preserve">Council of Australian Governments Education Council (2018b), </w:t>
      </w:r>
      <w:r>
        <w:rPr>
          <w:rFonts w:ascii="Arial" w:eastAsia="Arial" w:hAnsi="Arial"/>
          <w:i/>
          <w:color w:val="404042"/>
          <w:spacing w:val="2"/>
          <w:sz w:val="18"/>
        </w:rPr>
        <w:t>Optimising STEM Industry–School Partnerships:</w:t>
      </w:r>
    </w:p>
    <w:p w14:paraId="75566645" w14:textId="77777777" w:rsidR="009757A9" w:rsidRDefault="00083242">
      <w:pPr>
        <w:spacing w:line="238" w:lineRule="exact"/>
        <w:ind w:left="864" w:right="1224"/>
        <w:textAlignment w:val="baseline"/>
        <w:rPr>
          <w:rFonts w:ascii="Arial" w:eastAsia="Arial" w:hAnsi="Arial"/>
          <w:i/>
          <w:color w:val="404042"/>
          <w:sz w:val="18"/>
        </w:rPr>
      </w:pPr>
      <w:r>
        <w:rPr>
          <w:rFonts w:ascii="Arial" w:eastAsia="Arial" w:hAnsi="Arial"/>
          <w:i/>
          <w:color w:val="404042"/>
          <w:sz w:val="18"/>
        </w:rPr>
        <w:t>Inspiring Australia’s next generation: Final report</w:t>
      </w:r>
      <w:r>
        <w:rPr>
          <w:rFonts w:ascii="Tahoma" w:eastAsia="Tahoma" w:hAnsi="Tahoma"/>
          <w:color w:val="404042"/>
          <w:sz w:val="18"/>
        </w:rPr>
        <w:t>, April 2018,</w:t>
      </w:r>
      <w:r>
        <w:rPr>
          <w:rFonts w:ascii="Tahoma" w:eastAsia="Tahoma" w:hAnsi="Tahoma"/>
          <w:color w:val="007896"/>
          <w:sz w:val="18"/>
        </w:rPr>
        <w:t xml:space="preserve"> </w:t>
      </w:r>
      <w:hyperlink r:id="rId407">
        <w:r>
          <w:rPr>
            <w:rFonts w:ascii="Tahoma" w:eastAsia="Tahoma" w:hAnsi="Tahoma"/>
            <w:color w:val="0000FF"/>
            <w:sz w:val="18"/>
            <w:u w:val="single"/>
          </w:rPr>
          <w:t xml:space="preserve">http://www.educationcouncil.edu.au/site/DefaultSite/ </w:t>
        </w:r>
      </w:hyperlink>
      <w:r>
        <w:rPr>
          <w:rFonts w:ascii="Verdana" w:eastAsia="Verdana" w:hAnsi="Verdana"/>
          <w:color w:val="0000FF"/>
          <w:sz w:val="17"/>
          <w:u w:val="single"/>
        </w:rPr>
        <w:t>filesystem/documents/Reports%20and%20publications/Publications/Optimising%20STEM%20Industry</w:t>
      </w:r>
      <w:r>
        <w:rPr>
          <w:rFonts w:ascii="Tahoma" w:eastAsia="Tahoma" w:hAnsi="Tahoma"/>
          <w:color w:val="0000FF"/>
          <w:sz w:val="18"/>
          <w:u w:val="single"/>
        </w:rPr>
        <w:t>-School%20 Partnerships%20-%20Final%20Report.pdf</w:t>
      </w:r>
      <w:r>
        <w:rPr>
          <w:rFonts w:ascii="Tahoma" w:eastAsia="Tahoma" w:hAnsi="Tahoma"/>
          <w:color w:val="007896"/>
          <w:sz w:val="18"/>
        </w:rPr>
        <w:t>.</w:t>
      </w:r>
    </w:p>
    <w:p w14:paraId="0E9E48A6" w14:textId="77777777" w:rsidR="009757A9" w:rsidRDefault="00083242">
      <w:pPr>
        <w:spacing w:before="178"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Council of Australian Governments Education Council (2019), </w:t>
      </w:r>
      <w:r>
        <w:rPr>
          <w:rFonts w:ascii="Arial" w:eastAsia="Arial" w:hAnsi="Arial"/>
          <w:i/>
          <w:color w:val="404042"/>
          <w:sz w:val="18"/>
        </w:rPr>
        <w:t>Alice Springs (Mparntwe) Education Declaration</w:t>
      </w:r>
      <w:r>
        <w:rPr>
          <w:rFonts w:ascii="Tahoma" w:eastAsia="Tahoma" w:hAnsi="Tahoma"/>
          <w:color w:val="404042"/>
          <w:sz w:val="18"/>
        </w:rPr>
        <w:t>, December 2019,</w:t>
      </w:r>
      <w:r>
        <w:rPr>
          <w:rFonts w:ascii="Verdana" w:eastAsia="Verdana" w:hAnsi="Verdana"/>
          <w:color w:val="007896"/>
          <w:sz w:val="17"/>
        </w:rPr>
        <w:t xml:space="preserve"> </w:t>
      </w:r>
      <w:hyperlink r:id="rId408">
        <w:r>
          <w:rPr>
            <w:rFonts w:ascii="Verdana" w:eastAsia="Verdana" w:hAnsi="Verdana"/>
            <w:color w:val="0000FF"/>
            <w:sz w:val="17"/>
            <w:u w:val="single"/>
          </w:rPr>
          <w:t xml:space="preserve">https://docs.education.gov.au/system/files/doc/other/final_-_alice_springs_declaration_-_17_february_2020_ </w:t>
        </w:r>
      </w:hyperlink>
      <w:r>
        <w:rPr>
          <w:rFonts w:ascii="Tahoma" w:eastAsia="Tahoma" w:hAnsi="Tahoma"/>
          <w:color w:val="0000FF"/>
          <w:sz w:val="18"/>
          <w:u w:val="single"/>
        </w:rPr>
        <w:t>security_removed.pdf</w:t>
      </w:r>
      <w:r>
        <w:rPr>
          <w:rFonts w:ascii="Tahoma" w:eastAsia="Tahoma" w:hAnsi="Tahoma"/>
          <w:color w:val="007896"/>
          <w:sz w:val="18"/>
        </w:rPr>
        <w:t>.</w:t>
      </w:r>
    </w:p>
    <w:p w14:paraId="6955CB37" w14:textId="77777777" w:rsidR="009757A9" w:rsidRDefault="00083242">
      <w:pPr>
        <w:spacing w:before="157" w:line="240" w:lineRule="exact"/>
        <w:ind w:left="864" w:right="1224"/>
        <w:textAlignment w:val="baseline"/>
        <w:rPr>
          <w:rFonts w:ascii="Tahoma" w:eastAsia="Tahoma" w:hAnsi="Tahoma"/>
          <w:color w:val="404042"/>
          <w:sz w:val="18"/>
        </w:rPr>
      </w:pPr>
      <w:r>
        <w:rPr>
          <w:rFonts w:ascii="Tahoma" w:eastAsia="Tahoma" w:hAnsi="Tahoma"/>
          <w:color w:val="404042"/>
          <w:sz w:val="18"/>
        </w:rPr>
        <w:t xml:space="preserve">Czarnecki, K. (2017), ‘Less inequality through universal access? Socioeconomic background of tertiary entrants in Australia after the expansion of university participation’, </w:t>
      </w:r>
      <w:r>
        <w:rPr>
          <w:rFonts w:ascii="Arial" w:eastAsia="Arial" w:hAnsi="Arial"/>
          <w:i/>
          <w:color w:val="404042"/>
          <w:sz w:val="18"/>
        </w:rPr>
        <w:t>Higher Education</w:t>
      </w:r>
      <w:r>
        <w:rPr>
          <w:rFonts w:ascii="Verdana" w:eastAsia="Verdana" w:hAnsi="Verdana"/>
          <w:color w:val="404042"/>
          <w:sz w:val="17"/>
        </w:rPr>
        <w:t>, vol. 76, pp. 501–518,</w:t>
      </w:r>
      <w:r>
        <w:rPr>
          <w:rFonts w:ascii="Tahoma" w:eastAsia="Tahoma" w:hAnsi="Tahoma"/>
          <w:color w:val="007896"/>
          <w:sz w:val="18"/>
        </w:rPr>
        <w:t xml:space="preserve"> </w:t>
      </w:r>
      <w:hyperlink r:id="rId409">
        <w:r>
          <w:rPr>
            <w:rFonts w:ascii="Tahoma" w:eastAsia="Tahoma" w:hAnsi="Tahoma"/>
            <w:color w:val="0000FF"/>
            <w:sz w:val="18"/>
            <w:u w:val="single"/>
          </w:rPr>
          <w:t>https://link.springer. com/article/10.1007/s10734-017-0222-1</w:t>
        </w:r>
      </w:hyperlink>
      <w:r>
        <w:rPr>
          <w:rFonts w:ascii="Tahoma" w:eastAsia="Tahoma" w:hAnsi="Tahoma"/>
          <w:color w:val="007896"/>
          <w:sz w:val="18"/>
        </w:rPr>
        <w:t>.</w:t>
      </w:r>
    </w:p>
    <w:p w14:paraId="1B61DEB1" w14:textId="77777777" w:rsidR="009757A9" w:rsidRDefault="00083242">
      <w:pPr>
        <w:spacing w:before="179" w:line="240" w:lineRule="exact"/>
        <w:ind w:left="864" w:right="1440"/>
        <w:textAlignment w:val="baseline"/>
        <w:rPr>
          <w:rFonts w:ascii="Tahoma" w:eastAsia="Tahoma" w:hAnsi="Tahoma"/>
          <w:color w:val="404042"/>
          <w:sz w:val="18"/>
        </w:rPr>
      </w:pPr>
      <w:r>
        <w:rPr>
          <w:rFonts w:ascii="Tahoma" w:eastAsia="Tahoma" w:hAnsi="Tahoma"/>
          <w:color w:val="404042"/>
          <w:sz w:val="18"/>
        </w:rPr>
        <w:t xml:space="preserve">Deloitte Access Economics (2016), </w:t>
      </w:r>
      <w:r>
        <w:rPr>
          <w:rFonts w:ascii="Arial" w:eastAsia="Arial" w:hAnsi="Arial"/>
          <w:i/>
          <w:color w:val="404042"/>
          <w:sz w:val="18"/>
        </w:rPr>
        <w:t>The Economic Impact of Improving School Quality</w:t>
      </w:r>
      <w:r>
        <w:rPr>
          <w:rFonts w:ascii="Tahoma" w:eastAsia="Tahoma" w:hAnsi="Tahoma"/>
          <w:color w:val="404042"/>
          <w:sz w:val="18"/>
        </w:rPr>
        <w:t>, report for the Commonwealth Department of Education and Training, November 2016,</w:t>
      </w:r>
      <w:r>
        <w:rPr>
          <w:rFonts w:ascii="Verdana" w:eastAsia="Verdana" w:hAnsi="Verdana"/>
          <w:color w:val="007896"/>
          <w:sz w:val="17"/>
        </w:rPr>
        <w:t xml:space="preserve"> </w:t>
      </w:r>
      <w:hyperlink r:id="rId410">
        <w:r>
          <w:rPr>
            <w:rFonts w:ascii="Verdana" w:eastAsia="Verdana" w:hAnsi="Verdana"/>
            <w:color w:val="0000FF"/>
            <w:sz w:val="17"/>
            <w:u w:val="single"/>
          </w:rPr>
          <w:t xml:space="preserve">https://docs.education.gov.au/system/files/doc/other/ </w:t>
        </w:r>
      </w:hyperlink>
      <w:r>
        <w:rPr>
          <w:rFonts w:ascii="Tahoma" w:eastAsia="Tahoma" w:hAnsi="Tahoma"/>
          <w:color w:val="0000FF"/>
          <w:sz w:val="18"/>
          <w:u w:val="single"/>
        </w:rPr>
        <w:t>ecoimpactschoolquality.pdf</w:t>
      </w:r>
      <w:r>
        <w:rPr>
          <w:rFonts w:ascii="Tahoma" w:eastAsia="Tahoma" w:hAnsi="Tahoma"/>
          <w:color w:val="007896"/>
          <w:sz w:val="18"/>
        </w:rPr>
        <w:t>.</w:t>
      </w:r>
    </w:p>
    <w:p w14:paraId="14A8DA62" w14:textId="77777777" w:rsidR="009757A9" w:rsidRDefault="00083242">
      <w:pPr>
        <w:spacing w:before="168" w:line="240" w:lineRule="exact"/>
        <w:ind w:left="864" w:right="1368"/>
        <w:textAlignment w:val="baseline"/>
        <w:rPr>
          <w:rFonts w:ascii="Tahoma" w:eastAsia="Tahoma" w:hAnsi="Tahoma"/>
          <w:color w:val="404042"/>
          <w:sz w:val="18"/>
        </w:rPr>
      </w:pPr>
      <w:r>
        <w:rPr>
          <w:rFonts w:ascii="Tahoma" w:eastAsia="Tahoma" w:hAnsi="Tahoma"/>
          <w:color w:val="404042"/>
          <w:sz w:val="18"/>
        </w:rPr>
        <w:t xml:space="preserve">Deloitte Australia (2019), </w:t>
      </w:r>
      <w:r>
        <w:rPr>
          <w:rFonts w:ascii="Arial" w:eastAsia="Arial" w:hAnsi="Arial"/>
          <w:i/>
          <w:color w:val="404042"/>
          <w:sz w:val="18"/>
        </w:rPr>
        <w:t>The Path to Prosperity: Why the future of work is human</w:t>
      </w:r>
      <w:r>
        <w:rPr>
          <w:rFonts w:ascii="Tahoma" w:eastAsia="Tahoma" w:hAnsi="Tahoma"/>
          <w:color w:val="404042"/>
          <w:sz w:val="18"/>
        </w:rPr>
        <w:t>,</w:t>
      </w:r>
      <w:r>
        <w:rPr>
          <w:rFonts w:ascii="Tahoma" w:eastAsia="Tahoma" w:hAnsi="Tahoma"/>
          <w:color w:val="007896"/>
          <w:sz w:val="18"/>
        </w:rPr>
        <w:t xml:space="preserve"> </w:t>
      </w:r>
      <w:hyperlink r:id="rId411">
        <w:r>
          <w:rPr>
            <w:rFonts w:ascii="Tahoma" w:eastAsia="Tahoma" w:hAnsi="Tahoma"/>
            <w:color w:val="0000FF"/>
            <w:sz w:val="18"/>
            <w:u w:val="single"/>
          </w:rPr>
          <w:t>https://www2.deloitte.com/au/en/ pages/building-lucky-country/articles/path-prosperity-future-work.html</w:t>
        </w:r>
      </w:hyperlink>
      <w:r>
        <w:rPr>
          <w:rFonts w:ascii="Tahoma" w:eastAsia="Tahoma" w:hAnsi="Tahoma"/>
          <w:color w:val="007896"/>
          <w:sz w:val="18"/>
        </w:rPr>
        <w:t>.</w:t>
      </w:r>
    </w:p>
    <w:p w14:paraId="2CCEB047" w14:textId="77777777" w:rsidR="009757A9" w:rsidRDefault="00083242">
      <w:pPr>
        <w:spacing w:before="172"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Dockery, A. (2010), </w:t>
      </w:r>
      <w:r>
        <w:rPr>
          <w:rFonts w:ascii="Arial" w:eastAsia="Arial" w:hAnsi="Arial"/>
          <w:i/>
          <w:color w:val="404042"/>
          <w:sz w:val="18"/>
        </w:rPr>
        <w:t>Education and Happiness in the School-to-Work Transition</w:t>
      </w:r>
      <w:r>
        <w:rPr>
          <w:rFonts w:ascii="Tahoma" w:eastAsia="Tahoma" w:hAnsi="Tahoma"/>
          <w:color w:val="404042"/>
          <w:sz w:val="18"/>
        </w:rPr>
        <w:t>, National Centre for Vocational Education Research,</w:t>
      </w:r>
      <w:r>
        <w:rPr>
          <w:rFonts w:ascii="Verdana" w:eastAsia="Verdana" w:hAnsi="Verdana"/>
          <w:color w:val="007896"/>
          <w:sz w:val="17"/>
        </w:rPr>
        <w:t xml:space="preserve"> </w:t>
      </w:r>
      <w:hyperlink r:id="rId412">
        <w:r>
          <w:rPr>
            <w:rFonts w:ascii="Verdana" w:eastAsia="Verdana" w:hAnsi="Verdana"/>
            <w:color w:val="0000FF"/>
            <w:sz w:val="17"/>
            <w:u w:val="single"/>
          </w:rPr>
          <w:t>https://www.ncver.edu.au/__data/assets/file/0014/6224/lsay_2239.pdf</w:t>
        </w:r>
      </w:hyperlink>
      <w:r>
        <w:rPr>
          <w:rFonts w:ascii="Tahoma" w:eastAsia="Tahoma" w:hAnsi="Tahoma"/>
          <w:color w:val="007896"/>
          <w:sz w:val="18"/>
        </w:rPr>
        <w:t>.</w:t>
      </w:r>
    </w:p>
    <w:p w14:paraId="104D62FF" w14:textId="77777777" w:rsidR="009757A9" w:rsidRDefault="00083242">
      <w:pPr>
        <w:spacing w:before="168"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Economic, Education, Jobs and Skills Committee (2018), </w:t>
      </w:r>
      <w:r>
        <w:rPr>
          <w:rFonts w:ascii="Arial" w:eastAsia="Arial" w:hAnsi="Arial"/>
          <w:i/>
          <w:color w:val="404042"/>
          <w:sz w:val="18"/>
        </w:rPr>
        <w:t>Inquiry into Career Advice Activities in Victorian Schools</w:t>
      </w:r>
      <w:r>
        <w:rPr>
          <w:rFonts w:ascii="Tahoma" w:eastAsia="Tahoma" w:hAnsi="Tahoma"/>
          <w:color w:val="404042"/>
          <w:sz w:val="18"/>
        </w:rPr>
        <w:t>, Parliament of Victoria,</w:t>
      </w:r>
      <w:r>
        <w:rPr>
          <w:rFonts w:ascii="Tahoma" w:eastAsia="Tahoma" w:hAnsi="Tahoma"/>
          <w:color w:val="007896"/>
          <w:sz w:val="18"/>
        </w:rPr>
        <w:t xml:space="preserve"> </w:t>
      </w:r>
      <w:hyperlink r:id="rId413">
        <w:r>
          <w:rPr>
            <w:rFonts w:ascii="Tahoma" w:eastAsia="Tahoma" w:hAnsi="Tahoma"/>
            <w:color w:val="0000FF"/>
            <w:sz w:val="18"/>
            <w:u w:val="single"/>
          </w:rPr>
          <w:t>https://www.parliament.vic.gov.au/925-eejsc/inquiry-into-career-advice-activities-in-victorian-schools</w:t>
        </w:r>
      </w:hyperlink>
      <w:r>
        <w:rPr>
          <w:rFonts w:ascii="Tahoma" w:eastAsia="Tahoma" w:hAnsi="Tahoma"/>
          <w:color w:val="007896"/>
          <w:sz w:val="18"/>
        </w:rPr>
        <w:t>.</w:t>
      </w:r>
    </w:p>
    <w:p w14:paraId="03DB83E4" w14:textId="77777777" w:rsidR="009757A9" w:rsidRDefault="00083242">
      <w:pPr>
        <w:spacing w:before="173"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Employment and Skills Formation Council (1992), </w:t>
      </w:r>
      <w:r>
        <w:rPr>
          <w:rFonts w:ascii="Verdana" w:eastAsia="Verdana" w:hAnsi="Verdana"/>
          <w:i/>
          <w:color w:val="404042"/>
          <w:sz w:val="17"/>
        </w:rPr>
        <w:t>The Australian Vocational Certificate Training System</w:t>
      </w:r>
      <w:r>
        <w:rPr>
          <w:rFonts w:ascii="Tahoma" w:eastAsia="Tahoma" w:hAnsi="Tahoma"/>
          <w:color w:val="404042"/>
          <w:sz w:val="18"/>
        </w:rPr>
        <w:t>, National Board of Employment, Education and Training, March 1992,</w:t>
      </w:r>
      <w:r>
        <w:rPr>
          <w:rFonts w:ascii="Tahoma" w:eastAsia="Tahoma" w:hAnsi="Tahoma"/>
          <w:color w:val="007896"/>
          <w:sz w:val="18"/>
        </w:rPr>
        <w:t xml:space="preserve"> </w:t>
      </w:r>
      <w:hyperlink r:id="rId414">
        <w:r>
          <w:rPr>
            <w:rFonts w:ascii="Tahoma" w:eastAsia="Tahoma" w:hAnsi="Tahoma"/>
            <w:color w:val="0000FF"/>
            <w:sz w:val="18"/>
            <w:u w:val="single"/>
          </w:rPr>
          <w:t>https://www.voced.edu.au/content/ngv%3A34192</w:t>
        </w:r>
      </w:hyperlink>
      <w:r>
        <w:rPr>
          <w:rFonts w:ascii="Tahoma" w:eastAsia="Tahoma" w:hAnsi="Tahoma"/>
          <w:color w:val="007896"/>
          <w:sz w:val="18"/>
        </w:rPr>
        <w:t>.</w:t>
      </w:r>
    </w:p>
    <w:p w14:paraId="175F7E99" w14:textId="77777777" w:rsidR="009757A9" w:rsidRDefault="00083242">
      <w:pPr>
        <w:spacing w:before="179" w:line="235" w:lineRule="exact"/>
        <w:ind w:left="864" w:right="1152"/>
        <w:textAlignment w:val="baseline"/>
        <w:rPr>
          <w:rFonts w:ascii="Verdana" w:eastAsia="Verdana" w:hAnsi="Verdana"/>
          <w:color w:val="404042"/>
          <w:spacing w:val="-3"/>
          <w:sz w:val="17"/>
        </w:rPr>
      </w:pPr>
      <w:r>
        <w:rPr>
          <w:rFonts w:ascii="Verdana" w:eastAsia="Verdana" w:hAnsi="Verdana"/>
          <w:color w:val="404042"/>
          <w:spacing w:val="-3"/>
          <w:sz w:val="17"/>
        </w:rPr>
        <w:t xml:space="preserve">Expert Panel for the Review of the Australian Qualifications Framework (2019), </w:t>
      </w:r>
      <w:r>
        <w:rPr>
          <w:rFonts w:ascii="Verdana" w:eastAsia="Verdana" w:hAnsi="Verdana"/>
          <w:i/>
          <w:color w:val="404042"/>
          <w:spacing w:val="-3"/>
          <w:sz w:val="17"/>
        </w:rPr>
        <w:t xml:space="preserve">Review of the Australian Qualifications </w:t>
      </w:r>
      <w:r>
        <w:rPr>
          <w:rFonts w:ascii="Arial" w:eastAsia="Arial" w:hAnsi="Arial"/>
          <w:i/>
          <w:color w:val="404042"/>
          <w:spacing w:val="-3"/>
          <w:sz w:val="18"/>
        </w:rPr>
        <w:t>Framework: Final report</w:t>
      </w:r>
      <w:r>
        <w:rPr>
          <w:rFonts w:ascii="Tahoma" w:eastAsia="Tahoma" w:hAnsi="Tahoma"/>
          <w:color w:val="404042"/>
          <w:spacing w:val="-3"/>
          <w:sz w:val="18"/>
        </w:rPr>
        <w:t>, October 2019,</w:t>
      </w:r>
      <w:r>
        <w:rPr>
          <w:rFonts w:ascii="Verdana" w:eastAsia="Verdana" w:hAnsi="Verdana"/>
          <w:color w:val="007896"/>
          <w:spacing w:val="-3"/>
          <w:sz w:val="17"/>
        </w:rPr>
        <w:t xml:space="preserve"> </w:t>
      </w:r>
      <w:hyperlink r:id="rId415">
        <w:r>
          <w:rPr>
            <w:rFonts w:ascii="Verdana" w:eastAsia="Verdana" w:hAnsi="Verdana"/>
            <w:color w:val="0000FF"/>
            <w:spacing w:val="-3"/>
            <w:sz w:val="17"/>
            <w:u w:val="single"/>
          </w:rPr>
          <w:t>https://docs.education.gov.au/system/files/doc/other/aqf_review_2019_0.pdf</w:t>
        </w:r>
      </w:hyperlink>
      <w:r>
        <w:rPr>
          <w:rFonts w:ascii="Tahoma" w:eastAsia="Tahoma" w:hAnsi="Tahoma"/>
          <w:color w:val="007896"/>
          <w:spacing w:val="-3"/>
          <w:sz w:val="18"/>
        </w:rPr>
        <w:t>.</w:t>
      </w:r>
    </w:p>
    <w:p w14:paraId="458872F9" w14:textId="77777777" w:rsidR="009757A9" w:rsidRDefault="00083242">
      <w:pPr>
        <w:spacing w:before="172"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Foundation for Young Australians (2018), </w:t>
      </w:r>
      <w:r>
        <w:rPr>
          <w:rFonts w:ascii="Arial" w:eastAsia="Arial" w:hAnsi="Arial"/>
          <w:i/>
          <w:color w:val="404042"/>
          <w:sz w:val="18"/>
        </w:rPr>
        <w:t>The New Work Reality</w:t>
      </w:r>
      <w:r>
        <w:rPr>
          <w:rFonts w:ascii="Tahoma" w:eastAsia="Tahoma" w:hAnsi="Tahoma"/>
          <w:color w:val="404042"/>
          <w:sz w:val="18"/>
        </w:rPr>
        <w:t>,</w:t>
      </w:r>
      <w:r>
        <w:rPr>
          <w:rFonts w:ascii="Tahoma" w:eastAsia="Tahoma" w:hAnsi="Tahoma"/>
          <w:color w:val="007896"/>
          <w:sz w:val="18"/>
        </w:rPr>
        <w:t xml:space="preserve"> </w:t>
      </w:r>
      <w:hyperlink r:id="rId416">
        <w:r>
          <w:rPr>
            <w:rFonts w:ascii="Tahoma" w:eastAsia="Tahoma" w:hAnsi="Tahoma"/>
            <w:color w:val="0000FF"/>
            <w:sz w:val="18"/>
            <w:u w:val="single"/>
          </w:rPr>
          <w:t>https://www.fya.org.au/wp-content/uploads/2018/06/ FYA_TheNewWorkReality_sml.pdf</w:t>
        </w:r>
      </w:hyperlink>
      <w:r>
        <w:rPr>
          <w:rFonts w:ascii="Tahoma" w:eastAsia="Tahoma" w:hAnsi="Tahoma"/>
          <w:color w:val="007896"/>
          <w:sz w:val="18"/>
        </w:rPr>
        <w:t>.</w:t>
      </w:r>
    </w:p>
    <w:p w14:paraId="1EAF8790" w14:textId="77777777" w:rsidR="009757A9" w:rsidRDefault="00083242">
      <w:pPr>
        <w:spacing w:before="188" w:line="215" w:lineRule="exact"/>
        <w:ind w:left="864"/>
        <w:textAlignment w:val="baseline"/>
        <w:rPr>
          <w:rFonts w:ascii="Tahoma" w:eastAsia="Tahoma" w:hAnsi="Tahoma"/>
          <w:color w:val="404042"/>
          <w:spacing w:val="5"/>
          <w:sz w:val="18"/>
        </w:rPr>
      </w:pPr>
      <w:r>
        <w:rPr>
          <w:rFonts w:ascii="Tahoma" w:eastAsia="Tahoma" w:hAnsi="Tahoma"/>
          <w:color w:val="404042"/>
          <w:spacing w:val="5"/>
          <w:sz w:val="18"/>
        </w:rPr>
        <w:t>Foundation for Young Australians (2020), co-design report (unpublished).</w:t>
      </w:r>
    </w:p>
    <w:p w14:paraId="4EF04F44" w14:textId="77777777" w:rsidR="009757A9" w:rsidRDefault="00083242">
      <w:pPr>
        <w:spacing w:before="178"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Gemici, S., Bednarz, A., Karmel, T. and Lim, P. (2014), </w:t>
      </w:r>
      <w:r>
        <w:rPr>
          <w:rFonts w:ascii="Verdana" w:eastAsia="Verdana" w:hAnsi="Verdana"/>
          <w:i/>
          <w:color w:val="404042"/>
          <w:sz w:val="17"/>
        </w:rPr>
        <w:t xml:space="preserve">The Factors Affecting the Educational and Occupational Aspirations </w:t>
      </w:r>
      <w:r>
        <w:rPr>
          <w:rFonts w:ascii="Arial" w:eastAsia="Arial" w:hAnsi="Arial"/>
          <w:i/>
          <w:color w:val="404042"/>
          <w:sz w:val="18"/>
        </w:rPr>
        <w:t>of Young Australians</w:t>
      </w:r>
      <w:r>
        <w:rPr>
          <w:rFonts w:ascii="Verdana" w:eastAsia="Verdana" w:hAnsi="Verdana"/>
          <w:color w:val="404042"/>
          <w:sz w:val="17"/>
        </w:rPr>
        <w:t xml:space="preserve">, Longitudinal Surveys of Australian Youth Research Report no. 66, National Centre for Vocational </w:t>
      </w:r>
      <w:r>
        <w:rPr>
          <w:rFonts w:ascii="Tahoma" w:eastAsia="Tahoma" w:hAnsi="Tahoma"/>
          <w:color w:val="404042"/>
          <w:sz w:val="18"/>
        </w:rPr>
        <w:t>Education Research,</w:t>
      </w:r>
      <w:r>
        <w:rPr>
          <w:rFonts w:ascii="Tahoma" w:eastAsia="Tahoma" w:hAnsi="Tahoma"/>
          <w:color w:val="007896"/>
          <w:sz w:val="18"/>
        </w:rPr>
        <w:t xml:space="preserve"> </w:t>
      </w:r>
      <w:hyperlink r:id="rId417">
        <w:r>
          <w:rPr>
            <w:rFonts w:ascii="Tahoma" w:eastAsia="Tahoma" w:hAnsi="Tahoma"/>
            <w:color w:val="0000FF"/>
            <w:sz w:val="18"/>
            <w:u w:val="single"/>
          </w:rPr>
          <w:t>http://www.lsay.edu.au/publications/2711.html</w:t>
        </w:r>
      </w:hyperlink>
      <w:r>
        <w:rPr>
          <w:rFonts w:ascii="Tahoma" w:eastAsia="Tahoma" w:hAnsi="Tahoma"/>
          <w:color w:val="007896"/>
          <w:sz w:val="18"/>
        </w:rPr>
        <w:t>.</w:t>
      </w:r>
    </w:p>
    <w:p w14:paraId="741DC721" w14:textId="77777777" w:rsidR="009757A9" w:rsidRDefault="00083242">
      <w:pPr>
        <w:spacing w:before="163"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Group of Eight (2014), </w:t>
      </w:r>
      <w:r>
        <w:rPr>
          <w:rFonts w:ascii="Arial" w:eastAsia="Arial" w:hAnsi="Arial"/>
          <w:i/>
          <w:color w:val="404042"/>
          <w:sz w:val="18"/>
        </w:rPr>
        <w:t>Policy Note: Graduate skills and national productivity</w:t>
      </w:r>
      <w:r>
        <w:rPr>
          <w:rFonts w:ascii="Tahoma" w:eastAsia="Tahoma" w:hAnsi="Tahoma"/>
          <w:color w:val="404042"/>
          <w:sz w:val="18"/>
        </w:rPr>
        <w:t>, March 2014,</w:t>
      </w:r>
      <w:r>
        <w:rPr>
          <w:rFonts w:ascii="Verdana" w:eastAsia="Verdana" w:hAnsi="Verdana"/>
          <w:color w:val="007896"/>
          <w:sz w:val="17"/>
        </w:rPr>
        <w:t xml:space="preserve"> </w:t>
      </w:r>
      <w:hyperlink r:id="rId418">
        <w:r>
          <w:rPr>
            <w:rFonts w:ascii="Verdana" w:eastAsia="Verdana" w:hAnsi="Verdana"/>
            <w:color w:val="0000FF"/>
            <w:sz w:val="17"/>
            <w:u w:val="single"/>
          </w:rPr>
          <w:t xml:space="preserve">https://go8.edu.au/files/docs/ </w:t>
        </w:r>
      </w:hyperlink>
      <w:r>
        <w:rPr>
          <w:rFonts w:ascii="Tahoma" w:eastAsia="Tahoma" w:hAnsi="Tahoma"/>
          <w:color w:val="0000FF"/>
          <w:sz w:val="18"/>
          <w:u w:val="single"/>
        </w:rPr>
        <w:t>publications/graduate_skills_and_national_productivity.pdf</w:t>
      </w:r>
      <w:r>
        <w:rPr>
          <w:rFonts w:ascii="Tahoma" w:eastAsia="Tahoma" w:hAnsi="Tahoma"/>
          <w:color w:val="007896"/>
          <w:sz w:val="18"/>
        </w:rPr>
        <w:t>.</w:t>
      </w:r>
    </w:p>
    <w:p w14:paraId="356D3E9D" w14:textId="77777777" w:rsidR="009757A9" w:rsidRDefault="00083242">
      <w:pPr>
        <w:spacing w:before="173" w:line="240" w:lineRule="exact"/>
        <w:ind w:left="864" w:right="2232"/>
        <w:textAlignment w:val="baseline"/>
        <w:rPr>
          <w:rFonts w:ascii="Tahoma" w:eastAsia="Tahoma" w:hAnsi="Tahoma"/>
          <w:color w:val="404042"/>
          <w:spacing w:val="-2"/>
          <w:sz w:val="18"/>
        </w:rPr>
      </w:pPr>
      <w:r>
        <w:rPr>
          <w:rFonts w:ascii="Tahoma" w:eastAsia="Tahoma" w:hAnsi="Tahoma"/>
          <w:color w:val="404042"/>
          <w:spacing w:val="-2"/>
          <w:sz w:val="18"/>
        </w:rPr>
        <w:t xml:space="preserve">Halsey, J. (2018), </w:t>
      </w:r>
      <w:r>
        <w:rPr>
          <w:rFonts w:ascii="Arial" w:eastAsia="Arial" w:hAnsi="Arial"/>
          <w:i/>
          <w:color w:val="404042"/>
          <w:spacing w:val="-2"/>
          <w:sz w:val="18"/>
        </w:rPr>
        <w:t>Independent Review into Regional, Rural and Remote Education: Final report</w:t>
      </w:r>
      <w:r>
        <w:rPr>
          <w:rFonts w:ascii="Tahoma" w:eastAsia="Tahoma" w:hAnsi="Tahoma"/>
          <w:color w:val="404042"/>
          <w:spacing w:val="-2"/>
          <w:sz w:val="18"/>
        </w:rPr>
        <w:t xml:space="preserve">, January 2018, </w:t>
      </w:r>
      <w:hyperlink r:id="rId419">
        <w:r>
          <w:rPr>
            <w:rFonts w:ascii="Verdana" w:eastAsia="Verdana" w:hAnsi="Verdana"/>
            <w:color w:val="0000FF"/>
            <w:spacing w:val="-2"/>
            <w:sz w:val="17"/>
            <w:u w:val="single"/>
          </w:rPr>
          <w:t>https://docs.education.gov.au/system/files/doc/other/01218_independent_review_accessible.pdf</w:t>
        </w:r>
      </w:hyperlink>
      <w:r>
        <w:rPr>
          <w:rFonts w:ascii="Tahoma" w:eastAsia="Tahoma" w:hAnsi="Tahoma"/>
          <w:color w:val="007896"/>
          <w:spacing w:val="-2"/>
          <w:sz w:val="18"/>
        </w:rPr>
        <w:t>.</w:t>
      </w:r>
    </w:p>
    <w:p w14:paraId="3B07F02A" w14:textId="77777777" w:rsidR="009757A9" w:rsidRDefault="00083242">
      <w:pPr>
        <w:spacing w:before="173"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t xml:space="preserve">Hargreaves, J. and Osborne, K. (2017), </w:t>
      </w:r>
      <w:r>
        <w:rPr>
          <w:rFonts w:ascii="Arial" w:eastAsia="Arial" w:hAnsi="Arial"/>
          <w:i/>
          <w:color w:val="404042"/>
          <w:spacing w:val="1"/>
          <w:sz w:val="18"/>
        </w:rPr>
        <w:t>Choosing VET: Aspirations, intentions and choice</w:t>
      </w:r>
      <w:r>
        <w:rPr>
          <w:rFonts w:ascii="Tahoma" w:eastAsia="Tahoma" w:hAnsi="Tahoma"/>
          <w:color w:val="404042"/>
          <w:spacing w:val="1"/>
          <w:sz w:val="18"/>
        </w:rPr>
        <w:t>, National Centre for Vocational</w:t>
      </w:r>
    </w:p>
    <w:p w14:paraId="3A956103" w14:textId="77777777" w:rsidR="009757A9" w:rsidRDefault="00083242">
      <w:pPr>
        <w:spacing w:line="237" w:lineRule="exact"/>
        <w:ind w:left="864" w:right="864"/>
        <w:textAlignment w:val="baseline"/>
        <w:rPr>
          <w:rFonts w:ascii="Tahoma" w:eastAsia="Tahoma" w:hAnsi="Tahoma"/>
          <w:color w:val="404042"/>
          <w:sz w:val="18"/>
        </w:rPr>
      </w:pPr>
      <w:r>
        <w:rPr>
          <w:rFonts w:ascii="Tahoma" w:eastAsia="Tahoma" w:hAnsi="Tahoma"/>
          <w:color w:val="404042"/>
          <w:sz w:val="18"/>
        </w:rPr>
        <w:t>Education Research,</w:t>
      </w:r>
      <w:r>
        <w:rPr>
          <w:rFonts w:ascii="Verdana" w:eastAsia="Verdana" w:hAnsi="Verdana"/>
          <w:color w:val="007896"/>
          <w:sz w:val="17"/>
        </w:rPr>
        <w:t xml:space="preserve"> </w:t>
      </w:r>
      <w:hyperlink r:id="rId420">
        <w:r>
          <w:rPr>
            <w:rFonts w:ascii="Verdana" w:eastAsia="Verdana" w:hAnsi="Verdana"/>
            <w:color w:val="0000FF"/>
            <w:sz w:val="17"/>
            <w:u w:val="single"/>
          </w:rPr>
          <w:t>https://www.ncver.edu.au/__data/assets/pdf_file/0024/1142691/Choosing</w:t>
        </w:r>
      </w:hyperlink>
      <w:r>
        <w:rPr>
          <w:rFonts w:ascii="Tahoma" w:eastAsia="Tahoma" w:hAnsi="Tahoma"/>
          <w:color w:val="0000FF"/>
          <w:sz w:val="18"/>
          <w:u w:val="single"/>
        </w:rPr>
        <w:t>-VET-aspirations-intentio ns-and-choice.pdf</w:t>
      </w:r>
      <w:r>
        <w:rPr>
          <w:rFonts w:ascii="Tahoma" w:eastAsia="Tahoma" w:hAnsi="Tahoma"/>
          <w:color w:val="007896"/>
          <w:sz w:val="18"/>
        </w:rPr>
        <w:t>.</w:t>
      </w:r>
    </w:p>
    <w:p w14:paraId="0FB77D32" w14:textId="77777777" w:rsidR="009757A9" w:rsidRDefault="00083242">
      <w:pPr>
        <w:spacing w:before="972" w:after="633" w:line="209" w:lineRule="exact"/>
        <w:ind w:left="9792"/>
        <w:textAlignment w:val="baseline"/>
        <w:rPr>
          <w:rFonts w:ascii="Tahoma" w:eastAsia="Tahoma" w:hAnsi="Tahoma"/>
          <w:color w:val="404042"/>
          <w:spacing w:val="11"/>
          <w:sz w:val="14"/>
        </w:rPr>
      </w:pPr>
      <w:r>
        <w:rPr>
          <w:rFonts w:ascii="Tahoma" w:eastAsia="Tahoma" w:hAnsi="Tahoma"/>
          <w:color w:val="404042"/>
          <w:spacing w:val="11"/>
          <w:sz w:val="14"/>
        </w:rPr>
        <w:t>References</w:t>
      </w:r>
      <w:r>
        <w:rPr>
          <w:rFonts w:ascii="Arial" w:eastAsia="Arial" w:hAnsi="Arial"/>
          <w:b/>
          <w:color w:val="5556A1"/>
          <w:spacing w:val="11"/>
          <w:sz w:val="19"/>
        </w:rPr>
        <w:t xml:space="preserve"> 171</w:t>
      </w:r>
    </w:p>
    <w:p w14:paraId="0D4A971F" w14:textId="77777777" w:rsidR="009757A9" w:rsidRDefault="00083242">
      <w:pPr>
        <w:textAlignment w:val="baseline"/>
      </w:pPr>
      <w:r>
        <w:rPr>
          <w:noProof/>
          <w:lang w:val="en-AU" w:eastAsia="en-AU"/>
        </w:rPr>
        <w:drawing>
          <wp:inline distT="0" distB="0" distL="0" distR="0" wp14:anchorId="0746E6E6" wp14:editId="4614B163">
            <wp:extent cx="7562215" cy="462915"/>
            <wp:effectExtent l="0" t="0" r="0" b="0"/>
            <wp:docPr id="274" name="Picture"/>
            <wp:cNvGraphicFramePr/>
            <a:graphic xmlns:a="http://schemas.openxmlformats.org/drawingml/2006/main">
              <a:graphicData uri="http://schemas.openxmlformats.org/drawingml/2006/picture">
                <pic:pic xmlns:pic="http://schemas.openxmlformats.org/drawingml/2006/picture">
                  <pic:nvPicPr>
                    <pic:cNvPr id="274" name="Picture"/>
                    <pic:cNvPicPr preferRelativeResize="0"/>
                  </pic:nvPicPr>
                  <pic:blipFill>
                    <a:blip r:embed="rId41"/>
                    <a:stretch>
                      <a:fillRect/>
                    </a:stretch>
                  </pic:blipFill>
                  <pic:spPr>
                    <a:xfrm>
                      <a:off x="0" y="0"/>
                      <a:ext cx="7562215" cy="462915"/>
                    </a:xfrm>
                    <a:prstGeom prst="rect">
                      <a:avLst/>
                    </a:prstGeom>
                  </pic:spPr>
                </pic:pic>
              </a:graphicData>
            </a:graphic>
          </wp:inline>
        </w:drawing>
      </w:r>
    </w:p>
    <w:p w14:paraId="01943D55" w14:textId="77777777" w:rsidR="009757A9" w:rsidRDefault="009757A9">
      <w:pPr>
        <w:sectPr w:rsidR="009757A9">
          <w:pgSz w:w="11909" w:h="16838"/>
          <w:pgMar w:top="1080" w:right="0" w:bottom="0" w:left="0" w:header="720" w:footer="720" w:gutter="0"/>
          <w:cols w:space="720"/>
        </w:sectPr>
      </w:pPr>
    </w:p>
    <w:p w14:paraId="2F019AC8" w14:textId="77777777" w:rsidR="009757A9" w:rsidRDefault="00083242">
      <w:pPr>
        <w:spacing w:line="238" w:lineRule="exact"/>
        <w:ind w:left="864" w:right="1152"/>
        <w:textAlignment w:val="baseline"/>
        <w:rPr>
          <w:rFonts w:ascii="Tahoma" w:eastAsia="Tahoma" w:hAnsi="Tahoma"/>
          <w:color w:val="404042"/>
          <w:sz w:val="18"/>
        </w:rPr>
      </w:pPr>
      <w:r>
        <w:rPr>
          <w:rFonts w:ascii="Tahoma" w:eastAsia="Tahoma" w:hAnsi="Tahoma"/>
          <w:color w:val="404042"/>
          <w:sz w:val="18"/>
        </w:rPr>
        <w:lastRenderedPageBreak/>
        <w:t xml:space="preserve">Hart Research Associates (2013), </w:t>
      </w:r>
      <w:r>
        <w:rPr>
          <w:rFonts w:ascii="Arial" w:eastAsia="Arial" w:hAnsi="Arial"/>
          <w:i/>
          <w:color w:val="404042"/>
          <w:sz w:val="18"/>
        </w:rPr>
        <w:t>It Takes More Than a Major: Employer priorities for college learning and student success</w:t>
      </w:r>
      <w:r>
        <w:rPr>
          <w:rFonts w:ascii="Tahoma" w:eastAsia="Tahoma" w:hAnsi="Tahoma"/>
          <w:color w:val="404042"/>
          <w:sz w:val="18"/>
        </w:rPr>
        <w:t xml:space="preserve">, </w:t>
      </w:r>
      <w:r>
        <w:rPr>
          <w:rFonts w:ascii="Verdana" w:eastAsia="Verdana" w:hAnsi="Verdana"/>
          <w:color w:val="404042"/>
          <w:sz w:val="17"/>
        </w:rPr>
        <w:t>Association of American Colleges and Universities, 10 April 2013,</w:t>
      </w:r>
      <w:r>
        <w:rPr>
          <w:rFonts w:ascii="Verdana" w:eastAsia="Verdana" w:hAnsi="Verdana"/>
          <w:color w:val="007896"/>
          <w:sz w:val="17"/>
        </w:rPr>
        <w:t xml:space="preserve"> </w:t>
      </w:r>
      <w:hyperlink r:id="rId421">
        <w:r>
          <w:rPr>
            <w:rFonts w:ascii="Verdana" w:eastAsia="Verdana" w:hAnsi="Verdana"/>
            <w:color w:val="0000FF"/>
            <w:sz w:val="17"/>
            <w:u w:val="single"/>
          </w:rPr>
          <w:t xml:space="preserve">https://www.aacu.org/sites/default/files/files/ </w:t>
        </w:r>
      </w:hyperlink>
      <w:r>
        <w:rPr>
          <w:rFonts w:ascii="Tahoma" w:eastAsia="Tahoma" w:hAnsi="Tahoma"/>
          <w:color w:val="0000FF"/>
          <w:sz w:val="18"/>
          <w:u w:val="single"/>
        </w:rPr>
        <w:t>LEAP/2013_EmployerSurvey.pdf</w:t>
      </w:r>
      <w:r>
        <w:rPr>
          <w:rFonts w:ascii="Tahoma" w:eastAsia="Tahoma" w:hAnsi="Tahoma"/>
          <w:color w:val="007896"/>
          <w:sz w:val="18"/>
        </w:rPr>
        <w:t>.</w:t>
      </w:r>
    </w:p>
    <w:p w14:paraId="6B9BA746" w14:textId="77777777" w:rsidR="009757A9" w:rsidRDefault="00083242">
      <w:pPr>
        <w:spacing w:before="174"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t xml:space="preserve">Higher Education Standards Panel (2016), </w:t>
      </w:r>
      <w:r>
        <w:rPr>
          <w:rFonts w:ascii="Arial" w:eastAsia="Arial" w:hAnsi="Arial"/>
          <w:i/>
          <w:color w:val="404042"/>
          <w:spacing w:val="1"/>
          <w:sz w:val="18"/>
        </w:rPr>
        <w:t>Improving the Transparency of Higher Education Admissions: Final report</w:t>
      </w:r>
      <w:r>
        <w:rPr>
          <w:rFonts w:ascii="Tahoma" w:eastAsia="Tahoma" w:hAnsi="Tahoma"/>
          <w:color w:val="404042"/>
          <w:spacing w:val="1"/>
          <w:sz w:val="18"/>
        </w:rPr>
        <w:t>,</w:t>
      </w:r>
    </w:p>
    <w:p w14:paraId="4D6D0BBF" w14:textId="77777777" w:rsidR="009757A9" w:rsidRDefault="00083242">
      <w:pPr>
        <w:spacing w:line="237" w:lineRule="exact"/>
        <w:ind w:left="864" w:right="936"/>
        <w:textAlignment w:val="baseline"/>
        <w:rPr>
          <w:rFonts w:ascii="Tahoma" w:eastAsia="Tahoma" w:hAnsi="Tahoma"/>
          <w:color w:val="404042"/>
          <w:spacing w:val="-2"/>
          <w:sz w:val="18"/>
        </w:rPr>
      </w:pPr>
      <w:r>
        <w:rPr>
          <w:rFonts w:ascii="Tahoma" w:eastAsia="Tahoma" w:hAnsi="Tahoma"/>
          <w:color w:val="404042"/>
          <w:spacing w:val="-2"/>
          <w:sz w:val="18"/>
        </w:rPr>
        <w:t>October 2016,</w:t>
      </w:r>
      <w:r>
        <w:rPr>
          <w:rFonts w:ascii="Verdana" w:eastAsia="Verdana" w:hAnsi="Verdana"/>
          <w:color w:val="007896"/>
          <w:spacing w:val="-2"/>
          <w:sz w:val="17"/>
        </w:rPr>
        <w:t xml:space="preserve"> </w:t>
      </w:r>
      <w:hyperlink r:id="rId422">
        <w:r>
          <w:rPr>
            <w:rFonts w:ascii="Verdana" w:eastAsia="Verdana" w:hAnsi="Verdana"/>
            <w:color w:val="0000FF"/>
            <w:spacing w:val="-2"/>
            <w:sz w:val="17"/>
            <w:u w:val="single"/>
          </w:rPr>
          <w:t xml:space="preserve">https://docs.education.gov.au/system/files/doc/other/revised_20161115_pm_final_accessibility_version_ </w:t>
        </w:r>
      </w:hyperlink>
      <w:r>
        <w:rPr>
          <w:rFonts w:ascii="Tahoma" w:eastAsia="Tahoma" w:hAnsi="Tahoma"/>
          <w:color w:val="0000FF"/>
          <w:spacing w:val="-2"/>
          <w:sz w:val="18"/>
          <w:u w:val="single"/>
        </w:rPr>
        <w:t>hesp_admissions_transparency_report.pdf</w:t>
      </w:r>
      <w:r>
        <w:rPr>
          <w:rFonts w:ascii="Tahoma" w:eastAsia="Tahoma" w:hAnsi="Tahoma"/>
          <w:color w:val="007896"/>
          <w:spacing w:val="-2"/>
          <w:sz w:val="18"/>
        </w:rPr>
        <w:t>.</w:t>
      </w:r>
    </w:p>
    <w:p w14:paraId="6B68826A" w14:textId="77777777" w:rsidR="009757A9" w:rsidRDefault="00083242">
      <w:pPr>
        <w:spacing w:before="178" w:line="240" w:lineRule="exact"/>
        <w:ind w:left="864" w:right="1080"/>
        <w:textAlignment w:val="baseline"/>
        <w:rPr>
          <w:rFonts w:ascii="Tahoma" w:eastAsia="Tahoma" w:hAnsi="Tahoma"/>
          <w:color w:val="404042"/>
          <w:sz w:val="18"/>
        </w:rPr>
      </w:pPr>
      <w:r>
        <w:rPr>
          <w:rFonts w:ascii="Tahoma" w:eastAsia="Tahoma" w:hAnsi="Tahoma"/>
          <w:color w:val="404042"/>
          <w:sz w:val="18"/>
        </w:rPr>
        <w:t xml:space="preserve">House of Representatives Standing Committee on Education and Training (2009), </w:t>
      </w:r>
      <w:r>
        <w:rPr>
          <w:rFonts w:ascii="Arial" w:eastAsia="Arial" w:hAnsi="Arial"/>
          <w:i/>
          <w:color w:val="404042"/>
          <w:sz w:val="18"/>
        </w:rPr>
        <w:t xml:space="preserve">Adolescent Overload? Report of the inquiry into combining school and work: Supporting successful youth </w:t>
      </w:r>
      <w:r>
        <w:rPr>
          <w:rFonts w:ascii="Tahoma" w:eastAsia="Tahoma" w:hAnsi="Tahoma"/>
          <w:color w:val="404042"/>
          <w:sz w:val="18"/>
        </w:rPr>
        <w:t>transitions, October 2009,</w:t>
      </w:r>
      <w:r>
        <w:rPr>
          <w:rFonts w:ascii="Tahoma" w:eastAsia="Tahoma" w:hAnsi="Tahoma"/>
          <w:color w:val="007896"/>
          <w:sz w:val="18"/>
        </w:rPr>
        <w:t xml:space="preserve"> </w:t>
      </w:r>
      <w:hyperlink r:id="rId423">
        <w:r>
          <w:rPr>
            <w:rFonts w:ascii="Tahoma" w:eastAsia="Tahoma" w:hAnsi="Tahoma"/>
            <w:color w:val="0000FF"/>
            <w:sz w:val="18"/>
            <w:u w:val="single"/>
          </w:rPr>
          <w:t>https://www.aph.gov.au/ Parliamentary_Business/Committees/House_of_Representatives_Committees?url=edt/schoolandwork/report.htm</w:t>
        </w:r>
      </w:hyperlink>
      <w:r>
        <w:rPr>
          <w:rFonts w:ascii="Tahoma" w:eastAsia="Tahoma" w:hAnsi="Tahoma"/>
          <w:color w:val="007896"/>
          <w:sz w:val="18"/>
        </w:rPr>
        <w:t>.</w:t>
      </w:r>
    </w:p>
    <w:p w14:paraId="23600928" w14:textId="77777777" w:rsidR="009757A9" w:rsidRDefault="00083242">
      <w:pPr>
        <w:spacing w:before="163"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Ithaca Group (2016), </w:t>
      </w:r>
      <w:r>
        <w:rPr>
          <w:rFonts w:ascii="Arial" w:eastAsia="Arial" w:hAnsi="Arial"/>
          <w:i/>
          <w:color w:val="404042"/>
          <w:sz w:val="18"/>
        </w:rPr>
        <w:t>Everybody’s Core Business: Research into the non-technical capabilities needed for successful participation in work or further study: Final report</w:t>
      </w:r>
      <w:r>
        <w:rPr>
          <w:rFonts w:ascii="Tahoma" w:eastAsia="Tahoma" w:hAnsi="Tahoma"/>
          <w:color w:val="404042"/>
          <w:sz w:val="18"/>
        </w:rPr>
        <w:t>, August 2016,</w:t>
      </w:r>
      <w:r>
        <w:rPr>
          <w:rFonts w:ascii="Verdana" w:eastAsia="Verdana" w:hAnsi="Verdana"/>
          <w:color w:val="007896"/>
          <w:sz w:val="17"/>
        </w:rPr>
        <w:t xml:space="preserve"> </w:t>
      </w:r>
      <w:hyperlink r:id="rId424">
        <w:r>
          <w:rPr>
            <w:rFonts w:ascii="Verdana" w:eastAsia="Verdana" w:hAnsi="Verdana"/>
            <w:color w:val="0000FF"/>
            <w:sz w:val="17"/>
            <w:u w:val="single"/>
          </w:rPr>
          <w:t xml:space="preserve">https://docs.education.gov.au/system/files/doc/other/ </w:t>
        </w:r>
      </w:hyperlink>
      <w:r>
        <w:rPr>
          <w:rFonts w:ascii="Tahoma" w:eastAsia="Tahoma" w:hAnsi="Tahoma"/>
          <w:color w:val="0000FF"/>
          <w:sz w:val="18"/>
          <w:u w:val="single"/>
        </w:rPr>
        <w:t>everybodys_core_business_-_research_report.pdf</w:t>
      </w:r>
      <w:r>
        <w:rPr>
          <w:rFonts w:ascii="Tahoma" w:eastAsia="Tahoma" w:hAnsi="Tahoma"/>
          <w:color w:val="007896"/>
          <w:sz w:val="18"/>
        </w:rPr>
        <w:t>.</w:t>
      </w:r>
    </w:p>
    <w:p w14:paraId="364C05B2" w14:textId="77777777" w:rsidR="009757A9" w:rsidRDefault="00083242">
      <w:pPr>
        <w:spacing w:before="173" w:line="240" w:lineRule="exact"/>
        <w:ind w:left="864" w:right="1224"/>
        <w:textAlignment w:val="baseline"/>
        <w:rPr>
          <w:rFonts w:ascii="Tahoma" w:eastAsia="Tahoma" w:hAnsi="Tahoma"/>
          <w:color w:val="404042"/>
          <w:sz w:val="18"/>
        </w:rPr>
      </w:pPr>
      <w:r>
        <w:rPr>
          <w:rFonts w:ascii="Tahoma" w:eastAsia="Tahoma" w:hAnsi="Tahoma"/>
          <w:color w:val="404042"/>
          <w:sz w:val="18"/>
        </w:rPr>
        <w:t xml:space="preserve">Ithaca Group (2018), </w:t>
      </w:r>
      <w:r>
        <w:rPr>
          <w:rFonts w:ascii="Arial" w:eastAsia="Arial" w:hAnsi="Arial"/>
          <w:i/>
          <w:color w:val="404042"/>
          <w:sz w:val="18"/>
        </w:rPr>
        <w:t>Credit Pathways in VET and Higher Education: Research project: Final report</w:t>
      </w:r>
      <w:r>
        <w:rPr>
          <w:rFonts w:ascii="Tahoma" w:eastAsia="Tahoma" w:hAnsi="Tahoma"/>
          <w:color w:val="404042"/>
          <w:sz w:val="18"/>
        </w:rPr>
        <w:t>, October 2018,</w:t>
      </w:r>
      <w:r>
        <w:rPr>
          <w:rFonts w:ascii="Tahoma" w:eastAsia="Tahoma" w:hAnsi="Tahoma"/>
          <w:color w:val="007896"/>
          <w:sz w:val="18"/>
        </w:rPr>
        <w:t xml:space="preserve"> </w:t>
      </w:r>
      <w:hyperlink r:id="rId425">
        <w:r>
          <w:rPr>
            <w:rFonts w:ascii="Tahoma" w:eastAsia="Tahoma" w:hAnsi="Tahoma"/>
            <w:color w:val="0000FF"/>
            <w:sz w:val="18"/>
            <w:u w:val="single"/>
          </w:rPr>
          <w:t xml:space="preserve">https:// </w:t>
        </w:r>
      </w:hyperlink>
      <w:r>
        <w:rPr>
          <w:rFonts w:ascii="Verdana" w:eastAsia="Verdana" w:hAnsi="Verdana"/>
          <w:color w:val="0000FF"/>
          <w:sz w:val="17"/>
          <w:u w:val="single"/>
        </w:rPr>
        <w:t>docs.education.gov.au/system/files/doc/other/aqfcreditpathways.pdf</w:t>
      </w:r>
      <w:r>
        <w:rPr>
          <w:rFonts w:ascii="Tahoma" w:eastAsia="Tahoma" w:hAnsi="Tahoma"/>
          <w:color w:val="007896"/>
          <w:sz w:val="18"/>
        </w:rPr>
        <w:t>.</w:t>
      </w:r>
    </w:p>
    <w:p w14:paraId="1D83400E" w14:textId="77777777" w:rsidR="009757A9" w:rsidRDefault="00083242">
      <w:pPr>
        <w:spacing w:before="168" w:line="240" w:lineRule="exact"/>
        <w:ind w:left="864" w:right="1080"/>
        <w:textAlignment w:val="baseline"/>
        <w:rPr>
          <w:rFonts w:ascii="Tahoma" w:eastAsia="Tahoma" w:hAnsi="Tahoma"/>
          <w:color w:val="404042"/>
          <w:spacing w:val="-2"/>
          <w:sz w:val="18"/>
        </w:rPr>
      </w:pPr>
      <w:r>
        <w:rPr>
          <w:rFonts w:ascii="Tahoma" w:eastAsia="Tahoma" w:hAnsi="Tahoma"/>
          <w:color w:val="404042"/>
          <w:spacing w:val="-2"/>
          <w:sz w:val="18"/>
        </w:rPr>
        <w:t xml:space="preserve">Ithaca Group (2019), </w:t>
      </w:r>
      <w:r>
        <w:rPr>
          <w:rFonts w:ascii="Arial" w:eastAsia="Arial" w:hAnsi="Arial"/>
          <w:i/>
          <w:color w:val="404042"/>
          <w:spacing w:val="-2"/>
          <w:sz w:val="18"/>
        </w:rPr>
        <w:t>Future Ready: Research on incorporating career education in Australian schools</w:t>
      </w:r>
      <w:r>
        <w:rPr>
          <w:rFonts w:ascii="Tahoma" w:eastAsia="Tahoma" w:hAnsi="Tahoma"/>
          <w:color w:val="404042"/>
          <w:spacing w:val="-2"/>
          <w:sz w:val="18"/>
        </w:rPr>
        <w:t xml:space="preserve">, January 2019, </w:t>
      </w:r>
      <w:hyperlink r:id="rId426">
        <w:r>
          <w:rPr>
            <w:rFonts w:ascii="Verdana" w:eastAsia="Verdana" w:hAnsi="Verdana"/>
            <w:color w:val="0000FF"/>
            <w:spacing w:val="-2"/>
            <w:sz w:val="17"/>
            <w:u w:val="single"/>
          </w:rPr>
          <w:t xml:space="preserve">https://docs.education.gov.au/system/files/doc/other/future_ready_-_research_on_incorporating_career_education_ </w:t>
        </w:r>
      </w:hyperlink>
      <w:r>
        <w:rPr>
          <w:rFonts w:ascii="Tahoma" w:eastAsia="Tahoma" w:hAnsi="Tahoma"/>
          <w:color w:val="0000FF"/>
          <w:spacing w:val="-2"/>
          <w:sz w:val="18"/>
          <w:u w:val="single"/>
        </w:rPr>
        <w:t>in_the_australian_curriculum.pdf</w:t>
      </w:r>
      <w:r>
        <w:rPr>
          <w:rFonts w:ascii="Tahoma" w:eastAsia="Tahoma" w:hAnsi="Tahoma"/>
          <w:color w:val="007896"/>
          <w:spacing w:val="-2"/>
          <w:sz w:val="18"/>
        </w:rPr>
        <w:t>.</w:t>
      </w:r>
    </w:p>
    <w:p w14:paraId="4F3D0A03" w14:textId="77777777" w:rsidR="009757A9" w:rsidRDefault="00083242">
      <w:pPr>
        <w:spacing w:before="178" w:line="240" w:lineRule="exact"/>
        <w:ind w:left="864"/>
        <w:textAlignment w:val="baseline"/>
        <w:rPr>
          <w:rFonts w:ascii="Tahoma" w:eastAsia="Tahoma" w:hAnsi="Tahoma"/>
          <w:color w:val="404042"/>
          <w:sz w:val="18"/>
        </w:rPr>
      </w:pPr>
      <w:r>
        <w:rPr>
          <w:rFonts w:ascii="Tahoma" w:eastAsia="Tahoma" w:hAnsi="Tahoma"/>
          <w:color w:val="404042"/>
          <w:sz w:val="18"/>
        </w:rPr>
        <w:t xml:space="preserve">Joyce, S. (2019), </w:t>
      </w:r>
      <w:r>
        <w:rPr>
          <w:rFonts w:ascii="Arial" w:eastAsia="Arial" w:hAnsi="Arial"/>
          <w:i/>
          <w:color w:val="404042"/>
          <w:sz w:val="18"/>
        </w:rPr>
        <w:t>Strengthening Skills: Expert Review of Australia’s Vocational Education and Training System</w:t>
      </w:r>
      <w:r>
        <w:rPr>
          <w:rFonts w:ascii="Tahoma" w:eastAsia="Tahoma" w:hAnsi="Tahoma"/>
          <w:color w:val="404042"/>
          <w:sz w:val="18"/>
        </w:rPr>
        <w:t>, Department of</w:t>
      </w:r>
    </w:p>
    <w:p w14:paraId="73B60661" w14:textId="77777777" w:rsidR="009757A9" w:rsidRDefault="00083242">
      <w:pPr>
        <w:spacing w:line="239" w:lineRule="exact"/>
        <w:ind w:left="864" w:right="864"/>
        <w:textAlignment w:val="baseline"/>
        <w:rPr>
          <w:rFonts w:ascii="Tahoma" w:eastAsia="Tahoma" w:hAnsi="Tahoma"/>
          <w:color w:val="404042"/>
          <w:sz w:val="18"/>
        </w:rPr>
      </w:pPr>
      <w:r>
        <w:rPr>
          <w:rFonts w:ascii="Tahoma" w:eastAsia="Tahoma" w:hAnsi="Tahoma"/>
          <w:color w:val="404042"/>
          <w:sz w:val="18"/>
        </w:rPr>
        <w:t>the Prime Minister and Cabinet, March 2019,</w:t>
      </w:r>
      <w:r>
        <w:rPr>
          <w:rFonts w:ascii="Verdana" w:eastAsia="Verdana" w:hAnsi="Verdana"/>
          <w:color w:val="007896"/>
          <w:sz w:val="17"/>
        </w:rPr>
        <w:t xml:space="preserve"> </w:t>
      </w:r>
      <w:hyperlink r:id="rId427">
        <w:r>
          <w:rPr>
            <w:rFonts w:ascii="Verdana" w:eastAsia="Verdana" w:hAnsi="Verdana"/>
            <w:color w:val="0000FF"/>
            <w:sz w:val="17"/>
            <w:u w:val="single"/>
          </w:rPr>
          <w:t>https://www.pmc.gov.au/sites/default/files/publications/strengthening</w:t>
        </w:r>
      </w:hyperlink>
      <w:r>
        <w:rPr>
          <w:rFonts w:ascii="Tahoma" w:eastAsia="Tahoma" w:hAnsi="Tahoma"/>
          <w:color w:val="0000FF"/>
          <w:sz w:val="18"/>
          <w:u w:val="single"/>
        </w:rPr>
        <w:t>-ski lls-independent-review-australia-vets_1.pdf</w:t>
      </w:r>
      <w:r>
        <w:rPr>
          <w:rFonts w:ascii="Tahoma" w:eastAsia="Tahoma" w:hAnsi="Tahoma"/>
          <w:color w:val="007896"/>
          <w:sz w:val="18"/>
        </w:rPr>
        <w:t>.</w:t>
      </w:r>
    </w:p>
    <w:p w14:paraId="291FA9A8" w14:textId="77777777" w:rsidR="009757A9" w:rsidRDefault="00083242">
      <w:pPr>
        <w:spacing w:before="169" w:line="240" w:lineRule="exact"/>
        <w:ind w:left="864"/>
        <w:textAlignment w:val="baseline"/>
        <w:rPr>
          <w:rFonts w:ascii="Tahoma" w:eastAsia="Tahoma" w:hAnsi="Tahoma"/>
          <w:color w:val="404042"/>
          <w:sz w:val="18"/>
        </w:rPr>
      </w:pPr>
      <w:r>
        <w:rPr>
          <w:rFonts w:ascii="Tahoma" w:eastAsia="Tahoma" w:hAnsi="Tahoma"/>
          <w:color w:val="404042"/>
          <w:sz w:val="18"/>
        </w:rPr>
        <w:t xml:space="preserve">Karmel, T. and Lim, P. (2013), </w:t>
      </w:r>
      <w:r>
        <w:rPr>
          <w:rFonts w:ascii="Arial" w:eastAsia="Arial" w:hAnsi="Arial"/>
          <w:i/>
          <w:color w:val="404042"/>
          <w:sz w:val="18"/>
        </w:rPr>
        <w:t>Socioeconomic Disadvantage and Participation in Tertiary Education: Preliminary</w:t>
      </w:r>
    </w:p>
    <w:p w14:paraId="3EBC5398" w14:textId="77777777" w:rsidR="009757A9" w:rsidRDefault="00083242">
      <w:pPr>
        <w:spacing w:line="239" w:lineRule="exact"/>
        <w:ind w:left="864" w:right="1296"/>
        <w:textAlignment w:val="baseline"/>
        <w:rPr>
          <w:rFonts w:ascii="Arial" w:eastAsia="Arial" w:hAnsi="Arial"/>
          <w:i/>
          <w:color w:val="404042"/>
          <w:sz w:val="18"/>
        </w:rPr>
      </w:pPr>
      <w:r>
        <w:rPr>
          <w:rFonts w:ascii="Arial" w:eastAsia="Arial" w:hAnsi="Arial"/>
          <w:i/>
          <w:color w:val="404042"/>
          <w:sz w:val="18"/>
        </w:rPr>
        <w:t>thoughts</w:t>
      </w:r>
      <w:r>
        <w:rPr>
          <w:rFonts w:ascii="Tahoma" w:eastAsia="Tahoma" w:hAnsi="Tahoma"/>
          <w:color w:val="404042"/>
          <w:sz w:val="18"/>
        </w:rPr>
        <w:t>, National Centre for Vocational Education Research occasional paper,</w:t>
      </w:r>
      <w:r>
        <w:rPr>
          <w:rFonts w:ascii="Tahoma" w:eastAsia="Tahoma" w:hAnsi="Tahoma"/>
          <w:color w:val="007896"/>
          <w:sz w:val="18"/>
        </w:rPr>
        <w:t xml:space="preserve"> </w:t>
      </w:r>
      <w:hyperlink r:id="rId428">
        <w:r>
          <w:rPr>
            <w:rFonts w:ascii="Tahoma" w:eastAsia="Tahoma" w:hAnsi="Tahoma"/>
            <w:color w:val="0000FF"/>
            <w:sz w:val="18"/>
            <w:u w:val="single"/>
          </w:rPr>
          <w:t xml:space="preserve">https://ncver.edu.au/__data/assets/ </w:t>
        </w:r>
      </w:hyperlink>
      <w:r>
        <w:rPr>
          <w:rFonts w:ascii="Verdana" w:eastAsia="Verdana" w:hAnsi="Verdana"/>
          <w:color w:val="0000FF"/>
          <w:sz w:val="17"/>
          <w:u w:val="single"/>
        </w:rPr>
        <w:t>file/0024/9393/socioeconomic</w:t>
      </w:r>
      <w:r>
        <w:rPr>
          <w:rFonts w:ascii="Tahoma" w:eastAsia="Tahoma" w:hAnsi="Tahoma"/>
          <w:color w:val="0000FF"/>
          <w:sz w:val="18"/>
          <w:u w:val="single"/>
        </w:rPr>
        <w:t>-disadvantage-2612.pdf</w:t>
      </w:r>
      <w:r>
        <w:rPr>
          <w:rFonts w:ascii="Tahoma" w:eastAsia="Tahoma" w:hAnsi="Tahoma"/>
          <w:color w:val="007896"/>
          <w:sz w:val="18"/>
        </w:rPr>
        <w:t>.</w:t>
      </w:r>
    </w:p>
    <w:p w14:paraId="59DFC595" w14:textId="77777777" w:rsidR="009757A9" w:rsidRDefault="00083242">
      <w:pPr>
        <w:spacing w:before="173"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Karmel, T., Lu, T. and Oliver, D. (2013), </w:t>
      </w:r>
      <w:r>
        <w:rPr>
          <w:rFonts w:ascii="Arial" w:eastAsia="Arial" w:hAnsi="Arial"/>
          <w:i/>
          <w:color w:val="404042"/>
          <w:sz w:val="18"/>
        </w:rPr>
        <w:t>Starting Out in Low-skill Jobs</w:t>
      </w:r>
      <w:r>
        <w:rPr>
          <w:rFonts w:ascii="Tahoma" w:eastAsia="Tahoma" w:hAnsi="Tahoma"/>
          <w:color w:val="404042"/>
          <w:sz w:val="18"/>
        </w:rPr>
        <w:t xml:space="preserve">, Longitudinal Surveys of Australian Youth Research </w:t>
      </w:r>
      <w:r>
        <w:rPr>
          <w:rFonts w:ascii="Verdana" w:eastAsia="Verdana" w:hAnsi="Verdana"/>
          <w:color w:val="404042"/>
          <w:sz w:val="17"/>
        </w:rPr>
        <w:t>Report No. 64, National Centre for Vocational Education Research,</w:t>
      </w:r>
      <w:r>
        <w:rPr>
          <w:rFonts w:ascii="Tahoma" w:eastAsia="Tahoma" w:hAnsi="Tahoma"/>
          <w:color w:val="007896"/>
          <w:sz w:val="18"/>
        </w:rPr>
        <w:t xml:space="preserve"> </w:t>
      </w:r>
      <w:hyperlink r:id="rId429">
        <w:r>
          <w:rPr>
            <w:rFonts w:ascii="Tahoma" w:eastAsia="Tahoma" w:hAnsi="Tahoma"/>
            <w:color w:val="0000FF"/>
            <w:sz w:val="18"/>
            <w:u w:val="single"/>
          </w:rPr>
          <w:t xml:space="preserve">https://www.ncver.edu.au/__data/assets/ </w:t>
        </w:r>
      </w:hyperlink>
      <w:r>
        <w:rPr>
          <w:rFonts w:ascii="Verdana" w:eastAsia="Verdana" w:hAnsi="Verdana"/>
          <w:color w:val="0000FF"/>
          <w:sz w:val="17"/>
          <w:u w:val="single"/>
        </w:rPr>
        <w:t>file/0020/5870/starting</w:t>
      </w:r>
      <w:r>
        <w:rPr>
          <w:rFonts w:ascii="Tahoma" w:eastAsia="Tahoma" w:hAnsi="Tahoma"/>
          <w:color w:val="0000FF"/>
          <w:sz w:val="18"/>
          <w:u w:val="single"/>
        </w:rPr>
        <w:t>-out-2649.pdf</w:t>
      </w:r>
      <w:r>
        <w:rPr>
          <w:rFonts w:ascii="Tahoma" w:eastAsia="Tahoma" w:hAnsi="Tahoma"/>
          <w:color w:val="007896"/>
          <w:sz w:val="18"/>
        </w:rPr>
        <w:t>.</w:t>
      </w:r>
    </w:p>
    <w:p w14:paraId="78ABDD63" w14:textId="77777777" w:rsidR="009757A9" w:rsidRDefault="00083242">
      <w:pPr>
        <w:spacing w:before="165"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Koshy, P. (2019), </w:t>
      </w:r>
      <w:r>
        <w:rPr>
          <w:rFonts w:ascii="Arial" w:eastAsia="Arial" w:hAnsi="Arial"/>
          <w:i/>
          <w:color w:val="404042"/>
          <w:sz w:val="18"/>
        </w:rPr>
        <w:t>Equity Student Participation in Australian Higher Education: 2013–2018</w:t>
      </w:r>
      <w:r>
        <w:rPr>
          <w:rFonts w:ascii="Tahoma" w:eastAsia="Tahoma" w:hAnsi="Tahoma"/>
          <w:color w:val="404042"/>
          <w:sz w:val="18"/>
        </w:rPr>
        <w:t>, National Centre for Student Equity in Higher Education: Curtin University,</w:t>
      </w:r>
      <w:r>
        <w:rPr>
          <w:rFonts w:ascii="Tahoma" w:eastAsia="Tahoma" w:hAnsi="Tahoma"/>
          <w:color w:val="007896"/>
          <w:sz w:val="18"/>
        </w:rPr>
        <w:t xml:space="preserve"> </w:t>
      </w:r>
      <w:hyperlink r:id="rId430">
        <w:r>
          <w:rPr>
            <w:rFonts w:ascii="Tahoma" w:eastAsia="Tahoma" w:hAnsi="Tahoma"/>
            <w:color w:val="0000FF"/>
            <w:sz w:val="18"/>
            <w:u w:val="single"/>
          </w:rPr>
          <w:t>https://www.ncsehe.edu.au/wp-content/uploads/2020/04/NCSEHE-Equity-Stude nt-B</w:t>
        </w:r>
      </w:hyperlink>
      <w:r>
        <w:rPr>
          <w:rFonts w:ascii="Verdana" w:eastAsia="Verdana" w:hAnsi="Verdana"/>
          <w:color w:val="0000FF"/>
          <w:sz w:val="17"/>
          <w:u w:val="single"/>
        </w:rPr>
        <w:t>riefing</w:t>
      </w:r>
      <w:r>
        <w:rPr>
          <w:rFonts w:ascii="Tahoma" w:eastAsia="Tahoma" w:hAnsi="Tahoma"/>
          <w:color w:val="0000FF"/>
          <w:sz w:val="18"/>
          <w:u w:val="single"/>
        </w:rPr>
        <w:t>-Note_2013-18_Accessible_Final_V2.pdf</w:t>
      </w:r>
      <w:r>
        <w:rPr>
          <w:rFonts w:ascii="Tahoma" w:eastAsia="Tahoma" w:hAnsi="Tahoma"/>
          <w:color w:val="007896"/>
          <w:sz w:val="18"/>
        </w:rPr>
        <w:t>.</w:t>
      </w:r>
    </w:p>
    <w:p w14:paraId="74590D42" w14:textId="77777777" w:rsidR="009757A9" w:rsidRDefault="00083242">
      <w:pPr>
        <w:spacing w:before="166" w:line="240" w:lineRule="exact"/>
        <w:ind w:left="864" w:right="1296"/>
        <w:textAlignment w:val="baseline"/>
        <w:rPr>
          <w:rFonts w:ascii="Tahoma" w:eastAsia="Tahoma" w:hAnsi="Tahoma"/>
          <w:color w:val="404042"/>
          <w:sz w:val="18"/>
        </w:rPr>
      </w:pPr>
      <w:r>
        <w:rPr>
          <w:rFonts w:ascii="Tahoma" w:eastAsia="Tahoma" w:hAnsi="Tahoma"/>
          <w:color w:val="404042"/>
          <w:sz w:val="18"/>
        </w:rPr>
        <w:t xml:space="preserve">Lamb, S. and Huo, S. (2017), </w:t>
      </w:r>
      <w:r>
        <w:rPr>
          <w:rFonts w:ascii="Arial" w:eastAsia="Arial" w:hAnsi="Arial"/>
          <w:i/>
          <w:color w:val="404042"/>
          <w:sz w:val="18"/>
        </w:rPr>
        <w:t>Counting the Costs of Lost Opportunity in Australian Education</w:t>
      </w:r>
      <w:r>
        <w:rPr>
          <w:rFonts w:ascii="Tahoma" w:eastAsia="Tahoma" w:hAnsi="Tahoma"/>
          <w:color w:val="404042"/>
          <w:sz w:val="18"/>
        </w:rPr>
        <w:t xml:space="preserve">, Mitchell Institute Report </w:t>
      </w:r>
      <w:r>
        <w:rPr>
          <w:rFonts w:ascii="Verdana" w:eastAsia="Verdana" w:hAnsi="Verdana"/>
          <w:color w:val="404042"/>
          <w:sz w:val="17"/>
        </w:rPr>
        <w:t xml:space="preserve">No. 02/2017, Centre for International Research on Education Systems, and Mitchell Institute: Victoria University, </w:t>
      </w:r>
      <w:r>
        <w:rPr>
          <w:rFonts w:ascii="Tahoma" w:eastAsia="Tahoma" w:hAnsi="Tahoma"/>
          <w:color w:val="404042"/>
          <w:sz w:val="18"/>
        </w:rPr>
        <w:t>June 2017,</w:t>
      </w:r>
      <w:r>
        <w:rPr>
          <w:rFonts w:ascii="Tahoma" w:eastAsia="Tahoma" w:hAnsi="Tahoma"/>
          <w:color w:val="007896"/>
          <w:sz w:val="18"/>
        </w:rPr>
        <w:t xml:space="preserve"> </w:t>
      </w:r>
      <w:hyperlink r:id="rId431">
        <w:r>
          <w:rPr>
            <w:rFonts w:ascii="Tahoma" w:eastAsia="Tahoma" w:hAnsi="Tahoma"/>
            <w:color w:val="0000FF"/>
            <w:sz w:val="18"/>
            <w:u w:val="single"/>
          </w:rPr>
          <w:t>http://www.mitchellinstitute.org.au/wp-content/uploads/2017/06/Counting-the-costs-of-lost-opportuni ty-in-Australian-education.pdf</w:t>
        </w:r>
      </w:hyperlink>
      <w:r>
        <w:rPr>
          <w:rFonts w:ascii="Tahoma" w:eastAsia="Tahoma" w:hAnsi="Tahoma"/>
          <w:color w:val="007896"/>
          <w:sz w:val="18"/>
        </w:rPr>
        <w:t>.</w:t>
      </w:r>
    </w:p>
    <w:p w14:paraId="175E8534" w14:textId="77777777" w:rsidR="009757A9" w:rsidRDefault="00083242">
      <w:pPr>
        <w:spacing w:before="178"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Lamb, S. and Vickers, M. (2006), </w:t>
      </w:r>
      <w:r>
        <w:rPr>
          <w:rFonts w:ascii="Verdana" w:eastAsia="Verdana" w:hAnsi="Verdana"/>
          <w:i/>
          <w:color w:val="404042"/>
          <w:sz w:val="17"/>
        </w:rPr>
        <w:t>Variations in VET Provision across Australian Schools and Their Effects on Student Outcomes</w:t>
      </w:r>
      <w:r>
        <w:rPr>
          <w:rFonts w:ascii="Tahoma" w:eastAsia="Tahoma" w:hAnsi="Tahoma"/>
          <w:color w:val="404042"/>
          <w:sz w:val="18"/>
        </w:rPr>
        <w:t xml:space="preserve">, Longitudinal Surveys of Australian Youth: Research Report 48, Australian Council for Educational Research, March 2006, </w:t>
      </w:r>
      <w:hyperlink r:id="rId432">
        <w:r>
          <w:rPr>
            <w:rFonts w:ascii="Verdana" w:eastAsia="Verdana" w:hAnsi="Verdana"/>
            <w:color w:val="0000FF"/>
            <w:sz w:val="17"/>
            <w:u w:val="single"/>
          </w:rPr>
          <w:t>https://www.ncver.edu.au/__data/assets/file/0017/5930/lsay_lsay48.pdf</w:t>
        </w:r>
      </w:hyperlink>
      <w:r>
        <w:rPr>
          <w:rFonts w:ascii="Tahoma" w:eastAsia="Tahoma" w:hAnsi="Tahoma"/>
          <w:color w:val="007896"/>
          <w:sz w:val="18"/>
        </w:rPr>
        <w:t>.</w:t>
      </w:r>
    </w:p>
    <w:p w14:paraId="2028E8D8" w14:textId="77777777" w:rsidR="009757A9" w:rsidRDefault="00083242">
      <w:pPr>
        <w:spacing w:before="163"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Lamb, S., Jackson, J., Walstab, A. and Huo, S. (2015) </w:t>
      </w:r>
      <w:r>
        <w:rPr>
          <w:rFonts w:ascii="Arial" w:eastAsia="Arial" w:hAnsi="Arial"/>
          <w:i/>
          <w:color w:val="404042"/>
          <w:sz w:val="18"/>
        </w:rPr>
        <w:t>Educational Opportunity in Australia 2015: Who succeeds and who misses out</w:t>
      </w:r>
      <w:r>
        <w:rPr>
          <w:rFonts w:ascii="Tahoma" w:eastAsia="Tahoma" w:hAnsi="Tahoma"/>
          <w:color w:val="404042"/>
          <w:sz w:val="18"/>
        </w:rPr>
        <w:t>, Centre for International Research on Education Systems, and Mitchell Institute: Victoria University, October 2015,</w:t>
      </w:r>
      <w:r>
        <w:rPr>
          <w:rFonts w:ascii="Tahoma" w:eastAsia="Tahoma" w:hAnsi="Tahoma"/>
          <w:color w:val="007896"/>
          <w:sz w:val="18"/>
        </w:rPr>
        <w:t xml:space="preserve"> </w:t>
      </w:r>
      <w:hyperlink r:id="rId433">
        <w:r>
          <w:rPr>
            <w:rFonts w:ascii="Tahoma" w:eastAsia="Tahoma" w:hAnsi="Tahoma"/>
            <w:color w:val="0000FF"/>
            <w:sz w:val="18"/>
            <w:u w:val="single"/>
          </w:rPr>
          <w:t>http://www.mitchellinstitute.org.au/wp-content/uploads/2015/11/Educational-opportunity-in-Australia-2015-Who-succeeds-and-who-misses-out-19Nov15.pdf</w:t>
        </w:r>
      </w:hyperlink>
      <w:r>
        <w:rPr>
          <w:rFonts w:ascii="Tahoma" w:eastAsia="Tahoma" w:hAnsi="Tahoma"/>
          <w:color w:val="007896"/>
          <w:sz w:val="18"/>
        </w:rPr>
        <w:t>.</w:t>
      </w:r>
    </w:p>
    <w:p w14:paraId="5C796ED9" w14:textId="77777777" w:rsidR="009757A9" w:rsidRDefault="00083242">
      <w:pPr>
        <w:spacing w:before="178" w:line="240" w:lineRule="exact"/>
        <w:ind w:left="864" w:right="1152"/>
        <w:textAlignment w:val="baseline"/>
        <w:rPr>
          <w:rFonts w:ascii="Tahoma" w:eastAsia="Tahoma" w:hAnsi="Tahoma"/>
          <w:color w:val="404042"/>
          <w:spacing w:val="-1"/>
          <w:sz w:val="18"/>
        </w:rPr>
      </w:pPr>
      <w:r>
        <w:rPr>
          <w:rFonts w:ascii="Tahoma" w:eastAsia="Tahoma" w:hAnsi="Tahoma"/>
          <w:color w:val="404042"/>
          <w:spacing w:val="-1"/>
          <w:sz w:val="18"/>
        </w:rPr>
        <w:t xml:space="preserve">Mann, A., Rehill, J. and Kashefpakdel, E. (2018), </w:t>
      </w:r>
      <w:r>
        <w:rPr>
          <w:rFonts w:ascii="Arial" w:eastAsia="Arial" w:hAnsi="Arial"/>
          <w:i/>
          <w:color w:val="404042"/>
          <w:spacing w:val="-1"/>
          <w:sz w:val="18"/>
        </w:rPr>
        <w:t xml:space="preserve">Employer Engagement in Education: Insights from international evidence </w:t>
      </w:r>
      <w:r>
        <w:rPr>
          <w:rFonts w:ascii="Verdana" w:eastAsia="Verdana" w:hAnsi="Verdana"/>
          <w:i/>
          <w:color w:val="404042"/>
          <w:spacing w:val="-1"/>
          <w:sz w:val="17"/>
        </w:rPr>
        <w:t>for effective practice and future research</w:t>
      </w:r>
      <w:r>
        <w:rPr>
          <w:rFonts w:ascii="Tahoma" w:eastAsia="Tahoma" w:hAnsi="Tahoma"/>
          <w:color w:val="404042"/>
          <w:spacing w:val="-1"/>
          <w:sz w:val="18"/>
        </w:rPr>
        <w:t>, Education and Employers Research, and Education Endowment Foundation, January 2018,</w:t>
      </w:r>
      <w:r>
        <w:rPr>
          <w:rFonts w:ascii="Verdana" w:eastAsia="Verdana" w:hAnsi="Verdana"/>
          <w:color w:val="007896"/>
          <w:spacing w:val="-1"/>
          <w:sz w:val="17"/>
        </w:rPr>
        <w:t xml:space="preserve"> </w:t>
      </w:r>
      <w:hyperlink r:id="rId434">
        <w:r>
          <w:rPr>
            <w:rFonts w:ascii="Verdana" w:eastAsia="Verdana" w:hAnsi="Verdana"/>
            <w:color w:val="0000FF"/>
            <w:spacing w:val="-1"/>
            <w:sz w:val="17"/>
            <w:u w:val="single"/>
          </w:rPr>
          <w:t>https://educationendowmentfoundation.org.uk/public/files/Employer_Engagement_in_Education.pdf</w:t>
        </w:r>
      </w:hyperlink>
      <w:r>
        <w:rPr>
          <w:rFonts w:ascii="Tahoma" w:eastAsia="Tahoma" w:hAnsi="Tahoma"/>
          <w:color w:val="007896"/>
          <w:spacing w:val="-1"/>
          <w:sz w:val="18"/>
        </w:rPr>
        <w:t>.</w:t>
      </w:r>
    </w:p>
    <w:p w14:paraId="399E6681" w14:textId="77777777" w:rsidR="009757A9" w:rsidRDefault="00083242">
      <w:pPr>
        <w:spacing w:before="18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Master Builders Australia (2019), ‘Submission to COAG Education Council: Review of Senior Secondary Pathways’,</w:t>
      </w:r>
    </w:p>
    <w:p w14:paraId="0CCF3D61" w14:textId="77777777" w:rsidR="009757A9" w:rsidRDefault="00083242">
      <w:pPr>
        <w:spacing w:line="237" w:lineRule="exact"/>
        <w:ind w:left="864" w:right="864"/>
        <w:textAlignment w:val="baseline"/>
        <w:rPr>
          <w:rFonts w:ascii="Tahoma" w:eastAsia="Tahoma" w:hAnsi="Tahoma"/>
          <w:color w:val="404042"/>
          <w:sz w:val="18"/>
        </w:rPr>
      </w:pPr>
      <w:r>
        <w:rPr>
          <w:rFonts w:ascii="Tahoma" w:eastAsia="Tahoma" w:hAnsi="Tahoma"/>
          <w:color w:val="404042"/>
          <w:sz w:val="18"/>
        </w:rPr>
        <w:t>December 2019,</w:t>
      </w:r>
      <w:r>
        <w:rPr>
          <w:rFonts w:ascii="Tahoma" w:eastAsia="Tahoma" w:hAnsi="Tahoma"/>
          <w:color w:val="007896"/>
          <w:sz w:val="18"/>
        </w:rPr>
        <w:t xml:space="preserve"> </w:t>
      </w:r>
      <w:hyperlink r:id="rId435">
        <w:r>
          <w:rPr>
            <w:rFonts w:ascii="Tahoma" w:eastAsia="Tahoma" w:hAnsi="Tahoma"/>
            <w:color w:val="0000FF"/>
            <w:sz w:val="18"/>
            <w:u w:val="single"/>
          </w:rPr>
          <w:t>https://www.masterbuilders.com.au/getmedia/293f617d-bdd7-4cb0-beac-919544f90d6a/FINAL_MBA_ Submission_pathways_Dec19.pdf</w:t>
        </w:r>
      </w:hyperlink>
      <w:r>
        <w:rPr>
          <w:rFonts w:ascii="Tahoma" w:eastAsia="Tahoma" w:hAnsi="Tahoma"/>
          <w:color w:val="007896"/>
          <w:sz w:val="18"/>
        </w:rPr>
        <w:t>.</w:t>
      </w:r>
    </w:p>
    <w:p w14:paraId="057275E7" w14:textId="77777777" w:rsidR="009757A9" w:rsidRDefault="00083242">
      <w:pPr>
        <w:tabs>
          <w:tab w:val="left" w:pos="1368"/>
        </w:tabs>
        <w:spacing w:before="760"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172</w:t>
      </w:r>
      <w:r>
        <w:rPr>
          <w:rFonts w:ascii="Tahoma" w:eastAsia="Tahoma" w:hAnsi="Tahoma"/>
          <w:color w:val="404042"/>
          <w:spacing w:val="4"/>
          <w:sz w:val="14"/>
        </w:rPr>
        <w:tab/>
        <w:t>Looking to the future</w:t>
      </w:r>
    </w:p>
    <w:p w14:paraId="1321D339" w14:textId="77777777" w:rsidR="009757A9" w:rsidRDefault="00083242">
      <w:pPr>
        <w:textAlignment w:val="baseline"/>
      </w:pPr>
      <w:r>
        <w:rPr>
          <w:noProof/>
          <w:lang w:val="en-AU" w:eastAsia="en-AU"/>
        </w:rPr>
        <w:drawing>
          <wp:inline distT="0" distB="0" distL="0" distR="0" wp14:anchorId="22E606C5" wp14:editId="6D9E8B4E">
            <wp:extent cx="7562215" cy="462915"/>
            <wp:effectExtent l="0" t="0" r="0" b="0"/>
            <wp:docPr id="275" name="Picture"/>
            <wp:cNvGraphicFramePr/>
            <a:graphic xmlns:a="http://schemas.openxmlformats.org/drawingml/2006/main">
              <a:graphicData uri="http://schemas.openxmlformats.org/drawingml/2006/picture">
                <pic:pic xmlns:pic="http://schemas.openxmlformats.org/drawingml/2006/picture">
                  <pic:nvPicPr>
                    <pic:cNvPr id="275" name="Picture"/>
                    <pic:cNvPicPr preferRelativeResize="0"/>
                  </pic:nvPicPr>
                  <pic:blipFill>
                    <a:blip r:embed="rId40"/>
                    <a:stretch>
                      <a:fillRect/>
                    </a:stretch>
                  </pic:blipFill>
                  <pic:spPr>
                    <a:xfrm>
                      <a:off x="0" y="0"/>
                      <a:ext cx="7562215" cy="462915"/>
                    </a:xfrm>
                    <a:prstGeom prst="rect">
                      <a:avLst/>
                    </a:prstGeom>
                  </pic:spPr>
                </pic:pic>
              </a:graphicData>
            </a:graphic>
          </wp:inline>
        </w:drawing>
      </w:r>
    </w:p>
    <w:p w14:paraId="13B0DCF2" w14:textId="77777777" w:rsidR="009757A9" w:rsidRDefault="009757A9">
      <w:pPr>
        <w:sectPr w:rsidR="009757A9">
          <w:pgSz w:w="11909" w:h="16838"/>
          <w:pgMar w:top="1080" w:right="0" w:bottom="0" w:left="0" w:header="720" w:footer="720" w:gutter="0"/>
          <w:cols w:space="720"/>
        </w:sectPr>
      </w:pPr>
    </w:p>
    <w:p w14:paraId="0318DBFA" w14:textId="77777777" w:rsidR="009757A9" w:rsidRDefault="00083242">
      <w:pPr>
        <w:spacing w:line="235" w:lineRule="exact"/>
        <w:ind w:left="864" w:right="936"/>
        <w:textAlignment w:val="baseline"/>
        <w:rPr>
          <w:rFonts w:ascii="Verdana" w:eastAsia="Verdana" w:hAnsi="Verdana"/>
          <w:color w:val="404042"/>
          <w:sz w:val="17"/>
        </w:rPr>
      </w:pPr>
      <w:r>
        <w:rPr>
          <w:rFonts w:ascii="Verdana" w:eastAsia="Verdana" w:hAnsi="Verdana"/>
          <w:color w:val="404042"/>
          <w:sz w:val="17"/>
        </w:rPr>
        <w:lastRenderedPageBreak/>
        <w:t xml:space="preserve">Milligan, S. and Kennedy, G. (2017), ‘To what degree? Alternative micro-credentialing in a digital age’, in James, R., French, S. and Kelly, P. (eds), </w:t>
      </w:r>
      <w:r>
        <w:rPr>
          <w:rFonts w:ascii="Arial" w:eastAsia="Arial" w:hAnsi="Arial"/>
          <w:i/>
          <w:color w:val="404042"/>
          <w:sz w:val="18"/>
        </w:rPr>
        <w:t xml:space="preserve">Visions for Australian Tertiary Education, </w:t>
      </w:r>
      <w:r>
        <w:rPr>
          <w:rFonts w:ascii="Tahoma" w:eastAsia="Tahoma" w:hAnsi="Tahoma"/>
          <w:color w:val="404042"/>
          <w:sz w:val="18"/>
        </w:rPr>
        <w:t>Melbourne Centre for the Study of Higher Education: University of Melbourne,</w:t>
      </w:r>
      <w:r>
        <w:rPr>
          <w:rFonts w:ascii="Tahoma" w:eastAsia="Tahoma" w:hAnsi="Tahoma"/>
          <w:color w:val="007896"/>
          <w:sz w:val="18"/>
        </w:rPr>
        <w:t xml:space="preserve"> </w:t>
      </w:r>
      <w:hyperlink r:id="rId436">
        <w:r>
          <w:rPr>
            <w:rFonts w:ascii="Tahoma" w:eastAsia="Tahoma" w:hAnsi="Tahoma"/>
            <w:color w:val="0000FF"/>
            <w:sz w:val="18"/>
            <w:u w:val="single"/>
          </w:rPr>
          <w:t>https://melbourne-c</w:t>
        </w:r>
      </w:hyperlink>
      <w:r>
        <w:rPr>
          <w:rFonts w:ascii="Verdana" w:eastAsia="Verdana" w:hAnsi="Verdana"/>
          <w:color w:val="0000FF"/>
          <w:sz w:val="17"/>
          <w:u w:val="single"/>
        </w:rPr>
        <w:t xml:space="preserve">she.unimelb.edu.au/__data/assets/pdf_file/0006/2263137/MC </w:t>
      </w:r>
      <w:r>
        <w:rPr>
          <w:rFonts w:ascii="Tahoma" w:eastAsia="Tahoma" w:hAnsi="Tahoma"/>
          <w:color w:val="0000FF"/>
          <w:sz w:val="18"/>
          <w:u w:val="single"/>
        </w:rPr>
        <w:t>SHE-Visions-for-Aust-Ter-Ed-web2.pdf</w:t>
      </w:r>
      <w:r>
        <w:rPr>
          <w:rFonts w:ascii="Tahoma" w:eastAsia="Tahoma" w:hAnsi="Tahoma"/>
          <w:color w:val="007896"/>
          <w:sz w:val="18"/>
        </w:rPr>
        <w:t>.</w:t>
      </w:r>
    </w:p>
    <w:p w14:paraId="6BBBB1CD"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Misko, J., Korbel, P. and Blomberg, D. (2017), </w:t>
      </w:r>
      <w:r>
        <w:rPr>
          <w:rFonts w:ascii="Arial" w:eastAsia="Arial" w:hAnsi="Arial"/>
          <w:i/>
          <w:color w:val="404042"/>
          <w:sz w:val="18"/>
        </w:rPr>
        <w:t>VET in Schools Students: Characteristics and post-school employment and training experiences</w:t>
      </w:r>
      <w:r>
        <w:rPr>
          <w:rFonts w:ascii="Tahoma" w:eastAsia="Tahoma" w:hAnsi="Tahoma"/>
          <w:color w:val="404042"/>
          <w:sz w:val="18"/>
        </w:rPr>
        <w:t>, National Centre for Vocational Education Research,</w:t>
      </w:r>
      <w:r>
        <w:rPr>
          <w:rFonts w:ascii="Tahoma" w:eastAsia="Tahoma" w:hAnsi="Tahoma"/>
          <w:color w:val="007896"/>
          <w:sz w:val="18"/>
        </w:rPr>
        <w:t xml:space="preserve"> </w:t>
      </w:r>
      <w:hyperlink r:id="rId437">
        <w:r>
          <w:rPr>
            <w:rFonts w:ascii="Tahoma" w:eastAsia="Tahoma" w:hAnsi="Tahoma"/>
            <w:color w:val="0000FF"/>
            <w:sz w:val="18"/>
            <w:u w:val="single"/>
          </w:rPr>
          <w:t xml:space="preserve">https://www.ncver.edu.au/__data/assets/pdf_ </w:t>
        </w:r>
      </w:hyperlink>
      <w:r>
        <w:rPr>
          <w:rFonts w:ascii="Verdana" w:eastAsia="Verdana" w:hAnsi="Verdana"/>
          <w:color w:val="0000FF"/>
          <w:sz w:val="17"/>
          <w:u w:val="single"/>
        </w:rPr>
        <w:t>file/0037/887716/VET</w:t>
      </w:r>
      <w:r>
        <w:rPr>
          <w:rFonts w:ascii="Tahoma" w:eastAsia="Tahoma" w:hAnsi="Tahoma"/>
          <w:color w:val="0000FF"/>
          <w:sz w:val="18"/>
          <w:u w:val="single"/>
        </w:rPr>
        <w:t>-in-Schools-students-characteristics-and-post-school-employment-and-training-experiences.pdf</w:t>
      </w:r>
      <w:r>
        <w:rPr>
          <w:rFonts w:ascii="Tahoma" w:eastAsia="Tahoma" w:hAnsi="Tahoma"/>
          <w:color w:val="007896"/>
          <w:sz w:val="18"/>
        </w:rPr>
        <w:t>.</w:t>
      </w:r>
    </w:p>
    <w:p w14:paraId="1AA0F738" w14:textId="77777777" w:rsidR="009757A9" w:rsidRDefault="00083242">
      <w:pPr>
        <w:spacing w:before="173" w:line="240" w:lineRule="exact"/>
        <w:ind w:left="864" w:right="2376"/>
        <w:textAlignment w:val="baseline"/>
        <w:rPr>
          <w:rFonts w:ascii="Tahoma" w:eastAsia="Tahoma" w:hAnsi="Tahoma"/>
          <w:color w:val="404042"/>
          <w:sz w:val="18"/>
        </w:rPr>
      </w:pPr>
      <w:r>
        <w:rPr>
          <w:rFonts w:ascii="Tahoma" w:eastAsia="Tahoma" w:hAnsi="Tahoma"/>
          <w:color w:val="404042"/>
          <w:sz w:val="18"/>
        </w:rPr>
        <w:t xml:space="preserve">Mission Australia (2018), </w:t>
      </w:r>
      <w:r>
        <w:rPr>
          <w:rFonts w:ascii="Arial" w:eastAsia="Arial" w:hAnsi="Arial"/>
          <w:i/>
          <w:color w:val="404042"/>
          <w:sz w:val="18"/>
        </w:rPr>
        <w:t>Youth Survey Report 2018</w:t>
      </w:r>
      <w:r>
        <w:rPr>
          <w:rFonts w:ascii="Tahoma" w:eastAsia="Tahoma" w:hAnsi="Tahoma"/>
          <w:color w:val="404042"/>
          <w:sz w:val="18"/>
        </w:rPr>
        <w:t>,</w:t>
      </w:r>
      <w:r>
        <w:rPr>
          <w:rFonts w:ascii="Tahoma" w:eastAsia="Tahoma" w:hAnsi="Tahoma"/>
          <w:color w:val="007896"/>
          <w:sz w:val="18"/>
        </w:rPr>
        <w:t xml:space="preserve"> </w:t>
      </w:r>
      <w:hyperlink r:id="rId438">
        <w:r>
          <w:rPr>
            <w:rFonts w:ascii="Tahoma" w:eastAsia="Tahoma" w:hAnsi="Tahoma"/>
            <w:color w:val="0000FF"/>
            <w:sz w:val="18"/>
            <w:u w:val="single"/>
          </w:rPr>
          <w:t>https://www.missionaustralia.com.au/what-we-do/ research-impact-policy-advocacy/youth-survey</w:t>
        </w:r>
      </w:hyperlink>
      <w:r>
        <w:rPr>
          <w:rFonts w:ascii="Tahoma" w:eastAsia="Tahoma" w:hAnsi="Tahoma"/>
          <w:color w:val="007896"/>
          <w:sz w:val="18"/>
        </w:rPr>
        <w:t>.</w:t>
      </w:r>
    </w:p>
    <w:p w14:paraId="2C38DF8F"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Mission Australia (2019a), </w:t>
      </w:r>
      <w:r>
        <w:rPr>
          <w:rFonts w:ascii="Arial" w:eastAsia="Arial" w:hAnsi="Arial"/>
          <w:i/>
          <w:color w:val="404042"/>
          <w:sz w:val="18"/>
        </w:rPr>
        <w:t>Can We Talk? Seven year youth mental health report: 2012–2018</w:t>
      </w:r>
      <w:r>
        <w:rPr>
          <w:rFonts w:ascii="Tahoma" w:eastAsia="Tahoma" w:hAnsi="Tahoma"/>
          <w:color w:val="404042"/>
          <w:sz w:val="18"/>
        </w:rPr>
        <w:t>,</w:t>
      </w:r>
      <w:r>
        <w:rPr>
          <w:rFonts w:ascii="Tahoma" w:eastAsia="Tahoma" w:hAnsi="Tahoma"/>
          <w:color w:val="007896"/>
          <w:sz w:val="18"/>
        </w:rPr>
        <w:t xml:space="preserve"> </w:t>
      </w:r>
      <w:hyperlink r:id="rId439">
        <w:r>
          <w:rPr>
            <w:rFonts w:ascii="Tahoma" w:eastAsia="Tahoma" w:hAnsi="Tahoma"/>
            <w:color w:val="0000FF"/>
            <w:sz w:val="18"/>
            <w:u w:val="single"/>
          </w:rPr>
          <w:t>https://www.missionaustralia. com.au/publications/youth-survey</w:t>
        </w:r>
      </w:hyperlink>
      <w:r>
        <w:rPr>
          <w:rFonts w:ascii="Tahoma" w:eastAsia="Tahoma" w:hAnsi="Tahoma"/>
          <w:color w:val="007896"/>
          <w:sz w:val="18"/>
        </w:rPr>
        <w:t>.</w:t>
      </w:r>
    </w:p>
    <w:p w14:paraId="1CE53DFA" w14:textId="77777777" w:rsidR="009757A9" w:rsidRDefault="00083242">
      <w:pPr>
        <w:spacing w:before="173" w:line="240" w:lineRule="exact"/>
        <w:ind w:left="864" w:right="2304"/>
        <w:textAlignment w:val="baseline"/>
        <w:rPr>
          <w:rFonts w:ascii="Tahoma" w:eastAsia="Tahoma" w:hAnsi="Tahoma"/>
          <w:color w:val="404042"/>
          <w:sz w:val="18"/>
        </w:rPr>
      </w:pPr>
      <w:r>
        <w:rPr>
          <w:rFonts w:ascii="Tahoma" w:eastAsia="Tahoma" w:hAnsi="Tahoma"/>
          <w:color w:val="404042"/>
          <w:sz w:val="18"/>
        </w:rPr>
        <w:t xml:space="preserve">Mission Australia (2019b), </w:t>
      </w:r>
      <w:r>
        <w:rPr>
          <w:rFonts w:ascii="Arial" w:eastAsia="Arial" w:hAnsi="Arial"/>
          <w:i/>
          <w:color w:val="404042"/>
          <w:sz w:val="18"/>
        </w:rPr>
        <w:t>Youth Survey Report 2019</w:t>
      </w:r>
      <w:r>
        <w:rPr>
          <w:rFonts w:ascii="Tahoma" w:eastAsia="Tahoma" w:hAnsi="Tahoma"/>
          <w:color w:val="404042"/>
          <w:sz w:val="18"/>
        </w:rPr>
        <w:t>,</w:t>
      </w:r>
      <w:r>
        <w:rPr>
          <w:rFonts w:ascii="Tahoma" w:eastAsia="Tahoma" w:hAnsi="Tahoma"/>
          <w:color w:val="007896"/>
          <w:sz w:val="18"/>
        </w:rPr>
        <w:t xml:space="preserve"> </w:t>
      </w:r>
      <w:hyperlink r:id="rId440">
        <w:r>
          <w:rPr>
            <w:rFonts w:ascii="Tahoma" w:eastAsia="Tahoma" w:hAnsi="Tahoma"/>
            <w:color w:val="0000FF"/>
            <w:sz w:val="18"/>
            <w:u w:val="single"/>
          </w:rPr>
          <w:t>https://www.missionaustralia.com.au/what-we-do/ research-impact-policy-advocacy/youth-survey</w:t>
        </w:r>
      </w:hyperlink>
      <w:r>
        <w:rPr>
          <w:rFonts w:ascii="Tahoma" w:eastAsia="Tahoma" w:hAnsi="Tahoma"/>
          <w:color w:val="007896"/>
          <w:sz w:val="18"/>
        </w:rPr>
        <w:t>.</w:t>
      </w:r>
    </w:p>
    <w:p w14:paraId="21876F2C" w14:textId="77777777" w:rsidR="009757A9" w:rsidRDefault="00083242">
      <w:pPr>
        <w:spacing w:before="18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Mitchell Institute, Victoria University, submission to the review (unpublished).</w:t>
      </w:r>
    </w:p>
    <w:p w14:paraId="63C0AC2C" w14:textId="77777777" w:rsidR="009757A9" w:rsidRDefault="00083242">
      <w:pPr>
        <w:spacing w:before="172" w:line="240" w:lineRule="exact"/>
        <w:ind w:left="864" w:right="1008"/>
        <w:textAlignment w:val="baseline"/>
        <w:rPr>
          <w:rFonts w:ascii="Tahoma" w:eastAsia="Tahoma" w:hAnsi="Tahoma"/>
          <w:color w:val="404042"/>
          <w:spacing w:val="-2"/>
          <w:sz w:val="18"/>
        </w:rPr>
      </w:pPr>
      <w:r>
        <w:rPr>
          <w:rFonts w:ascii="Tahoma" w:eastAsia="Tahoma" w:hAnsi="Tahoma"/>
          <w:color w:val="404042"/>
          <w:spacing w:val="-2"/>
          <w:sz w:val="18"/>
        </w:rPr>
        <w:t xml:space="preserve">Monash Commission (2018), </w:t>
      </w:r>
      <w:r>
        <w:rPr>
          <w:rFonts w:ascii="Arial" w:eastAsia="Arial" w:hAnsi="Arial"/>
          <w:i/>
          <w:color w:val="404042"/>
          <w:spacing w:val="-2"/>
          <w:sz w:val="18"/>
        </w:rPr>
        <w:t>Three Recommendations for Renewal of Post-Compulsory Education in Australia: The report of the 2018 Monash Commission</w:t>
      </w:r>
      <w:r>
        <w:rPr>
          <w:rFonts w:ascii="Tahoma" w:eastAsia="Tahoma" w:hAnsi="Tahoma"/>
          <w:color w:val="404042"/>
          <w:spacing w:val="-2"/>
          <w:sz w:val="18"/>
        </w:rPr>
        <w:t>, Monash University,</w:t>
      </w:r>
      <w:r>
        <w:rPr>
          <w:rFonts w:ascii="Verdana" w:eastAsia="Verdana" w:hAnsi="Verdana"/>
          <w:color w:val="007896"/>
          <w:spacing w:val="-2"/>
          <w:sz w:val="17"/>
        </w:rPr>
        <w:t xml:space="preserve"> </w:t>
      </w:r>
      <w:hyperlink r:id="rId441">
        <w:r>
          <w:rPr>
            <w:rFonts w:ascii="Verdana" w:eastAsia="Verdana" w:hAnsi="Verdana"/>
            <w:color w:val="0000FF"/>
            <w:spacing w:val="-2"/>
            <w:sz w:val="17"/>
            <w:u w:val="single"/>
          </w:rPr>
          <w:t>https://www.monash.edu/__data/assets/pdf_file/0010/1762507/19P-</w:t>
        </w:r>
      </w:hyperlink>
      <w:r>
        <w:rPr>
          <w:rFonts w:ascii="Tahoma" w:eastAsia="Tahoma" w:hAnsi="Tahoma"/>
          <w:color w:val="0000FF"/>
          <w:spacing w:val="-2"/>
          <w:sz w:val="18"/>
          <w:u w:val="single"/>
        </w:rPr>
        <w:t>0131-The-Monash-Commission-24p</w:t>
      </w:r>
      <w:r>
        <w:rPr>
          <w:rFonts w:ascii="Verdana" w:eastAsia="Verdana" w:hAnsi="Verdana"/>
          <w:color w:val="0000FF"/>
          <w:spacing w:val="-2"/>
          <w:sz w:val="17"/>
          <w:u w:val="single"/>
        </w:rPr>
        <w:t>-fi</w:t>
      </w:r>
      <w:r>
        <w:rPr>
          <w:rFonts w:ascii="Tahoma" w:eastAsia="Tahoma" w:hAnsi="Tahoma"/>
          <w:color w:val="0000FF"/>
          <w:spacing w:val="-2"/>
          <w:sz w:val="18"/>
          <w:u w:val="single"/>
        </w:rPr>
        <w:t>nal.pdf</w:t>
      </w:r>
      <w:r>
        <w:rPr>
          <w:rFonts w:ascii="Tahoma" w:eastAsia="Tahoma" w:hAnsi="Tahoma"/>
          <w:color w:val="007896"/>
          <w:spacing w:val="-2"/>
          <w:sz w:val="18"/>
        </w:rPr>
        <w:t>.</w:t>
      </w:r>
    </w:p>
    <w:p w14:paraId="7199EEDF" w14:textId="77777777" w:rsidR="009757A9" w:rsidRDefault="00083242">
      <w:pPr>
        <w:spacing w:before="168" w:line="240" w:lineRule="exact"/>
        <w:ind w:left="864" w:right="1296"/>
        <w:textAlignment w:val="baseline"/>
        <w:rPr>
          <w:rFonts w:ascii="Tahoma" w:eastAsia="Tahoma" w:hAnsi="Tahoma"/>
          <w:color w:val="404042"/>
          <w:sz w:val="18"/>
        </w:rPr>
      </w:pPr>
      <w:r>
        <w:rPr>
          <w:rFonts w:ascii="Tahoma" w:eastAsia="Tahoma" w:hAnsi="Tahoma"/>
          <w:color w:val="404042"/>
          <w:sz w:val="18"/>
        </w:rPr>
        <w:t xml:space="preserve">Musset, P. (2019), </w:t>
      </w:r>
      <w:r>
        <w:rPr>
          <w:rFonts w:ascii="Arial" w:eastAsia="Arial" w:hAnsi="Arial"/>
          <w:i/>
          <w:color w:val="404042"/>
          <w:sz w:val="18"/>
        </w:rPr>
        <w:t>Improving Work-based Learning in Schools</w:t>
      </w:r>
      <w:r>
        <w:rPr>
          <w:rFonts w:ascii="Tahoma" w:eastAsia="Tahoma" w:hAnsi="Tahoma"/>
          <w:color w:val="404042"/>
          <w:sz w:val="18"/>
        </w:rPr>
        <w:t xml:space="preserve">, OECD Social, Employment and Migration Working Paper </w:t>
      </w:r>
      <w:r>
        <w:rPr>
          <w:rFonts w:ascii="Verdana" w:eastAsia="Verdana" w:hAnsi="Verdana"/>
          <w:color w:val="404042"/>
          <w:sz w:val="17"/>
        </w:rPr>
        <w:t>No. 233, Organisation for Economic Co-operation and Development, 25 September 2019,</w:t>
      </w:r>
      <w:r>
        <w:rPr>
          <w:rFonts w:ascii="Tahoma" w:eastAsia="Tahoma" w:hAnsi="Tahoma"/>
          <w:color w:val="007896"/>
          <w:sz w:val="18"/>
        </w:rPr>
        <w:t xml:space="preserve"> </w:t>
      </w:r>
      <w:hyperlink r:id="rId442">
        <w:r>
          <w:rPr>
            <w:rFonts w:ascii="Tahoma" w:eastAsia="Tahoma" w:hAnsi="Tahoma"/>
            <w:color w:val="0000FF"/>
            <w:sz w:val="18"/>
            <w:u w:val="single"/>
          </w:rPr>
          <w:t xml:space="preserve">http://www.oecd.org/ </w:t>
        </w:r>
      </w:hyperlink>
      <w:r>
        <w:rPr>
          <w:rFonts w:ascii="Verdana" w:eastAsia="Verdana" w:hAnsi="Verdana"/>
          <w:color w:val="0000FF"/>
          <w:sz w:val="17"/>
          <w:u w:val="single"/>
        </w:rPr>
        <w:t>officialdocuments/publicdisplaydocumentpdf/?cote=DELSA/ELSA/WD/SEM(2019)12&amp;docLanguage=En</w:t>
      </w:r>
      <w:r>
        <w:rPr>
          <w:rFonts w:ascii="Tahoma" w:eastAsia="Tahoma" w:hAnsi="Tahoma"/>
          <w:color w:val="007896"/>
          <w:sz w:val="18"/>
        </w:rPr>
        <w:t>.</w:t>
      </w:r>
    </w:p>
    <w:p w14:paraId="396DC784" w14:textId="77777777" w:rsidR="009757A9" w:rsidRDefault="00083242">
      <w:pPr>
        <w:spacing w:before="193"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National Centre for Student Equity in Higher Education submission to the review (unpublished).</w:t>
      </w:r>
    </w:p>
    <w:p w14:paraId="438BD903" w14:textId="77777777" w:rsidR="009757A9" w:rsidRDefault="00083242">
      <w:pPr>
        <w:spacing w:before="188"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National Centre for Vocational Education Research (2018), ‘Historical time series of apprenticeships and traineeships in</w:t>
      </w:r>
    </w:p>
    <w:p w14:paraId="67111B8F"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Australia from 1963 to 2018’, </w:t>
      </w:r>
      <w:r>
        <w:rPr>
          <w:rFonts w:ascii="Verdana" w:eastAsia="Verdana" w:hAnsi="Verdana"/>
          <w:color w:val="404042"/>
          <w:sz w:val="17"/>
        </w:rPr>
        <w:t>4 December 2018,</w:t>
      </w:r>
      <w:r>
        <w:rPr>
          <w:rFonts w:ascii="Tahoma" w:eastAsia="Tahoma" w:hAnsi="Tahoma"/>
          <w:color w:val="007896"/>
          <w:sz w:val="18"/>
        </w:rPr>
        <w:t xml:space="preserve"> </w:t>
      </w:r>
      <w:hyperlink r:id="rId443">
        <w:r>
          <w:rPr>
            <w:rFonts w:ascii="Tahoma" w:eastAsia="Tahoma" w:hAnsi="Tahoma"/>
            <w:color w:val="0000FF"/>
            <w:sz w:val="18"/>
            <w:u w:val="single"/>
          </w:rPr>
          <w:t>https://www.ncver.edu.au/research-and-statistics/data/all-data/historic al-time-series-of-apprenticeships-and-traineeships-in-australia-from-1963-to-2018</w:t>
        </w:r>
      </w:hyperlink>
      <w:r>
        <w:rPr>
          <w:rFonts w:ascii="Tahoma" w:eastAsia="Tahoma" w:hAnsi="Tahoma"/>
          <w:color w:val="007896"/>
          <w:sz w:val="18"/>
        </w:rPr>
        <w:t>.</w:t>
      </w:r>
    </w:p>
    <w:p w14:paraId="165B2421" w14:textId="77777777" w:rsidR="009757A9" w:rsidRDefault="00083242">
      <w:pPr>
        <w:spacing w:before="174" w:line="240" w:lineRule="exact"/>
        <w:ind w:left="864"/>
        <w:textAlignment w:val="baseline"/>
        <w:rPr>
          <w:rFonts w:ascii="Tahoma" w:eastAsia="Tahoma" w:hAnsi="Tahoma"/>
          <w:color w:val="404042"/>
          <w:spacing w:val="2"/>
          <w:sz w:val="18"/>
        </w:rPr>
      </w:pPr>
      <w:r>
        <w:rPr>
          <w:rFonts w:ascii="Tahoma" w:eastAsia="Tahoma" w:hAnsi="Tahoma"/>
          <w:color w:val="404042"/>
          <w:spacing w:val="2"/>
          <w:sz w:val="18"/>
        </w:rPr>
        <w:t xml:space="preserve">National Centre for Vocational Education Research (2019a), </w:t>
      </w:r>
      <w:r>
        <w:rPr>
          <w:rFonts w:ascii="Arial" w:eastAsia="Arial" w:hAnsi="Arial"/>
          <w:i/>
          <w:color w:val="404042"/>
          <w:spacing w:val="2"/>
          <w:sz w:val="18"/>
        </w:rPr>
        <w:t>Australian Vocational Education and Training Statistics: Total</w:t>
      </w:r>
    </w:p>
    <w:p w14:paraId="4185BE09" w14:textId="77777777" w:rsidR="009757A9" w:rsidRDefault="00083242">
      <w:pPr>
        <w:spacing w:line="237" w:lineRule="exact"/>
        <w:ind w:left="864" w:right="864"/>
        <w:textAlignment w:val="baseline"/>
        <w:rPr>
          <w:rFonts w:ascii="Arial" w:eastAsia="Arial" w:hAnsi="Arial"/>
          <w:i/>
          <w:color w:val="404042"/>
          <w:sz w:val="18"/>
        </w:rPr>
      </w:pPr>
      <w:r>
        <w:rPr>
          <w:rFonts w:ascii="Arial" w:eastAsia="Arial" w:hAnsi="Arial"/>
          <w:i/>
          <w:color w:val="404042"/>
          <w:sz w:val="18"/>
        </w:rPr>
        <w:t>VET students and courses 2018</w:t>
      </w:r>
      <w:r>
        <w:rPr>
          <w:rFonts w:ascii="Tahoma" w:eastAsia="Tahoma" w:hAnsi="Tahoma"/>
          <w:color w:val="404042"/>
          <w:sz w:val="18"/>
        </w:rPr>
        <w:t>,</w:t>
      </w:r>
      <w:r>
        <w:rPr>
          <w:rFonts w:ascii="Verdana" w:eastAsia="Verdana" w:hAnsi="Verdana"/>
          <w:color w:val="007896"/>
          <w:sz w:val="17"/>
        </w:rPr>
        <w:t xml:space="preserve"> </w:t>
      </w:r>
      <w:hyperlink r:id="rId444">
        <w:r>
          <w:rPr>
            <w:rFonts w:ascii="Verdana" w:eastAsia="Verdana" w:hAnsi="Verdana"/>
            <w:color w:val="0000FF"/>
            <w:sz w:val="17"/>
            <w:u w:val="single"/>
          </w:rPr>
          <w:t>https://www.ncver.edu.au/__data/assets/pdf_file/0031/6925090/Total</w:t>
        </w:r>
      </w:hyperlink>
      <w:r>
        <w:rPr>
          <w:rFonts w:ascii="Tahoma" w:eastAsia="Tahoma" w:hAnsi="Tahoma"/>
          <w:color w:val="0000FF"/>
          <w:sz w:val="18"/>
          <w:u w:val="single"/>
        </w:rPr>
        <w:t>-VET-students-and-courses-2018.pdf</w:t>
      </w:r>
      <w:r>
        <w:rPr>
          <w:rFonts w:ascii="Tahoma" w:eastAsia="Tahoma" w:hAnsi="Tahoma"/>
          <w:color w:val="007896"/>
          <w:sz w:val="18"/>
        </w:rPr>
        <w:t>.</w:t>
      </w:r>
    </w:p>
    <w:p w14:paraId="42D83403" w14:textId="77777777" w:rsidR="009757A9" w:rsidRDefault="00083242">
      <w:pPr>
        <w:spacing w:before="193"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National Centre for Vocational Education Research (2019b), ‘Australian vocational education and training statistics: VET</w:t>
      </w:r>
    </w:p>
    <w:p w14:paraId="7B5041A2" w14:textId="77777777" w:rsidR="009757A9" w:rsidRDefault="00083242">
      <w:pPr>
        <w:spacing w:before="21" w:line="219" w:lineRule="exact"/>
        <w:ind w:left="864"/>
        <w:textAlignment w:val="baseline"/>
        <w:rPr>
          <w:rFonts w:ascii="Tahoma" w:eastAsia="Tahoma" w:hAnsi="Tahoma"/>
          <w:color w:val="404042"/>
          <w:spacing w:val="-1"/>
          <w:sz w:val="18"/>
        </w:rPr>
      </w:pPr>
      <w:r>
        <w:rPr>
          <w:rFonts w:ascii="Tahoma" w:eastAsia="Tahoma" w:hAnsi="Tahoma"/>
          <w:color w:val="404042"/>
          <w:spacing w:val="-1"/>
          <w:sz w:val="18"/>
        </w:rPr>
        <w:t>in Schools 2018’,</w:t>
      </w:r>
      <w:r>
        <w:rPr>
          <w:rFonts w:ascii="Verdana" w:eastAsia="Verdana" w:hAnsi="Verdana"/>
          <w:color w:val="007896"/>
          <w:spacing w:val="-1"/>
          <w:sz w:val="17"/>
        </w:rPr>
        <w:t xml:space="preserve"> </w:t>
      </w:r>
      <w:hyperlink r:id="rId445">
        <w:r>
          <w:rPr>
            <w:rFonts w:ascii="Verdana" w:eastAsia="Verdana" w:hAnsi="Verdana"/>
            <w:color w:val="0000FF"/>
            <w:spacing w:val="-1"/>
            <w:sz w:val="17"/>
            <w:u w:val="single"/>
          </w:rPr>
          <w:t>https://www.ncver.edu.au/__data/assets/pdf_file/0016/7120132/VET_in_Schools_2018_publication.pdf</w:t>
        </w:r>
      </w:hyperlink>
      <w:r>
        <w:rPr>
          <w:rFonts w:ascii="Tahoma" w:eastAsia="Tahoma" w:hAnsi="Tahoma"/>
          <w:color w:val="007896"/>
          <w:spacing w:val="-1"/>
          <w:sz w:val="18"/>
        </w:rPr>
        <w:t>.</w:t>
      </w:r>
    </w:p>
    <w:p w14:paraId="50F2EF4B" w14:textId="77777777" w:rsidR="009757A9" w:rsidRDefault="00083242">
      <w:pPr>
        <w:spacing w:before="168" w:line="240" w:lineRule="exact"/>
        <w:ind w:left="864" w:right="1296"/>
        <w:textAlignment w:val="baseline"/>
        <w:rPr>
          <w:rFonts w:ascii="Tahoma" w:eastAsia="Tahoma" w:hAnsi="Tahoma"/>
          <w:color w:val="404042"/>
          <w:sz w:val="18"/>
        </w:rPr>
      </w:pPr>
      <w:r>
        <w:rPr>
          <w:rFonts w:ascii="Tahoma" w:eastAsia="Tahoma" w:hAnsi="Tahoma"/>
          <w:color w:val="404042"/>
          <w:sz w:val="18"/>
        </w:rPr>
        <w:t xml:space="preserve">National Centre for Vocational Education Research (2019c), ‘Generation Z: Leaving school’, infographic, Longitudinal </w:t>
      </w:r>
      <w:r>
        <w:rPr>
          <w:rFonts w:ascii="Verdana" w:eastAsia="Verdana" w:hAnsi="Verdana"/>
          <w:color w:val="404042"/>
          <w:sz w:val="17"/>
        </w:rPr>
        <w:t>Surveys of Australian Youth, 2 December 2019,</w:t>
      </w:r>
      <w:r>
        <w:rPr>
          <w:rFonts w:ascii="Tahoma" w:eastAsia="Tahoma" w:hAnsi="Tahoma"/>
          <w:color w:val="007896"/>
          <w:sz w:val="18"/>
        </w:rPr>
        <w:t xml:space="preserve"> </w:t>
      </w:r>
      <w:hyperlink r:id="rId446">
        <w:r>
          <w:rPr>
            <w:rFonts w:ascii="Tahoma" w:eastAsia="Tahoma" w:hAnsi="Tahoma"/>
            <w:color w:val="0000FF"/>
            <w:sz w:val="18"/>
            <w:u w:val="single"/>
          </w:rPr>
          <w:t>https://www.lsay.edu.au/publications/search-for-lsay-publications/ generation-z-leaving-school</w:t>
        </w:r>
      </w:hyperlink>
      <w:r>
        <w:rPr>
          <w:rFonts w:ascii="Tahoma" w:eastAsia="Tahoma" w:hAnsi="Tahoma"/>
          <w:color w:val="007896"/>
          <w:sz w:val="18"/>
        </w:rPr>
        <w:t>.</w:t>
      </w:r>
    </w:p>
    <w:p w14:paraId="12D2EB70" w14:textId="77777777" w:rsidR="009757A9" w:rsidRDefault="00083242">
      <w:pPr>
        <w:spacing w:before="179" w:line="240" w:lineRule="exact"/>
        <w:ind w:left="864" w:right="1440"/>
        <w:textAlignment w:val="baseline"/>
        <w:rPr>
          <w:rFonts w:ascii="Tahoma" w:eastAsia="Tahoma" w:hAnsi="Tahoma"/>
          <w:color w:val="404042"/>
          <w:sz w:val="18"/>
        </w:rPr>
      </w:pPr>
      <w:r>
        <w:rPr>
          <w:rFonts w:ascii="Tahoma" w:eastAsia="Tahoma" w:hAnsi="Tahoma"/>
          <w:color w:val="404042"/>
          <w:sz w:val="18"/>
        </w:rPr>
        <w:t xml:space="preserve">National Centre for Vocational Education Research (2020a), </w:t>
      </w:r>
      <w:r>
        <w:rPr>
          <w:rFonts w:ascii="Arial" w:eastAsia="Arial" w:hAnsi="Arial"/>
          <w:i/>
          <w:color w:val="404042"/>
          <w:sz w:val="18"/>
        </w:rPr>
        <w:t>Longitudinal Surveys of Australian Youth (LSAY) Analysis: Literature review: Final Report</w:t>
      </w:r>
      <w:r>
        <w:rPr>
          <w:rFonts w:ascii="Tahoma" w:eastAsia="Tahoma" w:hAnsi="Tahoma"/>
          <w:color w:val="404042"/>
          <w:sz w:val="18"/>
        </w:rPr>
        <w:t>, unpublished, February 2020.</w:t>
      </w:r>
    </w:p>
    <w:p w14:paraId="409EDD56" w14:textId="77777777" w:rsidR="009757A9" w:rsidRDefault="00083242">
      <w:pPr>
        <w:spacing w:before="162"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National Centre for Vocational Education Research (2020b), </w:t>
      </w:r>
      <w:r>
        <w:rPr>
          <w:rFonts w:ascii="Arial" w:eastAsia="Arial" w:hAnsi="Arial"/>
          <w:i/>
          <w:color w:val="404042"/>
          <w:sz w:val="18"/>
        </w:rPr>
        <w:t>Review of Senior Secondary Pathways: Supplementary report</w:t>
      </w:r>
      <w:r>
        <w:rPr>
          <w:rFonts w:ascii="Tahoma" w:eastAsia="Tahoma" w:hAnsi="Tahoma"/>
          <w:color w:val="404042"/>
          <w:sz w:val="18"/>
        </w:rPr>
        <w:t>, unpublished.</w:t>
      </w:r>
    </w:p>
    <w:p w14:paraId="299E082E" w14:textId="77777777" w:rsidR="009757A9" w:rsidRDefault="00083242">
      <w:pPr>
        <w:spacing w:before="162" w:line="240" w:lineRule="exact"/>
        <w:ind w:left="864" w:right="936"/>
        <w:textAlignment w:val="baseline"/>
        <w:rPr>
          <w:rFonts w:ascii="Tahoma" w:eastAsia="Tahoma" w:hAnsi="Tahoma"/>
          <w:color w:val="404042"/>
          <w:sz w:val="18"/>
        </w:rPr>
      </w:pPr>
      <w:r>
        <w:rPr>
          <w:rFonts w:ascii="Tahoma" w:eastAsia="Tahoma" w:hAnsi="Tahoma"/>
          <w:color w:val="404042"/>
          <w:sz w:val="18"/>
        </w:rPr>
        <w:t>National Centre for Vocational Education Research, ‘Total VET students and courses’ statistical collection,</w:t>
      </w:r>
      <w:r>
        <w:rPr>
          <w:rFonts w:ascii="Tahoma" w:eastAsia="Tahoma" w:hAnsi="Tahoma"/>
          <w:color w:val="007896"/>
          <w:sz w:val="18"/>
        </w:rPr>
        <w:t xml:space="preserve"> </w:t>
      </w:r>
      <w:hyperlink r:id="rId447">
        <w:r>
          <w:rPr>
            <w:rFonts w:ascii="Tahoma" w:eastAsia="Tahoma" w:hAnsi="Tahoma"/>
            <w:color w:val="0000FF"/>
            <w:sz w:val="18"/>
            <w:u w:val="single"/>
          </w:rPr>
          <w:t>https://www. ncver.edu.au/research-and-statistics/collections/students-and-courses-collection/total-vet-students-and-courses</w:t>
        </w:r>
      </w:hyperlink>
      <w:r>
        <w:rPr>
          <w:rFonts w:ascii="Tahoma" w:eastAsia="Tahoma" w:hAnsi="Tahoma"/>
          <w:color w:val="007896"/>
          <w:sz w:val="18"/>
        </w:rPr>
        <w:t>.</w:t>
      </w:r>
    </w:p>
    <w:p w14:paraId="2EACA1AE" w14:textId="77777777" w:rsidR="009757A9" w:rsidRDefault="00083242">
      <w:pPr>
        <w:spacing w:before="168" w:line="240" w:lineRule="exact"/>
        <w:ind w:left="864" w:right="1368"/>
        <w:textAlignment w:val="baseline"/>
        <w:rPr>
          <w:rFonts w:ascii="Tahoma" w:eastAsia="Tahoma" w:hAnsi="Tahoma"/>
          <w:color w:val="404042"/>
          <w:sz w:val="18"/>
        </w:rPr>
      </w:pPr>
      <w:r>
        <w:rPr>
          <w:rFonts w:ascii="Tahoma" w:eastAsia="Tahoma" w:hAnsi="Tahoma"/>
          <w:color w:val="404042"/>
          <w:sz w:val="18"/>
        </w:rPr>
        <w:t>National Centre for Vocational Education Research, VOCSTATS,</w:t>
      </w:r>
      <w:r>
        <w:rPr>
          <w:rFonts w:ascii="Tahoma" w:eastAsia="Tahoma" w:hAnsi="Tahoma"/>
          <w:color w:val="007896"/>
          <w:sz w:val="18"/>
        </w:rPr>
        <w:t xml:space="preserve"> </w:t>
      </w:r>
      <w:hyperlink r:id="rId448">
        <w:r>
          <w:rPr>
            <w:rFonts w:ascii="Tahoma" w:eastAsia="Tahoma" w:hAnsi="Tahoma"/>
            <w:color w:val="0000FF"/>
            <w:sz w:val="18"/>
            <w:u w:val="single"/>
          </w:rPr>
          <w:t>https://www.ncver.edu.au/research-and-statistics/ vocstats</w:t>
        </w:r>
      </w:hyperlink>
      <w:r>
        <w:rPr>
          <w:rFonts w:ascii="Tahoma" w:eastAsia="Tahoma" w:hAnsi="Tahoma"/>
          <w:color w:val="007896"/>
          <w:sz w:val="18"/>
        </w:rPr>
        <w:t>.</w:t>
      </w:r>
    </w:p>
    <w:p w14:paraId="2FC3694D" w14:textId="77777777" w:rsidR="009757A9" w:rsidRDefault="00083242">
      <w:pPr>
        <w:spacing w:before="179" w:line="240" w:lineRule="exact"/>
        <w:ind w:left="864" w:right="1368"/>
        <w:textAlignment w:val="baseline"/>
        <w:rPr>
          <w:rFonts w:ascii="Tahoma" w:eastAsia="Tahoma" w:hAnsi="Tahoma"/>
          <w:color w:val="404042"/>
          <w:sz w:val="18"/>
        </w:rPr>
      </w:pPr>
      <w:r>
        <w:rPr>
          <w:rFonts w:ascii="Tahoma" w:eastAsia="Tahoma" w:hAnsi="Tahoma"/>
          <w:color w:val="404042"/>
          <w:sz w:val="18"/>
        </w:rPr>
        <w:t>National Disability Insurance Scheme, ‘Leaving school’, webpage (accessed 7 May 2020),</w:t>
      </w:r>
      <w:r>
        <w:rPr>
          <w:rFonts w:ascii="Tahoma" w:eastAsia="Tahoma" w:hAnsi="Tahoma"/>
          <w:color w:val="007896"/>
          <w:sz w:val="18"/>
        </w:rPr>
        <w:t xml:space="preserve"> </w:t>
      </w:r>
      <w:hyperlink r:id="rId449">
        <w:r>
          <w:rPr>
            <w:rFonts w:ascii="Tahoma" w:eastAsia="Tahoma" w:hAnsi="Tahoma"/>
            <w:color w:val="0000FF"/>
            <w:sz w:val="18"/>
            <w:u w:val="single"/>
          </w:rPr>
          <w:t xml:space="preserve">https://www.ndis.gov.au/ </w:t>
        </w:r>
      </w:hyperlink>
      <w:r>
        <w:rPr>
          <w:rFonts w:ascii="Verdana" w:eastAsia="Verdana" w:hAnsi="Verdana"/>
          <w:color w:val="0000FF"/>
          <w:sz w:val="17"/>
          <w:u w:val="single"/>
        </w:rPr>
        <w:t>participants/finding</w:t>
      </w:r>
      <w:r>
        <w:rPr>
          <w:rFonts w:ascii="Tahoma" w:eastAsia="Tahoma" w:hAnsi="Tahoma"/>
          <w:color w:val="0000FF"/>
          <w:sz w:val="18"/>
          <w:u w:val="single"/>
        </w:rPr>
        <w:t>-keeping-and-changing-jobs/leaving-school</w:t>
      </w:r>
      <w:r>
        <w:rPr>
          <w:rFonts w:ascii="Tahoma" w:eastAsia="Tahoma" w:hAnsi="Tahoma"/>
          <w:color w:val="007896"/>
          <w:sz w:val="18"/>
        </w:rPr>
        <w:t>.</w:t>
      </w:r>
    </w:p>
    <w:p w14:paraId="76AB87AF" w14:textId="77777777" w:rsidR="009757A9" w:rsidRDefault="00083242">
      <w:pPr>
        <w:spacing w:before="1207" w:after="633" w:line="209" w:lineRule="exact"/>
        <w:ind w:left="9792"/>
        <w:textAlignment w:val="baseline"/>
        <w:rPr>
          <w:rFonts w:ascii="Tahoma" w:eastAsia="Tahoma" w:hAnsi="Tahoma"/>
          <w:color w:val="404042"/>
          <w:spacing w:val="13"/>
          <w:sz w:val="14"/>
        </w:rPr>
      </w:pPr>
      <w:r>
        <w:rPr>
          <w:rFonts w:ascii="Tahoma" w:eastAsia="Tahoma" w:hAnsi="Tahoma"/>
          <w:color w:val="404042"/>
          <w:spacing w:val="13"/>
          <w:sz w:val="14"/>
        </w:rPr>
        <w:t>References</w:t>
      </w:r>
      <w:r>
        <w:rPr>
          <w:rFonts w:ascii="Arial" w:eastAsia="Arial" w:hAnsi="Arial"/>
          <w:b/>
          <w:color w:val="5556A1"/>
          <w:spacing w:val="13"/>
          <w:sz w:val="19"/>
        </w:rPr>
        <w:t xml:space="preserve"> 173</w:t>
      </w:r>
    </w:p>
    <w:p w14:paraId="2D81472D" w14:textId="77777777" w:rsidR="009757A9" w:rsidRDefault="00083242">
      <w:pPr>
        <w:textAlignment w:val="baseline"/>
      </w:pPr>
      <w:r>
        <w:rPr>
          <w:noProof/>
          <w:lang w:val="en-AU" w:eastAsia="en-AU"/>
        </w:rPr>
        <w:drawing>
          <wp:inline distT="0" distB="0" distL="0" distR="0" wp14:anchorId="76532412" wp14:editId="6E9BC6BD">
            <wp:extent cx="7562215" cy="462915"/>
            <wp:effectExtent l="0" t="0" r="0" b="0"/>
            <wp:docPr id="276" name="Picture"/>
            <wp:cNvGraphicFramePr/>
            <a:graphic xmlns:a="http://schemas.openxmlformats.org/drawingml/2006/main">
              <a:graphicData uri="http://schemas.openxmlformats.org/drawingml/2006/picture">
                <pic:pic xmlns:pic="http://schemas.openxmlformats.org/drawingml/2006/picture">
                  <pic:nvPicPr>
                    <pic:cNvPr id="276" name="Picture"/>
                    <pic:cNvPicPr preferRelativeResize="0"/>
                  </pic:nvPicPr>
                  <pic:blipFill>
                    <a:blip r:embed="rId41"/>
                    <a:stretch>
                      <a:fillRect/>
                    </a:stretch>
                  </pic:blipFill>
                  <pic:spPr>
                    <a:xfrm>
                      <a:off x="0" y="0"/>
                      <a:ext cx="7562215" cy="462915"/>
                    </a:xfrm>
                    <a:prstGeom prst="rect">
                      <a:avLst/>
                    </a:prstGeom>
                  </pic:spPr>
                </pic:pic>
              </a:graphicData>
            </a:graphic>
          </wp:inline>
        </w:drawing>
      </w:r>
    </w:p>
    <w:p w14:paraId="539453E7" w14:textId="77777777" w:rsidR="009757A9" w:rsidRDefault="009757A9">
      <w:pPr>
        <w:sectPr w:rsidR="009757A9">
          <w:pgSz w:w="11909" w:h="16838"/>
          <w:pgMar w:top="1100" w:right="0" w:bottom="0" w:left="0" w:header="720" w:footer="720" w:gutter="0"/>
          <w:cols w:space="720"/>
        </w:sectPr>
      </w:pPr>
    </w:p>
    <w:p w14:paraId="7C63947D" w14:textId="77777777" w:rsidR="009757A9" w:rsidRDefault="00083242">
      <w:pPr>
        <w:spacing w:before="120" w:line="240" w:lineRule="exact"/>
        <w:ind w:left="864" w:right="2448"/>
        <w:textAlignment w:val="baseline"/>
        <w:rPr>
          <w:rFonts w:ascii="Tahoma" w:eastAsia="Tahoma" w:hAnsi="Tahoma"/>
          <w:color w:val="404042"/>
          <w:sz w:val="18"/>
        </w:rPr>
      </w:pPr>
      <w:r>
        <w:rPr>
          <w:rFonts w:ascii="Tahoma" w:eastAsia="Tahoma" w:hAnsi="Tahoma"/>
          <w:color w:val="404042"/>
          <w:sz w:val="18"/>
        </w:rPr>
        <w:lastRenderedPageBreak/>
        <w:t xml:space="preserve">NSW Business Chamber (2019), </w:t>
      </w:r>
      <w:r>
        <w:rPr>
          <w:rFonts w:ascii="Arial" w:eastAsia="Arial" w:hAnsi="Arial"/>
          <w:i/>
          <w:color w:val="404042"/>
          <w:sz w:val="19"/>
        </w:rPr>
        <w:t>Workforce Skills Survey 2019</w:t>
      </w:r>
      <w:r>
        <w:rPr>
          <w:rFonts w:ascii="Tahoma" w:eastAsia="Tahoma" w:hAnsi="Tahoma"/>
          <w:color w:val="404042"/>
          <w:sz w:val="18"/>
        </w:rPr>
        <w:t>,</w:t>
      </w:r>
      <w:r>
        <w:rPr>
          <w:rFonts w:ascii="Tahoma" w:eastAsia="Tahoma" w:hAnsi="Tahoma"/>
          <w:color w:val="007896"/>
          <w:sz w:val="18"/>
        </w:rPr>
        <w:t xml:space="preserve"> </w:t>
      </w:r>
      <w:hyperlink r:id="rId450">
        <w:r>
          <w:rPr>
            <w:rFonts w:ascii="Tahoma" w:eastAsia="Tahoma" w:hAnsi="Tahoma"/>
            <w:color w:val="0000FF"/>
            <w:sz w:val="18"/>
            <w:u w:val="single"/>
          </w:rPr>
          <w:t>https://www.nswbusinesschamber.com. au/NSWBC/media/Policy/Workplace%20Skills/Recent%20submissions%20and%20publications/2019-Workforce-Skills-Survey-Report-FINAL_1.pdf</w:t>
        </w:r>
      </w:hyperlink>
      <w:r>
        <w:rPr>
          <w:rFonts w:ascii="Tahoma" w:eastAsia="Tahoma" w:hAnsi="Tahoma"/>
          <w:color w:val="007896"/>
          <w:sz w:val="18"/>
        </w:rPr>
        <w:t>.</w:t>
      </w:r>
    </w:p>
    <w:p w14:paraId="13447BDE" w14:textId="77777777" w:rsidR="009757A9" w:rsidRDefault="00083242">
      <w:pPr>
        <w:spacing w:before="168" w:line="240" w:lineRule="exact"/>
        <w:ind w:left="864" w:right="864"/>
        <w:textAlignment w:val="baseline"/>
        <w:rPr>
          <w:rFonts w:ascii="Tahoma" w:eastAsia="Tahoma" w:hAnsi="Tahoma"/>
          <w:color w:val="404042"/>
          <w:spacing w:val="6"/>
          <w:sz w:val="18"/>
        </w:rPr>
      </w:pPr>
      <w:r>
        <w:rPr>
          <w:rFonts w:ascii="Tahoma" w:eastAsia="Tahoma" w:hAnsi="Tahoma"/>
          <w:color w:val="404042"/>
          <w:spacing w:val="6"/>
          <w:sz w:val="18"/>
        </w:rPr>
        <w:t>NSW Department of Education (2019), ‘NSW Secondary Students’ Post-School Destinations and Expectations: 2018 early school leavers’,</w:t>
      </w:r>
      <w:r>
        <w:rPr>
          <w:rFonts w:ascii="Tahoma" w:eastAsia="Tahoma" w:hAnsi="Tahoma"/>
          <w:color w:val="007896"/>
          <w:spacing w:val="6"/>
          <w:sz w:val="18"/>
        </w:rPr>
        <w:t xml:space="preserve"> </w:t>
      </w:r>
      <w:hyperlink r:id="rId451">
        <w:r>
          <w:rPr>
            <w:rFonts w:ascii="Tahoma" w:eastAsia="Tahoma" w:hAnsi="Tahoma"/>
            <w:color w:val="0000FF"/>
            <w:spacing w:val="6"/>
            <w:sz w:val="18"/>
            <w:u w:val="single"/>
          </w:rPr>
          <w:t>https://www.cese.nsw.gov.au/images/stories/PDF/Post-school-destinations-2018-early-school-leavers. pdf</w:t>
        </w:r>
      </w:hyperlink>
      <w:r>
        <w:rPr>
          <w:rFonts w:ascii="Tahoma" w:eastAsia="Tahoma" w:hAnsi="Tahoma"/>
          <w:color w:val="007896"/>
          <w:spacing w:val="6"/>
          <w:sz w:val="18"/>
        </w:rPr>
        <w:t>.</w:t>
      </w:r>
    </w:p>
    <w:p w14:paraId="4550C240"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NSW Education Standards Authority (2019), </w:t>
      </w:r>
      <w:r>
        <w:rPr>
          <w:rFonts w:ascii="Arial" w:eastAsia="Arial" w:hAnsi="Arial"/>
          <w:i/>
          <w:color w:val="404042"/>
          <w:sz w:val="19"/>
        </w:rPr>
        <w:t>Nurturing Wonder and Igniting Passion: Designs for a future school curriculum: NSW Curriculum Review interim report</w:t>
      </w:r>
      <w:r>
        <w:rPr>
          <w:rFonts w:ascii="Tahoma" w:eastAsia="Tahoma" w:hAnsi="Tahoma"/>
          <w:color w:val="404042"/>
          <w:sz w:val="18"/>
        </w:rPr>
        <w:t>, October 2019,</w:t>
      </w:r>
      <w:r>
        <w:rPr>
          <w:rFonts w:ascii="Tahoma" w:eastAsia="Tahoma" w:hAnsi="Tahoma"/>
          <w:color w:val="007896"/>
          <w:sz w:val="18"/>
        </w:rPr>
        <w:t xml:space="preserve"> </w:t>
      </w:r>
      <w:hyperlink r:id="rId452">
        <w:r>
          <w:rPr>
            <w:rFonts w:ascii="Tahoma" w:eastAsia="Tahoma" w:hAnsi="Tahoma"/>
            <w:color w:val="0000FF"/>
            <w:sz w:val="18"/>
            <w:u w:val="single"/>
          </w:rPr>
          <w:t>https://nswcurriculumreview.nesa.nsw.edu.au/pdfs/interimreport/ chapters/NSW-Curriculum-Review-Interim-Report.pdf</w:t>
        </w:r>
      </w:hyperlink>
      <w:r>
        <w:rPr>
          <w:rFonts w:ascii="Tahoma" w:eastAsia="Tahoma" w:hAnsi="Tahoma"/>
          <w:color w:val="007896"/>
          <w:sz w:val="18"/>
        </w:rPr>
        <w:t>.</w:t>
      </w:r>
    </w:p>
    <w:p w14:paraId="4638D97B" w14:textId="77777777" w:rsidR="009757A9" w:rsidRDefault="00083242">
      <w:pPr>
        <w:spacing w:before="168" w:line="240" w:lineRule="exact"/>
        <w:ind w:left="864" w:right="936"/>
        <w:textAlignment w:val="baseline"/>
        <w:rPr>
          <w:rFonts w:ascii="Tahoma" w:eastAsia="Tahoma" w:hAnsi="Tahoma"/>
          <w:color w:val="404042"/>
          <w:sz w:val="18"/>
        </w:rPr>
      </w:pPr>
      <w:r>
        <w:rPr>
          <w:rFonts w:ascii="Tahoma" w:eastAsia="Tahoma" w:hAnsi="Tahoma"/>
          <w:color w:val="404042"/>
          <w:sz w:val="18"/>
        </w:rPr>
        <w:t xml:space="preserve">O’Connell, M. and Torii, K. (2016), ‘Vocational learning in schools – an international comparison’, in Committee for Economic Development of Australia (2016), </w:t>
      </w:r>
      <w:r>
        <w:rPr>
          <w:rFonts w:ascii="Arial" w:eastAsia="Arial" w:hAnsi="Arial"/>
          <w:i/>
          <w:color w:val="404042"/>
          <w:sz w:val="19"/>
        </w:rPr>
        <w:t>VET: Securing skills for growth</w:t>
      </w:r>
      <w:r>
        <w:rPr>
          <w:rFonts w:ascii="Tahoma" w:eastAsia="Tahoma" w:hAnsi="Tahoma"/>
          <w:color w:val="404042"/>
          <w:sz w:val="18"/>
        </w:rPr>
        <w:t>, August 2016,</w:t>
      </w:r>
      <w:r>
        <w:rPr>
          <w:rFonts w:ascii="Tahoma" w:eastAsia="Tahoma" w:hAnsi="Tahoma"/>
          <w:color w:val="007896"/>
          <w:sz w:val="18"/>
        </w:rPr>
        <w:t xml:space="preserve"> </w:t>
      </w:r>
      <w:hyperlink r:id="rId453">
        <w:r>
          <w:rPr>
            <w:rFonts w:ascii="Tahoma" w:eastAsia="Tahoma" w:hAnsi="Tahoma"/>
            <w:color w:val="0000FF"/>
            <w:sz w:val="18"/>
            <w:u w:val="single"/>
          </w:rPr>
          <w:t xml:space="preserve">https://www.ceda.com.au/ CEDA/media/ResearchCatalogueDocuments/Research%20and%20Policy/PDF/31760-CEDAVETReportAugust2016Final_ </w:t>
        </w:r>
      </w:hyperlink>
      <w:r>
        <w:rPr>
          <w:rFonts w:ascii="Verdana" w:eastAsia="Verdana" w:hAnsi="Verdana"/>
          <w:color w:val="0000FF"/>
          <w:sz w:val="17"/>
          <w:u w:val="single"/>
        </w:rPr>
        <w:t>flattened.pdf</w:t>
      </w:r>
      <w:r>
        <w:rPr>
          <w:rFonts w:ascii="Tahoma" w:eastAsia="Tahoma" w:hAnsi="Tahoma"/>
          <w:color w:val="007896"/>
          <w:sz w:val="18"/>
        </w:rPr>
        <w:t>.</w:t>
      </w:r>
    </w:p>
    <w:p w14:paraId="0DFC216C" w14:textId="77777777" w:rsidR="009757A9" w:rsidRDefault="00083242">
      <w:pPr>
        <w:spacing w:before="173"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O’Connell, M., Milligan, S. and Bentley, T. (2019), </w:t>
      </w:r>
      <w:r>
        <w:rPr>
          <w:rFonts w:ascii="Arial" w:eastAsia="Arial" w:hAnsi="Arial"/>
          <w:i/>
          <w:color w:val="404042"/>
          <w:sz w:val="19"/>
        </w:rPr>
        <w:t>Beyond ATAR: A proposal for change</w:t>
      </w:r>
      <w:r>
        <w:rPr>
          <w:rFonts w:ascii="Tahoma" w:eastAsia="Tahoma" w:hAnsi="Tahoma"/>
          <w:color w:val="404042"/>
          <w:sz w:val="18"/>
        </w:rPr>
        <w:t>, Australian Learning Lecture position paper, September 2019,</w:t>
      </w:r>
      <w:r>
        <w:rPr>
          <w:rFonts w:ascii="Tahoma" w:eastAsia="Tahoma" w:hAnsi="Tahoma"/>
          <w:color w:val="007896"/>
          <w:sz w:val="18"/>
        </w:rPr>
        <w:t xml:space="preserve"> </w:t>
      </w:r>
      <w:hyperlink r:id="rId454">
        <w:r>
          <w:rPr>
            <w:rFonts w:ascii="Tahoma" w:eastAsia="Tahoma" w:hAnsi="Tahoma"/>
            <w:color w:val="0000FF"/>
            <w:sz w:val="18"/>
            <w:u w:val="single"/>
          </w:rPr>
          <w:t>https://www.all-l</w:t>
        </w:r>
      </w:hyperlink>
      <w:r>
        <w:rPr>
          <w:rFonts w:ascii="Verdana" w:eastAsia="Verdana" w:hAnsi="Verdana"/>
          <w:color w:val="0000FF"/>
          <w:sz w:val="17"/>
          <w:u w:val="single"/>
        </w:rPr>
        <w:t xml:space="preserve">earning.org.au/sites/default/files/resources/beyond_atar_proposal_for_ </w:t>
      </w:r>
      <w:r>
        <w:rPr>
          <w:rFonts w:ascii="Tahoma" w:eastAsia="Tahoma" w:hAnsi="Tahoma"/>
          <w:color w:val="0000FF"/>
          <w:sz w:val="18"/>
          <w:u w:val="single"/>
        </w:rPr>
        <w:t>change_all.pdf</w:t>
      </w:r>
      <w:r>
        <w:rPr>
          <w:rFonts w:ascii="Tahoma" w:eastAsia="Tahoma" w:hAnsi="Tahoma"/>
          <w:color w:val="007896"/>
          <w:sz w:val="18"/>
        </w:rPr>
        <w:t>.</w:t>
      </w:r>
    </w:p>
    <w:p w14:paraId="1C9AE8A1" w14:textId="77777777" w:rsidR="009757A9" w:rsidRDefault="00083242">
      <w:pPr>
        <w:spacing w:before="168" w:line="240" w:lineRule="exact"/>
        <w:ind w:left="864" w:right="1008"/>
        <w:textAlignment w:val="baseline"/>
        <w:rPr>
          <w:rFonts w:ascii="Tahoma" w:eastAsia="Tahoma" w:hAnsi="Tahoma"/>
          <w:color w:val="404042"/>
          <w:spacing w:val="-1"/>
          <w:sz w:val="18"/>
        </w:rPr>
      </w:pPr>
      <w:r>
        <w:rPr>
          <w:rFonts w:ascii="Tahoma" w:eastAsia="Tahoma" w:hAnsi="Tahoma"/>
          <w:color w:val="404042"/>
          <w:spacing w:val="-1"/>
          <w:sz w:val="18"/>
        </w:rPr>
        <w:t xml:space="preserve">Organisation for Economic Co-operation and Development (2017), </w:t>
      </w:r>
      <w:r>
        <w:rPr>
          <w:rFonts w:ascii="Arial" w:eastAsia="Arial" w:hAnsi="Arial"/>
          <w:i/>
          <w:color w:val="404042"/>
          <w:spacing w:val="-1"/>
          <w:sz w:val="19"/>
        </w:rPr>
        <w:t>Social and Emotional Skills: Well-being, connectedness and success</w:t>
      </w:r>
      <w:r>
        <w:rPr>
          <w:rFonts w:ascii="Tahoma" w:eastAsia="Tahoma" w:hAnsi="Tahoma"/>
          <w:color w:val="404042"/>
          <w:spacing w:val="-1"/>
          <w:sz w:val="18"/>
        </w:rPr>
        <w:t>,</w:t>
      </w:r>
      <w:r>
        <w:rPr>
          <w:rFonts w:ascii="Tahoma" w:eastAsia="Tahoma" w:hAnsi="Tahoma"/>
          <w:color w:val="007896"/>
          <w:spacing w:val="-1"/>
          <w:sz w:val="18"/>
        </w:rPr>
        <w:t xml:space="preserve"> </w:t>
      </w:r>
      <w:hyperlink r:id="rId455">
        <w:r>
          <w:rPr>
            <w:rFonts w:ascii="Tahoma" w:eastAsia="Tahoma" w:hAnsi="Tahoma"/>
            <w:color w:val="0000FF"/>
            <w:spacing w:val="-1"/>
            <w:sz w:val="18"/>
            <w:u w:val="single"/>
          </w:rPr>
          <w:t>https://www.oecd.org/education/school/UPDATED%20Social%20and%20Emotional%20Skills%20-%20 Well-being,%20connectedness%20and%20success.pdf%20(website).pdf</w:t>
        </w:r>
      </w:hyperlink>
      <w:r>
        <w:rPr>
          <w:rFonts w:ascii="Tahoma" w:eastAsia="Tahoma" w:hAnsi="Tahoma"/>
          <w:color w:val="007896"/>
          <w:spacing w:val="-1"/>
          <w:sz w:val="18"/>
        </w:rPr>
        <w:t>.</w:t>
      </w:r>
    </w:p>
    <w:p w14:paraId="7DDB2B65" w14:textId="77777777" w:rsidR="009757A9" w:rsidRDefault="00083242">
      <w:pPr>
        <w:spacing w:before="172" w:line="240" w:lineRule="exact"/>
        <w:ind w:left="864" w:right="1656"/>
        <w:textAlignment w:val="baseline"/>
        <w:rPr>
          <w:rFonts w:ascii="Tahoma" w:eastAsia="Tahoma" w:hAnsi="Tahoma"/>
          <w:color w:val="404042"/>
          <w:sz w:val="18"/>
        </w:rPr>
      </w:pPr>
      <w:r>
        <w:rPr>
          <w:rFonts w:ascii="Tahoma" w:eastAsia="Tahoma" w:hAnsi="Tahoma"/>
          <w:color w:val="404042"/>
          <w:sz w:val="18"/>
        </w:rPr>
        <w:t xml:space="preserve">Organisation for Economic Co-operation and Development (2019a), </w:t>
      </w:r>
      <w:r>
        <w:rPr>
          <w:rFonts w:ascii="Arial" w:eastAsia="Arial" w:hAnsi="Arial"/>
          <w:i/>
          <w:color w:val="404042"/>
          <w:sz w:val="19"/>
        </w:rPr>
        <w:t>Education at a Glance 2019: OECD indicators</w:t>
      </w:r>
      <w:r>
        <w:rPr>
          <w:rFonts w:ascii="Tahoma" w:eastAsia="Tahoma" w:hAnsi="Tahoma"/>
          <w:color w:val="404042"/>
          <w:sz w:val="18"/>
        </w:rPr>
        <w:t xml:space="preserve">, </w:t>
      </w:r>
      <w:hyperlink r:id="rId456">
        <w:r>
          <w:rPr>
            <w:rFonts w:ascii="Tahoma" w:eastAsia="Tahoma" w:hAnsi="Tahoma"/>
            <w:color w:val="0000FF"/>
            <w:sz w:val="18"/>
            <w:u w:val="single"/>
          </w:rPr>
          <w:t>https://www.oecd-ilibrary.org/education/education-at-a-glance-2019_f8d7880d-en</w:t>
        </w:r>
      </w:hyperlink>
      <w:r>
        <w:rPr>
          <w:rFonts w:ascii="Tahoma" w:eastAsia="Tahoma" w:hAnsi="Tahoma"/>
          <w:color w:val="007896"/>
          <w:sz w:val="18"/>
        </w:rPr>
        <w:t>.</w:t>
      </w:r>
    </w:p>
    <w:p w14:paraId="5C1CC9C3" w14:textId="77777777" w:rsidR="009757A9" w:rsidRDefault="00083242">
      <w:pPr>
        <w:spacing w:before="168" w:line="240" w:lineRule="exact"/>
        <w:ind w:left="864" w:right="1800"/>
        <w:textAlignment w:val="baseline"/>
        <w:rPr>
          <w:rFonts w:ascii="Tahoma" w:eastAsia="Tahoma" w:hAnsi="Tahoma"/>
          <w:color w:val="404042"/>
          <w:sz w:val="18"/>
        </w:rPr>
      </w:pPr>
      <w:r>
        <w:rPr>
          <w:rFonts w:ascii="Tahoma" w:eastAsia="Tahoma" w:hAnsi="Tahoma"/>
          <w:color w:val="404042"/>
          <w:sz w:val="18"/>
        </w:rPr>
        <w:t xml:space="preserve">Organisation for Economic Co-operation and Development (2019b), </w:t>
      </w:r>
      <w:r>
        <w:rPr>
          <w:rFonts w:ascii="Arial" w:eastAsia="Arial" w:hAnsi="Arial"/>
          <w:i/>
          <w:color w:val="404042"/>
          <w:sz w:val="19"/>
        </w:rPr>
        <w:t>Trends Shaping Education 2019</w:t>
      </w:r>
      <w:r>
        <w:rPr>
          <w:rFonts w:ascii="Tahoma" w:eastAsia="Tahoma" w:hAnsi="Tahoma"/>
          <w:color w:val="404042"/>
          <w:sz w:val="18"/>
        </w:rPr>
        <w:t xml:space="preserve">, summary, </w:t>
      </w:r>
      <w:hyperlink r:id="rId457">
        <w:r>
          <w:rPr>
            <w:rFonts w:ascii="Tahoma" w:eastAsia="Tahoma" w:hAnsi="Tahoma"/>
            <w:color w:val="0000FF"/>
            <w:sz w:val="18"/>
            <w:u w:val="single"/>
          </w:rPr>
          <w:t>https://www.oecd-ilibrary.org/education/trends-shaping-education-2019_trends_edu-2019-en</w:t>
        </w:r>
      </w:hyperlink>
      <w:r>
        <w:rPr>
          <w:rFonts w:ascii="Tahoma" w:eastAsia="Tahoma" w:hAnsi="Tahoma"/>
          <w:color w:val="007896"/>
          <w:sz w:val="18"/>
        </w:rPr>
        <w:t>.</w:t>
      </w:r>
    </w:p>
    <w:p w14:paraId="57751248" w14:textId="77777777" w:rsidR="009757A9" w:rsidRDefault="00083242">
      <w:pPr>
        <w:spacing w:before="173" w:line="240" w:lineRule="exact"/>
        <w:ind w:left="864" w:right="1584"/>
        <w:textAlignment w:val="baseline"/>
        <w:rPr>
          <w:rFonts w:ascii="Tahoma" w:eastAsia="Tahoma" w:hAnsi="Tahoma"/>
          <w:color w:val="404042"/>
          <w:sz w:val="18"/>
        </w:rPr>
      </w:pPr>
      <w:r>
        <w:rPr>
          <w:rFonts w:ascii="Tahoma" w:eastAsia="Tahoma" w:hAnsi="Tahoma"/>
          <w:color w:val="404042"/>
          <w:sz w:val="18"/>
        </w:rPr>
        <w:t xml:space="preserve">Parliamentary Library (2016), ‘Developments in the youth labour market since the GFC’, Parliament of Australia, </w:t>
      </w:r>
      <w:r>
        <w:rPr>
          <w:rFonts w:ascii="Verdana" w:eastAsia="Verdana" w:hAnsi="Verdana"/>
          <w:color w:val="404042"/>
          <w:sz w:val="17"/>
        </w:rPr>
        <w:t>Research Paper Series, 2016–17, 31 August 2016,</w:t>
      </w:r>
      <w:r>
        <w:rPr>
          <w:rFonts w:ascii="Tahoma" w:eastAsia="Tahoma" w:hAnsi="Tahoma"/>
          <w:color w:val="007896"/>
          <w:sz w:val="18"/>
        </w:rPr>
        <w:t xml:space="preserve"> </w:t>
      </w:r>
      <w:hyperlink r:id="rId458">
        <w:r>
          <w:rPr>
            <w:rFonts w:ascii="Tahoma" w:eastAsia="Tahoma" w:hAnsi="Tahoma"/>
            <w:color w:val="0000FF"/>
            <w:sz w:val="18"/>
            <w:u w:val="single"/>
          </w:rPr>
          <w:t>https://parlinfo.aph.gov.au/parlInfo/download/library/ prspub/4789032/upload_binary/4789032.pdf</w:t>
        </w:r>
      </w:hyperlink>
      <w:r>
        <w:rPr>
          <w:rFonts w:ascii="Tahoma" w:eastAsia="Tahoma" w:hAnsi="Tahoma"/>
          <w:color w:val="007896"/>
          <w:sz w:val="18"/>
        </w:rPr>
        <w:t>.</w:t>
      </w:r>
    </w:p>
    <w:p w14:paraId="414B4932" w14:textId="77777777" w:rsidR="009757A9" w:rsidRDefault="00083242">
      <w:pPr>
        <w:spacing w:before="168"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Paxton, G., Smith, N., Ko Win, A., Mulholland, N. and Hood, S. (2011), </w:t>
      </w:r>
      <w:r>
        <w:rPr>
          <w:rFonts w:ascii="Arial" w:eastAsia="Arial" w:hAnsi="Arial"/>
          <w:i/>
          <w:color w:val="404042"/>
          <w:sz w:val="19"/>
        </w:rPr>
        <w:t>Refugee Status Report: A report on how refugee children and young people in Victoria are faring</w:t>
      </w:r>
      <w:r>
        <w:rPr>
          <w:rFonts w:ascii="Tahoma" w:eastAsia="Tahoma" w:hAnsi="Tahoma"/>
          <w:color w:val="404042"/>
          <w:sz w:val="18"/>
        </w:rPr>
        <w:t>, Victorian Department of Education and Early Childhood Development, July 2011,</w:t>
      </w:r>
      <w:r>
        <w:rPr>
          <w:rFonts w:ascii="Tahoma" w:eastAsia="Tahoma" w:hAnsi="Tahoma"/>
          <w:color w:val="007896"/>
          <w:sz w:val="18"/>
        </w:rPr>
        <w:t xml:space="preserve"> </w:t>
      </w:r>
      <w:hyperlink r:id="rId459">
        <w:r>
          <w:rPr>
            <w:rFonts w:ascii="Tahoma" w:eastAsia="Tahoma" w:hAnsi="Tahoma"/>
            <w:color w:val="0000FF"/>
            <w:sz w:val="18"/>
            <w:u w:val="single"/>
          </w:rPr>
          <w:t>https://www.education.vic.gov.au/Documents/about/research/refugeestatusreport.pdf</w:t>
        </w:r>
      </w:hyperlink>
      <w:r>
        <w:rPr>
          <w:rFonts w:ascii="Tahoma" w:eastAsia="Tahoma" w:hAnsi="Tahoma"/>
          <w:color w:val="007896"/>
          <w:sz w:val="18"/>
        </w:rPr>
        <w:t>.</w:t>
      </w:r>
    </w:p>
    <w:p w14:paraId="0043D25E" w14:textId="77777777" w:rsidR="009757A9" w:rsidRDefault="00083242">
      <w:pPr>
        <w:spacing w:before="168"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Pechenkina, K. and Anderson, I. (2011), </w:t>
      </w:r>
      <w:r>
        <w:rPr>
          <w:rFonts w:ascii="Arial" w:eastAsia="Arial" w:hAnsi="Arial"/>
          <w:i/>
          <w:color w:val="404042"/>
          <w:sz w:val="19"/>
        </w:rPr>
        <w:t>Consultation Paper on Indigenous Australian Higher Education: Trends, initiatives and policy implications</w:t>
      </w:r>
      <w:r>
        <w:rPr>
          <w:rFonts w:ascii="Tahoma" w:eastAsia="Tahoma" w:hAnsi="Tahoma"/>
          <w:color w:val="404042"/>
          <w:sz w:val="18"/>
        </w:rPr>
        <w:t>, Commonwealth Department of Education, Employment and Workplace Relations, September 2011,</w:t>
      </w:r>
      <w:r>
        <w:rPr>
          <w:rFonts w:ascii="Verdana" w:eastAsia="Verdana" w:hAnsi="Verdana"/>
          <w:color w:val="007896"/>
          <w:sz w:val="17"/>
        </w:rPr>
        <w:t xml:space="preserve"> </w:t>
      </w:r>
      <w:hyperlink r:id="rId460">
        <w:r>
          <w:rPr>
            <w:rFonts w:ascii="Verdana" w:eastAsia="Verdana" w:hAnsi="Verdana"/>
            <w:color w:val="0000FF"/>
            <w:sz w:val="17"/>
            <w:u w:val="single"/>
          </w:rPr>
          <w:t>https://docs.education.gov.au/system/files/doc/other/pechenkina_and_anderson_2011.pdf</w:t>
        </w:r>
      </w:hyperlink>
      <w:r>
        <w:rPr>
          <w:rFonts w:ascii="Tahoma" w:eastAsia="Tahoma" w:hAnsi="Tahoma"/>
          <w:color w:val="007896"/>
          <w:sz w:val="18"/>
        </w:rPr>
        <w:t>.</w:t>
      </w:r>
    </w:p>
    <w:p w14:paraId="44EA1366" w14:textId="77777777" w:rsidR="009757A9" w:rsidRDefault="00083242">
      <w:pPr>
        <w:spacing w:before="179" w:line="240" w:lineRule="exact"/>
        <w:ind w:left="864"/>
        <w:textAlignment w:val="baseline"/>
        <w:rPr>
          <w:rFonts w:ascii="Tahoma" w:eastAsia="Tahoma" w:hAnsi="Tahoma"/>
          <w:color w:val="404042"/>
          <w:spacing w:val="-3"/>
          <w:sz w:val="18"/>
        </w:rPr>
      </w:pPr>
      <w:r>
        <w:rPr>
          <w:rFonts w:ascii="Tahoma" w:eastAsia="Tahoma" w:hAnsi="Tahoma"/>
          <w:color w:val="404042"/>
          <w:spacing w:val="-3"/>
          <w:sz w:val="18"/>
        </w:rPr>
        <w:t xml:space="preserve">Pilcher, S., Torii, K. and Andow, J. (2018), </w:t>
      </w:r>
      <w:r>
        <w:rPr>
          <w:rFonts w:ascii="Arial" w:eastAsia="Arial" w:hAnsi="Arial"/>
          <w:i/>
          <w:color w:val="404042"/>
          <w:spacing w:val="-3"/>
          <w:sz w:val="19"/>
        </w:rPr>
        <w:t>Evidence Scan of Educational Interventions for Children and Young People</w:t>
      </w:r>
    </w:p>
    <w:p w14:paraId="62F7132F" w14:textId="77777777" w:rsidR="009757A9" w:rsidRDefault="00083242">
      <w:pPr>
        <w:spacing w:line="237" w:lineRule="exact"/>
        <w:ind w:left="864" w:right="936"/>
        <w:textAlignment w:val="baseline"/>
        <w:rPr>
          <w:rFonts w:ascii="Arial" w:eastAsia="Arial" w:hAnsi="Arial"/>
          <w:i/>
          <w:color w:val="404042"/>
          <w:sz w:val="19"/>
        </w:rPr>
      </w:pPr>
      <w:r>
        <w:rPr>
          <w:rFonts w:ascii="Arial" w:eastAsia="Arial" w:hAnsi="Arial"/>
          <w:i/>
          <w:color w:val="404042"/>
          <w:sz w:val="19"/>
        </w:rPr>
        <w:t>Disengaged from Education</w:t>
      </w:r>
      <w:r>
        <w:rPr>
          <w:rFonts w:ascii="Tahoma" w:eastAsia="Tahoma" w:hAnsi="Tahoma"/>
          <w:color w:val="404042"/>
          <w:sz w:val="18"/>
        </w:rPr>
        <w:t>, Mitchell Institute: Victoria University, September 2018,</w:t>
      </w:r>
      <w:r>
        <w:rPr>
          <w:rFonts w:ascii="Tahoma" w:eastAsia="Tahoma" w:hAnsi="Tahoma"/>
          <w:color w:val="007896"/>
          <w:sz w:val="18"/>
        </w:rPr>
        <w:t xml:space="preserve"> </w:t>
      </w:r>
      <w:hyperlink r:id="rId461">
        <w:r>
          <w:rPr>
            <w:rFonts w:ascii="Tahoma" w:eastAsia="Tahoma" w:hAnsi="Tahoma"/>
            <w:color w:val="0000FF"/>
            <w:sz w:val="18"/>
            <w:u w:val="single"/>
          </w:rPr>
          <w:t>https://www.socialventures.com.au/ assets/SVA-Perspective-Education-Evidence-scan-for-Children-and-young-people-disengaged.pdf</w:t>
        </w:r>
      </w:hyperlink>
      <w:r>
        <w:rPr>
          <w:rFonts w:ascii="Tahoma" w:eastAsia="Tahoma" w:hAnsi="Tahoma"/>
          <w:color w:val="007896"/>
          <w:sz w:val="18"/>
        </w:rPr>
        <w:t>.</w:t>
      </w:r>
    </w:p>
    <w:p w14:paraId="3BA7E637" w14:textId="77777777" w:rsidR="009757A9" w:rsidRDefault="00083242">
      <w:pPr>
        <w:spacing w:before="174" w:line="240" w:lineRule="exact"/>
        <w:ind w:left="864" w:right="1224"/>
        <w:textAlignment w:val="baseline"/>
        <w:rPr>
          <w:rFonts w:ascii="Tahoma" w:eastAsia="Tahoma" w:hAnsi="Tahoma"/>
          <w:color w:val="404042"/>
          <w:sz w:val="18"/>
        </w:rPr>
      </w:pPr>
      <w:r>
        <w:rPr>
          <w:rFonts w:ascii="Tahoma" w:eastAsia="Tahoma" w:hAnsi="Tahoma"/>
          <w:color w:val="404042"/>
          <w:sz w:val="18"/>
        </w:rPr>
        <w:t>Polesel, J., Klatt, M., Blake, D. and Starr, K. (2017), ‘Understanding the nature of school partnerships with business in delivery of vocational programmes in schools in Australia’</w:t>
      </w:r>
      <w:r>
        <w:rPr>
          <w:rFonts w:ascii="Arial" w:eastAsia="Arial" w:hAnsi="Arial"/>
          <w:i/>
          <w:color w:val="404042"/>
          <w:sz w:val="19"/>
        </w:rPr>
        <w:t>, Journal of Education and Work</w:t>
      </w:r>
      <w:r>
        <w:rPr>
          <w:rFonts w:ascii="Verdana" w:eastAsia="Verdana" w:hAnsi="Verdana"/>
          <w:color w:val="404042"/>
          <w:sz w:val="17"/>
        </w:rPr>
        <w:t>, vol. 30, no. 3.</w:t>
      </w:r>
    </w:p>
    <w:p w14:paraId="3337944A" w14:textId="77777777" w:rsidR="009757A9" w:rsidRDefault="00083242">
      <w:pPr>
        <w:spacing w:before="173"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t xml:space="preserve">PricewaterhouseCoopers (2017), </w:t>
      </w:r>
      <w:r>
        <w:rPr>
          <w:rFonts w:ascii="Arial" w:eastAsia="Arial" w:hAnsi="Arial"/>
          <w:i/>
          <w:color w:val="404042"/>
          <w:spacing w:val="-1"/>
          <w:sz w:val="19"/>
        </w:rPr>
        <w:t>Career and Skills Pathways: Research into a whole-of-system approach to enhancing</w:t>
      </w:r>
    </w:p>
    <w:p w14:paraId="76409938" w14:textId="77777777" w:rsidR="009757A9" w:rsidRDefault="00083242">
      <w:pPr>
        <w:spacing w:line="237" w:lineRule="exact"/>
        <w:ind w:left="864" w:right="936"/>
        <w:textAlignment w:val="baseline"/>
        <w:rPr>
          <w:rFonts w:ascii="Arial" w:eastAsia="Arial" w:hAnsi="Arial"/>
          <w:i/>
          <w:color w:val="404042"/>
          <w:sz w:val="19"/>
        </w:rPr>
      </w:pPr>
      <w:r>
        <w:rPr>
          <w:rFonts w:ascii="Arial" w:eastAsia="Arial" w:hAnsi="Arial"/>
          <w:i/>
          <w:color w:val="404042"/>
          <w:sz w:val="19"/>
        </w:rPr>
        <w:t>lifelong career support mechanisms for all Australians: Final report</w:t>
      </w:r>
      <w:r>
        <w:rPr>
          <w:rFonts w:ascii="Tahoma" w:eastAsia="Tahoma" w:hAnsi="Tahoma"/>
          <w:color w:val="404042"/>
          <w:sz w:val="18"/>
        </w:rPr>
        <w:t>, June 2017,</w:t>
      </w:r>
      <w:r>
        <w:rPr>
          <w:rFonts w:ascii="Tahoma" w:eastAsia="Tahoma" w:hAnsi="Tahoma"/>
          <w:color w:val="007896"/>
          <w:sz w:val="18"/>
        </w:rPr>
        <w:t xml:space="preserve"> </w:t>
      </w:r>
      <w:hyperlink r:id="rId462">
        <w:r>
          <w:rPr>
            <w:rFonts w:ascii="Tahoma" w:eastAsia="Tahoma" w:hAnsi="Tahoma"/>
            <w:color w:val="0000FF"/>
            <w:sz w:val="18"/>
            <w:u w:val="single"/>
          </w:rPr>
          <w:t>https://cica.org.au/wp-content/uploads/Car eer-and-Skills-Pathways-Project-June-2017.pdf</w:t>
        </w:r>
      </w:hyperlink>
      <w:r>
        <w:rPr>
          <w:rFonts w:ascii="Tahoma" w:eastAsia="Tahoma" w:hAnsi="Tahoma"/>
          <w:color w:val="007896"/>
          <w:sz w:val="18"/>
        </w:rPr>
        <w:t>.</w:t>
      </w:r>
    </w:p>
    <w:p w14:paraId="2742FE58" w14:textId="77777777" w:rsidR="009757A9" w:rsidRDefault="00083242">
      <w:pPr>
        <w:spacing w:before="174" w:line="240" w:lineRule="exact"/>
        <w:ind w:left="864"/>
        <w:textAlignment w:val="baseline"/>
        <w:rPr>
          <w:rFonts w:ascii="Tahoma" w:eastAsia="Tahoma" w:hAnsi="Tahoma"/>
          <w:color w:val="404042"/>
          <w:sz w:val="18"/>
        </w:rPr>
      </w:pPr>
      <w:r>
        <w:rPr>
          <w:rFonts w:ascii="Tahoma" w:eastAsia="Tahoma" w:hAnsi="Tahoma"/>
          <w:color w:val="404042"/>
          <w:sz w:val="18"/>
        </w:rPr>
        <w:t xml:space="preserve">Productivity Commission (2016), </w:t>
      </w:r>
      <w:r>
        <w:rPr>
          <w:rFonts w:ascii="Arial" w:eastAsia="Arial" w:hAnsi="Arial"/>
          <w:i/>
          <w:color w:val="404042"/>
          <w:sz w:val="19"/>
        </w:rPr>
        <w:t>National Education Evidence Base</w:t>
      </w:r>
      <w:r>
        <w:rPr>
          <w:rFonts w:ascii="Verdana" w:eastAsia="Verdana" w:hAnsi="Verdana"/>
          <w:color w:val="404042"/>
          <w:sz w:val="17"/>
        </w:rPr>
        <w:t>, Productivity Commission Inquiry Report No. 80,</w:t>
      </w:r>
    </w:p>
    <w:p w14:paraId="50243954" w14:textId="77777777" w:rsidR="009757A9" w:rsidRDefault="00083242">
      <w:pPr>
        <w:spacing w:before="14" w:line="220" w:lineRule="exact"/>
        <w:ind w:left="864"/>
        <w:textAlignment w:val="baseline"/>
        <w:rPr>
          <w:rFonts w:ascii="Verdana" w:eastAsia="Verdana" w:hAnsi="Verdana"/>
          <w:color w:val="404042"/>
          <w:spacing w:val="5"/>
          <w:sz w:val="17"/>
        </w:rPr>
      </w:pPr>
      <w:r>
        <w:rPr>
          <w:rFonts w:ascii="Verdana" w:eastAsia="Verdana" w:hAnsi="Verdana"/>
          <w:color w:val="404042"/>
          <w:spacing w:val="5"/>
          <w:sz w:val="17"/>
        </w:rPr>
        <w:t>9 December 2016,</w:t>
      </w:r>
      <w:r>
        <w:rPr>
          <w:rFonts w:ascii="Tahoma" w:eastAsia="Tahoma" w:hAnsi="Tahoma"/>
          <w:color w:val="007896"/>
          <w:spacing w:val="5"/>
          <w:sz w:val="18"/>
        </w:rPr>
        <w:t xml:space="preserve"> </w:t>
      </w:r>
      <w:hyperlink r:id="rId463">
        <w:r>
          <w:rPr>
            <w:rFonts w:ascii="Tahoma" w:eastAsia="Tahoma" w:hAnsi="Tahoma"/>
            <w:color w:val="0000FF"/>
            <w:spacing w:val="5"/>
            <w:sz w:val="18"/>
            <w:u w:val="single"/>
          </w:rPr>
          <w:t>https://www.pc.gov.au/inquiries/completed/education-evidence/report/education-evidence.pdf</w:t>
        </w:r>
      </w:hyperlink>
      <w:r>
        <w:rPr>
          <w:rFonts w:ascii="Tahoma" w:eastAsia="Tahoma" w:hAnsi="Tahoma"/>
          <w:color w:val="007896"/>
          <w:spacing w:val="5"/>
          <w:sz w:val="18"/>
        </w:rPr>
        <w:t>.</w:t>
      </w:r>
    </w:p>
    <w:p w14:paraId="18B830AC" w14:textId="77777777" w:rsidR="009757A9" w:rsidRDefault="00083242">
      <w:pPr>
        <w:spacing w:before="173" w:line="240" w:lineRule="exact"/>
        <w:ind w:left="864" w:right="1584"/>
        <w:textAlignment w:val="baseline"/>
        <w:rPr>
          <w:rFonts w:ascii="Tahoma" w:eastAsia="Tahoma" w:hAnsi="Tahoma"/>
          <w:color w:val="404042"/>
          <w:sz w:val="18"/>
        </w:rPr>
      </w:pPr>
      <w:r>
        <w:rPr>
          <w:rFonts w:ascii="Tahoma" w:eastAsia="Tahoma" w:hAnsi="Tahoma"/>
          <w:color w:val="404042"/>
          <w:sz w:val="18"/>
        </w:rPr>
        <w:t xml:space="preserve">Productivity Commission (2017), </w:t>
      </w:r>
      <w:r>
        <w:rPr>
          <w:rFonts w:ascii="Arial" w:eastAsia="Arial" w:hAnsi="Arial"/>
          <w:i/>
          <w:color w:val="404042"/>
          <w:sz w:val="19"/>
        </w:rPr>
        <w:t>Shifting the Dial: 5 year productivity review</w:t>
      </w:r>
      <w:r>
        <w:rPr>
          <w:rFonts w:ascii="Verdana" w:eastAsia="Verdana" w:hAnsi="Verdana"/>
          <w:color w:val="404042"/>
          <w:sz w:val="17"/>
        </w:rPr>
        <w:t xml:space="preserve">, inquiry report no. 84, 3 August 2017, </w:t>
      </w:r>
      <w:hyperlink r:id="rId464">
        <w:r>
          <w:rPr>
            <w:rFonts w:ascii="Tahoma" w:eastAsia="Tahoma" w:hAnsi="Tahoma"/>
            <w:color w:val="0000FF"/>
            <w:sz w:val="18"/>
            <w:u w:val="single"/>
          </w:rPr>
          <w:t>https://www.pc.gov.au/inquiries/completed/productivity-review/report/productivity-review.pdf</w:t>
        </w:r>
      </w:hyperlink>
      <w:r>
        <w:rPr>
          <w:rFonts w:ascii="Tahoma" w:eastAsia="Tahoma" w:hAnsi="Tahoma"/>
          <w:color w:val="007896"/>
          <w:sz w:val="18"/>
        </w:rPr>
        <w:t>.</w:t>
      </w:r>
    </w:p>
    <w:p w14:paraId="6D2FF233" w14:textId="77777777" w:rsidR="009757A9" w:rsidRDefault="00083242">
      <w:pPr>
        <w:tabs>
          <w:tab w:val="left" w:pos="1368"/>
        </w:tabs>
        <w:spacing w:before="1064" w:after="636" w:line="205" w:lineRule="exact"/>
        <w:ind w:left="864"/>
        <w:textAlignment w:val="baseline"/>
        <w:rPr>
          <w:rFonts w:ascii="Arial" w:eastAsia="Arial" w:hAnsi="Arial"/>
          <w:b/>
          <w:color w:val="5556A1"/>
          <w:spacing w:val="4"/>
          <w:sz w:val="18"/>
        </w:rPr>
      </w:pPr>
      <w:r>
        <w:rPr>
          <w:rFonts w:ascii="Arial" w:eastAsia="Arial" w:hAnsi="Arial"/>
          <w:b/>
          <w:color w:val="5556A1"/>
          <w:spacing w:val="4"/>
          <w:sz w:val="18"/>
        </w:rPr>
        <w:t>174</w:t>
      </w:r>
      <w:r>
        <w:rPr>
          <w:rFonts w:ascii="Tahoma" w:eastAsia="Tahoma" w:hAnsi="Tahoma"/>
          <w:color w:val="404042"/>
          <w:spacing w:val="4"/>
          <w:sz w:val="14"/>
        </w:rPr>
        <w:tab/>
        <w:t>Looking to the future</w:t>
      </w:r>
    </w:p>
    <w:p w14:paraId="636B85D0" w14:textId="77777777" w:rsidR="009757A9" w:rsidRDefault="00083242">
      <w:pPr>
        <w:textAlignment w:val="baseline"/>
      </w:pPr>
      <w:r>
        <w:rPr>
          <w:noProof/>
          <w:lang w:val="en-AU" w:eastAsia="en-AU"/>
        </w:rPr>
        <w:drawing>
          <wp:inline distT="0" distB="0" distL="0" distR="0" wp14:anchorId="692438C5" wp14:editId="2DA2BE00">
            <wp:extent cx="7562215" cy="462915"/>
            <wp:effectExtent l="0" t="0" r="0" b="0"/>
            <wp:docPr id="277" name="Picture"/>
            <wp:cNvGraphicFramePr/>
            <a:graphic xmlns:a="http://schemas.openxmlformats.org/drawingml/2006/main">
              <a:graphicData uri="http://schemas.openxmlformats.org/drawingml/2006/picture">
                <pic:pic xmlns:pic="http://schemas.openxmlformats.org/drawingml/2006/picture">
                  <pic:nvPicPr>
                    <pic:cNvPr id="277" name="Picture"/>
                    <pic:cNvPicPr preferRelativeResize="0"/>
                  </pic:nvPicPr>
                  <pic:blipFill>
                    <a:blip r:embed="rId40"/>
                    <a:stretch>
                      <a:fillRect/>
                    </a:stretch>
                  </pic:blipFill>
                  <pic:spPr>
                    <a:xfrm>
                      <a:off x="0" y="0"/>
                      <a:ext cx="7562215" cy="462915"/>
                    </a:xfrm>
                    <a:prstGeom prst="rect">
                      <a:avLst/>
                    </a:prstGeom>
                  </pic:spPr>
                </pic:pic>
              </a:graphicData>
            </a:graphic>
          </wp:inline>
        </w:drawing>
      </w:r>
    </w:p>
    <w:p w14:paraId="2EF95CFF" w14:textId="77777777" w:rsidR="009757A9" w:rsidRDefault="009757A9">
      <w:pPr>
        <w:sectPr w:rsidR="009757A9">
          <w:pgSz w:w="11909" w:h="16838"/>
          <w:pgMar w:top="960" w:right="0" w:bottom="0" w:left="0" w:header="720" w:footer="720" w:gutter="0"/>
          <w:cols w:space="720"/>
        </w:sectPr>
      </w:pPr>
    </w:p>
    <w:p w14:paraId="2F7173B6" w14:textId="77777777" w:rsidR="009757A9" w:rsidRDefault="00083242">
      <w:pPr>
        <w:spacing w:line="237" w:lineRule="exact"/>
        <w:ind w:left="864" w:right="1512"/>
        <w:textAlignment w:val="baseline"/>
        <w:rPr>
          <w:rFonts w:ascii="Tahoma" w:eastAsia="Tahoma" w:hAnsi="Tahoma"/>
          <w:color w:val="404042"/>
          <w:sz w:val="18"/>
        </w:rPr>
      </w:pPr>
      <w:r>
        <w:rPr>
          <w:rFonts w:ascii="Tahoma" w:eastAsia="Tahoma" w:hAnsi="Tahoma"/>
          <w:color w:val="404042"/>
          <w:sz w:val="18"/>
        </w:rPr>
        <w:lastRenderedPageBreak/>
        <w:t xml:space="preserve">Quality Indicators for Learning and Teaching (2019a), </w:t>
      </w:r>
      <w:r>
        <w:rPr>
          <w:rFonts w:ascii="Arial" w:eastAsia="Arial" w:hAnsi="Arial"/>
          <w:i/>
          <w:color w:val="404042"/>
          <w:sz w:val="18"/>
        </w:rPr>
        <w:t>2018 Student Experience Survey: National report</w:t>
      </w:r>
      <w:r>
        <w:rPr>
          <w:rFonts w:ascii="Tahoma" w:eastAsia="Tahoma" w:hAnsi="Tahoma"/>
          <w:color w:val="404042"/>
          <w:sz w:val="18"/>
        </w:rPr>
        <w:t xml:space="preserve">, March 2019, </w:t>
      </w:r>
      <w:hyperlink r:id="rId465">
        <w:r>
          <w:rPr>
            <w:rFonts w:ascii="Tahoma" w:eastAsia="Tahoma" w:hAnsi="Tahoma"/>
            <w:color w:val="0000FF"/>
            <w:sz w:val="18"/>
            <w:u w:val="single"/>
          </w:rPr>
          <w:t>https://www.qilt.edu.au/docs/default-source/default-document-library/2018-ses-national-report.pdf</w:t>
        </w:r>
      </w:hyperlink>
      <w:r>
        <w:rPr>
          <w:rFonts w:ascii="Tahoma" w:eastAsia="Tahoma" w:hAnsi="Tahoma"/>
          <w:color w:val="007896"/>
          <w:sz w:val="18"/>
        </w:rPr>
        <w:t>.</w:t>
      </w:r>
    </w:p>
    <w:p w14:paraId="2E70D520" w14:textId="77777777" w:rsidR="009757A9" w:rsidRDefault="00083242">
      <w:pPr>
        <w:spacing w:before="168" w:line="240" w:lineRule="exact"/>
        <w:ind w:left="864" w:right="1584"/>
        <w:textAlignment w:val="baseline"/>
        <w:rPr>
          <w:rFonts w:ascii="Verdana" w:eastAsia="Verdana" w:hAnsi="Verdana"/>
          <w:color w:val="404042"/>
          <w:sz w:val="17"/>
        </w:rPr>
      </w:pPr>
      <w:r>
        <w:rPr>
          <w:rFonts w:ascii="Verdana" w:eastAsia="Verdana" w:hAnsi="Verdana"/>
          <w:color w:val="404042"/>
          <w:sz w:val="17"/>
        </w:rPr>
        <w:t xml:space="preserve">Quality Indicators for Learning and Teaching (2019b), 2019 Graduate Outcomes Survey national tables, Table 15, </w:t>
      </w:r>
      <w:hyperlink r:id="rId466">
        <w:r>
          <w:rPr>
            <w:rFonts w:ascii="Tahoma" w:eastAsia="Tahoma" w:hAnsi="Tahoma"/>
            <w:color w:val="0000FF"/>
            <w:sz w:val="18"/>
            <w:u w:val="single"/>
          </w:rPr>
          <w:t>https://www.qilt.edu.au/qilt-surveys/graduate-employment</w:t>
        </w:r>
      </w:hyperlink>
      <w:r>
        <w:rPr>
          <w:rFonts w:ascii="Tahoma" w:eastAsia="Tahoma" w:hAnsi="Tahoma"/>
          <w:color w:val="007896"/>
          <w:sz w:val="18"/>
        </w:rPr>
        <w:t>.</w:t>
      </w:r>
    </w:p>
    <w:p w14:paraId="39ACF575" w14:textId="77777777" w:rsidR="009757A9" w:rsidRDefault="00083242">
      <w:pPr>
        <w:spacing w:before="178" w:line="240" w:lineRule="exact"/>
        <w:ind w:left="864" w:right="1008"/>
        <w:textAlignment w:val="baseline"/>
        <w:rPr>
          <w:rFonts w:ascii="Tahoma" w:eastAsia="Tahoma" w:hAnsi="Tahoma"/>
          <w:color w:val="404042"/>
          <w:sz w:val="18"/>
        </w:rPr>
      </w:pPr>
      <w:r>
        <w:rPr>
          <w:rFonts w:ascii="Tahoma" w:eastAsia="Tahoma" w:hAnsi="Tahoma"/>
          <w:color w:val="404042"/>
          <w:sz w:val="18"/>
        </w:rPr>
        <w:t>Queensland Department of Employment, Small Business and Training (2019), ‘Micro-credentialing Pilots Program’, fact sheet,</w:t>
      </w:r>
      <w:r>
        <w:rPr>
          <w:rFonts w:ascii="Verdana" w:eastAsia="Verdana" w:hAnsi="Verdana"/>
          <w:color w:val="007896"/>
          <w:sz w:val="17"/>
        </w:rPr>
        <w:t xml:space="preserve"> </w:t>
      </w:r>
      <w:hyperlink r:id="rId467">
        <w:r>
          <w:rPr>
            <w:rFonts w:ascii="Verdana" w:eastAsia="Verdana" w:hAnsi="Verdana"/>
            <w:color w:val="0000FF"/>
            <w:sz w:val="17"/>
            <w:u w:val="single"/>
          </w:rPr>
          <w:t>https://desbt.qld.gov.au/__data/assets/pdf_file/0012/11019/micro</w:t>
        </w:r>
      </w:hyperlink>
      <w:r>
        <w:rPr>
          <w:rFonts w:ascii="Tahoma" w:eastAsia="Tahoma" w:hAnsi="Tahoma"/>
          <w:color w:val="0000FF"/>
          <w:sz w:val="18"/>
          <w:u w:val="single"/>
        </w:rPr>
        <w:t>-credentialing-pilots-program-fact-sheet.pdf</w:t>
      </w:r>
      <w:r>
        <w:rPr>
          <w:rFonts w:ascii="Tahoma" w:eastAsia="Tahoma" w:hAnsi="Tahoma"/>
          <w:color w:val="007896"/>
          <w:sz w:val="18"/>
        </w:rPr>
        <w:t>.</w:t>
      </w:r>
    </w:p>
    <w:p w14:paraId="3B515243" w14:textId="77777777" w:rsidR="009757A9" w:rsidRDefault="00083242">
      <w:pPr>
        <w:spacing w:before="188" w:line="215" w:lineRule="exact"/>
        <w:ind w:left="864"/>
        <w:textAlignment w:val="baseline"/>
        <w:rPr>
          <w:rFonts w:ascii="Tahoma" w:eastAsia="Tahoma" w:hAnsi="Tahoma"/>
          <w:color w:val="404042"/>
          <w:spacing w:val="6"/>
          <w:sz w:val="18"/>
        </w:rPr>
      </w:pPr>
      <w:r>
        <w:rPr>
          <w:rFonts w:ascii="Tahoma" w:eastAsia="Tahoma" w:hAnsi="Tahoma"/>
          <w:color w:val="404042"/>
          <w:spacing w:val="6"/>
          <w:sz w:val="18"/>
        </w:rPr>
        <w:t>Queensland Government submission to the review (unpublished).</w:t>
      </w:r>
    </w:p>
    <w:p w14:paraId="39CD9621" w14:textId="77777777" w:rsidR="009757A9" w:rsidRDefault="00083242">
      <w:pPr>
        <w:spacing w:before="178" w:line="240" w:lineRule="exact"/>
        <w:ind w:left="864" w:right="1152"/>
        <w:textAlignment w:val="baseline"/>
        <w:rPr>
          <w:rFonts w:ascii="Tahoma" w:eastAsia="Tahoma" w:hAnsi="Tahoma"/>
          <w:color w:val="404042"/>
          <w:spacing w:val="-2"/>
          <w:sz w:val="18"/>
        </w:rPr>
      </w:pPr>
      <w:r>
        <w:rPr>
          <w:rFonts w:ascii="Tahoma" w:eastAsia="Tahoma" w:hAnsi="Tahoma"/>
          <w:color w:val="404042"/>
          <w:spacing w:val="-2"/>
          <w:sz w:val="18"/>
        </w:rPr>
        <w:t xml:space="preserve">Ranasinghe, R., Chew, E., Knight, G. and Siekmann, G. (2019), </w:t>
      </w:r>
      <w:r>
        <w:rPr>
          <w:rFonts w:ascii="Arial" w:eastAsia="Arial" w:hAnsi="Arial"/>
          <w:i/>
          <w:color w:val="404042"/>
          <w:spacing w:val="-2"/>
          <w:sz w:val="18"/>
        </w:rPr>
        <w:t>School-to-Work Pathways</w:t>
      </w:r>
      <w:r>
        <w:rPr>
          <w:rFonts w:ascii="Tahoma" w:eastAsia="Tahoma" w:hAnsi="Tahoma"/>
          <w:color w:val="404042"/>
          <w:spacing w:val="-2"/>
          <w:sz w:val="18"/>
        </w:rPr>
        <w:t>, National Centre for Vocational Education Research,</w:t>
      </w:r>
      <w:r>
        <w:rPr>
          <w:rFonts w:ascii="Verdana" w:eastAsia="Verdana" w:hAnsi="Verdana"/>
          <w:color w:val="007896"/>
          <w:spacing w:val="-2"/>
          <w:sz w:val="17"/>
        </w:rPr>
        <w:t xml:space="preserve"> </w:t>
      </w:r>
      <w:hyperlink r:id="rId468">
        <w:r>
          <w:rPr>
            <w:rFonts w:ascii="Verdana" w:eastAsia="Verdana" w:hAnsi="Verdana"/>
            <w:color w:val="0000FF"/>
            <w:spacing w:val="-2"/>
            <w:sz w:val="17"/>
            <w:u w:val="single"/>
          </w:rPr>
          <w:t>https://www.ncver.edu.au/__data/assets/pdf_file/0029/6547412/School_to_work_pathways.pdf</w:t>
        </w:r>
      </w:hyperlink>
      <w:r>
        <w:rPr>
          <w:rFonts w:ascii="Tahoma" w:eastAsia="Tahoma" w:hAnsi="Tahoma"/>
          <w:color w:val="007896"/>
          <w:spacing w:val="-2"/>
          <w:sz w:val="18"/>
        </w:rPr>
        <w:t>.</w:t>
      </w:r>
    </w:p>
    <w:p w14:paraId="1F0535E6" w14:textId="77777777" w:rsidR="009757A9" w:rsidRDefault="00083242">
      <w:pPr>
        <w:spacing w:before="163" w:line="240" w:lineRule="exact"/>
        <w:ind w:left="864" w:right="1080"/>
        <w:textAlignment w:val="baseline"/>
        <w:rPr>
          <w:rFonts w:ascii="Verdana" w:eastAsia="Verdana" w:hAnsi="Verdana"/>
          <w:color w:val="404042"/>
          <w:sz w:val="17"/>
        </w:rPr>
      </w:pPr>
      <w:r>
        <w:rPr>
          <w:rFonts w:ascii="Verdana" w:eastAsia="Verdana" w:hAnsi="Verdana"/>
          <w:color w:val="404042"/>
          <w:sz w:val="17"/>
        </w:rPr>
        <w:t xml:space="preserve">Rapid Research Information Forum (2020), ‘Differential learning outcomes for online versus in-class education’, 1 </w:t>
      </w:r>
      <w:r>
        <w:rPr>
          <w:rFonts w:ascii="Tahoma" w:eastAsia="Tahoma" w:hAnsi="Tahoma"/>
          <w:color w:val="404042"/>
          <w:sz w:val="18"/>
        </w:rPr>
        <w:t>May 2020,</w:t>
      </w:r>
      <w:r>
        <w:rPr>
          <w:rFonts w:ascii="Tahoma" w:eastAsia="Tahoma" w:hAnsi="Tahoma"/>
          <w:color w:val="007896"/>
          <w:sz w:val="18"/>
        </w:rPr>
        <w:t xml:space="preserve"> </w:t>
      </w:r>
      <w:hyperlink r:id="rId469">
        <w:r>
          <w:rPr>
            <w:rFonts w:ascii="Tahoma" w:eastAsia="Tahoma" w:hAnsi="Tahoma"/>
            <w:color w:val="0000FF"/>
            <w:sz w:val="18"/>
            <w:u w:val="single"/>
          </w:rPr>
          <w:t>https://www.science.org.au/covid19/learning-outcomes-online-vs-inclass-education</w:t>
        </w:r>
      </w:hyperlink>
      <w:r>
        <w:rPr>
          <w:rFonts w:ascii="Tahoma" w:eastAsia="Tahoma" w:hAnsi="Tahoma"/>
          <w:color w:val="007896"/>
          <w:sz w:val="18"/>
        </w:rPr>
        <w:t>.</w:t>
      </w:r>
    </w:p>
    <w:p w14:paraId="25F17E17" w14:textId="77777777" w:rsidR="009757A9" w:rsidRDefault="00083242">
      <w:pPr>
        <w:spacing w:before="177"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Regional Education Expert Advisory Group (2019), </w:t>
      </w:r>
      <w:r>
        <w:rPr>
          <w:rFonts w:ascii="Arial" w:eastAsia="Arial" w:hAnsi="Arial"/>
          <w:i/>
          <w:color w:val="404042"/>
          <w:sz w:val="18"/>
        </w:rPr>
        <w:t>National Regional, Rural and Remote Education Strategy: Final report</w:t>
      </w:r>
      <w:r>
        <w:rPr>
          <w:rFonts w:ascii="Tahoma" w:eastAsia="Tahoma" w:hAnsi="Tahoma"/>
          <w:color w:val="404042"/>
          <w:sz w:val="18"/>
        </w:rPr>
        <w:t>, Commonwealth Department of Education,</w:t>
      </w:r>
      <w:r>
        <w:rPr>
          <w:rFonts w:ascii="Verdana" w:eastAsia="Verdana" w:hAnsi="Verdana"/>
          <w:color w:val="007896"/>
          <w:sz w:val="17"/>
        </w:rPr>
        <w:t xml:space="preserve"> </w:t>
      </w:r>
      <w:hyperlink r:id="rId470">
        <w:r>
          <w:rPr>
            <w:rFonts w:ascii="Verdana" w:eastAsia="Verdana" w:hAnsi="Verdana"/>
            <w:color w:val="0000FF"/>
            <w:sz w:val="17"/>
            <w:u w:val="single"/>
          </w:rPr>
          <w:t xml:space="preserve">https://docs.education.gov.au/system/files/doc/other/national_regional_ </w:t>
        </w:r>
      </w:hyperlink>
      <w:r>
        <w:rPr>
          <w:rFonts w:ascii="Tahoma" w:eastAsia="Tahoma" w:hAnsi="Tahoma"/>
          <w:color w:val="0000FF"/>
          <w:sz w:val="18"/>
          <w:u w:val="single"/>
        </w:rPr>
        <w:t>rural_and_remote_tertiary_education_strategy.pdf</w:t>
      </w:r>
      <w:r>
        <w:rPr>
          <w:rFonts w:ascii="Tahoma" w:eastAsia="Tahoma" w:hAnsi="Tahoma"/>
          <w:color w:val="007896"/>
          <w:sz w:val="18"/>
        </w:rPr>
        <w:t>.</w:t>
      </w:r>
    </w:p>
    <w:p w14:paraId="3C7F0169" w14:textId="77777777" w:rsidR="009757A9" w:rsidRDefault="00083242">
      <w:pPr>
        <w:spacing w:before="168" w:line="240" w:lineRule="exact"/>
        <w:ind w:left="864"/>
        <w:textAlignment w:val="baseline"/>
        <w:rPr>
          <w:rFonts w:ascii="Tahoma" w:eastAsia="Tahoma" w:hAnsi="Tahoma"/>
          <w:color w:val="404042"/>
          <w:sz w:val="18"/>
        </w:rPr>
      </w:pPr>
      <w:r>
        <w:rPr>
          <w:rFonts w:ascii="Tahoma" w:eastAsia="Tahoma" w:hAnsi="Tahoma"/>
          <w:color w:val="404042"/>
          <w:sz w:val="18"/>
        </w:rPr>
        <w:t xml:space="preserve">Restaurant and Catering Australia (2019), </w:t>
      </w:r>
      <w:r>
        <w:rPr>
          <w:rFonts w:ascii="Arial" w:eastAsia="Arial" w:hAnsi="Arial"/>
          <w:i/>
          <w:color w:val="404042"/>
          <w:sz w:val="18"/>
        </w:rPr>
        <w:t>Submission to the Education Council Review of Senior Secondary Pathways into</w:t>
      </w:r>
    </w:p>
    <w:p w14:paraId="6F65F6CD" w14:textId="77777777" w:rsidR="009757A9" w:rsidRDefault="00083242">
      <w:pPr>
        <w:spacing w:line="240" w:lineRule="exact"/>
        <w:ind w:left="864" w:right="936"/>
        <w:textAlignment w:val="baseline"/>
        <w:rPr>
          <w:rFonts w:ascii="Arial" w:eastAsia="Arial" w:hAnsi="Arial"/>
          <w:i/>
          <w:color w:val="404042"/>
          <w:sz w:val="18"/>
        </w:rPr>
      </w:pPr>
      <w:r>
        <w:rPr>
          <w:rFonts w:ascii="Arial" w:eastAsia="Arial" w:hAnsi="Arial"/>
          <w:i/>
          <w:color w:val="404042"/>
          <w:sz w:val="18"/>
        </w:rPr>
        <w:t>Work, Further Education and Training</w:t>
      </w:r>
      <w:r>
        <w:rPr>
          <w:rFonts w:ascii="Tahoma" w:eastAsia="Tahoma" w:hAnsi="Tahoma"/>
          <w:color w:val="404042"/>
          <w:sz w:val="18"/>
        </w:rPr>
        <w:t>, December 2019,</w:t>
      </w:r>
      <w:r>
        <w:rPr>
          <w:rFonts w:ascii="Tahoma" w:eastAsia="Tahoma" w:hAnsi="Tahoma"/>
          <w:color w:val="007896"/>
          <w:sz w:val="18"/>
        </w:rPr>
        <w:t xml:space="preserve"> </w:t>
      </w:r>
      <w:hyperlink r:id="rId471">
        <w:r>
          <w:rPr>
            <w:rFonts w:ascii="Tahoma" w:eastAsia="Tahoma" w:hAnsi="Tahoma"/>
            <w:color w:val="0000FF"/>
            <w:sz w:val="18"/>
            <w:u w:val="single"/>
          </w:rPr>
          <w:t>http://rca.asn.au/rca/wp-content/uploads/2019/12/RCA-Submissi on-Education-Council-Review-of-Senior-Secondary-Pathways-into-Work-Further-Education-and-Training.pdf</w:t>
        </w:r>
      </w:hyperlink>
      <w:r>
        <w:rPr>
          <w:rFonts w:ascii="Tahoma" w:eastAsia="Tahoma" w:hAnsi="Tahoma"/>
          <w:color w:val="007896"/>
          <w:sz w:val="18"/>
        </w:rPr>
        <w:t>.</w:t>
      </w:r>
    </w:p>
    <w:p w14:paraId="35BA18A0" w14:textId="77777777" w:rsidR="009757A9" w:rsidRDefault="00837BFF">
      <w:pPr>
        <w:spacing w:before="168" w:line="240" w:lineRule="exact"/>
        <w:ind w:left="864" w:right="2160"/>
        <w:textAlignment w:val="baseline"/>
        <w:rPr>
          <w:rFonts w:ascii="Tahoma" w:eastAsia="Tahoma" w:hAnsi="Tahoma"/>
          <w:color w:val="404042"/>
          <w:sz w:val="18"/>
        </w:rPr>
      </w:pPr>
      <w:hyperlink r:id="rId472">
        <w:r w:rsidR="00083242">
          <w:rPr>
            <w:rFonts w:ascii="Tahoma" w:eastAsia="Tahoma" w:hAnsi="Tahoma"/>
            <w:color w:val="0000FF"/>
            <w:sz w:val="18"/>
            <w:u w:val="single"/>
          </w:rPr>
          <w:t>Schwab,</w:t>
        </w:r>
      </w:hyperlink>
      <w:r w:rsidR="00083242">
        <w:rPr>
          <w:rFonts w:ascii="Tahoma" w:eastAsia="Tahoma" w:hAnsi="Tahoma"/>
          <w:color w:val="404042"/>
          <w:sz w:val="18"/>
        </w:rPr>
        <w:t xml:space="preserve"> K. (2016), ‘The Fourth Industrial Revolution: What it means, how to respond’, World Economic </w:t>
      </w:r>
      <w:r w:rsidR="00083242">
        <w:rPr>
          <w:rFonts w:ascii="Verdana" w:eastAsia="Verdana" w:hAnsi="Verdana"/>
          <w:color w:val="404042"/>
          <w:sz w:val="17"/>
        </w:rPr>
        <w:t>Forum, 14 January 2016,</w:t>
      </w:r>
      <w:r w:rsidR="00083242">
        <w:rPr>
          <w:rFonts w:ascii="Tahoma" w:eastAsia="Tahoma" w:hAnsi="Tahoma"/>
          <w:color w:val="007896"/>
          <w:sz w:val="18"/>
        </w:rPr>
        <w:t xml:space="preserve"> </w:t>
      </w:r>
      <w:hyperlink r:id="rId473">
        <w:r w:rsidR="00083242">
          <w:rPr>
            <w:rFonts w:ascii="Tahoma" w:eastAsia="Tahoma" w:hAnsi="Tahoma"/>
            <w:color w:val="0000FF"/>
            <w:sz w:val="18"/>
            <w:u w:val="single"/>
          </w:rPr>
          <w:t>https://www.weforum.org/agenda/2016/01/the-fourth-industrial-revolution-wh at-it-means-and-how-to-respond</w:t>
        </w:r>
      </w:hyperlink>
      <w:r w:rsidR="00083242">
        <w:rPr>
          <w:rFonts w:ascii="Tahoma" w:eastAsia="Tahoma" w:hAnsi="Tahoma"/>
          <w:color w:val="007896"/>
          <w:sz w:val="18"/>
        </w:rPr>
        <w:t>.</w:t>
      </w:r>
    </w:p>
    <w:p w14:paraId="3F4F793B" w14:textId="77777777" w:rsidR="009757A9" w:rsidRDefault="00083242">
      <w:pPr>
        <w:spacing w:before="168" w:line="240" w:lineRule="exact"/>
        <w:ind w:left="864" w:right="864"/>
        <w:textAlignment w:val="baseline"/>
        <w:rPr>
          <w:rFonts w:ascii="Tahoma" w:eastAsia="Tahoma" w:hAnsi="Tahoma"/>
          <w:color w:val="404042"/>
          <w:sz w:val="18"/>
        </w:rPr>
      </w:pPr>
      <w:r>
        <w:rPr>
          <w:rFonts w:ascii="Tahoma" w:eastAsia="Tahoma" w:hAnsi="Tahoma"/>
          <w:color w:val="404042"/>
          <w:sz w:val="18"/>
        </w:rPr>
        <w:t xml:space="preserve">Shipley, B. and Stubley, W. (2018), </w:t>
      </w:r>
      <w:r>
        <w:rPr>
          <w:rFonts w:ascii="Arial" w:eastAsia="Arial" w:hAnsi="Arial"/>
          <w:i/>
          <w:color w:val="404042"/>
          <w:sz w:val="18"/>
        </w:rPr>
        <w:t>After the ATAR II: Understanding how Gen Z makes decisions about their future</w:t>
      </w:r>
      <w:r>
        <w:rPr>
          <w:rFonts w:ascii="Tahoma" w:eastAsia="Tahoma" w:hAnsi="Tahoma"/>
          <w:color w:val="404042"/>
          <w:sz w:val="18"/>
        </w:rPr>
        <w:t>, Year13 and YouthSense,</w:t>
      </w:r>
      <w:r>
        <w:rPr>
          <w:rFonts w:ascii="Tahoma" w:eastAsia="Tahoma" w:hAnsi="Tahoma"/>
          <w:color w:val="007896"/>
          <w:sz w:val="18"/>
        </w:rPr>
        <w:t xml:space="preserve"> </w:t>
      </w:r>
      <w:hyperlink r:id="rId474">
        <w:r>
          <w:rPr>
            <w:rFonts w:ascii="Tahoma" w:eastAsia="Tahoma" w:hAnsi="Tahoma"/>
            <w:color w:val="0000FF"/>
            <w:sz w:val="18"/>
            <w:u w:val="single"/>
          </w:rPr>
          <w:t>https://youthsense.com.au/research/after-the-atar-ii</w:t>
        </w:r>
      </w:hyperlink>
      <w:r>
        <w:rPr>
          <w:rFonts w:ascii="Tahoma" w:eastAsia="Tahoma" w:hAnsi="Tahoma"/>
          <w:color w:val="007896"/>
          <w:sz w:val="18"/>
        </w:rPr>
        <w:t>.</w:t>
      </w:r>
    </w:p>
    <w:p w14:paraId="66EAB4BB"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Skilling Australia Foundation and McCrindle, </w:t>
      </w:r>
      <w:r>
        <w:rPr>
          <w:rFonts w:ascii="Arial" w:eastAsia="Arial" w:hAnsi="Arial"/>
          <w:i/>
          <w:color w:val="404042"/>
          <w:sz w:val="18"/>
        </w:rPr>
        <w:t>Perceptions Are Not Reality: Myths, realities and the critical role of vocational education and training in Australia</w:t>
      </w:r>
      <w:r>
        <w:rPr>
          <w:rFonts w:ascii="Tahoma" w:eastAsia="Tahoma" w:hAnsi="Tahoma"/>
          <w:color w:val="404042"/>
          <w:sz w:val="18"/>
        </w:rPr>
        <w:t>, May 2017,</w:t>
      </w:r>
      <w:r>
        <w:rPr>
          <w:rFonts w:ascii="Tahoma" w:eastAsia="Tahoma" w:hAnsi="Tahoma"/>
          <w:color w:val="007896"/>
          <w:sz w:val="18"/>
        </w:rPr>
        <w:t xml:space="preserve"> </w:t>
      </w:r>
      <w:hyperlink r:id="rId475">
        <w:r>
          <w:rPr>
            <w:rFonts w:ascii="Tahoma" w:eastAsia="Tahoma" w:hAnsi="Tahoma"/>
            <w:color w:val="0000FF"/>
            <w:sz w:val="18"/>
            <w:u w:val="single"/>
          </w:rPr>
          <w:t>https://2qean3b1jjd1s87812ool5ji-wpengine.netdna-ssl.com/wp-content/ uploads/work/Skilling-Australia-Vocation-Education-Report.pdf</w:t>
        </w:r>
      </w:hyperlink>
      <w:r>
        <w:rPr>
          <w:rFonts w:ascii="Tahoma" w:eastAsia="Tahoma" w:hAnsi="Tahoma"/>
          <w:color w:val="007896"/>
          <w:sz w:val="18"/>
        </w:rPr>
        <w:t>.</w:t>
      </w:r>
    </w:p>
    <w:p w14:paraId="55246424" w14:textId="77777777" w:rsidR="009757A9" w:rsidRDefault="00083242">
      <w:pPr>
        <w:spacing w:before="178" w:line="240" w:lineRule="exact"/>
        <w:ind w:left="864"/>
        <w:textAlignment w:val="baseline"/>
        <w:rPr>
          <w:rFonts w:ascii="Tahoma" w:eastAsia="Tahoma" w:hAnsi="Tahoma"/>
          <w:color w:val="404042"/>
          <w:spacing w:val="2"/>
          <w:sz w:val="18"/>
        </w:rPr>
      </w:pPr>
      <w:r>
        <w:rPr>
          <w:rFonts w:ascii="Tahoma" w:eastAsia="Tahoma" w:hAnsi="Tahoma"/>
          <w:color w:val="404042"/>
          <w:spacing w:val="2"/>
          <w:sz w:val="18"/>
        </w:rPr>
        <w:t xml:space="preserve">Skillsroad (2018), </w:t>
      </w:r>
      <w:r>
        <w:rPr>
          <w:rFonts w:ascii="Arial" w:eastAsia="Arial" w:hAnsi="Arial"/>
          <w:i/>
          <w:color w:val="404042"/>
          <w:spacing w:val="2"/>
          <w:sz w:val="18"/>
        </w:rPr>
        <w:t>Skillsroad Youth Census Report 2018</w:t>
      </w:r>
      <w:r>
        <w:rPr>
          <w:rFonts w:ascii="Tahoma" w:eastAsia="Tahoma" w:hAnsi="Tahoma"/>
          <w:color w:val="404042"/>
          <w:spacing w:val="2"/>
          <w:sz w:val="18"/>
        </w:rPr>
        <w:t>,</w:t>
      </w:r>
      <w:r>
        <w:rPr>
          <w:rFonts w:ascii="Tahoma" w:eastAsia="Tahoma" w:hAnsi="Tahoma"/>
          <w:color w:val="007896"/>
          <w:spacing w:val="2"/>
          <w:sz w:val="18"/>
        </w:rPr>
        <w:t xml:space="preserve"> </w:t>
      </w:r>
      <w:hyperlink r:id="rId476">
        <w:r>
          <w:rPr>
            <w:rFonts w:ascii="Tahoma" w:eastAsia="Tahoma" w:hAnsi="Tahoma"/>
            <w:color w:val="0000FF"/>
            <w:spacing w:val="2"/>
            <w:sz w:val="18"/>
            <w:u w:val="single"/>
          </w:rPr>
          <w:t>https://www.skillsroad.com.au/youth-census-2018</w:t>
        </w:r>
      </w:hyperlink>
      <w:r>
        <w:rPr>
          <w:rFonts w:ascii="Tahoma" w:eastAsia="Tahoma" w:hAnsi="Tahoma"/>
          <w:color w:val="007896"/>
          <w:spacing w:val="2"/>
          <w:sz w:val="18"/>
        </w:rPr>
        <w:t>.</w:t>
      </w:r>
    </w:p>
    <w:p w14:paraId="70229CBB"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Smith, E. and Foley, A. (2019), </w:t>
      </w:r>
      <w:r>
        <w:rPr>
          <w:rFonts w:ascii="Arial" w:eastAsia="Arial" w:hAnsi="Arial"/>
          <w:i/>
          <w:color w:val="404042"/>
          <w:sz w:val="18"/>
        </w:rPr>
        <w:t>Young Futures: Education, training and employment decision-making in non-metropolitan areas</w:t>
      </w:r>
      <w:r>
        <w:rPr>
          <w:rFonts w:ascii="Tahoma" w:eastAsia="Tahoma" w:hAnsi="Tahoma"/>
          <w:color w:val="404042"/>
          <w:sz w:val="18"/>
        </w:rPr>
        <w:t>, executive summary, Federation University, September 2019,</w:t>
      </w:r>
      <w:r>
        <w:rPr>
          <w:rFonts w:ascii="Tahoma" w:eastAsia="Tahoma" w:hAnsi="Tahoma"/>
          <w:color w:val="007896"/>
          <w:sz w:val="18"/>
        </w:rPr>
        <w:t xml:space="preserve"> </w:t>
      </w:r>
      <w:hyperlink r:id="rId477">
        <w:r>
          <w:rPr>
            <w:rFonts w:ascii="Tahoma" w:eastAsia="Tahoma" w:hAnsi="Tahoma"/>
            <w:color w:val="0000FF"/>
            <w:sz w:val="18"/>
            <w:u w:val="single"/>
          </w:rPr>
          <w:t>https://www.researchgate.net/project/Young-futur es-Education-training-and-employment-decision-making-in-non-metropolitan-areas-in-Australia</w:t>
        </w:r>
      </w:hyperlink>
      <w:r>
        <w:rPr>
          <w:rFonts w:ascii="Tahoma" w:eastAsia="Tahoma" w:hAnsi="Tahoma"/>
          <w:color w:val="007896"/>
          <w:sz w:val="18"/>
        </w:rPr>
        <w:t>.</w:t>
      </w:r>
    </w:p>
    <w:p w14:paraId="7AE3A219" w14:textId="77777777" w:rsidR="009757A9" w:rsidRDefault="00083242">
      <w:pPr>
        <w:spacing w:before="168"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Smith Family (2013), ‘Sport, culture and the internet: Are Australian children participating?’, research report, June 2013, </w:t>
      </w:r>
      <w:hyperlink r:id="rId478">
        <w:r>
          <w:rPr>
            <w:rFonts w:ascii="Verdana" w:eastAsia="Verdana" w:hAnsi="Verdana"/>
            <w:color w:val="0000FF"/>
            <w:sz w:val="17"/>
            <w:u w:val="single"/>
          </w:rPr>
          <w:t>https://www.thesmithfamily.com.au/-/media/files/research/reports/participation</w:t>
        </w:r>
      </w:hyperlink>
      <w:r>
        <w:rPr>
          <w:rFonts w:ascii="Tahoma" w:eastAsia="Tahoma" w:hAnsi="Tahoma"/>
          <w:color w:val="0000FF"/>
          <w:sz w:val="18"/>
          <w:u w:val="single"/>
        </w:rPr>
        <w:t>-research-report-june-2013.pdf</w:t>
      </w:r>
      <w:r>
        <w:rPr>
          <w:rFonts w:ascii="Tahoma" w:eastAsia="Tahoma" w:hAnsi="Tahoma"/>
          <w:color w:val="007896"/>
          <w:sz w:val="18"/>
        </w:rPr>
        <w:t>.</w:t>
      </w:r>
    </w:p>
    <w:p w14:paraId="09CE9624" w14:textId="77777777" w:rsidR="009757A9" w:rsidRDefault="00083242">
      <w:pPr>
        <w:spacing w:before="173" w:line="240" w:lineRule="exact"/>
        <w:ind w:left="864" w:right="1152"/>
        <w:textAlignment w:val="baseline"/>
        <w:rPr>
          <w:rFonts w:ascii="Tahoma" w:eastAsia="Tahoma" w:hAnsi="Tahoma"/>
          <w:color w:val="404042"/>
          <w:sz w:val="18"/>
        </w:rPr>
      </w:pPr>
      <w:r>
        <w:rPr>
          <w:rFonts w:ascii="Tahoma" w:eastAsia="Tahoma" w:hAnsi="Tahoma"/>
          <w:color w:val="404042"/>
          <w:sz w:val="18"/>
        </w:rPr>
        <w:t xml:space="preserve">Snell, D. and Gekara, V. (2016), </w:t>
      </w:r>
      <w:r>
        <w:rPr>
          <w:rFonts w:ascii="Arial" w:eastAsia="Arial" w:hAnsi="Arial"/>
          <w:i/>
          <w:color w:val="404042"/>
          <w:sz w:val="18"/>
        </w:rPr>
        <w:t>Examining the transferability of skills developed within the Australian vocational education and training system: Support document 2</w:t>
      </w:r>
      <w:r>
        <w:rPr>
          <w:rFonts w:ascii="Tahoma" w:eastAsia="Tahoma" w:hAnsi="Tahoma"/>
          <w:color w:val="404042"/>
          <w:sz w:val="18"/>
        </w:rPr>
        <w:t>, National Centre for Vocational Education Research.</w:t>
      </w:r>
    </w:p>
    <w:p w14:paraId="55629CB2" w14:textId="77777777" w:rsidR="009757A9" w:rsidRDefault="00083242">
      <w:pPr>
        <w:spacing w:before="173" w:line="240" w:lineRule="exact"/>
        <w:ind w:left="864"/>
        <w:textAlignment w:val="baseline"/>
        <w:rPr>
          <w:rFonts w:ascii="Tahoma" w:eastAsia="Tahoma" w:hAnsi="Tahoma"/>
          <w:color w:val="404042"/>
          <w:spacing w:val="1"/>
          <w:sz w:val="18"/>
        </w:rPr>
      </w:pPr>
      <w:r>
        <w:rPr>
          <w:rFonts w:ascii="Tahoma" w:eastAsia="Tahoma" w:hAnsi="Tahoma"/>
          <w:color w:val="404042"/>
          <w:spacing w:val="1"/>
          <w:sz w:val="18"/>
        </w:rPr>
        <w:t xml:space="preserve">Social Deck (2020), </w:t>
      </w:r>
      <w:r>
        <w:rPr>
          <w:rFonts w:ascii="Arial" w:eastAsia="Arial" w:hAnsi="Arial"/>
          <w:i/>
          <w:color w:val="404042"/>
          <w:spacing w:val="1"/>
          <w:sz w:val="18"/>
        </w:rPr>
        <w:t>Wagga Wagga Youth Forum</w:t>
      </w:r>
      <w:r>
        <w:rPr>
          <w:rFonts w:ascii="Tahoma" w:eastAsia="Tahoma" w:hAnsi="Tahoma"/>
          <w:color w:val="404042"/>
          <w:spacing w:val="1"/>
          <w:sz w:val="18"/>
        </w:rPr>
        <w:t>, unpublished report.</w:t>
      </w:r>
    </w:p>
    <w:p w14:paraId="43224CA7" w14:textId="77777777" w:rsidR="009757A9" w:rsidRDefault="00083242">
      <w:pPr>
        <w:spacing w:before="163" w:line="240" w:lineRule="exact"/>
        <w:ind w:left="864" w:right="1296"/>
        <w:textAlignment w:val="baseline"/>
        <w:rPr>
          <w:rFonts w:ascii="Tahoma" w:eastAsia="Tahoma" w:hAnsi="Tahoma"/>
          <w:color w:val="404042"/>
          <w:sz w:val="18"/>
        </w:rPr>
      </w:pPr>
      <w:r>
        <w:rPr>
          <w:rFonts w:ascii="Tahoma" w:eastAsia="Tahoma" w:hAnsi="Tahoma"/>
          <w:color w:val="404042"/>
          <w:sz w:val="18"/>
        </w:rPr>
        <w:t xml:space="preserve">Soland, J., Hamilton, L. and Stecher, B. (2013), </w:t>
      </w:r>
      <w:r>
        <w:rPr>
          <w:rFonts w:ascii="Arial" w:eastAsia="Arial" w:hAnsi="Arial"/>
          <w:i/>
          <w:color w:val="404042"/>
          <w:sz w:val="18"/>
        </w:rPr>
        <w:t>Measuring 21st-Century Competencies: Guidance for educators</w:t>
      </w:r>
      <w:r>
        <w:rPr>
          <w:rFonts w:ascii="Tahoma" w:eastAsia="Tahoma" w:hAnsi="Tahoma"/>
          <w:color w:val="404042"/>
          <w:sz w:val="18"/>
        </w:rPr>
        <w:t>, RAND Corporation and Asia Society, Global Cities Education Network report, November 2013,</w:t>
      </w:r>
      <w:r>
        <w:rPr>
          <w:rFonts w:ascii="Verdana" w:eastAsia="Verdana" w:hAnsi="Verdana"/>
          <w:color w:val="007896"/>
          <w:sz w:val="17"/>
        </w:rPr>
        <w:t xml:space="preserve"> </w:t>
      </w:r>
      <w:hyperlink r:id="rId479">
        <w:r>
          <w:rPr>
            <w:rFonts w:ascii="Verdana" w:eastAsia="Verdana" w:hAnsi="Verdana"/>
            <w:color w:val="0000FF"/>
            <w:sz w:val="17"/>
            <w:u w:val="single"/>
          </w:rPr>
          <w:t xml:space="preserve">http://asiasociety.org/files/ </w:t>
        </w:r>
      </w:hyperlink>
      <w:r>
        <w:rPr>
          <w:rFonts w:ascii="Tahoma" w:eastAsia="Tahoma" w:hAnsi="Tahoma"/>
          <w:color w:val="0000FF"/>
          <w:sz w:val="18"/>
          <w:u w:val="single"/>
        </w:rPr>
        <w:t>gcen-measuring21cskills.pdf</w:t>
      </w:r>
      <w:r>
        <w:rPr>
          <w:rFonts w:ascii="Tahoma" w:eastAsia="Tahoma" w:hAnsi="Tahoma"/>
          <w:color w:val="007896"/>
          <w:sz w:val="18"/>
        </w:rPr>
        <w:t>.</w:t>
      </w:r>
    </w:p>
    <w:p w14:paraId="15E38367" w14:textId="77777777" w:rsidR="009757A9" w:rsidRDefault="00083242">
      <w:pPr>
        <w:spacing w:before="193" w:line="215" w:lineRule="exact"/>
        <w:ind w:left="864"/>
        <w:textAlignment w:val="baseline"/>
        <w:rPr>
          <w:rFonts w:ascii="Tahoma" w:eastAsia="Tahoma" w:hAnsi="Tahoma"/>
          <w:color w:val="404042"/>
          <w:spacing w:val="5"/>
          <w:sz w:val="18"/>
        </w:rPr>
      </w:pPr>
      <w:r>
        <w:rPr>
          <w:rFonts w:ascii="Tahoma" w:eastAsia="Tahoma" w:hAnsi="Tahoma"/>
          <w:color w:val="404042"/>
          <w:spacing w:val="5"/>
          <w:sz w:val="18"/>
        </w:rPr>
        <w:t>South Australian Commissioner for Children and Young People (2019), letter to the Honorable Dan Tehan, federal</w:t>
      </w:r>
    </w:p>
    <w:p w14:paraId="5434CD00" w14:textId="77777777" w:rsidR="009757A9" w:rsidRDefault="00083242">
      <w:pPr>
        <w:spacing w:line="240" w:lineRule="exact"/>
        <w:ind w:left="864" w:right="864"/>
        <w:textAlignment w:val="baseline"/>
        <w:rPr>
          <w:rFonts w:ascii="Tahoma" w:eastAsia="Tahoma" w:hAnsi="Tahoma"/>
          <w:color w:val="404042"/>
          <w:sz w:val="18"/>
        </w:rPr>
      </w:pPr>
      <w:r>
        <w:rPr>
          <w:rFonts w:ascii="Tahoma" w:eastAsia="Tahoma" w:hAnsi="Tahoma"/>
          <w:color w:val="404042"/>
          <w:sz w:val="18"/>
        </w:rPr>
        <w:t>Minister for Education, 6 December 2019,</w:t>
      </w:r>
      <w:r>
        <w:rPr>
          <w:rFonts w:ascii="Tahoma" w:eastAsia="Tahoma" w:hAnsi="Tahoma"/>
          <w:color w:val="007896"/>
          <w:sz w:val="18"/>
        </w:rPr>
        <w:t xml:space="preserve"> </w:t>
      </w:r>
      <w:hyperlink r:id="rId480">
        <w:r>
          <w:rPr>
            <w:rFonts w:ascii="Tahoma" w:eastAsia="Tahoma" w:hAnsi="Tahoma"/>
            <w:color w:val="0000FF"/>
            <w:sz w:val="18"/>
            <w:u w:val="single"/>
          </w:rPr>
          <w:t>https://www.ccyp.com.au/wp-content/uploads/2020/04/2019-12-06-Review-o f-Senior-Secondary-Pathways-Submission.pdf</w:t>
        </w:r>
      </w:hyperlink>
      <w:r>
        <w:rPr>
          <w:rFonts w:ascii="Tahoma" w:eastAsia="Tahoma" w:hAnsi="Tahoma"/>
          <w:color w:val="007896"/>
          <w:sz w:val="18"/>
        </w:rPr>
        <w:t>.</w:t>
      </w:r>
    </w:p>
    <w:p w14:paraId="08A956E4" w14:textId="77777777" w:rsidR="009757A9" w:rsidRDefault="00083242">
      <w:pPr>
        <w:spacing w:before="173" w:line="240" w:lineRule="exact"/>
        <w:ind w:left="864" w:right="1296"/>
        <w:textAlignment w:val="baseline"/>
        <w:rPr>
          <w:rFonts w:ascii="Tahoma" w:eastAsia="Tahoma" w:hAnsi="Tahoma"/>
          <w:color w:val="404042"/>
          <w:sz w:val="18"/>
        </w:rPr>
      </w:pPr>
      <w:r>
        <w:rPr>
          <w:rFonts w:ascii="Tahoma" w:eastAsia="Tahoma" w:hAnsi="Tahoma"/>
          <w:color w:val="404042"/>
          <w:sz w:val="18"/>
        </w:rPr>
        <w:t xml:space="preserve">South Australian Government (2018), </w:t>
      </w:r>
      <w:r>
        <w:rPr>
          <w:rFonts w:ascii="Arial" w:eastAsia="Arial" w:hAnsi="Arial"/>
          <w:i/>
          <w:color w:val="404042"/>
          <w:sz w:val="18"/>
        </w:rPr>
        <w:t>SACE Stage 2 Review</w:t>
      </w:r>
      <w:r>
        <w:rPr>
          <w:rFonts w:ascii="Tahoma" w:eastAsia="Tahoma" w:hAnsi="Tahoma"/>
          <w:color w:val="404042"/>
          <w:sz w:val="18"/>
        </w:rPr>
        <w:t>, September 2018,</w:t>
      </w:r>
      <w:r>
        <w:rPr>
          <w:rFonts w:ascii="Tahoma" w:eastAsia="Tahoma" w:hAnsi="Tahoma"/>
          <w:color w:val="007896"/>
          <w:sz w:val="18"/>
        </w:rPr>
        <w:t xml:space="preserve"> </w:t>
      </w:r>
      <w:hyperlink r:id="rId481">
        <w:r>
          <w:rPr>
            <w:rFonts w:ascii="Tahoma" w:eastAsia="Tahoma" w:hAnsi="Tahoma"/>
            <w:color w:val="0000FF"/>
            <w:sz w:val="18"/>
            <w:u w:val="single"/>
          </w:rPr>
          <w:t xml:space="preserve">https://www.education.sa.gov.au/sites/ </w:t>
        </w:r>
      </w:hyperlink>
      <w:r>
        <w:rPr>
          <w:rFonts w:ascii="Verdana" w:eastAsia="Verdana" w:hAnsi="Verdana"/>
          <w:color w:val="0000FF"/>
          <w:sz w:val="17"/>
          <w:u w:val="single"/>
        </w:rPr>
        <w:t>default/files/sace</w:t>
      </w:r>
      <w:r>
        <w:rPr>
          <w:rFonts w:ascii="Tahoma" w:eastAsia="Tahoma" w:hAnsi="Tahoma"/>
          <w:color w:val="0000FF"/>
          <w:sz w:val="18"/>
          <w:u w:val="single"/>
        </w:rPr>
        <w:t>-stage-2-review.pdf</w:t>
      </w:r>
      <w:r>
        <w:rPr>
          <w:rFonts w:ascii="Tahoma" w:eastAsia="Tahoma" w:hAnsi="Tahoma"/>
          <w:color w:val="007896"/>
          <w:sz w:val="18"/>
        </w:rPr>
        <w:t>.</w:t>
      </w:r>
    </w:p>
    <w:p w14:paraId="63770CCB" w14:textId="77777777" w:rsidR="009757A9" w:rsidRDefault="00083242">
      <w:pPr>
        <w:spacing w:before="172" w:line="240" w:lineRule="exact"/>
        <w:ind w:left="864" w:right="1008"/>
        <w:textAlignment w:val="baseline"/>
        <w:rPr>
          <w:rFonts w:ascii="Tahoma" w:eastAsia="Tahoma" w:hAnsi="Tahoma"/>
          <w:color w:val="404042"/>
          <w:sz w:val="18"/>
        </w:rPr>
      </w:pPr>
      <w:r>
        <w:rPr>
          <w:rFonts w:ascii="Tahoma" w:eastAsia="Tahoma" w:hAnsi="Tahoma"/>
          <w:color w:val="404042"/>
          <w:sz w:val="18"/>
        </w:rPr>
        <w:t xml:space="preserve">South Australian Government (2019), </w:t>
      </w:r>
      <w:r>
        <w:rPr>
          <w:rFonts w:ascii="Arial" w:eastAsia="Arial" w:hAnsi="Arial"/>
          <w:i/>
          <w:color w:val="404042"/>
          <w:sz w:val="18"/>
        </w:rPr>
        <w:t>A Review of VET for School Students: Repositioning VET within secondary education in South Australia</w:t>
      </w:r>
      <w:r>
        <w:rPr>
          <w:rFonts w:ascii="Tahoma" w:eastAsia="Tahoma" w:hAnsi="Tahoma"/>
          <w:color w:val="404042"/>
          <w:sz w:val="18"/>
        </w:rPr>
        <w:t>,</w:t>
      </w:r>
      <w:r>
        <w:rPr>
          <w:rFonts w:ascii="Verdana" w:eastAsia="Verdana" w:hAnsi="Verdana"/>
          <w:color w:val="007896"/>
          <w:sz w:val="17"/>
        </w:rPr>
        <w:t xml:space="preserve"> </w:t>
      </w:r>
      <w:hyperlink r:id="rId482">
        <w:r>
          <w:rPr>
            <w:rFonts w:ascii="Verdana" w:eastAsia="Verdana" w:hAnsi="Verdana"/>
            <w:color w:val="0000FF"/>
            <w:sz w:val="17"/>
            <w:u w:val="single"/>
          </w:rPr>
          <w:t>https://www.education.sa.gov.au/sites/default/files/vet</w:t>
        </w:r>
      </w:hyperlink>
      <w:r>
        <w:rPr>
          <w:rFonts w:ascii="Tahoma" w:eastAsia="Tahoma" w:hAnsi="Tahoma"/>
          <w:color w:val="0000FF"/>
          <w:sz w:val="18"/>
          <w:u w:val="single"/>
        </w:rPr>
        <w:t>-for-school-students.pdf</w:t>
      </w:r>
      <w:r>
        <w:rPr>
          <w:rFonts w:ascii="Tahoma" w:eastAsia="Tahoma" w:hAnsi="Tahoma"/>
          <w:color w:val="007896"/>
          <w:sz w:val="18"/>
        </w:rPr>
        <w:t>.</w:t>
      </w:r>
    </w:p>
    <w:p w14:paraId="6932A8C7" w14:textId="77777777" w:rsidR="009757A9" w:rsidRDefault="00083242">
      <w:pPr>
        <w:spacing w:before="389" w:after="635" w:line="205" w:lineRule="exact"/>
        <w:ind w:left="9792"/>
        <w:textAlignment w:val="baseline"/>
        <w:rPr>
          <w:rFonts w:ascii="Tahoma" w:eastAsia="Tahoma" w:hAnsi="Tahoma"/>
          <w:color w:val="404042"/>
          <w:spacing w:val="14"/>
          <w:sz w:val="14"/>
        </w:rPr>
      </w:pPr>
      <w:r>
        <w:rPr>
          <w:rFonts w:ascii="Tahoma" w:eastAsia="Tahoma" w:hAnsi="Tahoma"/>
          <w:color w:val="404042"/>
          <w:spacing w:val="14"/>
          <w:sz w:val="14"/>
        </w:rPr>
        <w:t>References</w:t>
      </w:r>
      <w:r>
        <w:rPr>
          <w:rFonts w:ascii="Arial" w:eastAsia="Arial" w:hAnsi="Arial"/>
          <w:b/>
          <w:color w:val="5556A1"/>
          <w:spacing w:val="14"/>
          <w:sz w:val="18"/>
        </w:rPr>
        <w:t xml:space="preserve"> 175</w:t>
      </w:r>
    </w:p>
    <w:p w14:paraId="5781BCBF" w14:textId="77777777" w:rsidR="009757A9" w:rsidRDefault="00083242">
      <w:pPr>
        <w:textAlignment w:val="baseline"/>
      </w:pPr>
      <w:r>
        <w:rPr>
          <w:noProof/>
          <w:lang w:val="en-AU" w:eastAsia="en-AU"/>
        </w:rPr>
        <w:drawing>
          <wp:inline distT="0" distB="0" distL="0" distR="0" wp14:anchorId="575FD712" wp14:editId="12CABBE9">
            <wp:extent cx="7562215" cy="462915"/>
            <wp:effectExtent l="0" t="0" r="0" b="0"/>
            <wp:docPr id="278" name="Picture"/>
            <wp:cNvGraphicFramePr/>
            <a:graphic xmlns:a="http://schemas.openxmlformats.org/drawingml/2006/main">
              <a:graphicData uri="http://schemas.openxmlformats.org/drawingml/2006/picture">
                <pic:pic xmlns:pic="http://schemas.openxmlformats.org/drawingml/2006/picture">
                  <pic:nvPicPr>
                    <pic:cNvPr id="278" name="Picture"/>
                    <pic:cNvPicPr preferRelativeResize="0"/>
                  </pic:nvPicPr>
                  <pic:blipFill>
                    <a:blip r:embed="rId41"/>
                    <a:stretch>
                      <a:fillRect/>
                    </a:stretch>
                  </pic:blipFill>
                  <pic:spPr>
                    <a:xfrm>
                      <a:off x="0" y="0"/>
                      <a:ext cx="7562215" cy="462915"/>
                    </a:xfrm>
                    <a:prstGeom prst="rect">
                      <a:avLst/>
                    </a:prstGeom>
                  </pic:spPr>
                </pic:pic>
              </a:graphicData>
            </a:graphic>
          </wp:inline>
        </w:drawing>
      </w:r>
    </w:p>
    <w:p w14:paraId="2732DF27" w14:textId="77777777" w:rsidR="009757A9" w:rsidRDefault="009757A9">
      <w:pPr>
        <w:sectPr w:rsidR="009757A9">
          <w:pgSz w:w="11909" w:h="16838"/>
          <w:pgMar w:top="1080" w:right="0" w:bottom="0" w:left="0" w:header="720" w:footer="720" w:gutter="0"/>
          <w:cols w:space="720"/>
        </w:sectPr>
      </w:pPr>
    </w:p>
    <w:p w14:paraId="65A7A6FE" w14:textId="77777777" w:rsidR="009757A9" w:rsidRDefault="00083242">
      <w:pPr>
        <w:spacing w:before="15" w:line="230" w:lineRule="exact"/>
        <w:ind w:left="864"/>
        <w:textAlignment w:val="baseline"/>
        <w:rPr>
          <w:rFonts w:ascii="Tahoma" w:eastAsia="Tahoma" w:hAnsi="Tahoma"/>
          <w:color w:val="404042"/>
          <w:spacing w:val="-1"/>
          <w:sz w:val="18"/>
        </w:rPr>
      </w:pPr>
      <w:r>
        <w:rPr>
          <w:rFonts w:ascii="Tahoma" w:eastAsia="Tahoma" w:hAnsi="Tahoma"/>
          <w:color w:val="404042"/>
          <w:spacing w:val="-1"/>
          <w:sz w:val="18"/>
        </w:rPr>
        <w:lastRenderedPageBreak/>
        <w:t xml:space="preserve">Stanwick, J. Forrest, C. and Skujins, P. (2017), </w:t>
      </w:r>
      <w:r>
        <w:rPr>
          <w:rFonts w:ascii="Arial" w:eastAsia="Arial" w:hAnsi="Arial"/>
          <w:i/>
          <w:color w:val="404042"/>
          <w:spacing w:val="-1"/>
          <w:sz w:val="19"/>
        </w:rPr>
        <w:t>Who Are the Persistently NEET Young People?</w:t>
      </w:r>
      <w:r>
        <w:rPr>
          <w:rFonts w:ascii="Tahoma" w:eastAsia="Tahoma" w:hAnsi="Tahoma"/>
          <w:color w:val="404042"/>
          <w:spacing w:val="-1"/>
          <w:sz w:val="18"/>
        </w:rPr>
        <w:t>, National Centre for Vocational</w:t>
      </w:r>
    </w:p>
    <w:p w14:paraId="6BBE5794" w14:textId="77777777" w:rsidR="009757A9" w:rsidRDefault="00083242">
      <w:pPr>
        <w:spacing w:line="228" w:lineRule="exact"/>
        <w:ind w:left="864" w:right="936"/>
        <w:textAlignment w:val="baseline"/>
        <w:rPr>
          <w:rFonts w:ascii="Tahoma" w:eastAsia="Tahoma" w:hAnsi="Tahoma"/>
          <w:color w:val="404042"/>
          <w:sz w:val="18"/>
        </w:rPr>
      </w:pPr>
      <w:r>
        <w:rPr>
          <w:rFonts w:ascii="Tahoma" w:eastAsia="Tahoma" w:hAnsi="Tahoma"/>
          <w:color w:val="404042"/>
          <w:sz w:val="18"/>
        </w:rPr>
        <w:t>Education Research,</w:t>
      </w:r>
      <w:r>
        <w:rPr>
          <w:rFonts w:ascii="Verdana" w:eastAsia="Verdana" w:hAnsi="Verdana"/>
          <w:color w:val="007896"/>
          <w:sz w:val="17"/>
        </w:rPr>
        <w:t xml:space="preserve"> </w:t>
      </w:r>
      <w:hyperlink r:id="rId483">
        <w:r>
          <w:rPr>
            <w:rFonts w:ascii="Verdana" w:eastAsia="Verdana" w:hAnsi="Verdana"/>
            <w:color w:val="0000FF"/>
            <w:sz w:val="17"/>
            <w:u w:val="single"/>
          </w:rPr>
          <w:t>https://www.ncver.edu.au/__data/assets/pdf_file/0016/1073041/Who</w:t>
        </w:r>
      </w:hyperlink>
      <w:r>
        <w:rPr>
          <w:rFonts w:ascii="Tahoma" w:eastAsia="Tahoma" w:hAnsi="Tahoma"/>
          <w:color w:val="0000FF"/>
          <w:sz w:val="18"/>
          <w:u w:val="single"/>
        </w:rPr>
        <w:t>-are-the-persistently-NEET-y oung-people.pdf</w:t>
      </w:r>
      <w:r>
        <w:rPr>
          <w:rFonts w:ascii="Tahoma" w:eastAsia="Tahoma" w:hAnsi="Tahoma"/>
          <w:color w:val="007896"/>
          <w:sz w:val="18"/>
        </w:rPr>
        <w:t>.</w:t>
      </w:r>
    </w:p>
    <w:p w14:paraId="0032CBE5" w14:textId="77777777" w:rsidR="009757A9" w:rsidRDefault="00083242">
      <w:pPr>
        <w:spacing w:before="169" w:line="230" w:lineRule="exact"/>
        <w:ind w:left="864" w:right="1440"/>
        <w:textAlignment w:val="baseline"/>
        <w:rPr>
          <w:rFonts w:ascii="Verdana" w:eastAsia="Verdana" w:hAnsi="Verdana"/>
          <w:color w:val="404042"/>
          <w:spacing w:val="-1"/>
          <w:sz w:val="17"/>
        </w:rPr>
      </w:pPr>
      <w:r>
        <w:rPr>
          <w:rFonts w:ascii="Verdana" w:eastAsia="Verdana" w:hAnsi="Verdana"/>
          <w:color w:val="404042"/>
          <w:spacing w:val="-1"/>
          <w:sz w:val="17"/>
        </w:rPr>
        <w:t>Tasmanian Government (2019), ‘Years 9 to 12 Curriculum Framework’, fact sheet, version 3, April 2019,</w:t>
      </w:r>
      <w:r>
        <w:rPr>
          <w:rFonts w:ascii="Tahoma" w:eastAsia="Tahoma" w:hAnsi="Tahoma"/>
          <w:color w:val="007896"/>
          <w:spacing w:val="-1"/>
          <w:sz w:val="18"/>
        </w:rPr>
        <w:t xml:space="preserve"> </w:t>
      </w:r>
      <w:hyperlink r:id="rId484">
        <w:r>
          <w:rPr>
            <w:rFonts w:ascii="Tahoma" w:eastAsia="Tahoma" w:hAnsi="Tahoma"/>
            <w:color w:val="0000FF"/>
            <w:spacing w:val="-1"/>
            <w:sz w:val="18"/>
            <w:u w:val="single"/>
          </w:rPr>
          <w:t>https:// publicdocumentcentre.education.tas.gov.au/Documents/Education%209-12%20Frameworks%20A3%20WEB%20 POSTER.pdf</w:t>
        </w:r>
      </w:hyperlink>
      <w:r>
        <w:rPr>
          <w:rFonts w:ascii="Tahoma" w:eastAsia="Tahoma" w:hAnsi="Tahoma"/>
          <w:color w:val="007896"/>
          <w:spacing w:val="-1"/>
          <w:sz w:val="18"/>
        </w:rPr>
        <w:t>.</w:t>
      </w:r>
    </w:p>
    <w:p w14:paraId="37C4BEDF" w14:textId="77777777" w:rsidR="009757A9" w:rsidRDefault="00083242">
      <w:pPr>
        <w:spacing w:before="169" w:line="230" w:lineRule="exact"/>
        <w:ind w:left="864" w:right="864"/>
        <w:textAlignment w:val="baseline"/>
        <w:rPr>
          <w:rFonts w:ascii="Tahoma" w:eastAsia="Tahoma" w:hAnsi="Tahoma"/>
          <w:color w:val="404042"/>
          <w:spacing w:val="-3"/>
          <w:sz w:val="18"/>
        </w:rPr>
      </w:pPr>
      <w:r>
        <w:rPr>
          <w:rFonts w:ascii="Tahoma" w:eastAsia="Tahoma" w:hAnsi="Tahoma"/>
          <w:color w:val="404042"/>
          <w:spacing w:val="-3"/>
          <w:sz w:val="18"/>
        </w:rPr>
        <w:t xml:space="preserve">Torii, K. (2018), </w:t>
      </w:r>
      <w:r>
        <w:rPr>
          <w:rFonts w:ascii="Arial" w:eastAsia="Arial" w:hAnsi="Arial"/>
          <w:i/>
          <w:color w:val="404042"/>
          <w:spacing w:val="-3"/>
          <w:sz w:val="19"/>
        </w:rPr>
        <w:t>Connecting the Worlds of Learning and Work: Prioritising school–industry partnerships in Australia’s education system</w:t>
      </w:r>
      <w:r>
        <w:rPr>
          <w:rFonts w:ascii="Verdana" w:eastAsia="Verdana" w:hAnsi="Verdana"/>
          <w:color w:val="404042"/>
          <w:spacing w:val="-3"/>
          <w:sz w:val="17"/>
        </w:rPr>
        <w:t>, Mitchell Report No. 02/2018, Mitchell Institute: Victoria University, July 2018,</w:t>
      </w:r>
      <w:r>
        <w:rPr>
          <w:rFonts w:ascii="Tahoma" w:eastAsia="Tahoma" w:hAnsi="Tahoma"/>
          <w:color w:val="007896"/>
          <w:spacing w:val="-3"/>
          <w:sz w:val="18"/>
        </w:rPr>
        <w:t xml:space="preserve"> </w:t>
      </w:r>
      <w:hyperlink r:id="rId485">
        <w:r>
          <w:rPr>
            <w:rFonts w:ascii="Tahoma" w:eastAsia="Tahoma" w:hAnsi="Tahoma"/>
            <w:color w:val="0000FF"/>
            <w:spacing w:val="-3"/>
            <w:sz w:val="18"/>
            <w:u w:val="single"/>
          </w:rPr>
          <w:t>http://www.mitchellinstitute.org. au/wp-content/uploads/2018/07/Connecting-the-worlds-of-learning-and-work.pdf</w:t>
        </w:r>
      </w:hyperlink>
      <w:r>
        <w:rPr>
          <w:rFonts w:ascii="Tahoma" w:eastAsia="Tahoma" w:hAnsi="Tahoma"/>
          <w:color w:val="007896"/>
          <w:spacing w:val="-3"/>
          <w:sz w:val="18"/>
        </w:rPr>
        <w:t>.</w:t>
      </w:r>
    </w:p>
    <w:p w14:paraId="11DB5113" w14:textId="77777777" w:rsidR="009757A9" w:rsidRDefault="00083242">
      <w:pPr>
        <w:spacing w:before="183" w:line="220" w:lineRule="exact"/>
        <w:ind w:left="864"/>
        <w:textAlignment w:val="baseline"/>
        <w:rPr>
          <w:rFonts w:ascii="Tahoma" w:eastAsia="Tahoma" w:hAnsi="Tahoma"/>
          <w:color w:val="404042"/>
          <w:spacing w:val="6"/>
          <w:sz w:val="18"/>
        </w:rPr>
      </w:pPr>
      <w:r>
        <w:rPr>
          <w:rFonts w:ascii="Tahoma" w:eastAsia="Tahoma" w:hAnsi="Tahoma"/>
          <w:color w:val="404042"/>
          <w:spacing w:val="6"/>
          <w:sz w:val="18"/>
        </w:rPr>
        <w:t>Universities Admissions Centre submission to the review (unpublished).</w:t>
      </w:r>
    </w:p>
    <w:p w14:paraId="25C20285" w14:textId="77777777" w:rsidR="009757A9" w:rsidRDefault="00083242">
      <w:pPr>
        <w:spacing w:before="169" w:line="230" w:lineRule="exact"/>
        <w:ind w:left="864" w:right="936"/>
        <w:textAlignment w:val="baseline"/>
        <w:rPr>
          <w:rFonts w:ascii="Tahoma" w:eastAsia="Tahoma" w:hAnsi="Tahoma"/>
          <w:color w:val="404042"/>
          <w:sz w:val="18"/>
        </w:rPr>
      </w:pPr>
      <w:r>
        <w:rPr>
          <w:rFonts w:ascii="Tahoma" w:eastAsia="Tahoma" w:hAnsi="Tahoma"/>
          <w:color w:val="404042"/>
          <w:sz w:val="18"/>
        </w:rPr>
        <w:t>Universities Australia (2019), ‘Submission to the Review of Senior Secondary Pathways’, 6 December 2019,</w:t>
      </w:r>
      <w:r>
        <w:rPr>
          <w:rFonts w:ascii="Tahoma" w:eastAsia="Tahoma" w:hAnsi="Tahoma"/>
          <w:color w:val="007896"/>
          <w:sz w:val="18"/>
        </w:rPr>
        <w:t xml:space="preserve"> </w:t>
      </w:r>
      <w:hyperlink r:id="rId486">
        <w:r>
          <w:rPr>
            <w:rFonts w:ascii="Tahoma" w:eastAsia="Tahoma" w:hAnsi="Tahoma"/>
            <w:color w:val="0000FF"/>
            <w:sz w:val="18"/>
            <w:u w:val="single"/>
          </w:rPr>
          <w:t>https://www. universitiesaustralia.edu.au/wp-content/uploads/2019/12/191127-Submission-Senior-secondary-pathways.pdf</w:t>
        </w:r>
      </w:hyperlink>
      <w:r>
        <w:rPr>
          <w:rFonts w:ascii="Tahoma" w:eastAsia="Tahoma" w:hAnsi="Tahoma"/>
          <w:color w:val="007896"/>
          <w:sz w:val="18"/>
        </w:rPr>
        <w:t>.</w:t>
      </w:r>
    </w:p>
    <w:p w14:paraId="1EE78022" w14:textId="77777777" w:rsidR="009757A9" w:rsidRDefault="00083242">
      <w:pPr>
        <w:spacing w:before="179"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University of Western Australia submission to the review (unpublished).</w:t>
      </w:r>
    </w:p>
    <w:p w14:paraId="322B6DB2" w14:textId="77777777" w:rsidR="009757A9" w:rsidRDefault="00083242">
      <w:pPr>
        <w:spacing w:before="178" w:line="230" w:lineRule="exact"/>
        <w:ind w:left="864"/>
        <w:textAlignment w:val="baseline"/>
        <w:rPr>
          <w:rFonts w:ascii="Tahoma" w:eastAsia="Tahoma" w:hAnsi="Tahoma"/>
          <w:color w:val="404042"/>
          <w:spacing w:val="-4"/>
          <w:sz w:val="18"/>
        </w:rPr>
      </w:pPr>
      <w:r>
        <w:rPr>
          <w:rFonts w:ascii="Tahoma" w:eastAsia="Tahoma" w:hAnsi="Tahoma"/>
          <w:color w:val="404042"/>
          <w:spacing w:val="-4"/>
          <w:sz w:val="18"/>
        </w:rPr>
        <w:t xml:space="preserve">Van Dyke, N. and Jackson, J. (2019), </w:t>
      </w:r>
      <w:r>
        <w:rPr>
          <w:rFonts w:ascii="Arial" w:eastAsia="Arial" w:hAnsi="Arial"/>
          <w:i/>
          <w:color w:val="404042"/>
          <w:spacing w:val="-4"/>
          <w:sz w:val="19"/>
        </w:rPr>
        <w:t>Unlocking the Value of VET for School Students: Submission to the Review of VET for</w:t>
      </w:r>
    </w:p>
    <w:p w14:paraId="471C1B3B" w14:textId="77777777" w:rsidR="009757A9" w:rsidRDefault="00083242">
      <w:pPr>
        <w:spacing w:line="225" w:lineRule="exact"/>
        <w:ind w:left="864" w:right="864"/>
        <w:textAlignment w:val="baseline"/>
        <w:rPr>
          <w:rFonts w:ascii="Arial" w:eastAsia="Arial" w:hAnsi="Arial"/>
          <w:i/>
          <w:color w:val="404042"/>
          <w:sz w:val="19"/>
        </w:rPr>
      </w:pPr>
      <w:r>
        <w:rPr>
          <w:rFonts w:ascii="Arial" w:eastAsia="Arial" w:hAnsi="Arial"/>
          <w:i/>
          <w:color w:val="404042"/>
          <w:sz w:val="19"/>
        </w:rPr>
        <w:t>School Students in South Australia</w:t>
      </w:r>
      <w:r>
        <w:rPr>
          <w:rFonts w:ascii="Tahoma" w:eastAsia="Tahoma" w:hAnsi="Tahoma"/>
          <w:color w:val="404042"/>
          <w:sz w:val="18"/>
        </w:rPr>
        <w:t>, Mitchell Institute: Victoria University,</w:t>
      </w:r>
      <w:r>
        <w:rPr>
          <w:rFonts w:ascii="Tahoma" w:eastAsia="Tahoma" w:hAnsi="Tahoma"/>
          <w:color w:val="007896"/>
          <w:sz w:val="18"/>
        </w:rPr>
        <w:t xml:space="preserve"> </w:t>
      </w:r>
      <w:hyperlink r:id="rId487">
        <w:r>
          <w:rPr>
            <w:rFonts w:ascii="Tahoma" w:eastAsia="Tahoma" w:hAnsi="Tahoma"/>
            <w:color w:val="0000FF"/>
            <w:sz w:val="18"/>
            <w:u w:val="single"/>
          </w:rPr>
          <w:t>http://www.mitchellinstitute.org.au/wp-content/ uploads/2019/09/Submission-to-SA-VET-in-Schools-Review.pdf</w:t>
        </w:r>
      </w:hyperlink>
      <w:r>
        <w:rPr>
          <w:rFonts w:ascii="Tahoma" w:eastAsia="Tahoma" w:hAnsi="Tahoma"/>
          <w:color w:val="007896"/>
          <w:sz w:val="18"/>
        </w:rPr>
        <w:t>.</w:t>
      </w:r>
    </w:p>
    <w:p w14:paraId="1C4D90E9" w14:textId="77777777" w:rsidR="009757A9" w:rsidRDefault="00083242">
      <w:pPr>
        <w:spacing w:before="178" w:line="235" w:lineRule="exact"/>
        <w:ind w:left="864" w:right="1008"/>
        <w:textAlignment w:val="baseline"/>
        <w:rPr>
          <w:rFonts w:ascii="Tahoma" w:eastAsia="Tahoma" w:hAnsi="Tahoma"/>
          <w:color w:val="404042"/>
          <w:sz w:val="18"/>
        </w:rPr>
      </w:pPr>
      <w:r>
        <w:rPr>
          <w:rFonts w:ascii="Tahoma" w:eastAsia="Tahoma" w:hAnsi="Tahoma"/>
          <w:color w:val="404042"/>
          <w:sz w:val="18"/>
        </w:rPr>
        <w:t xml:space="preserve">VicHealth, Data61, CSIRO and Multicultural Youth Advocacy Network (2017), </w:t>
      </w:r>
      <w:r>
        <w:rPr>
          <w:rFonts w:ascii="Arial" w:eastAsia="Arial" w:hAnsi="Arial"/>
          <w:i/>
          <w:color w:val="404042"/>
          <w:sz w:val="19"/>
        </w:rPr>
        <w:t>Bright Futures: Spotlight on the wellbeing of young people from refugee and migrant backgrounds</w:t>
      </w:r>
      <w:r>
        <w:rPr>
          <w:rFonts w:ascii="Tahoma" w:eastAsia="Tahoma" w:hAnsi="Tahoma"/>
          <w:color w:val="404042"/>
          <w:sz w:val="18"/>
        </w:rPr>
        <w:t>, Victorian Health Promotion Foundation,</w:t>
      </w:r>
      <w:r>
        <w:rPr>
          <w:rFonts w:ascii="Tahoma" w:eastAsia="Tahoma" w:hAnsi="Tahoma"/>
          <w:color w:val="007896"/>
          <w:sz w:val="18"/>
        </w:rPr>
        <w:t xml:space="preserve"> </w:t>
      </w:r>
      <w:hyperlink r:id="rId488">
        <w:r>
          <w:rPr>
            <w:rFonts w:ascii="Tahoma" w:eastAsia="Tahoma" w:hAnsi="Tahoma"/>
            <w:color w:val="0000FF"/>
            <w:sz w:val="18"/>
            <w:u w:val="single"/>
          </w:rPr>
          <w:t>https://www.vichealth.vic. gov.au/media-and-resources/publications/bright-futures-spotlight-refugee-migrant-youth</w:t>
        </w:r>
      </w:hyperlink>
      <w:r>
        <w:rPr>
          <w:rFonts w:ascii="Tahoma" w:eastAsia="Tahoma" w:hAnsi="Tahoma"/>
          <w:color w:val="007896"/>
          <w:sz w:val="18"/>
        </w:rPr>
        <w:t>.</w:t>
      </w:r>
    </w:p>
    <w:p w14:paraId="66BCF264" w14:textId="77777777" w:rsidR="009757A9" w:rsidRDefault="00083242">
      <w:pPr>
        <w:spacing w:before="169" w:line="230" w:lineRule="exact"/>
        <w:ind w:left="864" w:right="936"/>
        <w:textAlignment w:val="baseline"/>
        <w:rPr>
          <w:rFonts w:ascii="Tahoma" w:eastAsia="Tahoma" w:hAnsi="Tahoma"/>
          <w:color w:val="404042"/>
          <w:spacing w:val="-3"/>
          <w:sz w:val="18"/>
        </w:rPr>
      </w:pPr>
      <w:r>
        <w:rPr>
          <w:rFonts w:ascii="Tahoma" w:eastAsia="Tahoma" w:hAnsi="Tahoma"/>
          <w:color w:val="404042"/>
          <w:spacing w:val="-3"/>
          <w:sz w:val="18"/>
        </w:rPr>
        <w:t xml:space="preserve">Victorian Council of Social Service (2019), </w:t>
      </w:r>
      <w:r>
        <w:rPr>
          <w:rFonts w:ascii="Arial" w:eastAsia="Arial" w:hAnsi="Arial"/>
          <w:i/>
          <w:color w:val="404042"/>
          <w:spacing w:val="-3"/>
          <w:sz w:val="19"/>
        </w:rPr>
        <w:t>Pathway to a Positive Future: VCOSS Submission to the Education Council’s Review of Senior Secondary Pathways into Work, Further Education and Training</w:t>
      </w:r>
      <w:r>
        <w:rPr>
          <w:rFonts w:ascii="Tahoma" w:eastAsia="Tahoma" w:hAnsi="Tahoma"/>
          <w:color w:val="404042"/>
          <w:spacing w:val="-3"/>
          <w:sz w:val="18"/>
        </w:rPr>
        <w:t>, December 2019,</w:t>
      </w:r>
      <w:r>
        <w:rPr>
          <w:rFonts w:ascii="Tahoma" w:eastAsia="Tahoma" w:hAnsi="Tahoma"/>
          <w:color w:val="007896"/>
          <w:spacing w:val="-3"/>
          <w:sz w:val="18"/>
        </w:rPr>
        <w:t xml:space="preserve"> </w:t>
      </w:r>
      <w:hyperlink r:id="rId489">
        <w:r>
          <w:rPr>
            <w:rFonts w:ascii="Tahoma" w:eastAsia="Tahoma" w:hAnsi="Tahoma"/>
            <w:color w:val="0000FF"/>
            <w:spacing w:val="-3"/>
            <w:sz w:val="18"/>
            <w:u w:val="single"/>
          </w:rPr>
          <w:t>https://vcoss.org.au/policy/ pathway-to-a-positive-future</w:t>
        </w:r>
      </w:hyperlink>
      <w:r>
        <w:rPr>
          <w:rFonts w:ascii="Tahoma" w:eastAsia="Tahoma" w:hAnsi="Tahoma"/>
          <w:color w:val="007896"/>
          <w:spacing w:val="-3"/>
          <w:sz w:val="18"/>
        </w:rPr>
        <w:t>.</w:t>
      </w:r>
    </w:p>
    <w:p w14:paraId="79ABC58F" w14:textId="77777777" w:rsidR="009757A9" w:rsidRDefault="00083242">
      <w:pPr>
        <w:spacing w:before="169" w:line="230" w:lineRule="exact"/>
        <w:ind w:left="864" w:right="1080"/>
        <w:textAlignment w:val="baseline"/>
        <w:rPr>
          <w:rFonts w:ascii="Tahoma" w:eastAsia="Tahoma" w:hAnsi="Tahoma"/>
          <w:color w:val="404042"/>
          <w:spacing w:val="-2"/>
          <w:sz w:val="18"/>
        </w:rPr>
      </w:pPr>
      <w:r>
        <w:rPr>
          <w:rFonts w:ascii="Tahoma" w:eastAsia="Tahoma" w:hAnsi="Tahoma"/>
          <w:color w:val="404042"/>
          <w:spacing w:val="-2"/>
          <w:sz w:val="18"/>
        </w:rPr>
        <w:t xml:space="preserve">Victorian Department of Education and Training (2018), </w:t>
      </w:r>
      <w:r>
        <w:rPr>
          <w:rFonts w:ascii="Arial" w:eastAsia="Arial" w:hAnsi="Arial"/>
          <w:i/>
          <w:color w:val="404042"/>
          <w:spacing w:val="-2"/>
          <w:sz w:val="19"/>
        </w:rPr>
        <w:t>Transforming Career Education in Victorian Government Schools: Connecting today’s learning with tomorrow’s jobs</w:t>
      </w:r>
      <w:r>
        <w:rPr>
          <w:rFonts w:ascii="Tahoma" w:eastAsia="Tahoma" w:hAnsi="Tahoma"/>
          <w:color w:val="404042"/>
          <w:spacing w:val="-2"/>
          <w:sz w:val="18"/>
        </w:rPr>
        <w:t>,</w:t>
      </w:r>
      <w:r>
        <w:rPr>
          <w:rFonts w:ascii="Tahoma" w:eastAsia="Tahoma" w:hAnsi="Tahoma"/>
          <w:color w:val="007896"/>
          <w:spacing w:val="-2"/>
          <w:sz w:val="18"/>
        </w:rPr>
        <w:t xml:space="preserve"> </w:t>
      </w:r>
      <w:hyperlink r:id="rId490">
        <w:r>
          <w:rPr>
            <w:rFonts w:ascii="Tahoma" w:eastAsia="Tahoma" w:hAnsi="Tahoma"/>
            <w:color w:val="0000FF"/>
            <w:spacing w:val="-2"/>
            <w:sz w:val="18"/>
            <w:u w:val="single"/>
          </w:rPr>
          <w:t>https://www.education.vic.gov.au/Documents/school/teachers/ teachingresources/careers/Transforming_Career_Education.pdf</w:t>
        </w:r>
      </w:hyperlink>
      <w:r>
        <w:rPr>
          <w:rFonts w:ascii="Tahoma" w:eastAsia="Tahoma" w:hAnsi="Tahoma"/>
          <w:color w:val="007896"/>
          <w:spacing w:val="-2"/>
          <w:sz w:val="18"/>
        </w:rPr>
        <w:t>.</w:t>
      </w:r>
    </w:p>
    <w:p w14:paraId="4DC6F9FB" w14:textId="77777777" w:rsidR="009757A9" w:rsidRDefault="00083242">
      <w:pPr>
        <w:spacing w:before="179" w:line="220" w:lineRule="exact"/>
        <w:ind w:left="864"/>
        <w:textAlignment w:val="baseline"/>
        <w:rPr>
          <w:rFonts w:ascii="Tahoma" w:eastAsia="Tahoma" w:hAnsi="Tahoma"/>
          <w:color w:val="404042"/>
          <w:spacing w:val="5"/>
          <w:sz w:val="18"/>
        </w:rPr>
      </w:pPr>
      <w:r>
        <w:rPr>
          <w:rFonts w:ascii="Tahoma" w:eastAsia="Tahoma" w:hAnsi="Tahoma"/>
          <w:color w:val="404042"/>
          <w:spacing w:val="5"/>
          <w:sz w:val="18"/>
        </w:rPr>
        <w:t>Victorian Department of Health and Human Services, ‘Early intervention in mental illness’, webpage (accessed</w:t>
      </w:r>
    </w:p>
    <w:p w14:paraId="6570F5E9" w14:textId="77777777" w:rsidR="009757A9" w:rsidRDefault="00083242">
      <w:pPr>
        <w:spacing w:before="10" w:line="220" w:lineRule="exact"/>
        <w:ind w:left="864"/>
        <w:textAlignment w:val="baseline"/>
        <w:rPr>
          <w:rFonts w:ascii="Verdana" w:eastAsia="Verdana" w:hAnsi="Verdana"/>
          <w:color w:val="404042"/>
          <w:spacing w:val="5"/>
          <w:sz w:val="17"/>
        </w:rPr>
      </w:pPr>
      <w:r>
        <w:rPr>
          <w:rFonts w:ascii="Verdana" w:eastAsia="Verdana" w:hAnsi="Verdana"/>
          <w:color w:val="404042"/>
          <w:spacing w:val="5"/>
          <w:sz w:val="17"/>
        </w:rPr>
        <w:t>3 December 2019),</w:t>
      </w:r>
      <w:r>
        <w:rPr>
          <w:rFonts w:ascii="Tahoma" w:eastAsia="Tahoma" w:hAnsi="Tahoma"/>
          <w:color w:val="007896"/>
          <w:spacing w:val="5"/>
          <w:sz w:val="18"/>
        </w:rPr>
        <w:t xml:space="preserve"> </w:t>
      </w:r>
      <w:hyperlink r:id="rId491">
        <w:r>
          <w:rPr>
            <w:rFonts w:ascii="Tahoma" w:eastAsia="Tahoma" w:hAnsi="Tahoma"/>
            <w:color w:val="0000FF"/>
            <w:spacing w:val="5"/>
            <w:sz w:val="18"/>
            <w:u w:val="single"/>
          </w:rPr>
          <w:t>https://www2.health.vic.gov.au/mental-health/prevention-and-promotion/early-intervention-in-me</w:t>
        </w:r>
      </w:hyperlink>
      <w:r>
        <w:rPr>
          <w:rFonts w:ascii="Tahoma" w:eastAsia="Tahoma" w:hAnsi="Tahoma"/>
          <w:color w:val="007896"/>
          <w:spacing w:val="5"/>
          <w:sz w:val="18"/>
        </w:rPr>
        <w:t xml:space="preserve"> </w:t>
      </w:r>
    </w:p>
    <w:p w14:paraId="3996E2C8" w14:textId="77777777" w:rsidR="009757A9" w:rsidRDefault="00837BFF">
      <w:pPr>
        <w:spacing w:before="11" w:line="209" w:lineRule="exact"/>
        <w:ind w:left="864"/>
        <w:textAlignment w:val="baseline"/>
        <w:rPr>
          <w:rFonts w:ascii="Tahoma" w:eastAsia="Tahoma" w:hAnsi="Tahoma"/>
          <w:color w:val="007896"/>
          <w:spacing w:val="5"/>
          <w:sz w:val="18"/>
        </w:rPr>
      </w:pPr>
      <w:hyperlink r:id="rId492">
        <w:r w:rsidR="00083242">
          <w:rPr>
            <w:rFonts w:ascii="Tahoma" w:eastAsia="Tahoma" w:hAnsi="Tahoma"/>
            <w:color w:val="0000FF"/>
            <w:spacing w:val="5"/>
            <w:sz w:val="18"/>
            <w:u w:val="single"/>
          </w:rPr>
          <w:t>ntal-health</w:t>
        </w:r>
      </w:hyperlink>
      <w:r w:rsidR="00083242">
        <w:rPr>
          <w:rFonts w:ascii="Tahoma" w:eastAsia="Tahoma" w:hAnsi="Tahoma"/>
          <w:color w:val="007896"/>
          <w:spacing w:val="5"/>
          <w:sz w:val="18"/>
        </w:rPr>
        <w:t>.</w:t>
      </w:r>
    </w:p>
    <w:p w14:paraId="6C86E526" w14:textId="77777777" w:rsidR="009757A9" w:rsidRDefault="00083242">
      <w:pPr>
        <w:spacing w:before="180" w:line="230" w:lineRule="exact"/>
        <w:ind w:left="864" w:right="864"/>
        <w:textAlignment w:val="baseline"/>
        <w:rPr>
          <w:rFonts w:ascii="Tahoma" w:eastAsia="Tahoma" w:hAnsi="Tahoma"/>
          <w:color w:val="404042"/>
          <w:sz w:val="18"/>
        </w:rPr>
      </w:pPr>
      <w:r>
        <w:rPr>
          <w:rFonts w:ascii="Tahoma" w:eastAsia="Tahoma" w:hAnsi="Tahoma"/>
          <w:color w:val="404042"/>
          <w:sz w:val="18"/>
        </w:rPr>
        <w:t xml:space="preserve">Victorian TAFE Association (2019), </w:t>
      </w:r>
      <w:r>
        <w:rPr>
          <w:rFonts w:ascii="Arial" w:eastAsia="Arial" w:hAnsi="Arial"/>
          <w:i/>
          <w:color w:val="404042"/>
          <w:sz w:val="19"/>
        </w:rPr>
        <w:t>Review of Senior Secondary Pathways into Work, Further Education and Training: Victorian TAFE Association response</w:t>
      </w:r>
      <w:r>
        <w:rPr>
          <w:rFonts w:ascii="Tahoma" w:eastAsia="Tahoma" w:hAnsi="Tahoma"/>
          <w:color w:val="404042"/>
          <w:sz w:val="18"/>
        </w:rPr>
        <w:t>, December 2019,</w:t>
      </w:r>
      <w:r>
        <w:rPr>
          <w:rFonts w:ascii="Tahoma" w:eastAsia="Tahoma" w:hAnsi="Tahoma"/>
          <w:color w:val="007896"/>
          <w:sz w:val="18"/>
        </w:rPr>
        <w:t xml:space="preserve"> </w:t>
      </w:r>
      <w:hyperlink r:id="rId493">
        <w:r>
          <w:rPr>
            <w:rFonts w:ascii="Tahoma" w:eastAsia="Tahoma" w:hAnsi="Tahoma"/>
            <w:color w:val="0000FF"/>
            <w:sz w:val="18"/>
            <w:u w:val="single"/>
          </w:rPr>
          <w:t>https://www.vta.vic.edu.au/doctest/publications/position-and-discussion-pa pers/967-coag-pathways-review-victorian-tafe-association-response</w:t>
        </w:r>
      </w:hyperlink>
      <w:r>
        <w:rPr>
          <w:rFonts w:ascii="Verdana" w:eastAsia="Verdana" w:hAnsi="Verdana"/>
          <w:color w:val="0000FF"/>
          <w:sz w:val="17"/>
          <w:u w:val="single"/>
        </w:rPr>
        <w:t>-fi nal/file</w:t>
      </w:r>
      <w:r>
        <w:rPr>
          <w:rFonts w:ascii="Tahoma" w:eastAsia="Tahoma" w:hAnsi="Tahoma"/>
          <w:color w:val="007896"/>
          <w:sz w:val="18"/>
        </w:rPr>
        <w:t>.</w:t>
      </w:r>
    </w:p>
    <w:p w14:paraId="0E11E27C" w14:textId="77777777" w:rsidR="009757A9" w:rsidRDefault="00083242">
      <w:pPr>
        <w:spacing w:before="174" w:line="230" w:lineRule="exact"/>
        <w:ind w:left="864" w:right="1080"/>
        <w:textAlignment w:val="baseline"/>
        <w:rPr>
          <w:rFonts w:ascii="Tahoma" w:eastAsia="Tahoma" w:hAnsi="Tahoma"/>
          <w:color w:val="404042"/>
          <w:sz w:val="18"/>
        </w:rPr>
      </w:pPr>
      <w:r>
        <w:rPr>
          <w:rFonts w:ascii="Tahoma" w:eastAsia="Tahoma" w:hAnsi="Tahoma"/>
          <w:color w:val="404042"/>
          <w:sz w:val="18"/>
        </w:rPr>
        <w:t xml:space="preserve">Waters, S., Cross, D. and Runions, K. (2009), ‘Social and ecological structures supporting adolescent connectedness to school: A theoretical model’, </w:t>
      </w:r>
      <w:r>
        <w:rPr>
          <w:rFonts w:ascii="Arial" w:eastAsia="Arial" w:hAnsi="Arial"/>
          <w:i/>
          <w:color w:val="404042"/>
          <w:sz w:val="19"/>
        </w:rPr>
        <w:t>Journal of School Health</w:t>
      </w:r>
      <w:r>
        <w:rPr>
          <w:rFonts w:ascii="Verdana" w:eastAsia="Verdana" w:hAnsi="Verdana"/>
          <w:color w:val="404042"/>
          <w:sz w:val="17"/>
        </w:rPr>
        <w:t>, vol. 79, no. 11,</w:t>
      </w:r>
      <w:r>
        <w:rPr>
          <w:rFonts w:ascii="Tahoma" w:eastAsia="Tahoma" w:hAnsi="Tahoma"/>
          <w:color w:val="007896"/>
          <w:sz w:val="18"/>
        </w:rPr>
        <w:t xml:space="preserve"> </w:t>
      </w:r>
      <w:hyperlink r:id="rId494">
        <w:r>
          <w:rPr>
            <w:rFonts w:ascii="Tahoma" w:eastAsia="Tahoma" w:hAnsi="Tahoma"/>
            <w:color w:val="0000FF"/>
            <w:sz w:val="18"/>
            <w:u w:val="single"/>
          </w:rPr>
          <w:t>https://onlinelibrary.wiley.com/doi/abs/10.1111/ j.1746-1561.2009.00443.x</w:t>
        </w:r>
      </w:hyperlink>
      <w:r>
        <w:rPr>
          <w:rFonts w:ascii="Tahoma" w:eastAsia="Tahoma" w:hAnsi="Tahoma"/>
          <w:color w:val="007896"/>
          <w:sz w:val="18"/>
        </w:rPr>
        <w:t>.</w:t>
      </w:r>
    </w:p>
    <w:p w14:paraId="5F2A764D" w14:textId="77777777" w:rsidR="009757A9" w:rsidRDefault="00083242">
      <w:pPr>
        <w:spacing w:before="174" w:line="230" w:lineRule="exact"/>
        <w:ind w:left="864" w:right="1440"/>
        <w:textAlignment w:val="baseline"/>
        <w:rPr>
          <w:rFonts w:ascii="Tahoma" w:eastAsia="Tahoma" w:hAnsi="Tahoma"/>
          <w:color w:val="404042"/>
          <w:sz w:val="18"/>
        </w:rPr>
      </w:pPr>
      <w:r>
        <w:rPr>
          <w:rFonts w:ascii="Tahoma" w:eastAsia="Tahoma" w:hAnsi="Tahoma"/>
          <w:color w:val="404042"/>
          <w:sz w:val="18"/>
        </w:rPr>
        <w:t xml:space="preserve">Watters, J., Pillay, H. and Flynn, M. (2016), </w:t>
      </w:r>
      <w:r>
        <w:rPr>
          <w:rFonts w:ascii="Arial" w:eastAsia="Arial" w:hAnsi="Arial"/>
          <w:i/>
          <w:color w:val="404042"/>
          <w:sz w:val="19"/>
        </w:rPr>
        <w:t>Industry–School Partnerships: A strategy to enhance education and training opportunities</w:t>
      </w:r>
      <w:r>
        <w:rPr>
          <w:rFonts w:ascii="Tahoma" w:eastAsia="Tahoma" w:hAnsi="Tahoma"/>
          <w:color w:val="404042"/>
          <w:sz w:val="18"/>
        </w:rPr>
        <w:t>, Queensland University of Technology, April 2016,</w:t>
      </w:r>
      <w:r>
        <w:rPr>
          <w:rFonts w:ascii="Tahoma" w:eastAsia="Tahoma" w:hAnsi="Tahoma"/>
          <w:color w:val="007896"/>
          <w:sz w:val="18"/>
        </w:rPr>
        <w:t xml:space="preserve"> </w:t>
      </w:r>
      <w:hyperlink r:id="rId495">
        <w:r>
          <w:rPr>
            <w:rFonts w:ascii="Tahoma" w:eastAsia="Tahoma" w:hAnsi="Tahoma"/>
            <w:color w:val="0000FF"/>
            <w:sz w:val="18"/>
            <w:u w:val="single"/>
          </w:rPr>
          <w:t>https://eprints.qut.edu.au/98390</w:t>
        </w:r>
      </w:hyperlink>
      <w:r>
        <w:rPr>
          <w:rFonts w:ascii="Tahoma" w:eastAsia="Tahoma" w:hAnsi="Tahoma"/>
          <w:color w:val="007896"/>
          <w:sz w:val="18"/>
        </w:rPr>
        <w:t>.</w:t>
      </w:r>
    </w:p>
    <w:p w14:paraId="7B095E35" w14:textId="77777777" w:rsidR="009757A9" w:rsidRDefault="00083242">
      <w:pPr>
        <w:spacing w:before="164" w:line="230" w:lineRule="exact"/>
        <w:ind w:left="864" w:right="1368"/>
        <w:textAlignment w:val="baseline"/>
        <w:rPr>
          <w:rFonts w:ascii="Tahoma" w:eastAsia="Tahoma" w:hAnsi="Tahoma"/>
          <w:color w:val="404042"/>
          <w:sz w:val="18"/>
        </w:rPr>
      </w:pPr>
      <w:r>
        <w:rPr>
          <w:rFonts w:ascii="Tahoma" w:eastAsia="Tahoma" w:hAnsi="Tahoma"/>
          <w:color w:val="404042"/>
          <w:sz w:val="18"/>
        </w:rPr>
        <w:t xml:space="preserve">Watterston, J. and O’Connell, M. (2019), </w:t>
      </w:r>
      <w:r>
        <w:rPr>
          <w:rFonts w:ascii="Arial" w:eastAsia="Arial" w:hAnsi="Arial"/>
          <w:i/>
          <w:color w:val="404042"/>
          <w:sz w:val="19"/>
        </w:rPr>
        <w:t>Those Who Disappear: The Australian education problem nobody wants to talk about</w:t>
      </w:r>
      <w:r>
        <w:rPr>
          <w:rFonts w:ascii="Tahoma" w:eastAsia="Tahoma" w:hAnsi="Tahoma"/>
          <w:color w:val="404042"/>
          <w:sz w:val="18"/>
        </w:rPr>
        <w:t>, Melbourne Graduate School of Education: University of Melbourne,</w:t>
      </w:r>
      <w:r>
        <w:rPr>
          <w:rFonts w:ascii="Tahoma" w:eastAsia="Tahoma" w:hAnsi="Tahoma"/>
          <w:color w:val="007896"/>
          <w:sz w:val="18"/>
        </w:rPr>
        <w:t xml:space="preserve"> </w:t>
      </w:r>
      <w:hyperlink r:id="rId496">
        <w:r>
          <w:rPr>
            <w:rFonts w:ascii="Tahoma" w:eastAsia="Tahoma" w:hAnsi="Tahoma"/>
            <w:color w:val="0000FF"/>
            <w:sz w:val="18"/>
            <w:u w:val="single"/>
          </w:rPr>
          <w:t>https://education.unimelb.edu.au/ mgse-industry-reports/report-1-those-who-disappear</w:t>
        </w:r>
      </w:hyperlink>
      <w:r>
        <w:rPr>
          <w:rFonts w:ascii="Tahoma" w:eastAsia="Tahoma" w:hAnsi="Tahoma"/>
          <w:color w:val="007896"/>
          <w:sz w:val="18"/>
        </w:rPr>
        <w:t>.</w:t>
      </w:r>
    </w:p>
    <w:p w14:paraId="31700939" w14:textId="77777777" w:rsidR="009757A9" w:rsidRDefault="00083242">
      <w:pPr>
        <w:spacing w:before="174" w:line="230" w:lineRule="exact"/>
        <w:ind w:left="864" w:right="1296"/>
        <w:textAlignment w:val="baseline"/>
        <w:rPr>
          <w:rFonts w:ascii="Tahoma" w:eastAsia="Tahoma" w:hAnsi="Tahoma"/>
          <w:color w:val="404042"/>
          <w:sz w:val="18"/>
        </w:rPr>
      </w:pPr>
      <w:r>
        <w:rPr>
          <w:rFonts w:ascii="Tahoma" w:eastAsia="Tahoma" w:hAnsi="Tahoma"/>
          <w:color w:val="404042"/>
          <w:sz w:val="18"/>
        </w:rPr>
        <w:t xml:space="preserve">Wehman, P. et al. (2014), ‘Predictors of successful transition from school to employment for youth with disabilities’, </w:t>
      </w:r>
      <w:r>
        <w:rPr>
          <w:rFonts w:ascii="Arial" w:eastAsia="Arial" w:hAnsi="Arial"/>
          <w:i/>
          <w:color w:val="404042"/>
          <w:sz w:val="19"/>
        </w:rPr>
        <w:t>Journal of Occupational Rehabilitation</w:t>
      </w:r>
      <w:r>
        <w:rPr>
          <w:rFonts w:ascii="Verdana" w:eastAsia="Verdana" w:hAnsi="Verdana"/>
          <w:color w:val="404042"/>
          <w:sz w:val="17"/>
        </w:rPr>
        <w:t>, vol. 25, no. 2,</w:t>
      </w:r>
      <w:r>
        <w:rPr>
          <w:rFonts w:ascii="Tahoma" w:eastAsia="Tahoma" w:hAnsi="Tahoma"/>
          <w:color w:val="007896"/>
          <w:sz w:val="18"/>
        </w:rPr>
        <w:t xml:space="preserve"> </w:t>
      </w:r>
      <w:hyperlink r:id="rId497">
        <w:r>
          <w:rPr>
            <w:rFonts w:ascii="Tahoma" w:eastAsia="Tahoma" w:hAnsi="Tahoma"/>
            <w:color w:val="0000FF"/>
            <w:sz w:val="18"/>
            <w:u w:val="single"/>
          </w:rPr>
          <w:t>https://link.springer.com/article/10.1007/s10926-014-9541-6</w:t>
        </w:r>
      </w:hyperlink>
      <w:r>
        <w:rPr>
          <w:rFonts w:ascii="Tahoma" w:eastAsia="Tahoma" w:hAnsi="Tahoma"/>
          <w:color w:val="007896"/>
          <w:sz w:val="18"/>
        </w:rPr>
        <w:t>.</w:t>
      </w:r>
    </w:p>
    <w:p w14:paraId="321E8DD3" w14:textId="77777777" w:rsidR="009757A9" w:rsidRDefault="00083242">
      <w:pPr>
        <w:spacing w:before="168" w:line="230" w:lineRule="exact"/>
        <w:ind w:left="864" w:right="1728"/>
        <w:textAlignment w:val="baseline"/>
        <w:rPr>
          <w:rFonts w:ascii="Tahoma" w:eastAsia="Tahoma" w:hAnsi="Tahoma"/>
          <w:color w:val="404042"/>
          <w:sz w:val="18"/>
        </w:rPr>
      </w:pPr>
      <w:r>
        <w:rPr>
          <w:rFonts w:ascii="Tahoma" w:eastAsia="Tahoma" w:hAnsi="Tahoma"/>
          <w:color w:val="404042"/>
          <w:sz w:val="18"/>
        </w:rPr>
        <w:t xml:space="preserve">World Economic Forum (2018), </w:t>
      </w:r>
      <w:r>
        <w:rPr>
          <w:rFonts w:ascii="Arial" w:eastAsia="Arial" w:hAnsi="Arial"/>
          <w:i/>
          <w:color w:val="404042"/>
          <w:sz w:val="19"/>
        </w:rPr>
        <w:t>The Future of Jobs Report 2018</w:t>
      </w:r>
      <w:r>
        <w:rPr>
          <w:rFonts w:ascii="Tahoma" w:eastAsia="Tahoma" w:hAnsi="Tahoma"/>
          <w:color w:val="404042"/>
          <w:sz w:val="18"/>
        </w:rPr>
        <w:t>,</w:t>
      </w:r>
      <w:r>
        <w:rPr>
          <w:rFonts w:ascii="Tahoma" w:eastAsia="Tahoma" w:hAnsi="Tahoma"/>
          <w:color w:val="007896"/>
          <w:sz w:val="18"/>
        </w:rPr>
        <w:t xml:space="preserve"> </w:t>
      </w:r>
      <w:hyperlink r:id="rId498">
        <w:r>
          <w:rPr>
            <w:rFonts w:ascii="Tahoma" w:eastAsia="Tahoma" w:hAnsi="Tahoma"/>
            <w:color w:val="0000FF"/>
            <w:sz w:val="18"/>
            <w:u w:val="single"/>
          </w:rPr>
          <w:t>http://www3.weforum.org/docs/WEF_Future_of_ Jobs_2018.pdf</w:t>
        </w:r>
      </w:hyperlink>
      <w:r>
        <w:rPr>
          <w:rFonts w:ascii="Tahoma" w:eastAsia="Tahoma" w:hAnsi="Tahoma"/>
          <w:color w:val="007896"/>
          <w:sz w:val="18"/>
        </w:rPr>
        <w:t>.</w:t>
      </w:r>
    </w:p>
    <w:p w14:paraId="5933A161" w14:textId="77777777" w:rsidR="009757A9" w:rsidRDefault="00083242">
      <w:pPr>
        <w:spacing w:before="164" w:line="235" w:lineRule="exact"/>
        <w:ind w:left="864" w:right="936"/>
        <w:textAlignment w:val="baseline"/>
        <w:rPr>
          <w:rFonts w:ascii="Tahoma" w:eastAsia="Tahoma" w:hAnsi="Tahoma"/>
          <w:color w:val="404042"/>
          <w:spacing w:val="-2"/>
          <w:sz w:val="18"/>
        </w:rPr>
      </w:pPr>
      <w:r>
        <w:rPr>
          <w:rFonts w:ascii="Tahoma" w:eastAsia="Tahoma" w:hAnsi="Tahoma"/>
          <w:color w:val="404042"/>
          <w:spacing w:val="-2"/>
          <w:sz w:val="18"/>
        </w:rPr>
        <w:t xml:space="preserve">Wyman, N., McCrindle, M., Whatmore, S., Gedge, J. and Edwards, T. (2017), </w:t>
      </w:r>
      <w:r>
        <w:rPr>
          <w:rFonts w:ascii="Arial" w:eastAsia="Arial" w:hAnsi="Arial"/>
          <w:i/>
          <w:color w:val="404042"/>
          <w:spacing w:val="-2"/>
          <w:sz w:val="19"/>
        </w:rPr>
        <w:t>Perceptions Are No Reality: Myths, realities and the critical role of vocational education and training in Australia</w:t>
      </w:r>
      <w:r>
        <w:rPr>
          <w:rFonts w:ascii="Tahoma" w:eastAsia="Tahoma" w:hAnsi="Tahoma"/>
          <w:color w:val="404042"/>
          <w:spacing w:val="-2"/>
          <w:sz w:val="18"/>
        </w:rPr>
        <w:t>, Skilling Australia Foundation, May 2017,</w:t>
      </w:r>
      <w:r>
        <w:rPr>
          <w:rFonts w:ascii="Tahoma" w:eastAsia="Tahoma" w:hAnsi="Tahoma"/>
          <w:color w:val="007896"/>
          <w:spacing w:val="-2"/>
          <w:sz w:val="18"/>
        </w:rPr>
        <w:t xml:space="preserve"> </w:t>
      </w:r>
      <w:hyperlink r:id="rId499">
        <w:r>
          <w:rPr>
            <w:rFonts w:ascii="Tahoma" w:eastAsia="Tahoma" w:hAnsi="Tahoma"/>
            <w:color w:val="0000FF"/>
            <w:spacing w:val="-2"/>
            <w:sz w:val="18"/>
            <w:u w:val="single"/>
          </w:rPr>
          <w:t>https://2qean3b1j jd1s87812ool5ji-wpengine.netdna-ssl.com/wp-content/uploads/work/Skilling-Australia-Vocation-Education-Report.pdf</w:t>
        </w:r>
      </w:hyperlink>
      <w:r>
        <w:rPr>
          <w:rFonts w:ascii="Tahoma" w:eastAsia="Tahoma" w:hAnsi="Tahoma"/>
          <w:color w:val="007896"/>
          <w:spacing w:val="-2"/>
          <w:sz w:val="18"/>
        </w:rPr>
        <w:t>.</w:t>
      </w:r>
    </w:p>
    <w:p w14:paraId="2CC2FC40" w14:textId="77777777" w:rsidR="009757A9" w:rsidRDefault="00083242">
      <w:pPr>
        <w:spacing w:before="188" w:line="220" w:lineRule="exact"/>
        <w:ind w:left="864"/>
        <w:textAlignment w:val="baseline"/>
        <w:rPr>
          <w:rFonts w:ascii="Tahoma" w:eastAsia="Tahoma" w:hAnsi="Tahoma"/>
          <w:color w:val="404042"/>
          <w:spacing w:val="-3"/>
          <w:sz w:val="18"/>
        </w:rPr>
      </w:pPr>
      <w:r>
        <w:rPr>
          <w:rFonts w:ascii="Tahoma" w:eastAsia="Tahoma" w:hAnsi="Tahoma"/>
          <w:color w:val="404042"/>
          <w:spacing w:val="-3"/>
          <w:sz w:val="18"/>
        </w:rPr>
        <w:t xml:space="preserve">Year13 (2020), </w:t>
      </w:r>
      <w:r>
        <w:rPr>
          <w:rFonts w:ascii="Verdana" w:eastAsia="Verdana" w:hAnsi="Verdana"/>
          <w:i/>
          <w:color w:val="404042"/>
          <w:spacing w:val="-3"/>
          <w:sz w:val="17"/>
        </w:rPr>
        <w:t>Regional and Rural Living Survey: Research results, findings and conclusions</w:t>
      </w:r>
      <w:r>
        <w:rPr>
          <w:rFonts w:ascii="Tahoma" w:eastAsia="Tahoma" w:hAnsi="Tahoma"/>
          <w:color w:val="404042"/>
          <w:spacing w:val="-3"/>
          <w:sz w:val="18"/>
        </w:rPr>
        <w:t>, unpublished.</w:t>
      </w:r>
    </w:p>
    <w:p w14:paraId="4F54004F" w14:textId="77777777" w:rsidR="009757A9" w:rsidRDefault="00083242">
      <w:pPr>
        <w:tabs>
          <w:tab w:val="left" w:pos="1368"/>
        </w:tabs>
        <w:spacing w:before="256" w:after="634" w:line="209" w:lineRule="exact"/>
        <w:ind w:left="864"/>
        <w:textAlignment w:val="baseline"/>
        <w:rPr>
          <w:rFonts w:ascii="Arial" w:eastAsia="Arial" w:hAnsi="Arial"/>
          <w:b/>
          <w:color w:val="5556A1"/>
          <w:spacing w:val="4"/>
          <w:sz w:val="19"/>
        </w:rPr>
      </w:pPr>
      <w:r>
        <w:rPr>
          <w:rFonts w:ascii="Arial" w:eastAsia="Arial" w:hAnsi="Arial"/>
          <w:b/>
          <w:color w:val="5556A1"/>
          <w:spacing w:val="4"/>
          <w:sz w:val="19"/>
        </w:rPr>
        <w:t>176</w:t>
      </w:r>
      <w:r>
        <w:rPr>
          <w:rFonts w:ascii="Tahoma" w:eastAsia="Tahoma" w:hAnsi="Tahoma"/>
          <w:color w:val="404042"/>
          <w:spacing w:val="4"/>
          <w:sz w:val="14"/>
        </w:rPr>
        <w:tab/>
        <w:t>Looking to the future</w:t>
      </w:r>
    </w:p>
    <w:p w14:paraId="649CC777" w14:textId="77777777" w:rsidR="009757A9" w:rsidRDefault="00083242">
      <w:pPr>
        <w:textAlignment w:val="baseline"/>
      </w:pPr>
      <w:r>
        <w:rPr>
          <w:noProof/>
          <w:lang w:val="en-AU" w:eastAsia="en-AU"/>
        </w:rPr>
        <w:drawing>
          <wp:inline distT="0" distB="0" distL="0" distR="0" wp14:anchorId="0697A27B" wp14:editId="0240EB14">
            <wp:extent cx="7562215" cy="462915"/>
            <wp:effectExtent l="0" t="0" r="0" b="0"/>
            <wp:docPr id="279" name="Picture"/>
            <wp:cNvGraphicFramePr/>
            <a:graphic xmlns:a="http://schemas.openxmlformats.org/drawingml/2006/main">
              <a:graphicData uri="http://schemas.openxmlformats.org/drawingml/2006/picture">
                <pic:pic xmlns:pic="http://schemas.openxmlformats.org/drawingml/2006/picture">
                  <pic:nvPicPr>
                    <pic:cNvPr id="279" name="Picture"/>
                    <pic:cNvPicPr preferRelativeResize="0"/>
                  </pic:nvPicPr>
                  <pic:blipFill>
                    <a:blip r:embed="rId40"/>
                    <a:stretch>
                      <a:fillRect/>
                    </a:stretch>
                  </pic:blipFill>
                  <pic:spPr>
                    <a:xfrm>
                      <a:off x="0" y="0"/>
                      <a:ext cx="7562215" cy="462915"/>
                    </a:xfrm>
                    <a:prstGeom prst="rect">
                      <a:avLst/>
                    </a:prstGeom>
                  </pic:spPr>
                </pic:pic>
              </a:graphicData>
            </a:graphic>
          </wp:inline>
        </w:drawing>
      </w:r>
    </w:p>
    <w:p w14:paraId="6D9D083A" w14:textId="77777777" w:rsidR="009757A9" w:rsidRDefault="009757A9">
      <w:pPr>
        <w:sectPr w:rsidR="009757A9">
          <w:pgSz w:w="11909" w:h="16838"/>
          <w:pgMar w:top="1080" w:right="0" w:bottom="0" w:left="0" w:header="720" w:footer="720" w:gutter="0"/>
          <w:cols w:space="720"/>
        </w:sectPr>
      </w:pPr>
    </w:p>
    <w:p w14:paraId="3C519DC5"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114300" distR="114300" simplePos="0" relativeHeight="251292160" behindDoc="1" locked="0" layoutInCell="1" allowOverlap="1" wp14:anchorId="0F87200E" wp14:editId="4DE57EFF">
                <wp:simplePos x="0" y="0"/>
                <wp:positionH relativeFrom="page">
                  <wp:posOffset>0</wp:posOffset>
                </wp:positionH>
                <wp:positionV relativeFrom="page">
                  <wp:posOffset>0</wp:posOffset>
                </wp:positionV>
                <wp:extent cx="7562215" cy="10692130"/>
                <wp:effectExtent l="0" t="0" r="0" b="0"/>
                <wp:wrapNone/>
                <wp:docPr id="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solidFill>
                          <a:srgbClr val="5C718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0B337" w14:textId="77777777" w:rsidR="00490F33" w:rsidRDefault="00490F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7200E" id="Text Box 7" o:spid="_x0000_s1442" type="#_x0000_t202" style="position:absolute;margin-left:0;margin-top:0;width:595.45pt;height:841.9pt;z-index:-25202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xeEAIAAPwDAAAOAAAAZHJzL2Uyb0RvYy54bWysU9tu2zAMfR+wfxD0vjj2cqsRp+hSdBjQ&#10;XYB2HyDLsi3MFjVKid19/Sg5yYLubdiLIF50yHNIbW/HvmNHhU6DKXg6m3OmjIRKm6bg358f3m04&#10;c16YSnRgVMFflOO3u7dvtoPNVQYtdJVCRiDG5YMteOu9zZPEyVb1ws3AKkPBGrAXnkxskgrFQOh9&#10;l2Tz+SoZACuLIJVz5L2fgnwX8etaSf+1rp3yrCs49ebjifEsw5nstiJvUNhWy1Mb4h+66IU2VPQC&#10;dS+8YAfUf0H1WiI4qP1MQp9AXWupIgdik85fsXlqhVWRC4nj7EUm9/9g5ZfjN2S6Kni2WXFmRE9D&#10;elajZx9gZOugz2BdTmlPlhL9SG6ac+Tq7CPIH44Z2LfCNOoOEYZWiYr6S8PL5OrphOMCSDl8horK&#10;iIOHCDTW2AfxSA5G6DSnl8tsQiuSnOvlKsvSJWeSYul8dZOl7+P4EpGf31t0/qOCnoVLwZGmH/HF&#10;8dH50I/IzymhnINOVw+666KBTbnvkB0Fbcpyv043WaTwKq0zIdlAeDYhBk8kGrhNLP1YjlHTRbo6&#10;K1hC9ULcEaYVpC9DlxbwF2cDrV/B3c+DQMVZ98mQfjfpYhH2NRqL5TojA68j5XVEGElQBfecTde9&#10;n3b8YFE3LVWaJmbgjjSvdRQjDGfq6kSAVixqdPoOYYev7Zj159PufgMAAP//AwBQSwMEFAAGAAgA&#10;AAAhAOnm+BneAAAABwEAAA8AAABkcnMvZG93bnJldi54bWxMj0FLxDAQhe+C/yGM4M1Nu7Jr2m26&#10;LIIgCIpV2Wu2GdtqMylJ2u3+e7Ne9DK84Q3vfVNsZ9OzCZ3vLElIFwkwpNrqjhoJ728PNwKYD4q0&#10;6i2hhBN62JaXF4XKtT3SK05VaFgMIZ8rCW0IQ865r1s0yi/sgBS9T+uMCnF1DddOHWO46fkySdbc&#10;qI5iQ6sGvG+x/q5GI8FNL2Kk51W1FLvsMf3aP60+TndSXl/Nuw2wgHP4O4YzfkSHMjId7Ejas15C&#10;fCT8zrOXZkkG7BDVWtwK4GXB//OXPwAAAP//AwBQSwECLQAUAAYACAAAACEAtoM4kv4AAADhAQAA&#10;EwAAAAAAAAAAAAAAAAAAAAAAW0NvbnRlbnRfVHlwZXNdLnhtbFBLAQItABQABgAIAAAAIQA4/SH/&#10;1gAAAJQBAAALAAAAAAAAAAAAAAAAAC8BAABfcmVscy8ucmVsc1BLAQItABQABgAIAAAAIQBCrwxe&#10;EAIAAPwDAAAOAAAAAAAAAAAAAAAAAC4CAABkcnMvZTJvRG9jLnhtbFBLAQItABQABgAIAAAAIQDp&#10;5vgZ3gAAAAcBAAAPAAAAAAAAAAAAAAAAAGoEAABkcnMvZG93bnJldi54bWxQSwUGAAAAAAQABADz&#10;AAAAdQUAAAAA&#10;" fillcolor="#5c7182" stroked="f">
                <v:textbox>
                  <w:txbxContent>
                    <w:p w14:paraId="1450B337" w14:textId="77777777" w:rsidR="00490F33" w:rsidRDefault="00490F33"/>
                  </w:txbxContent>
                </v:textbox>
                <w10:wrap anchorx="page" anchory="page"/>
              </v:shape>
            </w:pict>
          </mc:Fallback>
        </mc:AlternateContent>
      </w:r>
      <w:r>
        <w:rPr>
          <w:noProof/>
          <w:lang w:val="en-AU" w:eastAsia="en-AU"/>
        </w:rPr>
        <mc:AlternateContent>
          <mc:Choice Requires="wps">
            <w:drawing>
              <wp:anchor distT="0" distB="0" distL="0" distR="0" simplePos="0" relativeHeight="251788800" behindDoc="1" locked="0" layoutInCell="1" allowOverlap="1" wp14:anchorId="7845D92C" wp14:editId="2AA95357">
                <wp:simplePos x="0" y="0"/>
                <wp:positionH relativeFrom="page">
                  <wp:posOffset>0</wp:posOffset>
                </wp:positionH>
                <wp:positionV relativeFrom="page">
                  <wp:posOffset>0</wp:posOffset>
                </wp:positionV>
                <wp:extent cx="7562215" cy="10692130"/>
                <wp:effectExtent l="0" t="0" r="0" b="0"/>
                <wp:wrapSquare wrapText="bothSides"/>
                <wp:docPr id="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solidFill>
                          <a:srgbClr val="5C718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0E32D" w14:textId="77777777" w:rsidR="00490F33" w:rsidRDefault="00490F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5D92C" id="Text Box 6" o:spid="_x0000_s1443" type="#_x0000_t202" style="position:absolute;margin-left:0;margin-top:0;width:595.45pt;height:841.9pt;z-index:-251527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brBwIAAOwDAAAOAAAAZHJzL2Uyb0RvYy54bWysU9uO0zAQfUfiHyy/0zSBXoiarpauFiEt&#10;F2mXD3AcJ7FIPGbsNilfz9hpymp5Q7xYY3vm+Jwz493N2HfspNBpMAVPF0vOlJFQadMU/PvT/Zst&#10;Z84LU4kOjCr4WTl+s3/9ajfYXGXQQlcpZARiXD7Ygrfe2zxJnGxVL9wCrDJ0WQP2wtMWm6RCMRB6&#10;3yXZcrlOBsDKIkjlHJ3eTZd8H/HrWkn/ta6d8qwrOHHzccW4lmFN9juRNyhsq+WFhvgHFr3Qhh69&#10;Qt0JL9gR9V9QvZYIDmq/kNAnUNdaqqiB1KTLF2oeW2FV1ELmOHu1yf0/WPnl9A2ZrgqebVecGdFT&#10;k57U6NkHGNk6+DNYl1Pao6VEP9Ix9TlqdfYB5A/HDBxaYRp1iwhDq0RF/NJQmTwrnXBcACmHz1DR&#10;M+LoIQKNNfbBPLKDETr16XztTaAi6XCzWmdZShQl3aXL9fssfRvbl4h8rrfo/EcFPQtBwZG6H/HF&#10;6cH5wEfkc0p4zkGnq3vddXGDTXnokJ0ETcrqsEm3WZTwIq0zIdlAKJsQw0kUGrRNKv1YjtHTd+lm&#10;drCE6kzaEaYRpC9DQQv4i7OBxq/g7udRoOKs+2TIvzCrc4BzUM6BMJJKC+45m8KDn2b6aFE3LSFP&#10;HTJwSx7XOooPzZhYXAjTSEVPLuMfZvb5Pmb9+aT73wAAAP//AwBQSwMEFAAGAAgAAAAhAKGfFM3d&#10;AAAABwEAAA8AAABkcnMvZG93bnJldi54bWxMj81uwjAQhO9IfQdrK/UGDkVFSRoHIapWHLjwc+G2&#10;xNskEK+j2JD07Wt6KZfVrGY18222GEwjbtS52rKC6SQCQVxYXXOp4LD/HMcgnEfW2FgmBT/kYJE/&#10;jTJMte15S7edL0UIYZeigsr7NpXSFRUZdBPbEgfv23YGfVi7UuoO+xBuGvkaRXNpsObQUGFLq4qK&#10;y+5qFKzfbB8XcnP+Oi5X2491QsfNjJR6eR6W7yA8Df7/GO74AR3ywHSyV9ZONArCI/5v3r1pEiUg&#10;TkHN41kMMs/kI3/+CwAA//8DAFBLAQItABQABgAIAAAAIQC2gziS/gAAAOEBAAATAAAAAAAAAAAA&#10;AAAAAAAAAABbQ29udGVudF9UeXBlc10ueG1sUEsBAi0AFAAGAAgAAAAhADj9If/WAAAAlAEAAAsA&#10;AAAAAAAAAAAAAAAALwEAAF9yZWxzLy5yZWxzUEsBAi0AFAAGAAgAAAAhAEfNpusHAgAA7AMAAA4A&#10;AAAAAAAAAAAAAAAALgIAAGRycy9lMm9Eb2MueG1sUEsBAi0AFAAGAAgAAAAhAKGfFM3dAAAABwEA&#10;AA8AAAAAAAAAAAAAAAAAYQQAAGRycy9kb3ducmV2LnhtbFBLBQYAAAAABAAEAPMAAABrBQAAAAA=&#10;" fillcolor="#5c7182" stroked="f">
                <v:textbox inset="0,0,0,0">
                  <w:txbxContent>
                    <w:p w14:paraId="2350E32D" w14:textId="77777777" w:rsidR="00490F33" w:rsidRDefault="00490F33"/>
                  </w:txbxContent>
                </v:textbox>
                <w10:wrap type="square" anchorx="page" anchory="page"/>
              </v:shape>
            </w:pict>
          </mc:Fallback>
        </mc:AlternateContent>
      </w:r>
      <w:r>
        <w:rPr>
          <w:noProof/>
          <w:lang w:val="en-AU" w:eastAsia="en-AU"/>
        </w:rPr>
        <mc:AlternateContent>
          <mc:Choice Requires="wps">
            <w:drawing>
              <wp:anchor distT="0" distB="0" distL="0" distR="0" simplePos="0" relativeHeight="251789824" behindDoc="1" locked="0" layoutInCell="1" allowOverlap="1" wp14:anchorId="3CEEE8E1" wp14:editId="3468C306">
                <wp:simplePos x="0" y="0"/>
                <wp:positionH relativeFrom="page">
                  <wp:posOffset>0</wp:posOffset>
                </wp:positionH>
                <wp:positionV relativeFrom="page">
                  <wp:posOffset>0</wp:posOffset>
                </wp:positionV>
                <wp:extent cx="7562215" cy="10692130"/>
                <wp:effectExtent l="0" t="0" r="0" b="0"/>
                <wp:wrapSquare wrapText="bothSides"/>
                <wp:docPr id="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99526" w14:textId="77777777" w:rsidR="00490F33" w:rsidRDefault="00490F33">
                            <w:pPr>
                              <w:textAlignment w:val="baseline"/>
                            </w:pPr>
                            <w:r>
                              <w:rPr>
                                <w:noProof/>
                                <w:lang w:val="en-AU" w:eastAsia="en-AU"/>
                              </w:rPr>
                              <w:drawing>
                                <wp:inline distT="0" distB="0" distL="0" distR="0" wp14:anchorId="7B1EEA79" wp14:editId="6C162030">
                                  <wp:extent cx="7562215" cy="10692130"/>
                                  <wp:effectExtent l="0" t="0" r="0" b="0"/>
                                  <wp:docPr id="280" name="Picture"/>
                                  <wp:cNvGraphicFramePr/>
                                  <a:graphic xmlns:a="http://schemas.openxmlformats.org/drawingml/2006/main">
                                    <a:graphicData uri="http://schemas.openxmlformats.org/drawingml/2006/picture">
                                      <pic:pic xmlns:pic="http://schemas.openxmlformats.org/drawingml/2006/picture">
                                        <pic:nvPicPr>
                                          <pic:cNvPr id="280" name="Picture"/>
                                          <pic:cNvPicPr preferRelativeResize="0"/>
                                        </pic:nvPicPr>
                                        <pic:blipFill>
                                          <a:blip r:embed="rId500"/>
                                          <a:stretch>
                                            <a:fillRect/>
                                          </a:stretch>
                                        </pic:blipFill>
                                        <pic:spPr>
                                          <a:xfrm>
                                            <a:off x="0" y="0"/>
                                            <a:ext cx="7562215" cy="106921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EE8E1" id="Text Box 5" o:spid="_x0000_s1444" type="#_x0000_t202" style="position:absolute;margin-left:0;margin-top:0;width:595.45pt;height:841.9pt;z-index:-251526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Gae8gEAAMMDAAAOAAAAZHJzL2Uyb0RvYy54bWysU9uO0zAQfUfiHyy/01zYlhI1XS27WoS0&#10;XKRdPsBxnMQi8Zix26R8PWOnKQu8IV6s8Xh8fObM8e56Gnp2VOg0mJJnq5QzZSTU2rQl//p0/2rL&#10;mfPC1KIHo0p+Uo5f71++2I22UDl00NcKGYEYV4y25J33tkgSJzs1CLcCqwwdNoCD8LTFNqlRjIQ+&#10;9EmepptkBKwtglTOUfZuPuT7iN80SvrPTeOUZ33JiZuPK8a1Cmuy34miRWE7Lc80xD+wGIQ29OgF&#10;6k54wQ6o/4IatERw0PiVhCGBptFSxR6omyz9o5vHTlgVeyFxnL3I5P4frPx0/IJM1yXPt1ecGTHQ&#10;kJ7U5Nk7mNg66DNaV1DZo6VCP1Ga5hx7dfYB5DfHDNx2wrTqBhHGToma+GXhZvLs6ozjAkg1foSa&#10;nhEHDxFoanAI4pEcjNBpTqfLbAIVSck3602eZ2vOJJ1l6eZtnr2O40tEsdy36Px7BQMLQcmRph/x&#10;xfHB+cBHFEtJeM7Ave776IDe/JagwpCJ/APlmbyfqilKdZVtF2EqqE/UEsLsLPoJFHSAPzgbyVUl&#10;d98PAhVn/QdDsgQLLgEuQbUEwki6WnLP2Rze+tmqB4u67Qh5Ft7ADUnX6NhT0HhmcSZMTomtnl0d&#10;rPh8H6t+/b39TwAAAP//AwBQSwMEFAAGAAgAAAAhAHsiySLdAAAABwEAAA8AAABkcnMvZG93bnJl&#10;di54bWxMj8FOwzAQRO9I/IO1SNyoXZCiJMSpqoqeKiHScODoxNvEarxOY7cNf4/LBS6rWc1q5m2x&#10;mu3ALjh540jCciGAIbVOG+okfNbbpxSYD4q0GhyhhG/0sCrv7wqVa3elCi/70LEYQj5XEvoQxpxz&#10;3/ZolV+4ESl6BzdZFeI6dVxP6hrD7cCfhUi4VYZiQ69G3PTYHvdnK2H9RdWbOb03H9WhMnWdCdol&#10;RykfH+b1K7CAc/g7hht+RIcyMjXuTNqzQUJ8JPzOm7fMRAasiSpJX1LgZcH/85c/AAAA//8DAFBL&#10;AQItABQABgAIAAAAIQC2gziS/gAAAOEBAAATAAAAAAAAAAAAAAAAAAAAAABbQ29udGVudF9UeXBl&#10;c10ueG1sUEsBAi0AFAAGAAgAAAAhADj9If/WAAAAlAEAAAsAAAAAAAAAAAAAAAAALwEAAF9yZWxz&#10;Ly5yZWxzUEsBAi0AFAAGAAgAAAAhALjoZp7yAQAAwwMAAA4AAAAAAAAAAAAAAAAALgIAAGRycy9l&#10;Mm9Eb2MueG1sUEsBAi0AFAAGAAgAAAAhAHsiySLdAAAABwEAAA8AAAAAAAAAAAAAAAAATAQAAGRy&#10;cy9kb3ducmV2LnhtbFBLBQYAAAAABAAEAPMAAABWBQAAAAA=&#10;" filled="f" stroked="f">
                <v:textbox inset="0,0,0,0">
                  <w:txbxContent>
                    <w:p w14:paraId="26299526" w14:textId="77777777" w:rsidR="00490F33" w:rsidRDefault="00490F33">
                      <w:pPr>
                        <w:textAlignment w:val="baseline"/>
                      </w:pPr>
                      <w:r>
                        <w:rPr>
                          <w:noProof/>
                          <w:lang w:val="en-AU" w:eastAsia="en-AU"/>
                        </w:rPr>
                        <w:drawing>
                          <wp:inline distT="0" distB="0" distL="0" distR="0" wp14:anchorId="7B1EEA79" wp14:editId="6C162030">
                            <wp:extent cx="7562215" cy="10692130"/>
                            <wp:effectExtent l="0" t="0" r="0" b="0"/>
                            <wp:docPr id="280" name="Picture"/>
                            <wp:cNvGraphicFramePr/>
                            <a:graphic xmlns:a="http://schemas.openxmlformats.org/drawingml/2006/main">
                              <a:graphicData uri="http://schemas.openxmlformats.org/drawingml/2006/picture">
                                <pic:pic xmlns:pic="http://schemas.openxmlformats.org/drawingml/2006/picture">
                                  <pic:nvPicPr>
                                    <pic:cNvPr id="280" name="Picture"/>
                                    <pic:cNvPicPr preferRelativeResize="0"/>
                                  </pic:nvPicPr>
                                  <pic:blipFill>
                                    <a:blip r:embed="rId500"/>
                                    <a:stretch>
                                      <a:fillRect/>
                                    </a:stretch>
                                  </pic:blipFill>
                                  <pic:spPr>
                                    <a:xfrm>
                                      <a:off x="0" y="0"/>
                                      <a:ext cx="7562215" cy="10692130"/>
                                    </a:xfrm>
                                    <a:prstGeom prst="rect">
                                      <a:avLst/>
                                    </a:prstGeom>
                                  </pic:spPr>
                                </pic:pic>
                              </a:graphicData>
                            </a:graphic>
                          </wp:inline>
                        </w:drawing>
                      </w:r>
                    </w:p>
                  </w:txbxContent>
                </v:textbox>
                <w10:wrap type="square" anchorx="page" anchory="page"/>
              </v:shape>
            </w:pict>
          </mc:Fallback>
        </mc:AlternateContent>
      </w:r>
      <w:r>
        <w:rPr>
          <w:noProof/>
          <w:lang w:val="en-AU" w:eastAsia="en-AU"/>
        </w:rPr>
        <mc:AlternateContent>
          <mc:Choice Requires="wps">
            <w:drawing>
              <wp:anchor distT="0" distB="0" distL="0" distR="0" simplePos="0" relativeHeight="251790848" behindDoc="1" locked="0" layoutInCell="1" allowOverlap="1" wp14:anchorId="320E9B5E" wp14:editId="756B24FC">
                <wp:simplePos x="0" y="0"/>
                <wp:positionH relativeFrom="page">
                  <wp:posOffset>1957070</wp:posOffset>
                </wp:positionH>
                <wp:positionV relativeFrom="page">
                  <wp:posOffset>8353425</wp:posOffset>
                </wp:positionV>
                <wp:extent cx="1874520" cy="163830"/>
                <wp:effectExtent l="0" t="0" r="0" b="0"/>
                <wp:wrapSquare wrapText="bothSides"/>
                <wp:docPr id="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D969E" w14:textId="77777777" w:rsidR="00490F33" w:rsidRDefault="00837BFF">
                            <w:pPr>
                              <w:spacing w:before="16" w:line="235" w:lineRule="exact"/>
                              <w:textAlignment w:val="baseline"/>
                              <w:rPr>
                                <w:rFonts w:ascii="Arial" w:eastAsia="Arial" w:hAnsi="Arial"/>
                                <w:b/>
                                <w:color w:val="FFFFFF"/>
                                <w:spacing w:val="-7"/>
                              </w:rPr>
                            </w:pPr>
                            <w:hyperlink r:id="rId501">
                              <w:r w:rsidR="00490F33">
                                <w:rPr>
                                  <w:rFonts w:ascii="Arial" w:eastAsia="Arial" w:hAnsi="Arial"/>
                                  <w:b/>
                                  <w:color w:val="0000FF"/>
                                  <w:spacing w:val="-7"/>
                                  <w:u w:val="single"/>
                                </w:rPr>
                                <w:t>www.pathwaysreview.edu.au</w:t>
                              </w:r>
                            </w:hyperlink>
                            <w:r w:rsidR="00490F33">
                              <w:rPr>
                                <w:rFonts w:ascii="Arial" w:eastAsia="Arial" w:hAnsi="Arial"/>
                                <w:b/>
                                <w:color w:val="FFFFFF"/>
                                <w:spacing w:val="-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E9B5E" id="Text Box 4" o:spid="_x0000_s1445" type="#_x0000_t202" style="position:absolute;margin-left:154.1pt;margin-top:657.75pt;width:147.6pt;height:12.9pt;z-index:-251525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bEy7wEAAMEDAAAOAAAAZHJzL2Uyb0RvYy54bWysU9tu2zAMfR+wfxD0vjhOsi4z4hRdiw4D&#10;ugvQ7gMYWY6F2aJGKbGzrx8lx1m3vQ17ESiSOjw8pDbXQ9eKoyZv0JYyn82l0FZhZey+lF+f7l+t&#10;pfABbAUtWl3Kk/byevvyxaZ3hV5gg22lSTCI9UXvStmE4Ios86rRHfgZOm05WCN1EPhK+6wi6Bm9&#10;a7PFfH6V9UiVI1Tae/bejUG5Tfh1rVX4XNdeB9GWkrmFdFI6d/HMthso9gSuMepMA/6BRQfGctEL&#10;1B0EEAcyf0F1RhF6rMNMYZdhXRulUw/cTT7/o5vHBpxOvbA43l1k8v8PVn06fiFhqlIu1kspLHQ8&#10;pCc9BPEOB7GK+vTOF5z26DgxDOzmOadevXtA9c0Li7cN2L2+IcK+0VAxvzy+zJ49HXF8BNn1H7Hi&#10;MnAImICGmrooHsshGJ3ndLrMJlJRseT6zer1gkOKY/nVcr1Mw8ugmF478uG9xk5Eo5TEs0/ocHzw&#10;IbKBYkqJxSzem7ZN82/tbw5OjJ7EPhIeqYdhNyShVvnbSZYdViduiHDcK/4HbDRIP6ToeadK6b8f&#10;gLQU7QfLosQFnAyajN1kgFX8tJRBitG8DeOiHhyZfcPIo+wWb1i42qSeosIjizNh3pPU6nmn4yI+&#10;v6esXz9v+xMAAP//AwBQSwMEFAAGAAgAAAAhAOaz3XvhAAAADQEAAA8AAABkcnMvZG93bnJldi54&#10;bWxMj8FOwzAMhu9IvENkJG4s6bpVozSdJgQnJERXDhzTxmujNU5psq28PdkJjvb/6ffnYjvbgZ1x&#10;8saRhGQhgCG1ThvqJHzWrw8bYD4o0mpwhBJ+0MO2vL0pVK7dhSo870PHYgn5XEnoQxhzzn3bo1V+&#10;4UakmB3cZFWI49RxPalLLLcDXwqRcasMxQu9GvG5x/a4P1kJuy+qXsz3e/NRHSpT14+C3rKjlPd3&#10;8+4JWMA5/MFw1Y/qUEanxp1IezZISMVmGdEYpMl6DSwimUhXwJrrapWkwMuC//+i/AUAAP//AwBQ&#10;SwECLQAUAAYACAAAACEAtoM4kv4AAADhAQAAEwAAAAAAAAAAAAAAAAAAAAAAW0NvbnRlbnRfVHlw&#10;ZXNdLnhtbFBLAQItABQABgAIAAAAIQA4/SH/1gAAAJQBAAALAAAAAAAAAAAAAAAAAC8BAABfcmVs&#10;cy8ucmVsc1BLAQItABQABgAIAAAAIQBDrbEy7wEAAMEDAAAOAAAAAAAAAAAAAAAAAC4CAABkcnMv&#10;ZTJvRG9jLnhtbFBLAQItABQABgAIAAAAIQDms9174QAAAA0BAAAPAAAAAAAAAAAAAAAAAEkEAABk&#10;cnMvZG93bnJldi54bWxQSwUGAAAAAAQABADzAAAAVwUAAAAA&#10;" filled="f" stroked="f">
                <v:textbox inset="0,0,0,0">
                  <w:txbxContent>
                    <w:p w14:paraId="04DD969E" w14:textId="77777777" w:rsidR="00490F33" w:rsidRDefault="00837BFF">
                      <w:pPr>
                        <w:spacing w:before="16" w:line="235" w:lineRule="exact"/>
                        <w:textAlignment w:val="baseline"/>
                        <w:rPr>
                          <w:rFonts w:ascii="Arial" w:eastAsia="Arial" w:hAnsi="Arial"/>
                          <w:b/>
                          <w:color w:val="FFFFFF"/>
                          <w:spacing w:val="-7"/>
                        </w:rPr>
                      </w:pPr>
                      <w:hyperlink r:id="rId502">
                        <w:r w:rsidR="00490F33">
                          <w:rPr>
                            <w:rFonts w:ascii="Arial" w:eastAsia="Arial" w:hAnsi="Arial"/>
                            <w:b/>
                            <w:color w:val="0000FF"/>
                            <w:spacing w:val="-7"/>
                            <w:u w:val="single"/>
                          </w:rPr>
                          <w:t>www.pathwaysreview.edu.au</w:t>
                        </w:r>
                      </w:hyperlink>
                      <w:r w:rsidR="00490F33">
                        <w:rPr>
                          <w:rFonts w:ascii="Arial" w:eastAsia="Arial" w:hAnsi="Arial"/>
                          <w:b/>
                          <w:color w:val="FFFFFF"/>
                          <w:spacing w:val="-7"/>
                        </w:rPr>
                        <w:t xml:space="preserve"> </w:t>
                      </w:r>
                    </w:p>
                  </w:txbxContent>
                </v:textbox>
                <w10:wrap type="square" anchorx="page" anchory="page"/>
              </v:shape>
            </w:pict>
          </mc:Fallback>
        </mc:AlternateContent>
      </w:r>
    </w:p>
    <w:p w14:paraId="221E5C6B" w14:textId="77777777" w:rsidR="009757A9" w:rsidRDefault="009757A9">
      <w:pPr>
        <w:sectPr w:rsidR="009757A9">
          <w:pgSz w:w="11909" w:h="16838"/>
          <w:pgMar w:top="0" w:right="1440" w:bottom="0" w:left="1440" w:header="720" w:footer="720" w:gutter="0"/>
          <w:cols w:space="720"/>
        </w:sectPr>
      </w:pPr>
    </w:p>
    <w:p w14:paraId="01CC4426" w14:textId="77777777" w:rsidR="009757A9" w:rsidRDefault="000D2E34">
      <w:pPr>
        <w:textAlignment w:val="baseline"/>
        <w:rPr>
          <w:rFonts w:eastAsia="Times New Roman"/>
          <w:color w:val="000000"/>
          <w:sz w:val="24"/>
        </w:rPr>
      </w:pPr>
      <w:r>
        <w:rPr>
          <w:noProof/>
          <w:lang w:val="en-AU" w:eastAsia="en-AU"/>
        </w:rPr>
        <w:lastRenderedPageBreak/>
        <mc:AlternateContent>
          <mc:Choice Requires="wps">
            <w:drawing>
              <wp:anchor distT="0" distB="0" distL="114300" distR="114300" simplePos="0" relativeHeight="252023296" behindDoc="0" locked="0" layoutInCell="1" allowOverlap="1" wp14:anchorId="2A76CE76" wp14:editId="2ADB4289">
                <wp:simplePos x="0" y="0"/>
                <wp:positionH relativeFrom="page">
                  <wp:posOffset>5751830</wp:posOffset>
                </wp:positionH>
                <wp:positionV relativeFrom="page">
                  <wp:posOffset>4596130</wp:posOffset>
                </wp:positionV>
                <wp:extent cx="1811020" cy="0"/>
                <wp:effectExtent l="0" t="0" r="0" b="0"/>
                <wp:wrapNone/>
                <wp:docPr id="2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12065">
                          <a:solidFill>
                            <a:srgbClr val="00708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290A8" id="Line 3" o:spid="_x0000_s1026" style="position:absolute;z-index:2520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2.9pt,361.9pt" to="595.5pt,3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JTzgEAAIUDAAAOAAAAZHJzL2Uyb0RvYy54bWysU9uOGyEMfa/Uf0C8N3Opuo1GmazUpNuX&#10;tI202w9wgJlBZTACkkn+voZcdtu+rfYFGWwfHx+bxf1xNOygfNBoW17NSs6UFSi17Vv+6+nhw5yz&#10;EMFKMGhVy08q8Pvl+3eLyTWqxgGNVJ4RiA3N5Fo+xOiaoghiUCOEGTplydmhHyHS1feF9DAR+miK&#10;uizvigm9dB6FCoFe12cnX2b8rlMi/uy6oCIzLSduMZ8+n7t0FssFNL0HN2hxoQGvYDGCtlT0BrWG&#10;CGzv9X9QoxYeA3ZxJnAssOu0ULkH6qYq/+nmcQCnci8kTnA3mcLbwYofh61nWra8ntecWRhpSBtt&#10;FfuYtJlcaChkZbc+dSeO9tFtUPwOzOJqANurzPHp5CitShnFXynpEhxV2E3fUVIM7CNmoY6dHxMk&#10;ScCOeR6n2zzUMTJBj9W8qsqaxiauvgKaa6LzIX5TOLJktNwQ5wwMh02IiQg015BUx+KDNiaP21g2&#10;EXhd3n3KGQGNlsmb4oLvdyvj2QHSxpSfy/mX3BZ5XoYl6DWE4RyXXedd8ri3MpcZFMivFzuCNmeb&#10;aBl7kSkpc9Z4h/K09Vf5aNaZ/2Uv0zK9vOfs59+z/AMAAP//AwBQSwMEFAAGAAgAAAAhAEuudr7g&#10;AAAADAEAAA8AAABkcnMvZG93bnJldi54bWxMj0FLw0AQhe+C/2EZwZvdpLbRxmyKCCJ6KNgq4m2a&#10;jEkwuxszmzT+e6cg6G1m3uPN97L1ZFs1Us+NdwbiWQSKXOHLxlUGXnb3F9egOKArsfWODHwTwzo/&#10;PckwLf3BPdO4DZWSEMcpGqhD6FKtuajJIs98R060D99bDLL2lS57PEi4bfU8ihJtsXHyocaO7moq&#10;PreDNTC8PjRo+W254PfFI2+Sr2Q3Phlzfjbd3oAKNIU/MxzxBR1yYdr7wZWsWgOraCnowcDV/FKG&#10;oyNexVJv/3vSeab/l8h/AAAA//8DAFBLAQItABQABgAIAAAAIQC2gziS/gAAAOEBAAATAAAAAAAA&#10;AAAAAAAAAAAAAABbQ29udGVudF9UeXBlc10ueG1sUEsBAi0AFAAGAAgAAAAhADj9If/WAAAAlAEA&#10;AAsAAAAAAAAAAAAAAAAALwEAAF9yZWxzLy5yZWxzUEsBAi0AFAAGAAgAAAAhADGfAlPOAQAAhQMA&#10;AA4AAAAAAAAAAAAAAAAALgIAAGRycy9lMm9Eb2MueG1sUEsBAi0AFAAGAAgAAAAhAEuudr7gAAAA&#10;DAEAAA8AAAAAAAAAAAAAAAAAKAQAAGRycy9kb3ducmV2LnhtbFBLBQYAAAAABAAEAPMAAAA1BQAA&#10;AAA=&#10;" strokecolor="#00708b" strokeweight=".95pt">
                <w10:wrap anchorx="page" anchory="page"/>
              </v:line>
            </w:pict>
          </mc:Fallback>
        </mc:AlternateContent>
      </w:r>
    </w:p>
    <w:p w14:paraId="205C6532" w14:textId="77777777" w:rsidR="009757A9" w:rsidRDefault="000D2E34">
      <w:pPr>
        <w:textAlignment w:val="baseline"/>
        <w:rPr>
          <w:rFonts w:eastAsia="Times New Roman"/>
          <w:color w:val="000000"/>
          <w:sz w:val="24"/>
        </w:rPr>
      </w:pPr>
      <w:r>
        <w:rPr>
          <w:noProof/>
          <w:lang w:val="en-AU" w:eastAsia="en-AU"/>
        </w:rPr>
        <mc:AlternateContent>
          <mc:Choice Requires="wps">
            <w:drawing>
              <wp:anchor distT="0" distB="0" distL="114300" distR="114300" simplePos="0" relativeHeight="252024320" behindDoc="0" locked="0" layoutInCell="1" allowOverlap="1" wp14:anchorId="3894480E" wp14:editId="2B9D0319">
                <wp:simplePos x="0" y="0"/>
                <wp:positionH relativeFrom="page">
                  <wp:posOffset>0</wp:posOffset>
                </wp:positionH>
                <wp:positionV relativeFrom="page">
                  <wp:posOffset>5495290</wp:posOffset>
                </wp:positionV>
                <wp:extent cx="1372235" cy="0"/>
                <wp:effectExtent l="0" t="0" r="0" b="0"/>
                <wp:wrapNone/>
                <wp:docPr id="2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0"/>
                        </a:xfrm>
                        <a:prstGeom prst="line">
                          <a:avLst/>
                        </a:prstGeom>
                        <a:noFill/>
                        <a:ln w="12065">
                          <a:solidFill>
                            <a:srgbClr val="BF5B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78631" id="Line 2" o:spid="_x0000_s1026" style="position:absolute;z-index:25202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32.7pt" to="108.05pt,4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B30AEAAIUDAAAOAAAAZHJzL2Uyb0RvYy54bWysU01v2zAMvQ/YfxB0Xxy7SFcYcQo0WXbJ&#10;tgDtfgAjybEwWRQkJXb+/SjlY916K3YRKJF8fHyk5o9jb9hR+aDRNrycTDlTVqDUdt/wny/rTw+c&#10;hQhWgkGrGn5SgT8uPn6YD65WFXZopPKMQGyoB9fwLkZXF0UQneohTNApS84WfQ+Rrn5fSA8Dofem&#10;qKbT+2JAL51HoUKg19XZyRcZv22ViD/aNqjITMOJW8ynz+cuncViDvXeg+u0uNCAd7DoQVsqeoNa&#10;QQR28PoNVK+Fx4BtnAjsC2xbLVTugbopp/9089yBU7kXEie4m0zh/8GK78etZ1o2vHooObPQ05A2&#10;2ipWJW0GF2oKWdqtT92J0T67DYpfgVlcdmD3KnN8OTlKK1NG8VdKugRHFXbDN5QUA4eIWaix9X2C&#10;JAnYmOdxus1DjZEJeizvPlfV3YwzcfUVUF8TnQ/xq8KeJaPhhjhnYDhuQkxEoL6GpDoW19qYPG5j&#10;2UDg1fR+ljMCGi2TN8UFv98tjWdHoI15Ws+eynVuizyvwxL0CkJ3jsuu8y55PFiZy3QK5JeLHUGb&#10;s020jL3IlJQ5a7xDedr6q3w068z/spdpmV7fc/af37P4DQAA//8DAFBLAwQUAAYACAAAACEAnF3z&#10;8t4AAAAIAQAADwAAAGRycy9kb3ducmV2LnhtbEyPQUvDQBCF74L/YRnBm92kaKgxm1IKUlrwYFsF&#10;b9PsNAnuzobstkn99a4g6PHNG977XjEfrRFn6n3rWEE6SUAQV063XCvY757vZiB8QNZoHJOCC3mY&#10;l9dXBebaDfxK522oRQxhn6OCJoQul9JXDVn0E9cRR+/oeoshyr6Wuschhlsjp0mSSYstx4YGO1o2&#10;VH1uT1bB49cm0LtbD/hij36z+jCr9eVNqdubcfEEItAY/p7hBz+iQxmZDu7E2gujIA4JCmbZwz2I&#10;aE/TLAVx+L3IspD/B5TfAAAA//8DAFBLAQItABQABgAIAAAAIQC2gziS/gAAAOEBAAATAAAAAAAA&#10;AAAAAAAAAAAAAABbQ29udGVudF9UeXBlc10ueG1sUEsBAi0AFAAGAAgAAAAhADj9If/WAAAAlAEA&#10;AAsAAAAAAAAAAAAAAAAALwEAAF9yZWxzLy5yZWxzUEsBAi0AFAAGAAgAAAAhAN7J4HfQAQAAhQMA&#10;AA4AAAAAAAAAAAAAAAAALgIAAGRycy9lMm9Eb2MueG1sUEsBAi0AFAAGAAgAAAAhAJxd8/LeAAAA&#10;CAEAAA8AAAAAAAAAAAAAAAAAKgQAAGRycy9kb3ducmV2LnhtbFBLBQYAAAAABAAEAPMAAAA1BQAA&#10;AAA=&#10;" strokecolor="#bf5b1f" strokeweight=".95pt">
                <w10:wrap anchorx="page" anchory="page"/>
              </v:line>
            </w:pict>
          </mc:Fallback>
        </mc:AlternateContent>
      </w:r>
    </w:p>
    <w:sectPr w:rsidR="009757A9">
      <w:type w:val="continuous"/>
      <w:pgSz w:w="11909" w:h="16838"/>
      <w:pgMar w:top="110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F1631" w14:textId="77777777" w:rsidR="00490F33" w:rsidRDefault="00490F33" w:rsidP="00414BA6">
      <w:r>
        <w:separator/>
      </w:r>
    </w:p>
  </w:endnote>
  <w:endnote w:type="continuationSeparator" w:id="0">
    <w:p w14:paraId="6B05143C" w14:textId="77777777" w:rsidR="00490F33" w:rsidRDefault="00490F33" w:rsidP="0041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84F43" w14:textId="77777777" w:rsidR="00490F33" w:rsidRDefault="00490F33" w:rsidP="00414BA6">
      <w:r>
        <w:separator/>
      </w:r>
    </w:p>
  </w:footnote>
  <w:footnote w:type="continuationSeparator" w:id="0">
    <w:p w14:paraId="37810409" w14:textId="77777777" w:rsidR="00490F33" w:rsidRDefault="00490F33" w:rsidP="00414B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6AFA"/>
    <w:multiLevelType w:val="multilevel"/>
    <w:tmpl w:val="B35EA4FE"/>
    <w:lvl w:ilvl="0">
      <w:numFmt w:val="bullet"/>
      <w:lvlText w:val="·"/>
      <w:lvlJc w:val="left"/>
      <w:pPr>
        <w:tabs>
          <w:tab w:val="left" w:pos="216"/>
        </w:tabs>
      </w:pPr>
      <w:rPr>
        <w:rFonts w:ascii="Symbol" w:eastAsia="Symbol" w:hAnsi="Symbol"/>
        <w:b/>
        <w:color w:val="404042"/>
        <w:spacing w:val="6"/>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70228"/>
    <w:multiLevelType w:val="multilevel"/>
    <w:tmpl w:val="AB2AEC8E"/>
    <w:lvl w:ilvl="0">
      <w:start w:val="2"/>
      <w:numFmt w:val="decimal"/>
      <w:lvlText w:val="%1."/>
      <w:lvlJc w:val="left"/>
      <w:pPr>
        <w:tabs>
          <w:tab w:val="left" w:pos="216"/>
        </w:tabs>
      </w:pPr>
      <w:rPr>
        <w:rFonts w:ascii="Tahoma" w:eastAsia="Tahoma" w:hAnsi="Tahoma"/>
        <w:color w:val="41404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A071D"/>
    <w:multiLevelType w:val="multilevel"/>
    <w:tmpl w:val="038ECD3A"/>
    <w:lvl w:ilvl="0">
      <w:start w:val="1"/>
      <w:numFmt w:val="lowerLetter"/>
      <w:lvlText w:val="%1)"/>
      <w:lvlJc w:val="left"/>
      <w:pPr>
        <w:tabs>
          <w:tab w:val="left" w:pos="216"/>
        </w:tabs>
      </w:pPr>
      <w:rPr>
        <w:rFonts w:ascii="Tahoma" w:eastAsia="Tahoma" w:hAnsi="Tahoma"/>
        <w:color w:val="404042"/>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9E0093"/>
    <w:multiLevelType w:val="multilevel"/>
    <w:tmpl w:val="680E70BC"/>
    <w:lvl w:ilvl="0">
      <w:numFmt w:val="decimal"/>
      <w:lvlText w:val="%1."/>
      <w:lvlJc w:val="left"/>
      <w:pPr>
        <w:tabs>
          <w:tab w:val="left" w:pos="288"/>
        </w:tabs>
      </w:pPr>
      <w:rPr>
        <w:rFonts w:ascii="Tahoma" w:eastAsia="Tahoma" w:hAnsi="Tahoma"/>
        <w:i/>
        <w:color w:val="404042"/>
        <w:spacing w:val="3"/>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89376E"/>
    <w:multiLevelType w:val="multilevel"/>
    <w:tmpl w:val="775A20CC"/>
    <w:lvl w:ilvl="0">
      <w:numFmt w:val="bullet"/>
      <w:lvlText w:val="·"/>
      <w:lvlJc w:val="left"/>
      <w:pPr>
        <w:tabs>
          <w:tab w:val="left" w:pos="216"/>
        </w:tabs>
      </w:pPr>
      <w:rPr>
        <w:rFonts w:ascii="Symbol" w:eastAsia="Symbol" w:hAnsi="Symbol"/>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3D3AD1"/>
    <w:multiLevelType w:val="multilevel"/>
    <w:tmpl w:val="4050901C"/>
    <w:lvl w:ilvl="0">
      <w:start w:val="1"/>
      <w:numFmt w:val="decimal"/>
      <w:lvlText w:val="%1."/>
      <w:lvlJc w:val="left"/>
      <w:pPr>
        <w:tabs>
          <w:tab w:val="left" w:pos="288"/>
        </w:tabs>
      </w:pPr>
      <w:rPr>
        <w:rFonts w:ascii="Arial" w:eastAsia="Arial" w:hAnsi="Arial"/>
        <w:i/>
        <w:color w:val="40404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464CE0"/>
    <w:multiLevelType w:val="multilevel"/>
    <w:tmpl w:val="DC183CB4"/>
    <w:lvl w:ilvl="0">
      <w:start w:val="1"/>
      <w:numFmt w:val="lowerLetter"/>
      <w:lvlText w:val="%1)"/>
      <w:lvlJc w:val="left"/>
      <w:pPr>
        <w:tabs>
          <w:tab w:val="left" w:pos="216"/>
        </w:tabs>
      </w:pPr>
      <w:rPr>
        <w:rFonts w:ascii="Tahoma" w:eastAsia="Tahoma" w:hAnsi="Tahoma"/>
        <w:color w:val="404042"/>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5D0E04"/>
    <w:multiLevelType w:val="multilevel"/>
    <w:tmpl w:val="C0E6B440"/>
    <w:lvl w:ilvl="0">
      <w:numFmt w:val="bullet"/>
      <w:lvlText w:val="·"/>
      <w:lvlJc w:val="left"/>
      <w:pPr>
        <w:tabs>
          <w:tab w:val="left" w:pos="216"/>
        </w:tabs>
      </w:pPr>
      <w:rPr>
        <w:rFonts w:ascii="Symbol" w:eastAsia="Symbol" w:hAnsi="Symbol"/>
        <w:color w:val="404042"/>
        <w:spacing w:val="5"/>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1E5466"/>
    <w:multiLevelType w:val="multilevel"/>
    <w:tmpl w:val="3998F82A"/>
    <w:lvl w:ilvl="0">
      <w:start w:val="1"/>
      <w:numFmt w:val="lowerLetter"/>
      <w:lvlText w:val="%1)"/>
      <w:lvlJc w:val="left"/>
      <w:pPr>
        <w:tabs>
          <w:tab w:val="left" w:pos="216"/>
        </w:tabs>
      </w:pPr>
      <w:rPr>
        <w:rFonts w:ascii="Tahoma" w:eastAsia="Tahoma" w:hAnsi="Tahoma"/>
        <w:color w:val="40404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0A66AC"/>
    <w:multiLevelType w:val="multilevel"/>
    <w:tmpl w:val="2FC28120"/>
    <w:lvl w:ilvl="0">
      <w:start w:val="1"/>
      <w:numFmt w:val="decimal"/>
      <w:lvlText w:val="%1."/>
      <w:lvlJc w:val="left"/>
      <w:pPr>
        <w:tabs>
          <w:tab w:val="left" w:pos="216"/>
        </w:tabs>
      </w:pPr>
      <w:rPr>
        <w:rFonts w:ascii="Tahoma" w:eastAsia="Tahoma" w:hAnsi="Tahoma"/>
        <w:color w:val="40404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1260A3"/>
    <w:multiLevelType w:val="multilevel"/>
    <w:tmpl w:val="25709A2E"/>
    <w:lvl w:ilvl="0">
      <w:start w:val="1"/>
      <w:numFmt w:val="lowerLetter"/>
      <w:lvlText w:val="%1."/>
      <w:lvlJc w:val="left"/>
      <w:pPr>
        <w:tabs>
          <w:tab w:val="left" w:pos="288"/>
        </w:tabs>
      </w:pPr>
      <w:rPr>
        <w:rFonts w:ascii="Tahoma" w:eastAsia="Tahoma" w:hAnsi="Tahoma"/>
        <w:color w:val="40404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7A03D0"/>
    <w:multiLevelType w:val="multilevel"/>
    <w:tmpl w:val="C99E50F0"/>
    <w:lvl w:ilvl="0">
      <w:numFmt w:val="decimal"/>
      <w:lvlText w:val="%1)"/>
      <w:lvlJc w:val="left"/>
      <w:pPr>
        <w:tabs>
          <w:tab w:val="left" w:pos="216"/>
        </w:tabs>
      </w:pPr>
      <w:rPr>
        <w:rFonts w:ascii="Arial" w:eastAsia="Arial" w:hAnsi="Arial"/>
        <w:i/>
        <w:color w:val="00708E"/>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8C689D"/>
    <w:multiLevelType w:val="hybridMultilevel"/>
    <w:tmpl w:val="415016A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11C2F5E"/>
    <w:multiLevelType w:val="multilevel"/>
    <w:tmpl w:val="D1F43B90"/>
    <w:lvl w:ilvl="0">
      <w:start w:val="1"/>
      <w:numFmt w:val="decimal"/>
      <w:lvlText w:val="%1."/>
      <w:lvlJc w:val="left"/>
      <w:pPr>
        <w:tabs>
          <w:tab w:val="left" w:pos="216"/>
        </w:tabs>
      </w:pPr>
      <w:rPr>
        <w:rFonts w:ascii="Tahoma" w:eastAsia="Tahoma" w:hAnsi="Tahoma"/>
        <w:b/>
        <w:color w:val="424041"/>
        <w:spacing w:val="5"/>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2329F1"/>
    <w:multiLevelType w:val="multilevel"/>
    <w:tmpl w:val="563E1CC8"/>
    <w:lvl w:ilvl="0">
      <w:start w:val="1"/>
      <w:numFmt w:val="decimal"/>
      <w:lvlText w:val="%1"/>
      <w:lvlJc w:val="left"/>
      <w:pPr>
        <w:ind w:left="360" w:hanging="360"/>
      </w:pPr>
      <w:rPr>
        <w:rFonts w:hint="default"/>
      </w:rPr>
    </w:lvl>
    <w:lvl w:ilvl="1">
      <w:start w:val="1"/>
      <w:numFmt w:val="decimal"/>
      <w:lvlText w:val="%1.%2"/>
      <w:lvlJc w:val="left"/>
      <w:pPr>
        <w:ind w:left="668" w:hanging="360"/>
      </w:pPr>
      <w:rPr>
        <w:rFonts w:hint="default"/>
      </w:rPr>
    </w:lvl>
    <w:lvl w:ilvl="2">
      <w:start w:val="1"/>
      <w:numFmt w:val="decimal"/>
      <w:lvlText w:val="%1.%2.%3"/>
      <w:lvlJc w:val="left"/>
      <w:pPr>
        <w:ind w:left="1336" w:hanging="720"/>
      </w:pPr>
      <w:rPr>
        <w:rFonts w:hint="default"/>
      </w:rPr>
    </w:lvl>
    <w:lvl w:ilvl="3">
      <w:start w:val="1"/>
      <w:numFmt w:val="decimal"/>
      <w:lvlText w:val="%1.%2.%3.%4"/>
      <w:lvlJc w:val="left"/>
      <w:pPr>
        <w:ind w:left="1644" w:hanging="720"/>
      </w:pPr>
      <w:rPr>
        <w:rFonts w:hint="default"/>
      </w:rPr>
    </w:lvl>
    <w:lvl w:ilvl="4">
      <w:start w:val="1"/>
      <w:numFmt w:val="decimal"/>
      <w:lvlText w:val="%1.%2.%3.%4.%5"/>
      <w:lvlJc w:val="left"/>
      <w:pPr>
        <w:ind w:left="1952" w:hanging="720"/>
      </w:pPr>
      <w:rPr>
        <w:rFonts w:hint="default"/>
      </w:rPr>
    </w:lvl>
    <w:lvl w:ilvl="5">
      <w:start w:val="1"/>
      <w:numFmt w:val="decimal"/>
      <w:lvlText w:val="%1.%2.%3.%4.%5.%6"/>
      <w:lvlJc w:val="left"/>
      <w:pPr>
        <w:ind w:left="2620" w:hanging="1080"/>
      </w:pPr>
      <w:rPr>
        <w:rFonts w:hint="default"/>
      </w:rPr>
    </w:lvl>
    <w:lvl w:ilvl="6">
      <w:start w:val="1"/>
      <w:numFmt w:val="decimal"/>
      <w:lvlText w:val="%1.%2.%3.%4.%5.%6.%7"/>
      <w:lvlJc w:val="left"/>
      <w:pPr>
        <w:ind w:left="2928" w:hanging="1080"/>
      </w:pPr>
      <w:rPr>
        <w:rFonts w:hint="default"/>
      </w:rPr>
    </w:lvl>
    <w:lvl w:ilvl="7">
      <w:start w:val="1"/>
      <w:numFmt w:val="decimal"/>
      <w:lvlText w:val="%1.%2.%3.%4.%5.%6.%7.%8"/>
      <w:lvlJc w:val="left"/>
      <w:pPr>
        <w:ind w:left="3596" w:hanging="1440"/>
      </w:pPr>
      <w:rPr>
        <w:rFonts w:hint="default"/>
      </w:rPr>
    </w:lvl>
    <w:lvl w:ilvl="8">
      <w:start w:val="1"/>
      <w:numFmt w:val="decimal"/>
      <w:lvlText w:val="%1.%2.%3.%4.%5.%6.%7.%8.%9"/>
      <w:lvlJc w:val="left"/>
      <w:pPr>
        <w:ind w:left="3904" w:hanging="1440"/>
      </w:pPr>
      <w:rPr>
        <w:rFonts w:hint="default"/>
      </w:rPr>
    </w:lvl>
  </w:abstractNum>
  <w:abstractNum w:abstractNumId="15" w15:restartNumberingAfterBreak="0">
    <w:nsid w:val="37F8539B"/>
    <w:multiLevelType w:val="multilevel"/>
    <w:tmpl w:val="36C207D6"/>
    <w:lvl w:ilvl="0">
      <w:start w:val="1"/>
      <w:numFmt w:val="lowerLetter"/>
      <w:lvlText w:val="%1."/>
      <w:lvlJc w:val="left"/>
      <w:pPr>
        <w:tabs>
          <w:tab w:val="left" w:pos="216"/>
        </w:tabs>
      </w:pPr>
      <w:rPr>
        <w:rFonts w:ascii="Tahoma" w:eastAsia="Tahoma" w:hAnsi="Tahoma"/>
        <w:color w:val="40404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A6253C"/>
    <w:multiLevelType w:val="multilevel"/>
    <w:tmpl w:val="30B2A550"/>
    <w:lvl w:ilvl="0">
      <w:start w:val="4"/>
      <w:numFmt w:val="decimal"/>
      <w:lvlText w:val="%1)"/>
      <w:lvlJc w:val="left"/>
      <w:pPr>
        <w:tabs>
          <w:tab w:val="left" w:pos="216"/>
        </w:tabs>
      </w:pPr>
      <w:rPr>
        <w:rFonts w:ascii="Verdana" w:eastAsia="Verdana" w:hAnsi="Verdana"/>
        <w:i/>
        <w:color w:val="007896"/>
        <w:spacing w:val="-1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B521CB"/>
    <w:multiLevelType w:val="multilevel"/>
    <w:tmpl w:val="21809B66"/>
    <w:lvl w:ilvl="0">
      <w:start w:val="1"/>
      <w:numFmt w:val="lowerLetter"/>
      <w:lvlText w:val="%1)"/>
      <w:lvlJc w:val="left"/>
      <w:pPr>
        <w:tabs>
          <w:tab w:val="left" w:pos="216"/>
        </w:tabs>
      </w:pPr>
      <w:rPr>
        <w:rFonts w:ascii="Tahoma" w:eastAsia="Tahoma" w:hAnsi="Tahoma"/>
        <w:color w:val="404042"/>
        <w:spacing w:val="5"/>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F40F0D"/>
    <w:multiLevelType w:val="hybridMultilevel"/>
    <w:tmpl w:val="55AE5212"/>
    <w:lvl w:ilvl="0" w:tplc="0C09000F">
      <w:start w:val="1"/>
      <w:numFmt w:val="decimal"/>
      <w:lvlText w:val="%1."/>
      <w:lvlJc w:val="left"/>
      <w:pPr>
        <w:ind w:left="1028" w:hanging="360"/>
      </w:pPr>
    </w:lvl>
    <w:lvl w:ilvl="1" w:tplc="0C090019" w:tentative="1">
      <w:start w:val="1"/>
      <w:numFmt w:val="lowerLetter"/>
      <w:lvlText w:val="%2."/>
      <w:lvlJc w:val="left"/>
      <w:pPr>
        <w:ind w:left="1748" w:hanging="360"/>
      </w:pPr>
    </w:lvl>
    <w:lvl w:ilvl="2" w:tplc="0C09001B" w:tentative="1">
      <w:start w:val="1"/>
      <w:numFmt w:val="lowerRoman"/>
      <w:lvlText w:val="%3."/>
      <w:lvlJc w:val="right"/>
      <w:pPr>
        <w:ind w:left="2468" w:hanging="180"/>
      </w:pPr>
    </w:lvl>
    <w:lvl w:ilvl="3" w:tplc="0C09000F" w:tentative="1">
      <w:start w:val="1"/>
      <w:numFmt w:val="decimal"/>
      <w:lvlText w:val="%4."/>
      <w:lvlJc w:val="left"/>
      <w:pPr>
        <w:ind w:left="3188" w:hanging="360"/>
      </w:pPr>
    </w:lvl>
    <w:lvl w:ilvl="4" w:tplc="0C090019" w:tentative="1">
      <w:start w:val="1"/>
      <w:numFmt w:val="lowerLetter"/>
      <w:lvlText w:val="%5."/>
      <w:lvlJc w:val="left"/>
      <w:pPr>
        <w:ind w:left="3908" w:hanging="360"/>
      </w:pPr>
    </w:lvl>
    <w:lvl w:ilvl="5" w:tplc="0C09001B" w:tentative="1">
      <w:start w:val="1"/>
      <w:numFmt w:val="lowerRoman"/>
      <w:lvlText w:val="%6."/>
      <w:lvlJc w:val="right"/>
      <w:pPr>
        <w:ind w:left="4628" w:hanging="180"/>
      </w:pPr>
    </w:lvl>
    <w:lvl w:ilvl="6" w:tplc="0C09000F" w:tentative="1">
      <w:start w:val="1"/>
      <w:numFmt w:val="decimal"/>
      <w:lvlText w:val="%7."/>
      <w:lvlJc w:val="left"/>
      <w:pPr>
        <w:ind w:left="5348" w:hanging="360"/>
      </w:pPr>
    </w:lvl>
    <w:lvl w:ilvl="7" w:tplc="0C090019" w:tentative="1">
      <w:start w:val="1"/>
      <w:numFmt w:val="lowerLetter"/>
      <w:lvlText w:val="%8."/>
      <w:lvlJc w:val="left"/>
      <w:pPr>
        <w:ind w:left="6068" w:hanging="360"/>
      </w:pPr>
    </w:lvl>
    <w:lvl w:ilvl="8" w:tplc="0C09001B" w:tentative="1">
      <w:start w:val="1"/>
      <w:numFmt w:val="lowerRoman"/>
      <w:lvlText w:val="%9."/>
      <w:lvlJc w:val="right"/>
      <w:pPr>
        <w:ind w:left="6788" w:hanging="180"/>
      </w:pPr>
    </w:lvl>
  </w:abstractNum>
  <w:abstractNum w:abstractNumId="19" w15:restartNumberingAfterBreak="0">
    <w:nsid w:val="41546685"/>
    <w:multiLevelType w:val="multilevel"/>
    <w:tmpl w:val="9ED61A3A"/>
    <w:lvl w:ilvl="0">
      <w:start w:val="1"/>
      <w:numFmt w:val="lowerLetter"/>
      <w:lvlText w:val="%1)"/>
      <w:lvlJc w:val="left"/>
      <w:pPr>
        <w:tabs>
          <w:tab w:val="left" w:pos="144"/>
        </w:tabs>
      </w:pPr>
      <w:rPr>
        <w:rFonts w:ascii="Tahoma" w:eastAsia="Tahoma" w:hAnsi="Tahoma"/>
        <w:color w:val="404042"/>
        <w:spacing w:val="3"/>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2331C6"/>
    <w:multiLevelType w:val="multilevel"/>
    <w:tmpl w:val="79F63BBE"/>
    <w:lvl w:ilvl="0">
      <w:start w:val="2"/>
      <w:numFmt w:val="decimal"/>
      <w:lvlText w:val="%1)"/>
      <w:lvlJc w:val="left"/>
      <w:pPr>
        <w:tabs>
          <w:tab w:val="left" w:pos="216"/>
        </w:tabs>
      </w:pPr>
      <w:rPr>
        <w:rFonts w:ascii="Tahoma" w:eastAsia="Tahoma" w:hAnsi="Tahoma"/>
        <w:i/>
        <w:color w:val="00708E"/>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6D1D8B"/>
    <w:multiLevelType w:val="multilevel"/>
    <w:tmpl w:val="4426C518"/>
    <w:lvl w:ilvl="0">
      <w:numFmt w:val="decimal"/>
      <w:lvlText w:val="%1."/>
      <w:lvlJc w:val="left"/>
      <w:pPr>
        <w:tabs>
          <w:tab w:val="left" w:pos="216"/>
        </w:tabs>
      </w:pPr>
      <w:rPr>
        <w:rFonts w:ascii="Arial" w:eastAsia="Arial" w:hAnsi="Arial"/>
        <w:b/>
        <w:color w:val="424041"/>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AA3C2F"/>
    <w:multiLevelType w:val="multilevel"/>
    <w:tmpl w:val="16F403E6"/>
    <w:lvl w:ilvl="0">
      <w:numFmt w:val="bullet"/>
      <w:lvlText w:val="·"/>
      <w:lvlJc w:val="left"/>
      <w:pPr>
        <w:tabs>
          <w:tab w:val="left" w:pos="144"/>
        </w:tabs>
      </w:pPr>
      <w:rPr>
        <w:rFonts w:ascii="Symbol" w:eastAsia="Symbol" w:hAnsi="Symbol"/>
        <w:color w:val="404042"/>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16ABA"/>
    <w:multiLevelType w:val="multilevel"/>
    <w:tmpl w:val="60949EA0"/>
    <w:lvl w:ilvl="0">
      <w:start w:val="1"/>
      <w:numFmt w:val="decimal"/>
      <w:lvlText w:val="%1."/>
      <w:lvlJc w:val="left"/>
      <w:pPr>
        <w:tabs>
          <w:tab w:val="left" w:pos="216"/>
        </w:tabs>
      </w:pPr>
      <w:rPr>
        <w:rFonts w:ascii="Tahoma" w:eastAsia="Tahoma" w:hAnsi="Tahoma"/>
        <w:color w:val="404042"/>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0B2B33"/>
    <w:multiLevelType w:val="multilevel"/>
    <w:tmpl w:val="E8A23712"/>
    <w:lvl w:ilvl="0">
      <w:start w:val="2"/>
      <w:numFmt w:val="decimal"/>
      <w:lvlText w:val="%1."/>
      <w:lvlJc w:val="left"/>
      <w:pPr>
        <w:tabs>
          <w:tab w:val="left" w:pos="216"/>
        </w:tabs>
      </w:pPr>
      <w:rPr>
        <w:rFonts w:ascii="Arial" w:eastAsia="Arial" w:hAnsi="Arial"/>
        <w:b/>
        <w:color w:val="414042"/>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884F03"/>
    <w:multiLevelType w:val="multilevel"/>
    <w:tmpl w:val="E082890E"/>
    <w:lvl w:ilvl="0">
      <w:start w:val="1"/>
      <w:numFmt w:val="lowerLetter"/>
      <w:lvlText w:val="%1)"/>
      <w:lvlJc w:val="left"/>
      <w:pPr>
        <w:tabs>
          <w:tab w:val="left" w:pos="216"/>
        </w:tabs>
      </w:pPr>
      <w:rPr>
        <w:rFonts w:ascii="Tahoma" w:eastAsia="Tahoma" w:hAnsi="Tahoma"/>
        <w:color w:val="404042"/>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3E0381"/>
    <w:multiLevelType w:val="multilevel"/>
    <w:tmpl w:val="38CEBF88"/>
    <w:lvl w:ilvl="0">
      <w:start w:val="1"/>
      <w:numFmt w:val="decimal"/>
      <w:lvlText w:val="%1."/>
      <w:lvlJc w:val="left"/>
      <w:pPr>
        <w:tabs>
          <w:tab w:val="left" w:pos="144"/>
        </w:tabs>
      </w:pPr>
      <w:rPr>
        <w:rFonts w:ascii="Tahoma" w:eastAsia="Tahoma" w:hAnsi="Tahoma"/>
        <w:color w:val="404042"/>
        <w:spacing w:val="0"/>
        <w:w w:val="100"/>
        <w:sz w:val="18"/>
        <w:shd w:val="solid" w:color="E9ECEF" w:fill="E9ECE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2B0E40"/>
    <w:multiLevelType w:val="multilevel"/>
    <w:tmpl w:val="B1185F0C"/>
    <w:lvl w:ilvl="0">
      <w:numFmt w:val="decimal"/>
      <w:lvlText w:val="%1."/>
      <w:lvlJc w:val="left"/>
      <w:pPr>
        <w:tabs>
          <w:tab w:val="left" w:pos="216"/>
        </w:tabs>
      </w:pPr>
      <w:rPr>
        <w:rFonts w:ascii="Verdana" w:eastAsia="Verdana" w:hAnsi="Verdana"/>
        <w:color w:val="404042"/>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5"/>
  </w:num>
  <w:num w:numId="4">
    <w:abstractNumId w:val="3"/>
  </w:num>
  <w:num w:numId="5">
    <w:abstractNumId w:val="9"/>
  </w:num>
  <w:num w:numId="6">
    <w:abstractNumId w:val="7"/>
  </w:num>
  <w:num w:numId="7">
    <w:abstractNumId w:val="20"/>
  </w:num>
  <w:num w:numId="8">
    <w:abstractNumId w:val="11"/>
  </w:num>
  <w:num w:numId="9">
    <w:abstractNumId w:val="16"/>
  </w:num>
  <w:num w:numId="10">
    <w:abstractNumId w:val="17"/>
  </w:num>
  <w:num w:numId="11">
    <w:abstractNumId w:val="2"/>
  </w:num>
  <w:num w:numId="12">
    <w:abstractNumId w:val="25"/>
  </w:num>
  <w:num w:numId="13">
    <w:abstractNumId w:val="19"/>
  </w:num>
  <w:num w:numId="14">
    <w:abstractNumId w:val="13"/>
  </w:num>
  <w:num w:numId="15">
    <w:abstractNumId w:val="21"/>
  </w:num>
  <w:num w:numId="16">
    <w:abstractNumId w:val="22"/>
  </w:num>
  <w:num w:numId="17">
    <w:abstractNumId w:val="26"/>
  </w:num>
  <w:num w:numId="18">
    <w:abstractNumId w:val="8"/>
  </w:num>
  <w:num w:numId="19">
    <w:abstractNumId w:val="0"/>
  </w:num>
  <w:num w:numId="20">
    <w:abstractNumId w:val="6"/>
  </w:num>
  <w:num w:numId="21">
    <w:abstractNumId w:val="4"/>
  </w:num>
  <w:num w:numId="22">
    <w:abstractNumId w:val="23"/>
  </w:num>
  <w:num w:numId="23">
    <w:abstractNumId w:val="27"/>
  </w:num>
  <w:num w:numId="24">
    <w:abstractNumId w:val="24"/>
  </w:num>
  <w:num w:numId="25">
    <w:abstractNumId w:val="1"/>
  </w:num>
  <w:num w:numId="26">
    <w:abstractNumId w:val="12"/>
  </w:num>
  <w:num w:numId="27">
    <w:abstractNumId w:val="18"/>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7A9"/>
    <w:rsid w:val="00000820"/>
    <w:rsid w:val="00012B03"/>
    <w:rsid w:val="00030053"/>
    <w:rsid w:val="00040C78"/>
    <w:rsid w:val="00055ADD"/>
    <w:rsid w:val="0007276F"/>
    <w:rsid w:val="00083242"/>
    <w:rsid w:val="000A086E"/>
    <w:rsid w:val="000A70A0"/>
    <w:rsid w:val="000B186B"/>
    <w:rsid w:val="000D2E34"/>
    <w:rsid w:val="000E6DFA"/>
    <w:rsid w:val="000E6F32"/>
    <w:rsid w:val="00123F62"/>
    <w:rsid w:val="00124553"/>
    <w:rsid w:val="00124A98"/>
    <w:rsid w:val="00151F66"/>
    <w:rsid w:val="0016093F"/>
    <w:rsid w:val="001A02F4"/>
    <w:rsid w:val="001A0CCE"/>
    <w:rsid w:val="001A7473"/>
    <w:rsid w:val="001C2531"/>
    <w:rsid w:val="001C4351"/>
    <w:rsid w:val="001D3978"/>
    <w:rsid w:val="001F0253"/>
    <w:rsid w:val="001F0D6E"/>
    <w:rsid w:val="002146BB"/>
    <w:rsid w:val="00214EE1"/>
    <w:rsid w:val="00230161"/>
    <w:rsid w:val="00232B76"/>
    <w:rsid w:val="00271E61"/>
    <w:rsid w:val="002838CE"/>
    <w:rsid w:val="002854F1"/>
    <w:rsid w:val="00285B4C"/>
    <w:rsid w:val="002C6394"/>
    <w:rsid w:val="002C6410"/>
    <w:rsid w:val="003156EB"/>
    <w:rsid w:val="003161C6"/>
    <w:rsid w:val="00326509"/>
    <w:rsid w:val="003274AA"/>
    <w:rsid w:val="00341A0D"/>
    <w:rsid w:val="00367CD5"/>
    <w:rsid w:val="00371F5A"/>
    <w:rsid w:val="00387224"/>
    <w:rsid w:val="00396927"/>
    <w:rsid w:val="00405464"/>
    <w:rsid w:val="004055AF"/>
    <w:rsid w:val="004125E6"/>
    <w:rsid w:val="00414BA6"/>
    <w:rsid w:val="00415883"/>
    <w:rsid w:val="00453B94"/>
    <w:rsid w:val="00466255"/>
    <w:rsid w:val="00481ECA"/>
    <w:rsid w:val="00481FB2"/>
    <w:rsid w:val="00490F33"/>
    <w:rsid w:val="004926BB"/>
    <w:rsid w:val="004D1F8F"/>
    <w:rsid w:val="004D7D34"/>
    <w:rsid w:val="004E1A7A"/>
    <w:rsid w:val="005443BD"/>
    <w:rsid w:val="005B5489"/>
    <w:rsid w:val="005B7DC9"/>
    <w:rsid w:val="005D4D6A"/>
    <w:rsid w:val="005F6D79"/>
    <w:rsid w:val="00603695"/>
    <w:rsid w:val="00617D51"/>
    <w:rsid w:val="0063031B"/>
    <w:rsid w:val="00653589"/>
    <w:rsid w:val="00662506"/>
    <w:rsid w:val="00666F4A"/>
    <w:rsid w:val="00697E3A"/>
    <w:rsid w:val="006B3019"/>
    <w:rsid w:val="006B3B28"/>
    <w:rsid w:val="006B503B"/>
    <w:rsid w:val="0070332D"/>
    <w:rsid w:val="00704CC9"/>
    <w:rsid w:val="007063D0"/>
    <w:rsid w:val="00712CC4"/>
    <w:rsid w:val="007D4E2D"/>
    <w:rsid w:val="007D6ACE"/>
    <w:rsid w:val="00801BBC"/>
    <w:rsid w:val="008050AC"/>
    <w:rsid w:val="0081073F"/>
    <w:rsid w:val="008232DF"/>
    <w:rsid w:val="00837BFF"/>
    <w:rsid w:val="00845D14"/>
    <w:rsid w:val="0086092A"/>
    <w:rsid w:val="00862024"/>
    <w:rsid w:val="00863A85"/>
    <w:rsid w:val="008D5CB6"/>
    <w:rsid w:val="008E64F0"/>
    <w:rsid w:val="008E77FA"/>
    <w:rsid w:val="009124B1"/>
    <w:rsid w:val="0091507A"/>
    <w:rsid w:val="009179CC"/>
    <w:rsid w:val="00933A27"/>
    <w:rsid w:val="00934BD0"/>
    <w:rsid w:val="00936242"/>
    <w:rsid w:val="00960BAA"/>
    <w:rsid w:val="009757A9"/>
    <w:rsid w:val="009865FD"/>
    <w:rsid w:val="009B5D71"/>
    <w:rsid w:val="009E1741"/>
    <w:rsid w:val="009E19CD"/>
    <w:rsid w:val="009E47D4"/>
    <w:rsid w:val="009F7F0B"/>
    <w:rsid w:val="00A71681"/>
    <w:rsid w:val="00A81357"/>
    <w:rsid w:val="00A97308"/>
    <w:rsid w:val="00AA27A2"/>
    <w:rsid w:val="00AC09DA"/>
    <w:rsid w:val="00AC10FF"/>
    <w:rsid w:val="00AC54B5"/>
    <w:rsid w:val="00AD0DF6"/>
    <w:rsid w:val="00AF20B6"/>
    <w:rsid w:val="00B02931"/>
    <w:rsid w:val="00B02D28"/>
    <w:rsid w:val="00B12B24"/>
    <w:rsid w:val="00B168D0"/>
    <w:rsid w:val="00B501D5"/>
    <w:rsid w:val="00B8284D"/>
    <w:rsid w:val="00B841BB"/>
    <w:rsid w:val="00B92827"/>
    <w:rsid w:val="00BA3618"/>
    <w:rsid w:val="00BB073C"/>
    <w:rsid w:val="00BD7265"/>
    <w:rsid w:val="00C27081"/>
    <w:rsid w:val="00C43F47"/>
    <w:rsid w:val="00CF67DB"/>
    <w:rsid w:val="00D172B1"/>
    <w:rsid w:val="00D423F8"/>
    <w:rsid w:val="00D64119"/>
    <w:rsid w:val="00D93399"/>
    <w:rsid w:val="00DA1C79"/>
    <w:rsid w:val="00DA5CD8"/>
    <w:rsid w:val="00DD3786"/>
    <w:rsid w:val="00E01C3F"/>
    <w:rsid w:val="00E2675D"/>
    <w:rsid w:val="00E31856"/>
    <w:rsid w:val="00E3201E"/>
    <w:rsid w:val="00E3371A"/>
    <w:rsid w:val="00E51DEE"/>
    <w:rsid w:val="00E539CA"/>
    <w:rsid w:val="00EF397F"/>
    <w:rsid w:val="00F32F47"/>
    <w:rsid w:val="00F36DC5"/>
    <w:rsid w:val="00F4178E"/>
    <w:rsid w:val="00FE74F0"/>
    <w:rsid w:val="00FF29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A861"/>
  <w15:docId w15:val="{6391D36D-5F35-491C-BBC6-C595262D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9E47D4"/>
    <w:pPr>
      <w:keepNext/>
      <w:keepLines/>
      <w:spacing w:before="240"/>
      <w:ind w:left="851"/>
      <w:outlineLvl w:val="0"/>
    </w:pPr>
    <w:rPr>
      <w:rFonts w:ascii="Arial" w:eastAsiaTheme="majorEastAsia" w:hAnsi="Arial" w:cstheme="majorBidi"/>
      <w:b/>
      <w:color w:val="00708E"/>
      <w:sz w:val="39"/>
      <w:szCs w:val="32"/>
    </w:rPr>
  </w:style>
  <w:style w:type="paragraph" w:styleId="Heading2">
    <w:name w:val="heading 2"/>
    <w:basedOn w:val="Normal"/>
    <w:next w:val="Normal"/>
    <w:link w:val="Heading2Char"/>
    <w:uiPriority w:val="9"/>
    <w:unhideWhenUsed/>
    <w:qFormat/>
    <w:rsid w:val="006B3019"/>
    <w:pPr>
      <w:keepNext/>
      <w:keepLines/>
      <w:spacing w:before="280" w:after="240"/>
      <w:ind w:left="851"/>
      <w:outlineLvl w:val="1"/>
    </w:pPr>
    <w:rPr>
      <w:rFonts w:ascii="Arial" w:eastAsiaTheme="majorEastAsia" w:hAnsi="Arial" w:cstheme="majorBidi"/>
      <w:b/>
      <w:color w:val="00708E"/>
      <w:sz w:val="3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332D"/>
    <w:rPr>
      <w:sz w:val="16"/>
      <w:szCs w:val="16"/>
    </w:rPr>
  </w:style>
  <w:style w:type="paragraph" w:styleId="CommentText">
    <w:name w:val="annotation text"/>
    <w:basedOn w:val="Normal"/>
    <w:link w:val="CommentTextChar"/>
    <w:uiPriority w:val="99"/>
    <w:semiHidden/>
    <w:unhideWhenUsed/>
    <w:rsid w:val="0070332D"/>
    <w:rPr>
      <w:sz w:val="20"/>
      <w:szCs w:val="20"/>
    </w:rPr>
  </w:style>
  <w:style w:type="character" w:customStyle="1" w:styleId="CommentTextChar">
    <w:name w:val="Comment Text Char"/>
    <w:basedOn w:val="DefaultParagraphFont"/>
    <w:link w:val="CommentText"/>
    <w:uiPriority w:val="99"/>
    <w:semiHidden/>
    <w:rsid w:val="0070332D"/>
    <w:rPr>
      <w:sz w:val="20"/>
      <w:szCs w:val="20"/>
    </w:rPr>
  </w:style>
  <w:style w:type="paragraph" w:styleId="CommentSubject">
    <w:name w:val="annotation subject"/>
    <w:basedOn w:val="CommentText"/>
    <w:next w:val="CommentText"/>
    <w:link w:val="CommentSubjectChar"/>
    <w:uiPriority w:val="99"/>
    <w:semiHidden/>
    <w:unhideWhenUsed/>
    <w:rsid w:val="0070332D"/>
    <w:rPr>
      <w:b/>
      <w:bCs/>
    </w:rPr>
  </w:style>
  <w:style w:type="character" w:customStyle="1" w:styleId="CommentSubjectChar">
    <w:name w:val="Comment Subject Char"/>
    <w:basedOn w:val="CommentTextChar"/>
    <w:link w:val="CommentSubject"/>
    <w:uiPriority w:val="99"/>
    <w:semiHidden/>
    <w:rsid w:val="0070332D"/>
    <w:rPr>
      <w:b/>
      <w:bCs/>
      <w:sz w:val="20"/>
      <w:szCs w:val="20"/>
    </w:rPr>
  </w:style>
  <w:style w:type="paragraph" w:styleId="BalloonText">
    <w:name w:val="Balloon Text"/>
    <w:basedOn w:val="Normal"/>
    <w:link w:val="BalloonTextChar"/>
    <w:uiPriority w:val="99"/>
    <w:semiHidden/>
    <w:unhideWhenUsed/>
    <w:rsid w:val="007033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32D"/>
    <w:rPr>
      <w:rFonts w:ascii="Segoe UI" w:hAnsi="Segoe UI" w:cs="Segoe UI"/>
      <w:sz w:val="18"/>
      <w:szCs w:val="18"/>
    </w:rPr>
  </w:style>
  <w:style w:type="character" w:customStyle="1" w:styleId="Heading1Char">
    <w:name w:val="Heading 1 Char"/>
    <w:basedOn w:val="DefaultParagraphFont"/>
    <w:link w:val="Heading1"/>
    <w:uiPriority w:val="9"/>
    <w:rsid w:val="009E47D4"/>
    <w:rPr>
      <w:rFonts w:ascii="Arial" w:eastAsiaTheme="majorEastAsia" w:hAnsi="Arial" w:cstheme="majorBidi"/>
      <w:b/>
      <w:color w:val="00708E"/>
      <w:sz w:val="39"/>
      <w:szCs w:val="32"/>
    </w:rPr>
  </w:style>
  <w:style w:type="character" w:customStyle="1" w:styleId="Heading2Char">
    <w:name w:val="Heading 2 Char"/>
    <w:basedOn w:val="DefaultParagraphFont"/>
    <w:link w:val="Heading2"/>
    <w:uiPriority w:val="9"/>
    <w:rsid w:val="006B3019"/>
    <w:rPr>
      <w:rFonts w:ascii="Arial" w:eastAsiaTheme="majorEastAsia" w:hAnsi="Arial" w:cstheme="majorBidi"/>
      <w:b/>
      <w:color w:val="00708E"/>
      <w:sz w:val="39"/>
      <w:szCs w:val="26"/>
    </w:rPr>
  </w:style>
  <w:style w:type="table" w:styleId="TableGrid">
    <w:name w:val="Table Grid"/>
    <w:basedOn w:val="TableNormal"/>
    <w:uiPriority w:val="39"/>
    <w:rsid w:val="00396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2024"/>
    <w:pPr>
      <w:ind w:left="720"/>
      <w:contextualSpacing/>
    </w:pPr>
  </w:style>
  <w:style w:type="paragraph" w:styleId="NoSpacing">
    <w:name w:val="No Spacing"/>
    <w:uiPriority w:val="1"/>
    <w:qFormat/>
    <w:rsid w:val="00D93399"/>
  </w:style>
  <w:style w:type="paragraph" w:styleId="Header">
    <w:name w:val="header"/>
    <w:basedOn w:val="Normal"/>
    <w:link w:val="HeaderChar"/>
    <w:uiPriority w:val="99"/>
    <w:unhideWhenUsed/>
    <w:rsid w:val="00414BA6"/>
    <w:pPr>
      <w:tabs>
        <w:tab w:val="center" w:pos="4513"/>
        <w:tab w:val="right" w:pos="9026"/>
      </w:tabs>
    </w:pPr>
  </w:style>
  <w:style w:type="character" w:customStyle="1" w:styleId="HeaderChar">
    <w:name w:val="Header Char"/>
    <w:basedOn w:val="DefaultParagraphFont"/>
    <w:link w:val="Header"/>
    <w:uiPriority w:val="99"/>
    <w:rsid w:val="00414BA6"/>
  </w:style>
  <w:style w:type="paragraph" w:styleId="Footer">
    <w:name w:val="footer"/>
    <w:basedOn w:val="Normal"/>
    <w:link w:val="FooterChar"/>
    <w:uiPriority w:val="99"/>
    <w:unhideWhenUsed/>
    <w:rsid w:val="00414BA6"/>
    <w:pPr>
      <w:tabs>
        <w:tab w:val="center" w:pos="4513"/>
        <w:tab w:val="right" w:pos="9026"/>
      </w:tabs>
    </w:pPr>
  </w:style>
  <w:style w:type="character" w:customStyle="1" w:styleId="FooterChar">
    <w:name w:val="Footer Char"/>
    <w:basedOn w:val="DefaultParagraphFont"/>
    <w:link w:val="Footer"/>
    <w:uiPriority w:val="99"/>
    <w:rsid w:val="00414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www.thesmithfamily.com.au/-/media/files/research/reports/participation-research-report-june-2013.pdf" TargetMode="External"/><Relationship Id="rId299" Type="http://schemas.openxmlformats.org/officeDocument/2006/relationships/hyperlink" Target="https://www.humanrights.gov.au/our-work/publications/summary-childrens-rights-report-2017" TargetMode="External"/><Relationship Id="rId21" Type="http://schemas.openxmlformats.org/officeDocument/2006/relationships/image" Target="media/image7.jpg"/><Relationship Id="rId63" Type="http://schemas.openxmlformats.org/officeDocument/2006/relationships/image" Target="media/image32.png"/><Relationship Id="rId159" Type="http://schemas.openxmlformats.org/officeDocument/2006/relationships/image" Target="media/image68.png"/><Relationship Id="rId324" Type="http://schemas.openxmlformats.org/officeDocument/2006/relationships/hyperlink" Target="https://www.lsay.edu.au/__data/assets/pdf_" TargetMode="External"/><Relationship Id="rId366" Type="http://schemas.openxmlformats.org/officeDocument/2006/relationships/hyperlink" Target="https://www.abs.gov.au/ausstats/abs@.nsf/Latestproducts/4221.0Main%20Features102019?opendocument&amp;tabname=Summary&amp;prodno=4221.0&amp;issue=2019&amp;num=&amp;view=" TargetMode="External"/><Relationship Id="rId170" Type="http://schemas.openxmlformats.org/officeDocument/2006/relationships/hyperlink" Target="https://www.fya.org.au/wp-content/uploads/2018/06/FYA_TheNewWorkReality_sml.pdf" TargetMode="External"/><Relationship Id="rId226" Type="http://schemas.openxmlformats.org/officeDocument/2006/relationships/hyperlink" Target="https://www.ncver.edu.au/__data/assets/file/0020/5870/starting-out-2649.pdf" TargetMode="External"/><Relationship Id="rId433" Type="http://schemas.openxmlformats.org/officeDocument/2006/relationships/hyperlink" Target="http://www.mitchellinstitute.org.au/wp-content/uploads/2015/11/Educational-opportunity-in-Australia-2015-Who-succeeds-and-who-misses-out-19Nov15.pdf" TargetMode="External"/><Relationship Id="rId268" Type="http://schemas.openxmlformats.org/officeDocument/2006/relationships/hyperlink" Target="https://www.cese.nsw.gov.au/images/stories/PDF/Post-school-destinations-2018-early-school-leavers.pdf" TargetMode="External"/><Relationship Id="rId475" Type="http://schemas.openxmlformats.org/officeDocument/2006/relationships/hyperlink" Target="https://2qean3b1jjd1s87812ool5ji-wpengine.netdna-ssl.com/wp-content/uploads/work/Skilling-Australia-Vocation-Education-Report.pdf" TargetMode="External"/><Relationship Id="rId32" Type="http://schemas.openxmlformats.org/officeDocument/2006/relationships/image" Target="media/image17.png"/><Relationship Id="rId74" Type="http://schemas.openxmlformats.org/officeDocument/2006/relationships/image" Target="media/image37.png"/><Relationship Id="rId128" Type="http://schemas.openxmlformats.org/officeDocument/2006/relationships/hyperlink" Target="https://cica.org.au/wp-content/uploads/CICA-Media-Release-21-June-2017.pdf" TargetMode="External"/><Relationship Id="rId335" Type="http://schemas.openxmlformats.org/officeDocument/2006/relationships/hyperlink" Target="https://tenders.nsw.gov.au/doe/?event=public.rft.showArchived&amp;RFTUUID=96378B16-D58F-116B-CEB7908F898018D8;" TargetMode="External"/><Relationship Id="rId377" Type="http://schemas.openxmlformats.org/officeDocument/2006/relationships/hyperlink" Target="https://www.humanrights.gov.au/our-work/publications/summary-childrens-rights-report-2017" TargetMode="External"/><Relationship Id="rId500" Type="http://schemas.openxmlformats.org/officeDocument/2006/relationships/image" Target="media/image136.jpg"/><Relationship Id="rId5" Type="http://schemas.openxmlformats.org/officeDocument/2006/relationships/numbering" Target="numbering.xml"/><Relationship Id="rId181" Type="http://schemas.openxmlformats.org/officeDocument/2006/relationships/hyperlink" Target="https://www.aitsl.edu.au/docs/default-source/national-review-of-teacher-registration/report/one-teaching-profession---teacher-registration-in-australia.pdf" TargetMode="External"/><Relationship Id="rId237" Type="http://schemas.openxmlformats.org/officeDocument/2006/relationships/image" Target="media/image95.jpg"/><Relationship Id="rId402" Type="http://schemas.openxmlformats.org/officeDocument/2006/relationships/hyperlink" Target="https://docs.education.gov.au/system/files/doc/other/future_ready_a_student_focused_national_career_education_strategy.pdf" TargetMode="External"/><Relationship Id="rId279" Type="http://schemas.openxmlformats.org/officeDocument/2006/relationships/image" Target="media/image107.jpg"/><Relationship Id="rId444" Type="http://schemas.openxmlformats.org/officeDocument/2006/relationships/hyperlink" Target="https://www.ncver.edu.au/__data/assets/pdf_file/0031/6925090/Total-VET-students-and-courses-2018.pdf" TargetMode="External"/><Relationship Id="rId486" Type="http://schemas.openxmlformats.org/officeDocument/2006/relationships/hyperlink" Target="https://www.universitiesaustralia.edu.au/wp-content/uploads/2019/12/191127-Submission-Senior-secondary-pathways.pdf" TargetMode="External"/><Relationship Id="rId43" Type="http://schemas.openxmlformats.org/officeDocument/2006/relationships/hyperlink" Target="https://www.weforum.org/agenda/2016/01/the-fourth-industrial-revolution-what-it-means-and-how-to-respond/" TargetMode="External"/><Relationship Id="rId139" Type="http://schemas.openxmlformats.org/officeDocument/2006/relationships/hyperlink" Target="https://docs.education.gov.au/system/files/doc/other/pechenkina_and_anderson_2011.pdf" TargetMode="External"/><Relationship Id="rId290" Type="http://schemas.openxmlformats.org/officeDocument/2006/relationships/hyperlink" Target="https://link.springer.com/article/10.1007/s10926-014-9541-6" TargetMode="External"/><Relationship Id="rId304" Type="http://schemas.openxmlformats.org/officeDocument/2006/relationships/hyperlink" Target="https://www.skillsroad.com.au/youth-census-2018" TargetMode="External"/><Relationship Id="rId346" Type="http://schemas.openxmlformats.org/officeDocument/2006/relationships/image" Target="media/image131.png"/><Relationship Id="rId388" Type="http://schemas.openxmlformats.org/officeDocument/2006/relationships/hyperlink" Target="https://www.bca.com.au/being_work_ready_a_guide_to_what_employers_want" TargetMode="External"/><Relationship Id="rId85" Type="http://schemas.openxmlformats.org/officeDocument/2006/relationships/image" Target="media/image39.png"/><Relationship Id="rId150" Type="http://schemas.openxmlformats.org/officeDocument/2006/relationships/hyperlink" Target="https://www.pmc.gov.au/sites/default/files/publications/strengthening-skills-independent-review-australia-vets_1.pdf" TargetMode="External"/><Relationship Id="rId192" Type="http://schemas.openxmlformats.org/officeDocument/2006/relationships/image" Target="media/image76.png"/><Relationship Id="rId206" Type="http://schemas.openxmlformats.org/officeDocument/2006/relationships/hyperlink" Target="https://ctf.wa.gov.au" TargetMode="External"/><Relationship Id="rId413" Type="http://schemas.openxmlformats.org/officeDocument/2006/relationships/hyperlink" Target="https://www.parliament.vic.gov.au/925-eejsc/inquiry-into-career-advice-activities-in-victorian-schools" TargetMode="External"/><Relationship Id="rId248" Type="http://schemas.openxmlformats.org/officeDocument/2006/relationships/hyperlink" Target="https://www.nzqa.govt.nz/about-us/future-state/quality-assurance/micro-credential-pilots." TargetMode="External"/><Relationship Id="rId455" Type="http://schemas.openxmlformats.org/officeDocument/2006/relationships/hyperlink" Target="https://www.oecd.org/education/school/UPDATED%20Social%20and%20Emotional%20Skills%20-%20Well-being,%20connectedness%20and%20success.pdf%20(website).pdf" TargetMode="External"/><Relationship Id="rId497" Type="http://schemas.openxmlformats.org/officeDocument/2006/relationships/hyperlink" Target="https://link.springer.com/article/10.1007/s10926-014-9541-6" TargetMode="External"/><Relationship Id="rId12" Type="http://schemas.openxmlformats.org/officeDocument/2006/relationships/image" Target="media/image2.jpg"/><Relationship Id="rId108" Type="http://schemas.openxmlformats.org/officeDocument/2006/relationships/hyperlink" Target="https://nswcurriculumreview.nesa.nsw.edu.au/pdfs/interimreport/chapters/NSW-Curriculum-Review-Interim-Report.pdf" TargetMode="External"/><Relationship Id="rId315" Type="http://schemas.openxmlformats.org/officeDocument/2006/relationships/hyperlink" Target="https://www.transitionta.org/about;" TargetMode="External"/><Relationship Id="rId357" Type="http://schemas.openxmlformats.org/officeDocument/2006/relationships/hyperlink" Target="https://www.ausstats.abs.gov.au/ausstats/free.nsf/0/A5D41B6DD31B7B4DCA25722500073702/$File/62270_1996.pdf" TargetMode="External"/><Relationship Id="rId54" Type="http://schemas.openxmlformats.org/officeDocument/2006/relationships/image" Target="media/image29.png"/><Relationship Id="rId96" Type="http://schemas.openxmlformats.org/officeDocument/2006/relationships/hyperlink" Target="http://www3.weforum.org/docs/WEF_Future_of_Jobs_2018.pdf" TargetMode="External"/><Relationship Id="rId161" Type="http://schemas.openxmlformats.org/officeDocument/2006/relationships/hyperlink" Target="https://docs.employment.gov.au/system/files/doc/other/ratingssummary_june2019_0.pdf" TargetMode="External"/><Relationship Id="rId217" Type="http://schemas.openxmlformats.org/officeDocument/2006/relationships/hyperlink" Target="http://oresomeresources.com" TargetMode="External"/><Relationship Id="rId399" Type="http://schemas.openxmlformats.org/officeDocument/2006/relationships/hyperlink" Target="https://docs.education.gov.au/system/files/doc/other/dept_of_education_-_undergraduate_applicationsoffers_and_acceptances_2019.pdf" TargetMode="External"/><Relationship Id="rId259" Type="http://schemas.openxmlformats.org/officeDocument/2006/relationships/image" Target="media/image102.jpg"/><Relationship Id="rId424" Type="http://schemas.openxmlformats.org/officeDocument/2006/relationships/hyperlink" Target="https://docs.education.gov.au/system/files/doc/other/everybodys_core_business_-_research_report.pdf" TargetMode="External"/><Relationship Id="rId466" Type="http://schemas.openxmlformats.org/officeDocument/2006/relationships/hyperlink" Target="https://www.qilt.edu.au/qilt-surveys/graduate-employment" TargetMode="External"/><Relationship Id="rId23" Type="http://schemas.openxmlformats.org/officeDocument/2006/relationships/image" Target="media/image9.png"/><Relationship Id="rId119" Type="http://schemas.openxmlformats.org/officeDocument/2006/relationships/image" Target="media/image50.jpg"/><Relationship Id="rId270" Type="http://schemas.openxmlformats.org/officeDocument/2006/relationships/hyperlink" Target="http://www.ayac.org.au/uploads/AYAC%20Beyond%20Learn%20or%20Earn%205.7MB.pdf" TargetMode="External"/><Relationship Id="rId326" Type="http://schemas.openxmlformats.org/officeDocument/2006/relationships/hyperlink" Target="https://www.lsay.edu.au/__data/assets/pdf_" TargetMode="External"/><Relationship Id="rId65" Type="http://schemas.openxmlformats.org/officeDocument/2006/relationships/hyperlink" Target="https://nap.edu.au/docs/default-source/resources/naplan-2019-national-report.pdf" TargetMode="External"/><Relationship Id="rId130" Type="http://schemas.openxmlformats.org/officeDocument/2006/relationships/image" Target="media/image57.emf"/><Relationship Id="rId368" Type="http://schemas.openxmlformats.org/officeDocument/2006/relationships/hyperlink" Target="https://www.australianchamber.com.au/wp-content/uploads/2019/12/ACCI-Submission-Education-Council-Review-into-Senior-Secondary-Pathways-Final.pdf" TargetMode="External"/><Relationship Id="rId172" Type="http://schemas.openxmlformats.org/officeDocument/2006/relationships/hyperlink" Target="http://www.acaca.edu.au/?wpfb_dl=1279" TargetMode="External"/><Relationship Id="rId228" Type="http://schemas.openxmlformats.org/officeDocument/2006/relationships/hyperlink" Target="https://www.aihw.gov.au/reports/australias-welfare/secondary-education-school-retention-completion" TargetMode="External"/><Relationship Id="rId435" Type="http://schemas.openxmlformats.org/officeDocument/2006/relationships/hyperlink" Target="https://www.masterbuilders.com.au/getmedia/293f617d-bdd7-4cb0-beac-919544f90d6a/FINAL_MBA_Submission_pathways_Dec19.pdf" TargetMode="External"/><Relationship Id="rId477" Type="http://schemas.openxmlformats.org/officeDocument/2006/relationships/hyperlink" Target="https://www.researchgate.net/project/Young-futures-Education-training-and-employment-decision-making-in-non-metropolitan-areas-in-Australia" TargetMode="External"/><Relationship Id="rId281" Type="http://schemas.openxmlformats.org/officeDocument/2006/relationships/hyperlink" Target="https://www.wuyagibastudyhub.org" TargetMode="External"/><Relationship Id="rId337" Type="http://schemas.openxmlformats.org/officeDocument/2006/relationships/image" Target="media/image123.png"/><Relationship Id="rId502" Type="http://schemas.openxmlformats.org/officeDocument/2006/relationships/hyperlink" Target="http://www.pathwaysreview.edu.au" TargetMode="External"/><Relationship Id="rId34" Type="http://schemas.openxmlformats.org/officeDocument/2006/relationships/image" Target="media/image19.png"/><Relationship Id="rId76" Type="http://schemas.openxmlformats.org/officeDocument/2006/relationships/hyperlink" Target="https://senior-secondary.scsa.wa.edu.au/assessment/olna/students-parents-carers." TargetMode="External"/><Relationship Id="rId141" Type="http://schemas.openxmlformats.org/officeDocument/2006/relationships/hyperlink" Target="https://www.abs.gov.au/ausstats/abs@.nsf/Latestproducts/6227.0Main%20Features30May%202019?opendocument&amp;tabname=Summary&amp;prodno=6227.0&amp;issue=May%202019&amp;num=&amp;view=" TargetMode="External"/><Relationship Id="rId379" Type="http://schemas.openxmlformats.org/officeDocument/2006/relationships/hyperlink" Target="https://cdn.aigroup.com.au/Submissions/Education_and_Training/2019/Review_of_the_Melbourne_Declaration_-_Ai_Group_Response_June_2019.pdf" TargetMode="External"/><Relationship Id="rId7" Type="http://schemas.openxmlformats.org/officeDocument/2006/relationships/settings" Target="settings.xml"/><Relationship Id="rId183" Type="http://schemas.openxmlformats.org/officeDocument/2006/relationships/hyperlink" Target="http://www.mitchellinstitute.org.au/wp-content/uploads/2019/09/Submission-to-SA-VET-in-Schools-Review.pdf" TargetMode="External"/><Relationship Id="rId239" Type="http://schemas.openxmlformats.org/officeDocument/2006/relationships/hyperlink" Target="http://youthguarantee.education.govt.nz" TargetMode="External"/><Relationship Id="rId390" Type="http://schemas.openxmlformats.org/officeDocument/2006/relationships/hyperlink" Target="https://docs.education.gov.au/system/files/doc/other/realising_potential.pdf" TargetMode="External"/><Relationship Id="rId404" Type="http://schemas.openxmlformats.org/officeDocument/2006/relationships/hyperlink" Target="https://docs.employment.gov.au/system/files/doc/other/ratingssummary_june2019_0.pdf" TargetMode="External"/><Relationship Id="rId446" Type="http://schemas.openxmlformats.org/officeDocument/2006/relationships/hyperlink" Target="https://www.lsay.edu.au/publications/search-for-lsay-publications/generation-z-leaving-school" TargetMode="External"/><Relationship Id="rId250" Type="http://schemas.openxmlformats.org/officeDocument/2006/relationships/hyperlink" Target="https://www.aacu.org/sites/default/files/files/LEAP/2013_EmployerSurvey.pdf" TargetMode="External"/><Relationship Id="rId292" Type="http://schemas.openxmlformats.org/officeDocument/2006/relationships/hyperlink" Target="https://www.ndis.gov.au/participants/finding-keeping-and-changing-jobs/leaving-school" TargetMode="External"/><Relationship Id="rId306" Type="http://schemas.openxmlformats.org/officeDocument/2006/relationships/hyperlink" Target="https://www.sunnypathways.com.au" TargetMode="External"/><Relationship Id="rId488" Type="http://schemas.openxmlformats.org/officeDocument/2006/relationships/hyperlink" Target="https://www.vichealth.vic.gov.au/media-and-resources/publications/bright-futures-spotlight-refugee-migrant-youth" TargetMode="External"/><Relationship Id="rId45" Type="http://schemas.openxmlformats.org/officeDocument/2006/relationships/hyperlink" Target="https://www.oecd-ilibrary.org/education/trends-shaping-education-2019_trends_edu-2019-en" TargetMode="External"/><Relationship Id="rId87" Type="http://schemas.openxmlformats.org/officeDocument/2006/relationships/hyperlink" Target="https://www.australiancurriculum.edu.au/f-10-curriculum/general-capabilities." TargetMode="External"/><Relationship Id="rId110" Type="http://schemas.openxmlformats.org/officeDocument/2006/relationships/image" Target="media/image45.png"/><Relationship Id="rId348" Type="http://schemas.openxmlformats.org/officeDocument/2006/relationships/image" Target="media/image133.png"/><Relationship Id="rId152" Type="http://schemas.openxmlformats.org/officeDocument/2006/relationships/image" Target="media/image63.png"/><Relationship Id="rId194" Type="http://schemas.openxmlformats.org/officeDocument/2006/relationships/image" Target="media/image78.jpg"/><Relationship Id="rId208" Type="http://schemas.openxmlformats.org/officeDocument/2006/relationships/image" Target="media/image87.png"/><Relationship Id="rId415" Type="http://schemas.openxmlformats.org/officeDocument/2006/relationships/hyperlink" Target="https://docs.education.gov.au/system/files/doc/other/aqf_review_2019_0.pdf" TargetMode="External"/><Relationship Id="rId457" Type="http://schemas.openxmlformats.org/officeDocument/2006/relationships/hyperlink" Target="https://www.oecd-ilibrary.org/education/trends-shaping-education-2019_trends_edu-2019-en" TargetMode="External"/><Relationship Id="rId261" Type="http://schemas.openxmlformats.org/officeDocument/2006/relationships/hyperlink" Target="https://www.missionaustralia.com.au/what-we-do/research-impact-policy-advocacy/youth-survey" TargetMode="External"/><Relationship Id="rId499" Type="http://schemas.openxmlformats.org/officeDocument/2006/relationships/hyperlink" Target="https://2qean3b1jjd1s87812ool5ji-wpengine.netdna-ssl.com/wp-content/uploads/work/Skilling-Australia-Vocation-Education-Report.pdf" TargetMode="External"/><Relationship Id="rId14" Type="http://schemas.openxmlformats.org/officeDocument/2006/relationships/image" Target="media/image4.jpg"/><Relationship Id="rId56" Type="http://schemas.openxmlformats.org/officeDocument/2006/relationships/image" Target="media/image30.png"/><Relationship Id="rId317" Type="http://schemas.openxmlformats.org/officeDocument/2006/relationships/image" Target="media/image114.png"/><Relationship Id="rId359" Type="http://schemas.openxmlformats.org/officeDocument/2006/relationships/hyperlink" Target="https://www.abs.gov.au/AUSSTATS/abs@.nsf/2f762f95845417aeca25706c00834efa/2f3f76f60abec87aca2570ec00112c40!OpenDocument" TargetMode="External"/><Relationship Id="rId98" Type="http://schemas.openxmlformats.org/officeDocument/2006/relationships/image" Target="media/image40.png"/><Relationship Id="rId121" Type="http://schemas.openxmlformats.org/officeDocument/2006/relationships/image" Target="media/image52.jpg"/><Relationship Id="rId163" Type="http://schemas.openxmlformats.org/officeDocument/2006/relationships/hyperlink" Target="https://www.ausstats.abs.gov.au/ausstats/free.nsf/0/A5D41B6DD31B7B4DCA25722500073702/$File/62270_1996.pdf" TargetMode="External"/><Relationship Id="rId219" Type="http://schemas.openxmlformats.org/officeDocument/2006/relationships/image" Target="media/image90.png"/><Relationship Id="rId370" Type="http://schemas.openxmlformats.org/officeDocument/2006/relationships/hyperlink" Target="https://nap.edu.au/docs/default-source/resources/naplan-2019-national-report.pdf" TargetMode="External"/><Relationship Id="rId426" Type="http://schemas.openxmlformats.org/officeDocument/2006/relationships/hyperlink" Target="https://docs.education.gov.au/system/files/doc/other/future_ready_-_research_on_incorporating_career_education_in_the_australian_curriculum.pdf" TargetMode="External"/><Relationship Id="rId230" Type="http://schemas.openxmlformats.org/officeDocument/2006/relationships/hyperlink" Target="https://www.abs.gov.au/ausstats/abs@.nsf/Lookup/1246.0main+features24june%202014" TargetMode="External"/><Relationship Id="rId468" Type="http://schemas.openxmlformats.org/officeDocument/2006/relationships/hyperlink" Target="https://www.ncver.edu.au/__data/assets/pdf_file/0029/6547412/School_to_work_pathways.pdf" TargetMode="External"/><Relationship Id="rId25" Type="http://schemas.openxmlformats.org/officeDocument/2006/relationships/image" Target="media/image11.png"/><Relationship Id="rId67" Type="http://schemas.openxmlformats.org/officeDocument/2006/relationships/hyperlink" Target="https://www.oecd.org/education/school/UPDATED%20Social%20and%20Emotional%20Skills%20-%20Well-being,%20connectedness%20and%20success.pdf%20(website).pdf" TargetMode="External"/><Relationship Id="rId272" Type="http://schemas.openxmlformats.org/officeDocument/2006/relationships/hyperlink" Target="https://www.socialventures.com.au/assets/SVA-Perspective-Education-Evidence-scan-for-Children-and-young-people-disengaged.pdf" TargetMode="External"/><Relationship Id="rId328" Type="http://schemas.openxmlformats.org/officeDocument/2006/relationships/image" Target="media/image120.png"/><Relationship Id="rId132" Type="http://schemas.openxmlformats.org/officeDocument/2006/relationships/hyperlink" Target="http://www.lsay.edu.au/publications/2711.html" TargetMode="External"/><Relationship Id="rId174" Type="http://schemas.openxmlformats.org/officeDocument/2006/relationships/hyperlink" Target="https://www.csiro.au/en/" TargetMode="External"/><Relationship Id="rId381" Type="http://schemas.openxmlformats.org/officeDocument/2006/relationships/hyperlink" Target="https://www.aihw.gov.au/getmedia/34f09557-0acf-4adf-837d-eada7b74d466/Education-20905.pdf.aspx" TargetMode="External"/><Relationship Id="rId241" Type="http://schemas.openxmlformats.org/officeDocument/2006/relationships/hyperlink" Target="https://d3n8a8pro7vhmx.cloudfront.net/bca/pages/4386/attachments/original/1542258016/LoRes-2018_BCA_EDUC_Future_Proof_WIP1A_%281%29.pdf?1542258016" TargetMode="External"/><Relationship Id="rId437" Type="http://schemas.openxmlformats.org/officeDocument/2006/relationships/hyperlink" Target="https://www.ncver.edu.au/__data/assets/pdf_file/0037/887716/VET-in-Schools-students-characteristics-and-post-school-employment-and-training-experiences.pdf" TargetMode="External"/><Relationship Id="rId479" Type="http://schemas.openxmlformats.org/officeDocument/2006/relationships/hyperlink" Target="http://asiasociety.org/files/gcen-measuring21cskills.pdf" TargetMode="External"/><Relationship Id="rId36" Type="http://schemas.openxmlformats.org/officeDocument/2006/relationships/image" Target="media/image21.jpg"/><Relationship Id="rId283" Type="http://schemas.openxmlformats.org/officeDocument/2006/relationships/hyperlink" Target="https://www.abs.gov.au/AUSSTATS/abs@.nsf/Lookup/6227.0Main+Features1May%202018?OpenDocument" TargetMode="External"/><Relationship Id="rId339" Type="http://schemas.openxmlformats.org/officeDocument/2006/relationships/image" Target="media/image125.png"/><Relationship Id="rId490" Type="http://schemas.openxmlformats.org/officeDocument/2006/relationships/hyperlink" Target="https://www.education.vic.gov.au/Documents/school/teachers/teachingresources/careers/Transforming_Career_Education.pdf" TargetMode="External"/><Relationship Id="rId504" Type="http://schemas.openxmlformats.org/officeDocument/2006/relationships/theme" Target="theme/theme1.xml"/><Relationship Id="rId78" Type="http://schemas.openxmlformats.org/officeDocument/2006/relationships/hyperlink" Target="https://senior-secondary.scsa.wa.edu.au/assessment/olna/students-parents-carers." TargetMode="External"/><Relationship Id="rId101" Type="http://schemas.openxmlformats.org/officeDocument/2006/relationships/image" Target="media/image43.jpg"/><Relationship Id="rId143" Type="http://schemas.openxmlformats.org/officeDocument/2006/relationships/image" Target="media/image58.jpg"/><Relationship Id="rId185" Type="http://schemas.openxmlformats.org/officeDocument/2006/relationships/image" Target="media/image74.jpg"/><Relationship Id="rId350" Type="http://schemas.openxmlformats.org/officeDocument/2006/relationships/image" Target="media/image135.png"/><Relationship Id="rId406" Type="http://schemas.openxmlformats.org/officeDocument/2006/relationships/hyperlink" Target="https://studentwellbeinghub.edu.au/media/9310/aswf_booklet.pdf" TargetMode="External"/><Relationship Id="rId9" Type="http://schemas.openxmlformats.org/officeDocument/2006/relationships/footnotes" Target="footnotes.xml"/><Relationship Id="rId210" Type="http://schemas.openxmlformats.org/officeDocument/2006/relationships/hyperlink" Target="https://mbatas.org.au" TargetMode="External"/><Relationship Id="rId392" Type="http://schemas.openxmlformats.org/officeDocument/2006/relationships/hyperlink" Target="https://cica.org.au/wp-content/uploads/CICA-Media-Release-21-June-2017.pdf" TargetMode="External"/><Relationship Id="rId448" Type="http://schemas.openxmlformats.org/officeDocument/2006/relationships/hyperlink" Target="https://www.ncver.edu.au/research-and-statistics/vocstats" TargetMode="External"/><Relationship Id="rId252" Type="http://schemas.openxmlformats.org/officeDocument/2006/relationships/image" Target="media/image97.jpg"/><Relationship Id="rId294" Type="http://schemas.openxmlformats.org/officeDocument/2006/relationships/hyperlink" Target="https://www.cmy.net.au/knowledge-hub" TargetMode="External"/><Relationship Id="rId308" Type="http://schemas.openxmlformats.org/officeDocument/2006/relationships/hyperlink" Target="https://www.sunnypathways.com.au" TargetMode="External"/><Relationship Id="rId47" Type="http://schemas.openxmlformats.org/officeDocument/2006/relationships/hyperlink" Target="https://www.abs.gov.au/ausstats/abs@.nsf/Lookup/4221.0main+features42013" TargetMode="External"/><Relationship Id="rId89" Type="http://schemas.openxmlformats.org/officeDocument/2006/relationships/hyperlink" Target="https://www.legislation.gov.au/Details/F2015L01639/Html/Text" TargetMode="External"/><Relationship Id="rId112" Type="http://schemas.openxmlformats.org/officeDocument/2006/relationships/image" Target="media/image47.png"/><Relationship Id="rId154" Type="http://schemas.openxmlformats.org/officeDocument/2006/relationships/hyperlink" Target="https://docs.education.gov.au/system/files/doc/other/future_ready_-_research_on_incorporating_career_education_in_the_australian_curriculum.pdf" TargetMode="External"/><Relationship Id="rId361" Type="http://schemas.openxmlformats.org/officeDocument/2006/relationships/hyperlink" Target="https://www.abs.gov.au/ausstats/abs@.nsf/Lookup/4221.0main+features42013" TargetMode="External"/><Relationship Id="rId196" Type="http://schemas.openxmlformats.org/officeDocument/2006/relationships/hyperlink" Target="https://www.ptech.org.au" TargetMode="External"/><Relationship Id="rId417" Type="http://schemas.openxmlformats.org/officeDocument/2006/relationships/hyperlink" Target="http://www.lsay.edu.au/publications/2711.html" TargetMode="External"/><Relationship Id="rId459" Type="http://schemas.openxmlformats.org/officeDocument/2006/relationships/hyperlink" Target="https://www.education.vic.gov.au/Documents/about/research/refugeestatusreport.pdf" TargetMode="External"/><Relationship Id="rId16" Type="http://schemas.openxmlformats.org/officeDocument/2006/relationships/image" Target="media/image6.jpg"/><Relationship Id="rId221" Type="http://schemas.openxmlformats.org/officeDocument/2006/relationships/hyperlink" Target="http://www.mitchellinstitute.org.au/wp-content/uploads/2015/11/Educational-opportunity-in-Australia-2015-Who-succeeds-and-who-misses-out-19Nov15.pdf" TargetMode="External"/><Relationship Id="rId263" Type="http://schemas.openxmlformats.org/officeDocument/2006/relationships/hyperlink" Target="https://www.missionaustralia.com.au/publications/youth-survey" TargetMode="External"/><Relationship Id="rId319" Type="http://schemas.openxmlformats.org/officeDocument/2006/relationships/image" Target="media/image116.png"/><Relationship Id="rId470" Type="http://schemas.openxmlformats.org/officeDocument/2006/relationships/hyperlink" Target="https://docs.education.gov.au/system/files/doc/other/national_regional_rural_and_remote_tertiary_education_strategy.pdf" TargetMode="External"/><Relationship Id="rId58" Type="http://schemas.openxmlformats.org/officeDocument/2006/relationships/hyperlink" Target="https://www.alphabeta.com/wp-content/uploads/2019/01/google-skills-report.pdf" TargetMode="External"/><Relationship Id="rId123" Type="http://schemas.openxmlformats.org/officeDocument/2006/relationships/image" Target="media/image54.jpg"/><Relationship Id="rId330" Type="http://schemas.openxmlformats.org/officeDocument/2006/relationships/hyperlink" Target="https://www.employment.gov.au/delivering-skills-today-and-tomorrow." TargetMode="External"/><Relationship Id="rId165" Type="http://schemas.openxmlformats.org/officeDocument/2006/relationships/hyperlink" Target="https://pssfw.myskills.gov.au/media/1174/preparing-secondary-students-for-work-2014.pdf" TargetMode="External"/><Relationship Id="rId372" Type="http://schemas.openxmlformats.org/officeDocument/2006/relationships/hyperlink" Target="https://www.australiancurriculum.edu.au/f-10-curriculum/general-capabilities" TargetMode="External"/><Relationship Id="rId428" Type="http://schemas.openxmlformats.org/officeDocument/2006/relationships/hyperlink" Target="https://ncver.edu.au/__data/assets/file/0024/9393/socioeconomic-disadvantage-2612.pdf" TargetMode="External"/><Relationship Id="rId232" Type="http://schemas.openxmlformats.org/officeDocument/2006/relationships/hyperlink" Target="https://docs.education.gov.au/documents/benefits-educational-attainment-introduction" TargetMode="External"/><Relationship Id="rId274" Type="http://schemas.openxmlformats.org/officeDocument/2006/relationships/image" Target="media/image106.jpg"/><Relationship Id="rId481" Type="http://schemas.openxmlformats.org/officeDocument/2006/relationships/hyperlink" Target="https://www.education.sa.gov.au/sites/default/files/sace-stage-2-review.pdf" TargetMode="External"/><Relationship Id="rId27" Type="http://schemas.openxmlformats.org/officeDocument/2006/relationships/image" Target="media/image13.png"/><Relationship Id="rId69" Type="http://schemas.openxmlformats.org/officeDocument/2006/relationships/hyperlink" Target="https://docs.education.gov.au/system/files/doc/other/everybodys_core_business_-_research_report.pdf" TargetMode="External"/><Relationship Id="rId134" Type="http://schemas.openxmlformats.org/officeDocument/2006/relationships/hyperlink" Target="https://docs.education.gov.au/system/files/doc/other/national_regional_rural_and_remote_tertiary_education_strategy.pdf" TargetMode="External"/><Relationship Id="rId80" Type="http://schemas.openxmlformats.org/officeDocument/2006/relationships/hyperlink" Target="https://www.all-learning.org.au/sites/default/files/resources/beyond_atar_proposal_for_change_all.pdf" TargetMode="External"/><Relationship Id="rId176" Type="http://schemas.openxmlformats.org/officeDocument/2006/relationships/hyperlink" Target="https://www.ncver.edu.au/__data/assets/file/0017/5930/lsay_lsay48.pdf" TargetMode="External"/><Relationship Id="rId341" Type="http://schemas.openxmlformats.org/officeDocument/2006/relationships/image" Target="media/image126.png"/><Relationship Id="rId383" Type="http://schemas.openxmlformats.org/officeDocument/2006/relationships/hyperlink" Target="https://www.aihw.gov.au/getmedia/3bc5f549-216e-4199-9a82-fba1bba9208f/aihw-dis-74.pdf.aspx?inline=true" TargetMode="External"/><Relationship Id="rId439" Type="http://schemas.openxmlformats.org/officeDocument/2006/relationships/hyperlink" Target="https://www.missionaustralia.com.au/publications/youth-survey" TargetMode="External"/><Relationship Id="rId201" Type="http://schemas.openxmlformats.org/officeDocument/2006/relationships/image" Target="media/image82.jpg"/><Relationship Id="rId243" Type="http://schemas.openxmlformats.org/officeDocument/2006/relationships/hyperlink" Target="https://docs.education.gov.au/system/files/doc/other/aqfcreditpathways.pdf" TargetMode="External"/><Relationship Id="rId285" Type="http://schemas.openxmlformats.org/officeDocument/2006/relationships/hyperlink" Target="https://docs.education.gov.au/system/files/doc/other/undergraduate_applications_offers_and_acceptances_2018.pdf" TargetMode="External"/><Relationship Id="rId450" Type="http://schemas.openxmlformats.org/officeDocument/2006/relationships/hyperlink" Target="https://www.nswbusinesschamber.com.au/NSWBC/media/Policy/Workplace%20Skills/Recent%20submissions%20and%20publications/2019-Workforce-Skills-Survey-Report-FINAL_1.pdf" TargetMode="External"/><Relationship Id="rId38" Type="http://schemas.openxmlformats.org/officeDocument/2006/relationships/image" Target="media/image23.png"/><Relationship Id="rId103" Type="http://schemas.openxmlformats.org/officeDocument/2006/relationships/hyperlink" Target="https://grattan.edu.au/news/university-admission-atar-best-guide-to-student-performance/" TargetMode="External"/><Relationship Id="rId310" Type="http://schemas.openxmlformats.org/officeDocument/2006/relationships/image" Target="media/image111.png"/><Relationship Id="rId492" Type="http://schemas.openxmlformats.org/officeDocument/2006/relationships/hyperlink" Target="https://www2.health.vic.gov.au/mental-health/prevention-and-promotion/early-intervention-in-mental-health" TargetMode="External"/><Relationship Id="rId91" Type="http://schemas.openxmlformats.org/officeDocument/2006/relationships/hyperlink" Target="https://www.aqf.edu.au/sites/aqf/files/aqf-2nd-edition-january-2013.pdf." TargetMode="External"/><Relationship Id="rId145" Type="http://schemas.openxmlformats.org/officeDocument/2006/relationships/hyperlink" Target="https://www.ncver.edu.au/__data/assets/pdf_file/0024/1142691/Choosing-VET-aspirations-intentions-and-choice.pdf" TargetMode="External"/><Relationship Id="rId187" Type="http://schemas.openxmlformats.org/officeDocument/2006/relationships/hyperlink" Target="https://www.stpatstech.sa.edu.au" TargetMode="External"/><Relationship Id="rId352" Type="http://schemas.openxmlformats.org/officeDocument/2006/relationships/hyperlink" Target="https://www.ncver.edu.au/__data/assets/pdf_file/0029/484463/Indigenous-participation-in-VET.pdf" TargetMode="External"/><Relationship Id="rId394" Type="http://schemas.openxmlformats.org/officeDocument/2006/relationships/hyperlink" Target="https://www.cmy.net.au/knowledge-hub" TargetMode="External"/><Relationship Id="rId408" Type="http://schemas.openxmlformats.org/officeDocument/2006/relationships/hyperlink" Target="https://docs.education.gov.au/system/files/doc/other/final_-_alice_springs_declaration_-_17_february_2020_security_removed.pdf" TargetMode="External"/><Relationship Id="rId212" Type="http://schemas.openxmlformats.org/officeDocument/2006/relationships/hyperlink" Target="https://www.employment.gov.au/ITH." TargetMode="External"/><Relationship Id="rId254" Type="http://schemas.openxmlformats.org/officeDocument/2006/relationships/hyperlink" Target="https://www.education.gov" TargetMode="External"/><Relationship Id="rId49" Type="http://schemas.openxmlformats.org/officeDocument/2006/relationships/hyperlink" Target="https://www.abs.gov.au/ausstats/abs@.nsf/Latestproducts/4221.0Main%20Features102019?opendocument&amp;tabname=Summary&amp;prodno=4221.0&amp;issue=2019&amp;num=&amp;view=" TargetMode="External"/><Relationship Id="rId114" Type="http://schemas.openxmlformats.org/officeDocument/2006/relationships/hyperlink" Target="https://www.anu.edu.au/study/apply/domestic-applications-a" TargetMode="External"/><Relationship Id="rId296" Type="http://schemas.openxmlformats.org/officeDocument/2006/relationships/hyperlink" Target="https://www.education.vic.gov.au/Documents/about/research/refugeestatusreport.pdf" TargetMode="External"/><Relationship Id="rId461" Type="http://schemas.openxmlformats.org/officeDocument/2006/relationships/hyperlink" Target="https://www.socialventures.com.au/assets/SVA-Perspective-Education-Evidence-scan-for-Children-and-young-people-disengaged.pdf" TargetMode="External"/><Relationship Id="rId60" Type="http://schemas.openxmlformats.org/officeDocument/2006/relationships/hyperlink" Target="https://www2.deloitte.com/au/en/pages/building-lucky-country/articles/path-prosperity-future-work.html" TargetMode="External"/><Relationship Id="rId156" Type="http://schemas.openxmlformats.org/officeDocument/2006/relationships/image" Target="media/image65.png"/><Relationship Id="rId198" Type="http://schemas.openxmlformats.org/officeDocument/2006/relationships/image" Target="media/image80.jpg"/><Relationship Id="rId321" Type="http://schemas.openxmlformats.org/officeDocument/2006/relationships/image" Target="media/image117.png"/><Relationship Id="rId363" Type="http://schemas.openxmlformats.org/officeDocument/2006/relationships/hyperlink" Target="https://www.abs.gov.au/AUSSTATS/abs@.nsf/Lookup/6227.0Main+Features1May%202018?OpenDocument" TargetMode="External"/><Relationship Id="rId419" Type="http://schemas.openxmlformats.org/officeDocument/2006/relationships/hyperlink" Target="https://docs.education.gov.au/system/files/doc/other/01218_independent_review_accessible.pdf" TargetMode="External"/><Relationship Id="rId223" Type="http://schemas.openxmlformats.org/officeDocument/2006/relationships/hyperlink" Target="http://www.mitchellinstitute.org.au/wp-content/uploads/2017/06/Counting-the-costs-of-lost-opportunity-in-Australian-education.pdf" TargetMode="External"/><Relationship Id="rId430" Type="http://schemas.openxmlformats.org/officeDocument/2006/relationships/hyperlink" Target="https://www.ncsehe.edu.au/wp-content/uploads/2020/04/NCSEHE-Equity-Student-Briefing-Note_2013-18_Accessible_Final_V2.pdf" TargetMode="External"/><Relationship Id="rId18" Type="http://schemas.openxmlformats.org/officeDocument/2006/relationships/hyperlink" Target="https://creativecommons.org/licenses/by-nd/4.0/legalcode" TargetMode="External"/><Relationship Id="rId265" Type="http://schemas.openxmlformats.org/officeDocument/2006/relationships/hyperlink" Target="https://studentwellbeinghub.edu.au/media/9310/aswf_booklet.pdf" TargetMode="External"/><Relationship Id="rId472" Type="http://schemas.openxmlformats.org/officeDocument/2006/relationships/hyperlink" Target="https://www.weforum.org/agenda/2016/01/the-fourth-industrial-revolution-what-it-means-and-how-to-respond/" TargetMode="External"/><Relationship Id="rId125" Type="http://schemas.openxmlformats.org/officeDocument/2006/relationships/hyperlink" Target="https://cica.org.au/wp-content/uploads/Career-and-Skills-Pathways-Project-June-2017.pdf" TargetMode="External"/><Relationship Id="rId167" Type="http://schemas.openxmlformats.org/officeDocument/2006/relationships/hyperlink" Target="https://cdn.aigroup.com.au/Submissions/Education_and_Training/2019/Review_of_the_Melbourne_Declaration_-_Ai_Group_Response_June_2019.pdf" TargetMode="External"/><Relationship Id="rId332" Type="http://schemas.openxmlformats.org/officeDocument/2006/relationships/hyperlink" Target="https://www.pc.gov.au/inquiries/completed/education-evidence/report/education-evidence.pdf" TargetMode="External"/><Relationship Id="rId374" Type="http://schemas.openxmlformats.org/officeDocument/2006/relationships/hyperlink" Target="https://docs.education.gov.au/system/files/doc/other/662684_tgta_accessible_final_0.pdf" TargetMode="External"/><Relationship Id="rId71" Type="http://schemas.openxmlformats.org/officeDocument/2006/relationships/hyperlink" Target="https://www.chiefscientist.gov.au/sites/default/files/2020-05/COVID-19%20online%20learning.pdf" TargetMode="External"/><Relationship Id="rId234" Type="http://schemas.openxmlformats.org/officeDocument/2006/relationships/image" Target="media/image92.png"/><Relationship Id="rId2" Type="http://schemas.openxmlformats.org/officeDocument/2006/relationships/customXml" Target="../customXml/item2.xml"/><Relationship Id="rId29" Type="http://schemas.openxmlformats.org/officeDocument/2006/relationships/image" Target="media/image15.png"/><Relationship Id="rId276" Type="http://schemas.openxmlformats.org/officeDocument/2006/relationships/hyperlink" Target="https://toowoombaflex.eq.edu.au" TargetMode="External"/><Relationship Id="rId441" Type="http://schemas.openxmlformats.org/officeDocument/2006/relationships/hyperlink" Target="https://www.monash.edu/__data/assets/pdf_file/0010/1762507/19P-0131-The-Monash-Commission-24p-final.pdf" TargetMode="External"/><Relationship Id="rId483" Type="http://schemas.openxmlformats.org/officeDocument/2006/relationships/hyperlink" Target="https://www.ncver.edu.au/__data/assets/pdf_file/0016/1073041/Who-are-the-persistently-NEET-young-people.pdf" TargetMode="External"/><Relationship Id="rId40" Type="http://schemas.openxmlformats.org/officeDocument/2006/relationships/image" Target="media/image25.png"/><Relationship Id="rId136" Type="http://schemas.openxmlformats.org/officeDocument/2006/relationships/hyperlink" Target="https://www.ncver.edu.au/__data/assets/pdf_file/0031/6925090/Total-VET-students-and-courses-2018.pdf" TargetMode="External"/><Relationship Id="rId178" Type="http://schemas.openxmlformats.org/officeDocument/2006/relationships/hyperlink" Target="https://www.voced.edu.au/content/ngv%3A34192" TargetMode="External"/><Relationship Id="rId301" Type="http://schemas.openxmlformats.org/officeDocument/2006/relationships/hyperlink" Target="http://www.canberrac.act.edu.au/information/programs/cc_cares;" TargetMode="External"/><Relationship Id="rId343" Type="http://schemas.openxmlformats.org/officeDocument/2006/relationships/image" Target="media/image128.png"/><Relationship Id="rId82" Type="http://schemas.openxmlformats.org/officeDocument/2006/relationships/hyperlink" Target="https://www.qilt.edu.au/docs/default-source/default-document-library/2018-ses-national-report.pdf" TargetMode="External"/><Relationship Id="rId203" Type="http://schemas.openxmlformats.org/officeDocument/2006/relationships/image" Target="media/image84.jpg"/><Relationship Id="rId385" Type="http://schemas.openxmlformats.org/officeDocument/2006/relationships/hyperlink" Target="https://www.aqf.edu.au/sites/aqf/files/aqf-2nd-edition-january-2013.pdf." TargetMode="External"/><Relationship Id="rId245" Type="http://schemas.openxmlformats.org/officeDocument/2006/relationships/hyperlink" Target="https://publicdocumentcentre.education.tas.gov.au/Documents/Education%209-12%20Frameworks%20A3%20WEB%20POSTER.pdf" TargetMode="External"/><Relationship Id="rId287" Type="http://schemas.openxmlformats.org/officeDocument/2006/relationships/hyperlink" Target="https://www.ncver.edu.au/research-and-statistics/collections/students-and-courses-collection/total-vet-students-and-courses" TargetMode="External"/><Relationship Id="rId410" Type="http://schemas.openxmlformats.org/officeDocument/2006/relationships/hyperlink" Target="https://docs.education.gov.au/system/files/doc/other/ecoimpactschoolquality.pdf" TargetMode="External"/><Relationship Id="rId452" Type="http://schemas.openxmlformats.org/officeDocument/2006/relationships/hyperlink" Target="https://nswcurriculumreview.nesa.nsw.edu.au/pdfs/interimreport/chapters/NSW-Curriculum-Review-Interim-Report.pdf" TargetMode="External"/><Relationship Id="rId494" Type="http://schemas.openxmlformats.org/officeDocument/2006/relationships/hyperlink" Target="https://onlinelibrary.wiley.com/doi/abs/10.1111/j.1746-1561.2009.00443.x" TargetMode="External"/><Relationship Id="rId105" Type="http://schemas.openxmlformats.org/officeDocument/2006/relationships/hyperlink" Target="https://youthsense.com.au/research/after-the-atar-i" TargetMode="External"/><Relationship Id="rId147" Type="http://schemas.openxmlformats.org/officeDocument/2006/relationships/image" Target="media/image60.png"/><Relationship Id="rId312" Type="http://schemas.openxmlformats.org/officeDocument/2006/relationships/image" Target="media/image113.jpg"/><Relationship Id="rId354" Type="http://schemas.openxmlformats.org/officeDocument/2006/relationships/hyperlink" Target="https://www.alphabeta.com/wp-content/uploads/2019/01/google-skills-report.pdf" TargetMode="External"/><Relationship Id="rId51" Type="http://schemas.openxmlformats.org/officeDocument/2006/relationships/hyperlink" Target="https://www.aihw.gov.au/getmedia/3bc5f549-216e-4199-9a82-fba1bba9208f/aihw-dis-74.pdf.aspx?inline=true" TargetMode="External"/><Relationship Id="rId93" Type="http://schemas.openxmlformats.org/officeDocument/2006/relationships/hyperlink" Target="http://www3.weforum.org/docs/WEF_Future_of_" TargetMode="External"/><Relationship Id="rId189" Type="http://schemas.openxmlformats.org/officeDocument/2006/relationships/hyperlink" Target="https://www.ncver.edu.au/research-and-statistics/data/all-data/historical-time-series-of-apprenticeships-and-traineeships-in-australia-from-1963-to-2018" TargetMode="External"/><Relationship Id="rId396" Type="http://schemas.openxmlformats.org/officeDocument/2006/relationships/hyperlink" Target="https://www.cyda.org.au/resources/details/85/post-school-transition-the-experiences-of-students-with-disability" TargetMode="External"/><Relationship Id="rId214" Type="http://schemas.openxmlformats.org/officeDocument/2006/relationships/hyperlink" Target="https://eprints.qut.edu.au/98390" TargetMode="External"/><Relationship Id="rId256" Type="http://schemas.openxmlformats.org/officeDocument/2006/relationships/image" Target="media/image99.png"/><Relationship Id="rId298" Type="http://schemas.openxmlformats.org/officeDocument/2006/relationships/hyperlink" Target="https://www.aihw.gov.au/getmedia/6976ff0b-4649-4e3f-918f-849fc29d538f/aihw-per-93.pdf.aspx?inline=true" TargetMode="External"/><Relationship Id="rId421" Type="http://schemas.openxmlformats.org/officeDocument/2006/relationships/hyperlink" Target="https://www.aacu.org/sites/default/files/files/LEAP/2013_EmployerSurvey.pdf" TargetMode="External"/><Relationship Id="rId463" Type="http://schemas.openxmlformats.org/officeDocument/2006/relationships/hyperlink" Target="https://www.pc.gov.au/inquiries/completed/education-evidence/report/education-evidence.pdf" TargetMode="External"/><Relationship Id="rId116" Type="http://schemas.openxmlformats.org/officeDocument/2006/relationships/image" Target="media/image48.png"/><Relationship Id="rId158" Type="http://schemas.openxmlformats.org/officeDocument/2006/relationships/image" Target="media/image67.jpg"/><Relationship Id="rId323" Type="http://schemas.openxmlformats.org/officeDocument/2006/relationships/hyperlink" Target="https://www.lsay.edu.au" TargetMode="External"/><Relationship Id="rId20" Type="http://schemas.openxmlformats.org/officeDocument/2006/relationships/hyperlink" Target="http://copyright@dese.gov.au" TargetMode="External"/><Relationship Id="rId62" Type="http://schemas.openxmlformats.org/officeDocument/2006/relationships/image" Target="media/image31.emf"/><Relationship Id="rId365" Type="http://schemas.openxmlformats.org/officeDocument/2006/relationships/hyperlink" Target="https://www.abs.gov.au/ausstats/abs@.nsf/Latestproducts/6227.0Main%20Features30May%202019?opendocument&amp;tabname=Summary&amp;prodno=6227.0&amp;issue=May%202019&amp;num=&amp;view=" TargetMode="External"/><Relationship Id="rId225" Type="http://schemas.openxmlformats.org/officeDocument/2006/relationships/hyperlink" Target="https://www.lsay.edu.au/publications/search-for-lsay-publications/generation-z-leaving-school" TargetMode="External"/><Relationship Id="rId267" Type="http://schemas.openxmlformats.org/officeDocument/2006/relationships/hyperlink" Target="https://onlinelibrary.wiley.com/doi/abs/10.1111/j.1746-1561.2009.00443.x" TargetMode="External"/><Relationship Id="rId432" Type="http://schemas.openxmlformats.org/officeDocument/2006/relationships/hyperlink" Target="https://www.ncver.edu.au/__data/assets/file/0017/5930/lsay_lsay48.pdf" TargetMode="External"/><Relationship Id="rId474" Type="http://schemas.openxmlformats.org/officeDocument/2006/relationships/hyperlink" Target="https://youthsense.com.au/research/after-the-atar-ii" TargetMode="External"/><Relationship Id="rId127" Type="http://schemas.openxmlformats.org/officeDocument/2006/relationships/hyperlink" Target="https://cica.org.au/wp-content/uploads/CICA-Media-Release-21-June-2017.pdf" TargetMode="External"/><Relationship Id="rId31" Type="http://schemas.openxmlformats.org/officeDocument/2006/relationships/image" Target="media/image16.png"/><Relationship Id="rId73" Type="http://schemas.openxmlformats.org/officeDocument/2006/relationships/image" Target="media/image36.png"/><Relationship Id="rId169" Type="http://schemas.openxmlformats.org/officeDocument/2006/relationships/hyperlink" Target="https://www.aph.gov.au/Parliamentary_Business/Committees/House_of_Representatives_Committees?url=edt/schoolandwork/report.htm" TargetMode="External"/><Relationship Id="rId334" Type="http://schemas.openxmlformats.org/officeDocument/2006/relationships/image" Target="media/image122.png"/><Relationship Id="rId376" Type="http://schemas.openxmlformats.org/officeDocument/2006/relationships/hyperlink" Target="https://www.jobjumpstart.gov.au/article/what-do-if-you-didnt-get-atar-required-your-course" TargetMode="External"/><Relationship Id="rId4" Type="http://schemas.openxmlformats.org/officeDocument/2006/relationships/customXml" Target="../customXml/item4.xml"/><Relationship Id="rId180" Type="http://schemas.openxmlformats.org/officeDocument/2006/relationships/hyperlink" Target="https://www.education.sa.gov.au/sites/default/files/vet-for-school-students.pdf" TargetMode="External"/><Relationship Id="rId215" Type="http://schemas.openxmlformats.org/officeDocument/2006/relationships/hyperlink" Target="https://docs.education.gov.au/system/files/doc/other/realising_potential.pdf" TargetMode="External"/><Relationship Id="rId236" Type="http://schemas.openxmlformats.org/officeDocument/2006/relationships/image" Target="media/image94.png"/><Relationship Id="rId257" Type="http://schemas.openxmlformats.org/officeDocument/2006/relationships/image" Target="media/image100.png"/><Relationship Id="rId278" Type="http://schemas.openxmlformats.org/officeDocument/2006/relationships/hyperlink" Target="https://www.qilt.edu.au/qilt-surveys/graduate-employment" TargetMode="External"/><Relationship Id="rId401" Type="http://schemas.openxmlformats.org/officeDocument/2006/relationships/hyperlink" Target="https://docs.education.gov.au/system/files/doc/other/undergraduate_applications_offers_and_acceptances_2018.pdf" TargetMode="External"/><Relationship Id="rId422" Type="http://schemas.openxmlformats.org/officeDocument/2006/relationships/hyperlink" Target="https://docs.education.gov.au/system/files/doc/other/revised_20161115_pm_final_accessibility_version_hesp_admissions_transparency_report.pdf" TargetMode="External"/><Relationship Id="rId443" Type="http://schemas.openxmlformats.org/officeDocument/2006/relationships/hyperlink" Target="https://www.ncver.edu.au/research-and-statistics/data/all-data/historical-time-series-of-apprenticeships-and-traineeships-in-australia-from-1963-to-2018" TargetMode="External"/><Relationship Id="rId464" Type="http://schemas.openxmlformats.org/officeDocument/2006/relationships/hyperlink" Target="https://www.pc.gov.au/inquiries/completed/productivity-review/report/productivity-review.pdf" TargetMode="External"/><Relationship Id="rId303" Type="http://schemas.openxmlformats.org/officeDocument/2006/relationships/image" Target="media/image109.png"/><Relationship Id="rId485" Type="http://schemas.openxmlformats.org/officeDocument/2006/relationships/hyperlink" Target="http://www.mitchellinstitute.org.au/wp-content/uploads/2018/07/Connecting-the-worlds-of-learning-and-work.pdf" TargetMode="External"/><Relationship Id="rId42" Type="http://schemas.openxmlformats.org/officeDocument/2006/relationships/image" Target="media/image27.jpg"/><Relationship Id="rId84" Type="http://schemas.openxmlformats.org/officeDocument/2006/relationships/image" Target="media/image38.png"/><Relationship Id="rId138" Type="http://schemas.openxmlformats.org/officeDocument/2006/relationships/hyperlink" Target="https://link.springer.com/article/10.1007/s10734-017-0222-1" TargetMode="External"/><Relationship Id="rId345" Type="http://schemas.openxmlformats.org/officeDocument/2006/relationships/image" Target="media/image130.png"/><Relationship Id="rId387" Type="http://schemas.openxmlformats.org/officeDocument/2006/relationships/hyperlink" Target="https://youthsense.com.au/research/after-the-atar-i" TargetMode="External"/><Relationship Id="rId191" Type="http://schemas.openxmlformats.org/officeDocument/2006/relationships/image" Target="media/image75.png"/><Relationship Id="rId205" Type="http://schemas.openxmlformats.org/officeDocument/2006/relationships/hyperlink" Target="https://ctf.wa.gov.au" TargetMode="External"/><Relationship Id="rId247" Type="http://schemas.openxmlformats.org/officeDocument/2006/relationships/image" Target="media/image96.jpg"/><Relationship Id="rId412" Type="http://schemas.openxmlformats.org/officeDocument/2006/relationships/hyperlink" Target="https://www.ncver.edu.au/__data/assets/file/0014/6224/lsay_2239.pdf" TargetMode="External"/><Relationship Id="fId" Type="http://schemas.openxmlformats.org/wordprocessingml/2006/fontTable" Target="fontTable0.xml"/><Relationship Id="rId107" Type="http://schemas.openxmlformats.org/officeDocument/2006/relationships/image" Target="media/image44.png"/><Relationship Id="rId289" Type="http://schemas.openxmlformats.org/officeDocument/2006/relationships/hyperlink" Target="https://www.abs.gov.au/ausstats/abs@.nsf/mf/4430.0" TargetMode="External"/><Relationship Id="rId454" Type="http://schemas.openxmlformats.org/officeDocument/2006/relationships/hyperlink" Target="https://www.all-learning.org.au/sites/default/files/resources/beyond_atar_proposal_for_change_all.pdf" TargetMode="External"/><Relationship Id="rId496" Type="http://schemas.openxmlformats.org/officeDocument/2006/relationships/hyperlink" Target="https://education.unimelb.edu.au/mgse-industry-reports/report-1-those-who-disappear" TargetMode="External"/><Relationship Id="rId11" Type="http://schemas.openxmlformats.org/officeDocument/2006/relationships/image" Target="media/image1.jpg"/><Relationship Id="rId53" Type="http://schemas.openxmlformats.org/officeDocument/2006/relationships/hyperlink" Target="https://www.abs.gov.au/AUSSTATS/abs@.nsf/2f762f95845417aeca25706c00834efa/2f3f76f60abec87aca2570ec00112c40!OpenDocument" TargetMode="External"/><Relationship Id="rId149" Type="http://schemas.openxmlformats.org/officeDocument/2006/relationships/hyperlink" Target="https://www.pc.gov.au/inquiries/completed/productivity-review/report/productivity-review.pdf" TargetMode="External"/><Relationship Id="rId314" Type="http://schemas.openxmlformats.org/officeDocument/2006/relationships/hyperlink" Target="https://transcen.org" TargetMode="External"/><Relationship Id="rId356" Type="http://schemas.openxmlformats.org/officeDocument/2006/relationships/hyperlink" Target="https://www.abs.gov.au/AUSSTATS/abs@.nsf/allprimarymainfeatures/1A6958EE78EA4DAACA257441001B8B29?opendocument" TargetMode="External"/><Relationship Id="rId398" Type="http://schemas.openxmlformats.org/officeDocument/2006/relationships/hyperlink" Target="https://docs.education.gov.au/documents/benefits-educational-attainment-introduction" TargetMode="External"/><Relationship Id="rId95" Type="http://schemas.openxmlformats.org/officeDocument/2006/relationships/hyperlink" Target="https://www.bca.com.au/being_work_ready_a_guide_to_what_employers_want" TargetMode="External"/><Relationship Id="rId160" Type="http://schemas.openxmlformats.org/officeDocument/2006/relationships/image" Target="media/image69.jpg"/><Relationship Id="rId216" Type="http://schemas.openxmlformats.org/officeDocument/2006/relationships/image" Target="media/image89.png"/><Relationship Id="rId423" Type="http://schemas.openxmlformats.org/officeDocument/2006/relationships/hyperlink" Target="https://www.aph.gov.au/Parliamentary_Business/Committees/House_of_Representatives_Committees?url=edt/schoolandwork/report.htm" TargetMode="External"/><Relationship Id="rId258" Type="http://schemas.openxmlformats.org/officeDocument/2006/relationships/image" Target="media/image101.png"/><Relationship Id="rId465" Type="http://schemas.openxmlformats.org/officeDocument/2006/relationships/hyperlink" Target="https://www.qilt.edu.au/docs/default-source/default-document-library/2018-ses-national-report.pdf" TargetMode="External"/><Relationship Id="rId22" Type="http://schemas.openxmlformats.org/officeDocument/2006/relationships/image" Target="media/image8.png"/><Relationship Id="rId64" Type="http://schemas.openxmlformats.org/officeDocument/2006/relationships/image" Target="media/image33.jpg"/><Relationship Id="rId118" Type="http://schemas.openxmlformats.org/officeDocument/2006/relationships/image" Target="media/image49.jpg"/><Relationship Id="rId325" Type="http://schemas.openxmlformats.org/officeDocument/2006/relationships/hyperlink" Target="https://www.lsay.edu.au" TargetMode="External"/><Relationship Id="rId367" Type="http://schemas.openxmlformats.org/officeDocument/2006/relationships/hyperlink" Target="https://www.abs.gov.au/ausstats/abs@.nsf/mf/4221.0" TargetMode="External"/><Relationship Id="rId171" Type="http://schemas.openxmlformats.org/officeDocument/2006/relationships/hyperlink" Target="http://www.oecd.org/officialdocuments/publicdisplaydocumentpdf/?cote=DELSA/ELSA/WD/SEM(2019)12&amp;docLanguage=En" TargetMode="External"/><Relationship Id="rId227" Type="http://schemas.openxmlformats.org/officeDocument/2006/relationships/hyperlink" Target="https://www.ncver.edu.au/__data/assets/file/0014/6224/lsay_2239.pdf" TargetMode="External"/><Relationship Id="rId269" Type="http://schemas.openxmlformats.org/officeDocument/2006/relationships/hyperlink" Target="https://education.unimelb.edu.au/mgse-industry-reports/report-1-those-who-disappear" TargetMode="External"/><Relationship Id="rId434" Type="http://schemas.openxmlformats.org/officeDocument/2006/relationships/hyperlink" Target="https://educationendowmentfoundation.org.uk/public/files/Employer_Engagement_in_Education.pdf" TargetMode="External"/><Relationship Id="rId476" Type="http://schemas.openxmlformats.org/officeDocument/2006/relationships/hyperlink" Target="https://www.skillsroad.com.au/youth-census-2018" TargetMode="External"/><Relationship Id="rId33" Type="http://schemas.openxmlformats.org/officeDocument/2006/relationships/image" Target="media/image18.png"/><Relationship Id="rId129" Type="http://schemas.openxmlformats.org/officeDocument/2006/relationships/image" Target="media/image56.png"/><Relationship Id="rId280" Type="http://schemas.openxmlformats.org/officeDocument/2006/relationships/hyperlink" Target="https://www.wuyagibastudyhub.org" TargetMode="External"/><Relationship Id="rId336" Type="http://schemas.openxmlformats.org/officeDocument/2006/relationships/hyperlink" Target="https://tenders.nsw.gov.au/doe/?event=public.rft.showArchived&amp;RFTUUID=96378B16-D58F-116B-CEB7908F898018D8;" TargetMode="External"/><Relationship Id="rId501" Type="http://schemas.openxmlformats.org/officeDocument/2006/relationships/hyperlink" Target="http://www.pathwaysreview.edu.au" TargetMode="External"/><Relationship Id="rId75" Type="http://schemas.openxmlformats.org/officeDocument/2006/relationships/hyperlink" Target="https://senior-secondary.scsa.wa.edu.au/assessment/" TargetMode="External"/><Relationship Id="rId140" Type="http://schemas.openxmlformats.org/officeDocument/2006/relationships/hyperlink" Target="https://www.ncver.edu.au/__data/assets/pdf_file/0029/484463/Indigenous-participation-in-VET.pdf" TargetMode="External"/><Relationship Id="rId182" Type="http://schemas.openxmlformats.org/officeDocument/2006/relationships/image" Target="media/image72.png"/><Relationship Id="rId378" Type="http://schemas.openxmlformats.org/officeDocument/2006/relationships/hyperlink" Target="https://cdn.aigroup.com.au/Reports/2018/Survey_Report_WFDNeeds_Skilling_Sept2018.pdf" TargetMode="External"/><Relationship Id="rId403" Type="http://schemas.openxmlformats.org/officeDocument/2006/relationships/hyperlink" Target="https://cica.org.au/wp-content/uploads/Employment-Outlook-to-May-2024.pdf" TargetMode="External"/><Relationship Id="rId6" Type="http://schemas.openxmlformats.org/officeDocument/2006/relationships/styles" Target="styles.xml"/><Relationship Id="rId238" Type="http://schemas.openxmlformats.org/officeDocument/2006/relationships/hyperlink" Target="http://youthguarantee.education.govt.nz" TargetMode="External"/><Relationship Id="rId445" Type="http://schemas.openxmlformats.org/officeDocument/2006/relationships/hyperlink" Target="https://www.ncver.edu.au/__data/assets/pdf_file/0016/7120132/VET_in_Schools_2018_publication.pdf" TargetMode="External"/><Relationship Id="rId487" Type="http://schemas.openxmlformats.org/officeDocument/2006/relationships/hyperlink" Target="http://www.mitchellinstitute.org.au/wp-content/uploads/2019/09/Submission-to-SA-VET-in-Schools-Review.pdf" TargetMode="External"/><Relationship Id="rId291" Type="http://schemas.openxmlformats.org/officeDocument/2006/relationships/hyperlink" Target="https://docs.education.gov.au/system/files/doc/other/ndco_evaluation_final_report.pdf" TargetMode="External"/><Relationship Id="rId305" Type="http://schemas.openxmlformats.org/officeDocument/2006/relationships/image" Target="media/image110.jpg"/><Relationship Id="rId347" Type="http://schemas.openxmlformats.org/officeDocument/2006/relationships/image" Target="media/image132.png"/><Relationship Id="rId44" Type="http://schemas.openxmlformats.org/officeDocument/2006/relationships/hyperlink" Target="https://www.weforum.org/agenda/2016/01/the-fourth-industrial-revolution-what-it-means-and-how-to-respond" TargetMode="External"/><Relationship Id="rId86" Type="http://schemas.openxmlformats.org/officeDocument/2006/relationships/hyperlink" Target="https://www.australiancurriculum.edu.au/f-10-curriculum/general-capabilities." TargetMode="External"/><Relationship Id="rId151" Type="http://schemas.openxmlformats.org/officeDocument/2006/relationships/image" Target="media/image62.jpg"/><Relationship Id="rId389" Type="http://schemas.openxmlformats.org/officeDocument/2006/relationships/hyperlink" Target="https://d3n8a8pro7vhmx.cloudfront.net/bca/pages/4386/attachments/original/1542258016/LoRes-2018_BCA_EDUC_Future_Proof_WIP1A_%281%29.pdf?1542258016" TargetMode="External"/><Relationship Id="rId193" Type="http://schemas.openxmlformats.org/officeDocument/2006/relationships/image" Target="media/image77.png"/><Relationship Id="rId207" Type="http://schemas.openxmlformats.org/officeDocument/2006/relationships/image" Target="media/image86.png"/><Relationship Id="rId249" Type="http://schemas.openxmlformats.org/officeDocument/2006/relationships/hyperlink" Target="https://www.nzqa.govt.nz/about-us/future-state/quality-assurance/micro-credential-pilots." TargetMode="External"/><Relationship Id="rId414" Type="http://schemas.openxmlformats.org/officeDocument/2006/relationships/hyperlink" Target="https://www.voced.edu.au/content/ngv%3A34192" TargetMode="External"/><Relationship Id="rId456" Type="http://schemas.openxmlformats.org/officeDocument/2006/relationships/hyperlink" Target="https://www.oecd-ilibrary.org/education/education-at-a-glance-2019_f8d7880d-en" TargetMode="External"/><Relationship Id="rId498" Type="http://schemas.openxmlformats.org/officeDocument/2006/relationships/hyperlink" Target="http://www3.weforum.org/docs/WEF_Future_of_Jobs_2018.pdf" TargetMode="External"/><Relationship Id="rId13" Type="http://schemas.openxmlformats.org/officeDocument/2006/relationships/image" Target="media/image3.jpg"/><Relationship Id="rId109" Type="http://schemas.openxmlformats.org/officeDocument/2006/relationships/hyperlink" Target="https://nswcurriculumreview.nesa.nsw.edu.au/pdfs/interimreport/chapters/NSW-Curriculum-Review-Interim-Report.pdf" TargetMode="External"/><Relationship Id="rId260" Type="http://schemas.openxmlformats.org/officeDocument/2006/relationships/image" Target="media/image103.png"/><Relationship Id="rId316" Type="http://schemas.openxmlformats.org/officeDocument/2006/relationships/hyperlink" Target="https://transcen.org" TargetMode="External"/><Relationship Id="rId55" Type="http://schemas.openxmlformats.org/officeDocument/2006/relationships/hyperlink" Target="https://go8.edu.au/files/docs/publications/graduate_skills_and_national_productivity.pdf" TargetMode="External"/><Relationship Id="rId97" Type="http://schemas.openxmlformats.org/officeDocument/2006/relationships/hyperlink" Target="https://docs.education.gov.au/system/files/doc/other/aqf_review_2019_0.pdf" TargetMode="External"/><Relationship Id="rId120" Type="http://schemas.openxmlformats.org/officeDocument/2006/relationships/image" Target="media/image51.jpg"/><Relationship Id="rId358" Type="http://schemas.openxmlformats.org/officeDocument/2006/relationships/hyperlink" Target="https://www.abs.gov.au/AUSSTATS/abs@.nsf/2f762f95845417aeca25706c00834efa/2f3f76f60abec87aca2570ec00112c40!OpenDocument" TargetMode="External"/><Relationship Id="rId162" Type="http://schemas.openxmlformats.org/officeDocument/2006/relationships/hyperlink" Target="https://2qean3b1jjd1s87812ool5ji-wpengine.netdna-ssl.com/wp-content/uploads/work/Skilling-Australia-Vocation-Education-Report.pdf" TargetMode="External"/><Relationship Id="rId218" Type="http://schemas.openxmlformats.org/officeDocument/2006/relationships/hyperlink" Target="http://oresomeresources.com" TargetMode="External"/><Relationship Id="rId425" Type="http://schemas.openxmlformats.org/officeDocument/2006/relationships/hyperlink" Target="https://docs.education.gov.au/system/files/doc/other/aqfcreditpathways.pdf" TargetMode="External"/><Relationship Id="rId467" Type="http://schemas.openxmlformats.org/officeDocument/2006/relationships/hyperlink" Target="https://desbt.qld.gov.au/__data/assets/pdf_file/0012/11019/micro-credentialing-pilots-program-fact-sheet.pdf" TargetMode="External"/><Relationship Id="rId271" Type="http://schemas.openxmlformats.org/officeDocument/2006/relationships/image" Target="media/image104.png"/><Relationship Id="rId24" Type="http://schemas.openxmlformats.org/officeDocument/2006/relationships/image" Target="media/image10.png"/><Relationship Id="rId66" Type="http://schemas.openxmlformats.org/officeDocument/2006/relationships/hyperlink" Target="https://www.oecd.org/education/school/UPDATED%20Social%20and%20Emotional%20Skills%20-%20Well-being,%20connectedness%20and%20success.pdf%20(website).pdf" TargetMode="External"/><Relationship Id="rId131" Type="http://schemas.openxmlformats.org/officeDocument/2006/relationships/hyperlink" Target="https://2qean3b1jjd1s87812ool5ji-wpengine.netdna-ssl.com/wp-content/uploads/work/Skilling-Australia-Vocation-Education-Report.pdf" TargetMode="External"/><Relationship Id="rId327" Type="http://schemas.openxmlformats.org/officeDocument/2006/relationships/image" Target="media/image119.png"/><Relationship Id="rId369" Type="http://schemas.openxmlformats.org/officeDocument/2006/relationships/hyperlink" Target="https://www.acara.edu.au/reporting/measurement-framework-for-schooling-in-australia" TargetMode="External"/><Relationship Id="rId173" Type="http://schemas.openxmlformats.org/officeDocument/2006/relationships/image" Target="media/image71.jpg"/><Relationship Id="rId229" Type="http://schemas.openxmlformats.org/officeDocument/2006/relationships/hyperlink" Target="https://www.acara.edu.au/reporting/measurement-framework-for-schooling-in-australia" TargetMode="External"/><Relationship Id="rId380" Type="http://schemas.openxmlformats.org/officeDocument/2006/relationships/hyperlink" Target="https://www.aitsl.edu.au/docs/default-source/national-review-of-teacher-registration/report/one-teaching-profession---teacher-registration-in-australia.pdf" TargetMode="External"/><Relationship Id="rId436" Type="http://schemas.openxmlformats.org/officeDocument/2006/relationships/hyperlink" Target="https://melbourne-cshe.unimelb.edu.au/__data/assets/pdf_file/0006/2263137/MCSHE-Visions-for-Aust-Ter-Ed-web2.pdf" TargetMode="External"/><Relationship Id="rId240" Type="http://schemas.openxmlformats.org/officeDocument/2006/relationships/hyperlink" Target="https://melbourne-cshe.unimelb.edu.au/__data/assets/pdf_file/0006/2263137/MCSHE-Visions-for-Aust-Ter-Ed-web2.pdf" TargetMode="External"/><Relationship Id="rId478" Type="http://schemas.openxmlformats.org/officeDocument/2006/relationships/hyperlink" Target="https://www.thesmithfamily.com.au/-/media/files/research/reports/participation-research-report-june-2013.pdf" TargetMode="External"/><Relationship Id="rId35" Type="http://schemas.openxmlformats.org/officeDocument/2006/relationships/image" Target="media/image20.png"/><Relationship Id="rId77" Type="http://schemas.openxmlformats.org/officeDocument/2006/relationships/hyperlink" Target="https://senior-secondary.scsa.wa.edu.au/assessment/" TargetMode="External"/><Relationship Id="rId100" Type="http://schemas.openxmlformats.org/officeDocument/2006/relationships/image" Target="media/image42.png"/><Relationship Id="rId282" Type="http://schemas.openxmlformats.org/officeDocument/2006/relationships/hyperlink" Target="https://www.abs.gov.au/ausstats/abs@.nsf/Lookup/by%20Subject/2071.0~2016~Main%20Features~Small%20Towns~113" TargetMode="External"/><Relationship Id="rId338" Type="http://schemas.openxmlformats.org/officeDocument/2006/relationships/image" Target="media/image124.png"/><Relationship Id="rId503" Type="http://schemas.openxmlformats.org/officeDocument/2006/relationships/fontTable" Target="fontTable.xml"/><Relationship Id="rId8" Type="http://schemas.openxmlformats.org/officeDocument/2006/relationships/webSettings" Target="webSettings.xml"/><Relationship Id="rId142" Type="http://schemas.openxmlformats.org/officeDocument/2006/relationships/hyperlink" Target="http://www.educationcouncil.edu.au/site/DefaultSite/filesystem/documents/Reports%20and%20publications/Publications/Optimising%20STEM%20Industry-School%20Partnerships%20-%20Final%20Report.pdf" TargetMode="External"/><Relationship Id="rId184" Type="http://schemas.openxmlformats.org/officeDocument/2006/relationships/image" Target="media/image73.png"/><Relationship Id="rId391" Type="http://schemas.openxmlformats.org/officeDocument/2006/relationships/hyperlink" Target="https://www.ncsehe.edu.au/wp-content/uploads/2017/02/Regional-Student-Participation-and-Migration-20170227-Final.pdf" TargetMode="External"/><Relationship Id="rId405" Type="http://schemas.openxmlformats.org/officeDocument/2006/relationships/hyperlink" Target="https://pssfw.myskills.gov.au/media/1174/preparing-secondary-students-for-work-2014.pdf" TargetMode="External"/><Relationship Id="rId447" Type="http://schemas.openxmlformats.org/officeDocument/2006/relationships/hyperlink" Target="https://www.ncver.edu.au/research-and-statistics/collections/students-and-courses-collection/total-vet-students-and-courses" TargetMode="External"/><Relationship Id="rId251" Type="http://schemas.openxmlformats.org/officeDocument/2006/relationships/hyperlink" Target="https://www.monash.edu/__data/assets/pdf_file/0010/1762507/19P-0131-The-Monash-Commission-24p-final.pdf" TargetMode="External"/><Relationship Id="rId489" Type="http://schemas.openxmlformats.org/officeDocument/2006/relationships/hyperlink" Target="https://vcoss.org.au/policy/pathway-to-a-positive-future" TargetMode="External"/><Relationship Id="rId46" Type="http://schemas.openxmlformats.org/officeDocument/2006/relationships/hyperlink" Target="https://www.abs.gov.au/AUSSTATS/abs@.nsf/allprimarymainfeatures/1A6958EE78EA4DAACA257441001B8B29?opendocument" TargetMode="External"/><Relationship Id="rId293" Type="http://schemas.openxmlformats.org/officeDocument/2006/relationships/hyperlink" Target="https://www.cyda.org.au/resources/details/85/post-school-transition-the-experiences-of-students-with-disability" TargetMode="External"/><Relationship Id="rId307" Type="http://schemas.openxmlformats.org/officeDocument/2006/relationships/hyperlink" Target="https://www.abc.net.au/news/2019-11-07/high-school-gradua" TargetMode="External"/><Relationship Id="rId349" Type="http://schemas.openxmlformats.org/officeDocument/2006/relationships/image" Target="media/image134.png"/><Relationship Id="rId88" Type="http://schemas.openxmlformats.org/officeDocument/2006/relationships/hyperlink" Target="https://www.aqf.edu.au/sites/aqf/files/aqf-2nd-edition-january-2013.pdf." TargetMode="External"/><Relationship Id="rId111" Type="http://schemas.openxmlformats.org/officeDocument/2006/relationships/image" Target="media/image46.png"/><Relationship Id="rId153" Type="http://schemas.openxmlformats.org/officeDocument/2006/relationships/hyperlink" Target="https://docs.education.gov.au/system/files/doc/other/future_ready_a_student_focused_national_career_education_strategy.pdf" TargetMode="External"/><Relationship Id="rId195" Type="http://schemas.openxmlformats.org/officeDocument/2006/relationships/hyperlink" Target="https://www.ptech.org.au" TargetMode="External"/><Relationship Id="rId209" Type="http://schemas.openxmlformats.org/officeDocument/2006/relationships/hyperlink" Target="https://mbatas.org.au" TargetMode="External"/><Relationship Id="rId360" Type="http://schemas.openxmlformats.org/officeDocument/2006/relationships/hyperlink" Target="https://www.abs.gov.au/ausstats/abs@.nsf/Lookup/1246.0main+features24june%202014" TargetMode="External"/><Relationship Id="rId416" Type="http://schemas.openxmlformats.org/officeDocument/2006/relationships/hyperlink" Target="https://www.fya.org.au/wp-content/uploads/2018/06/FYA_TheNewWorkReality_sml.pdf" TargetMode="External"/><Relationship Id="rId220" Type="http://schemas.openxmlformats.org/officeDocument/2006/relationships/image" Target="media/image91.jpg"/><Relationship Id="rId458" Type="http://schemas.openxmlformats.org/officeDocument/2006/relationships/hyperlink" Target="https://parlinfo.aph.gov.au/parlInfo/download/library/prspub/4789032/upload_binary/4789032.pdf" TargetMode="External"/><Relationship Id="rId15" Type="http://schemas.openxmlformats.org/officeDocument/2006/relationships/image" Target="media/image5.jpg"/><Relationship Id="rId57" Type="http://schemas.openxmlformats.org/officeDocument/2006/relationships/hyperlink" Target="https://parlinfo.aph.gov.au/parlInfo/download/library/prspub/4789032/upload_binary/4789032.pdf" TargetMode="External"/><Relationship Id="rId262" Type="http://schemas.openxmlformats.org/officeDocument/2006/relationships/hyperlink" Target="https://docs.education.gov.au/system/files/doc/other/ecoimpactschoolquality.pdf" TargetMode="External"/><Relationship Id="rId318" Type="http://schemas.openxmlformats.org/officeDocument/2006/relationships/image" Target="media/image115.jpg"/><Relationship Id="rId99" Type="http://schemas.openxmlformats.org/officeDocument/2006/relationships/image" Target="media/image41.emf"/><Relationship Id="rId122" Type="http://schemas.openxmlformats.org/officeDocument/2006/relationships/image" Target="media/image53.jpg"/><Relationship Id="rId164" Type="http://schemas.openxmlformats.org/officeDocument/2006/relationships/hyperlink" Target="https://www.ceda.com.au/CEDA/media/ResearchCatalogueDocuments/Research%20and%20Policy/PDF/31760-CEDAVETReportAugust2016Final_flattened.pdf" TargetMode="External"/><Relationship Id="rId371" Type="http://schemas.openxmlformats.org/officeDocument/2006/relationships/hyperlink" Target="https://www.acara.edu.au/reporting/national-report-on-schooling-in-aus" TargetMode="External"/><Relationship Id="rId427" Type="http://schemas.openxmlformats.org/officeDocument/2006/relationships/hyperlink" Target="https://www.pmc.gov.au/sites/default/files/publications/strengthening-skills-independent-review-australia-vets_1.pdf" TargetMode="External"/><Relationship Id="rId469" Type="http://schemas.openxmlformats.org/officeDocument/2006/relationships/hyperlink" Target="https://www.science.org.au/covid19/learning-outcomes-online-vs-inclass-education" TargetMode="External"/><Relationship Id="rId26" Type="http://schemas.openxmlformats.org/officeDocument/2006/relationships/image" Target="media/image12.png"/><Relationship Id="rId231" Type="http://schemas.openxmlformats.org/officeDocument/2006/relationships/hyperlink" Target="https://www.abs.gov.au/ausstats/abs@.nsf/Lookup/1246.0main+features24june%202014" TargetMode="External"/><Relationship Id="rId273" Type="http://schemas.openxmlformats.org/officeDocument/2006/relationships/image" Target="media/image105.png"/><Relationship Id="rId329" Type="http://schemas.openxmlformats.org/officeDocument/2006/relationships/hyperlink" Target="https://www.employment.gov.au/delivering-skills-today-and-tomorrow." TargetMode="External"/><Relationship Id="rId480" Type="http://schemas.openxmlformats.org/officeDocument/2006/relationships/hyperlink" Target="https://www.ccyp.com.au/wp-content/uploads/2020/04/2019-12-06-Review-of-Senior-Secondary-Pathways-Submission.pdf" TargetMode="External"/><Relationship Id="rId68" Type="http://schemas.openxmlformats.org/officeDocument/2006/relationships/hyperlink" Target="https://docs.education.gov.au/system/files/doc/other/final_-_alice_springs_declaration_-_17_february_2020_security_removed.pdf" TargetMode="External"/><Relationship Id="rId133" Type="http://schemas.openxmlformats.org/officeDocument/2006/relationships/hyperlink" Target="https://www.ncsehe.edu.au/wp-content/uploads/2017/02/Regional-Student-Participation-and-Migration-20170227-Final.pdf" TargetMode="External"/><Relationship Id="rId175" Type="http://schemas.openxmlformats.org/officeDocument/2006/relationships/hyperlink" Target="https://www.csiro.au/en/" TargetMode="External"/><Relationship Id="rId340" Type="http://schemas.openxmlformats.org/officeDocument/2006/relationships/hyperlink" Target="https://pssfw.myskills.gov.au/media/1188/attachment-c-common-career-education-terms-20151203.pdf" TargetMode="External"/><Relationship Id="rId200" Type="http://schemas.openxmlformats.org/officeDocument/2006/relationships/image" Target="media/image81.png"/><Relationship Id="rId382" Type="http://schemas.openxmlformats.org/officeDocument/2006/relationships/hyperlink" Target="https://www.aihw.gov.au/getmedia/6976ff0b-4649-4e3f-918f-849fc29d538f/aihw-per-93.pdf.aspx?inline=true" TargetMode="External"/><Relationship Id="rId438" Type="http://schemas.openxmlformats.org/officeDocument/2006/relationships/hyperlink" Target="https://www.missionaustralia.com.au/what-we-do/research-impact-policy-advocacy/youth-survey" TargetMode="External"/><Relationship Id="rId242" Type="http://schemas.openxmlformats.org/officeDocument/2006/relationships/hyperlink" Target="https://www.ncver.edu.au/research-and-statistics/vocstats" TargetMode="External"/><Relationship Id="rId284" Type="http://schemas.openxmlformats.org/officeDocument/2006/relationships/hyperlink" Target="https://docs.education.gov.au/system/files/doc/other/01218_independent_review_accessible.pdf" TargetMode="External"/><Relationship Id="rId491" Type="http://schemas.openxmlformats.org/officeDocument/2006/relationships/hyperlink" Target="https://www2.health.vic.gov.au/mental-health/prevention-and-promotion/early-intervention-in-mental-health" TargetMode="External"/><Relationship Id="rId37" Type="http://schemas.openxmlformats.org/officeDocument/2006/relationships/image" Target="media/image22.png"/><Relationship Id="rId79" Type="http://schemas.openxmlformats.org/officeDocument/2006/relationships/hyperlink" Target="https://docs.education.gov.au/system/files/doc/other/662684_tgta_accessible_final_0.pdf" TargetMode="External"/><Relationship Id="rId102" Type="http://schemas.openxmlformats.org/officeDocument/2006/relationships/hyperlink" Target="https://docs.education.gov.au/system/files/doc/other/dept_of_education_-_undergraduate_applicationsoffers_and_acceptances_2019.pdf" TargetMode="External"/><Relationship Id="rId144" Type="http://schemas.openxmlformats.org/officeDocument/2006/relationships/hyperlink" Target="https://www.ncver.edu.au/__data/assets/pdf_file/0029/6547412/School_to_work_pathways.pdf" TargetMode="External"/><Relationship Id="rId90" Type="http://schemas.openxmlformats.org/officeDocument/2006/relationships/hyperlink" Target="http://www3.weforum.org/docs/WEF_Future_of_" TargetMode="External"/><Relationship Id="rId186" Type="http://schemas.openxmlformats.org/officeDocument/2006/relationships/hyperlink" Target="https://www.stpatstech.sa.edu.au" TargetMode="External"/><Relationship Id="rId351" Type="http://schemas.openxmlformats.org/officeDocument/2006/relationships/hyperlink" Target="https://docs.education.gov.au/system/files/doc/other/ndco_evaluation_final_report.pdf" TargetMode="External"/><Relationship Id="rId393" Type="http://schemas.openxmlformats.org/officeDocument/2006/relationships/hyperlink" Target="http://www.cspa.catholic.edu.au/submissions" TargetMode="External"/><Relationship Id="rId407" Type="http://schemas.openxmlformats.org/officeDocument/2006/relationships/hyperlink" Target="http://www.educationcouncil.edu.au/site/DefaultSite/filesystem/documents/Reports%20and%20publications/Publications/Optimising%20STEM%20Industry-School%20Partnerships%20-%20Final%20Report.pdf" TargetMode="External"/><Relationship Id="rId449" Type="http://schemas.openxmlformats.org/officeDocument/2006/relationships/hyperlink" Target="https://www.ndis.gov.au/participants/finding-keeping-and-changing-jobs/leaving-school" TargetMode="External"/><Relationship Id="rId211" Type="http://schemas.openxmlformats.org/officeDocument/2006/relationships/hyperlink" Target="https://www.employment.gov.au/ITH." TargetMode="External"/><Relationship Id="rId253" Type="http://schemas.openxmlformats.org/officeDocument/2006/relationships/hyperlink" Target="https://www.education.gov" TargetMode="External"/><Relationship Id="rId295" Type="http://schemas.openxmlformats.org/officeDocument/2006/relationships/hyperlink" Target="https://www.cmy.net.au/knowledge-hub" TargetMode="External"/><Relationship Id="rId309" Type="http://schemas.openxmlformats.org/officeDocument/2006/relationships/hyperlink" Target="https://www.abc.net.au/news/2019-11-07/high-school-gradua" TargetMode="External"/><Relationship Id="rId460" Type="http://schemas.openxmlformats.org/officeDocument/2006/relationships/hyperlink" Target="https://docs.education.gov.au/system/files/doc/other/pechenkina_and_anderson_2011.pdf" TargetMode="External"/><Relationship Id="rId48" Type="http://schemas.openxmlformats.org/officeDocument/2006/relationships/hyperlink" Target="https://www.abs.gov.au/ausstats/abs@.nsf/mf/4221.0" TargetMode="External"/><Relationship Id="rId113" Type="http://schemas.openxmlformats.org/officeDocument/2006/relationships/hyperlink" Target="https://www.anu.edu.au/study/apply/domestic-applications-a" TargetMode="External"/><Relationship Id="rId320" Type="http://schemas.openxmlformats.org/officeDocument/2006/relationships/hyperlink" Target="https://www.ncver.edu.au/__data/assets/pdf_file/0016/1073041/Who-are-the-persistently-NEET-young-people.pdf" TargetMode="External"/><Relationship Id="rId155" Type="http://schemas.openxmlformats.org/officeDocument/2006/relationships/image" Target="media/image64.png"/><Relationship Id="rId197" Type="http://schemas.openxmlformats.org/officeDocument/2006/relationships/image" Target="media/image79.png"/><Relationship Id="rId362" Type="http://schemas.openxmlformats.org/officeDocument/2006/relationships/hyperlink" Target="https://www.abs.gov.au/ausstats/abs@.nsf/Lookup/by%20Subject/2071.0~2016~Main%20Features~Small%20Towns~113" TargetMode="External"/><Relationship Id="rId418" Type="http://schemas.openxmlformats.org/officeDocument/2006/relationships/hyperlink" Target="https://go8.edu.au/files/docs/publications/graduate_skills_and_national_productivity.pdf" TargetMode="External"/><Relationship Id="rId222" Type="http://schemas.openxmlformats.org/officeDocument/2006/relationships/hyperlink" Target="https://www.aihw.gov.au/getmedia/34f09557-0acf-4adf-837d-eada7b74d466/Education-20905.pdf.aspx" TargetMode="External"/><Relationship Id="rId264" Type="http://schemas.openxmlformats.org/officeDocument/2006/relationships/hyperlink" Target="https://www.missionaustralia.com.au/what-we-do/research-impact-policy-advocacy/youth-survey" TargetMode="External"/><Relationship Id="rId471" Type="http://schemas.openxmlformats.org/officeDocument/2006/relationships/hyperlink" Target="http://rca.asn.au/rca/wp-content/uploads/2019/12/RCA-Submission-Education-Council-Review-of-Senior-Secondary-Pathways-into-Work-Further-Education-and-Training.pdf" TargetMode="External"/><Relationship Id="rId17" Type="http://schemas.openxmlformats.org/officeDocument/2006/relationships/hyperlink" Target="https://creativecommons.org/licenses/by-nd/4.0/" TargetMode="External"/><Relationship Id="rId59" Type="http://schemas.openxmlformats.org/officeDocument/2006/relationships/hyperlink" Target="https://www.alphabeta.com/wp-content/uploads/2017/08/The-Automation-Advantage.pdf" TargetMode="External"/><Relationship Id="rId124" Type="http://schemas.openxmlformats.org/officeDocument/2006/relationships/hyperlink" Target="https://educationendowmentfoundation.org.uk/public/files/Employer_Engagement_in_Education.pdf" TargetMode="External"/><Relationship Id="rId70" Type="http://schemas.openxmlformats.org/officeDocument/2006/relationships/image" Target="media/image34.png"/><Relationship Id="rId166" Type="http://schemas.openxmlformats.org/officeDocument/2006/relationships/hyperlink" Target="https://cdn.aigroup.com.au/Submissions/Education_and_Training/2019/Review_of_the_Melbourne_Declaration_-_Ai_Group_Response_June_2019.pdf" TargetMode="External"/><Relationship Id="rId331" Type="http://schemas.openxmlformats.org/officeDocument/2006/relationships/hyperlink" Target="https://www.pc.gov.au/inquiries/completed/education-evidence/report/education-evidence.pdf" TargetMode="External"/><Relationship Id="rId373" Type="http://schemas.openxmlformats.org/officeDocument/2006/relationships/hyperlink" Target="https://www.legislation.gov.au/Details/F2015L01639/Html/Text" TargetMode="External"/><Relationship Id="rId429" Type="http://schemas.openxmlformats.org/officeDocument/2006/relationships/hyperlink" Target="https://www.ncver.edu.au/__data/assets/file/0020/5870/starting-out-2649.pdf" TargetMode="External"/><Relationship Id="rId1" Type="http://schemas.openxmlformats.org/officeDocument/2006/relationships/customXml" Target="../customXml/item1.xml"/><Relationship Id="rId233" Type="http://schemas.openxmlformats.org/officeDocument/2006/relationships/hyperlink" Target="https://docs.education.gov.au/documents/benefits-educational-attainment-introduction" TargetMode="External"/><Relationship Id="rId440" Type="http://schemas.openxmlformats.org/officeDocument/2006/relationships/hyperlink" Target="https://www.missionaustralia.com.au/what-we-do/research-impact-policy-advocacy/youth-survey" TargetMode="External"/><Relationship Id="rId28" Type="http://schemas.openxmlformats.org/officeDocument/2006/relationships/image" Target="media/image14.png"/><Relationship Id="rId275" Type="http://schemas.openxmlformats.org/officeDocument/2006/relationships/hyperlink" Target="https://toowoombaflex.eq.edu.au" TargetMode="External"/><Relationship Id="rId300" Type="http://schemas.openxmlformats.org/officeDocument/2006/relationships/image" Target="media/image108.jpg"/><Relationship Id="rId482" Type="http://schemas.openxmlformats.org/officeDocument/2006/relationships/hyperlink" Target="https://www.education.sa.gov.au/sites/default/files/vet-for-school-students.pdf" TargetMode="External"/><Relationship Id="rId81" Type="http://schemas.openxmlformats.org/officeDocument/2006/relationships/hyperlink" Target="https://youthsense.com.au/research/after-the-atar-ii" TargetMode="External"/><Relationship Id="rId135" Type="http://schemas.openxmlformats.org/officeDocument/2006/relationships/hyperlink" Target="https://www.ncsehe.edu.au/wp-content/uploads/2020/04/NCSEHE-Equity-Student-Briefing-Note_2013-18_Accessible_Final_V2.pdf" TargetMode="External"/><Relationship Id="rId177" Type="http://schemas.openxmlformats.org/officeDocument/2006/relationships/hyperlink" Target="https://www.ncver.edu.au/__data/assets/pdf_file/0016/7120132/VET_in_Schools_2018_publication.pdf" TargetMode="External"/><Relationship Id="rId342" Type="http://schemas.openxmlformats.org/officeDocument/2006/relationships/image" Target="media/image127.png"/><Relationship Id="rId384" Type="http://schemas.openxmlformats.org/officeDocument/2006/relationships/hyperlink" Target="https://www.aihw.gov.au/reports/australias-welfare/secondary-education-school-retention-completion" TargetMode="External"/><Relationship Id="rId202" Type="http://schemas.openxmlformats.org/officeDocument/2006/relationships/image" Target="media/image83.jpg"/><Relationship Id="rId244" Type="http://schemas.openxmlformats.org/officeDocument/2006/relationships/hyperlink" Target="https://www.education.sa.gov.au/sites/default/files/sace-stage-2-review.pdf" TargetMode="External"/><Relationship Id="rId39" Type="http://schemas.openxmlformats.org/officeDocument/2006/relationships/image" Target="media/image24.png"/><Relationship Id="rId286" Type="http://schemas.openxmlformats.org/officeDocument/2006/relationships/hyperlink" Target="https://www.education.gov.au/selected-higher-education-statistics-2018-student-data" TargetMode="External"/><Relationship Id="rId451" Type="http://schemas.openxmlformats.org/officeDocument/2006/relationships/hyperlink" Target="https://www.cese.nsw.gov.au/images/stories/PDF/Post-school-destinations-2018-early-school-leavers.pdf" TargetMode="External"/><Relationship Id="rId493" Type="http://schemas.openxmlformats.org/officeDocument/2006/relationships/hyperlink" Target="https://www.vta.vic.edu.au/doctest/publications/position-and-discussion-papers/967-coag-pathways-review-victorian-tafe-association-response-final/file" TargetMode="External"/><Relationship Id="rId50" Type="http://schemas.openxmlformats.org/officeDocument/2006/relationships/hyperlink" Target="https://www.abs.gov.au/ausstats/abs@.nsf/Latestproducts/4221.0Main%20Features102019?opendocument&amp;tabname=Summary&amp;prodno=4221.0&amp;issue=2019&amp;num=&amp;view=" TargetMode="External"/><Relationship Id="rId104" Type="http://schemas.openxmlformats.org/officeDocument/2006/relationships/hyperlink" Target="https://docs.education.gov.au/system/files/doc/other/revised_20161115_pm_final_accessibility_version_hesp_admissions_transparency_report.pdf" TargetMode="External"/><Relationship Id="rId146" Type="http://schemas.openxmlformats.org/officeDocument/2006/relationships/image" Target="media/image59.png"/><Relationship Id="rId188" Type="http://schemas.openxmlformats.org/officeDocument/2006/relationships/hyperlink" Target="https://www.education.gov.au/employment-and-income-support" TargetMode="External"/><Relationship Id="rId311" Type="http://schemas.openxmlformats.org/officeDocument/2006/relationships/image" Target="media/image112.png"/><Relationship Id="rId353" Type="http://schemas.openxmlformats.org/officeDocument/2006/relationships/hyperlink" Target="https://www.alphabeta.com/wp-content/uploads/2017/08/The-Automation-Advantage.pdf" TargetMode="External"/><Relationship Id="rId395" Type="http://schemas.openxmlformats.org/officeDocument/2006/relationships/hyperlink" Target="https://grattan.edu.au/news/university-admission-atar-best-guide-to-student-performance/" TargetMode="External"/><Relationship Id="rId409" Type="http://schemas.openxmlformats.org/officeDocument/2006/relationships/hyperlink" Target="https://link.springer.com/article/10.1007/s10734-017-0222-1" TargetMode="External"/><Relationship Id="rId92" Type="http://schemas.openxmlformats.org/officeDocument/2006/relationships/hyperlink" Target="https://www.legislation.gov.au/Details/F2015L01639/Html/Text" TargetMode="External"/><Relationship Id="rId213" Type="http://schemas.openxmlformats.org/officeDocument/2006/relationships/image" Target="media/image88.png"/><Relationship Id="rId420" Type="http://schemas.openxmlformats.org/officeDocument/2006/relationships/hyperlink" Target="https://www.ncver.edu.au/__data/assets/pdf_file/0024/1142691/Choosing-VET-aspirations-intentions-and-choice.pdf" TargetMode="External"/><Relationship Id="rId255" Type="http://schemas.openxmlformats.org/officeDocument/2006/relationships/image" Target="media/image98.png"/><Relationship Id="rId297" Type="http://schemas.openxmlformats.org/officeDocument/2006/relationships/hyperlink" Target="https://www.vichealth.vic.gov.au/media-and-resources/publications/bright-futures-spotlight-refugee-migrant-youth" TargetMode="External"/><Relationship Id="rId462" Type="http://schemas.openxmlformats.org/officeDocument/2006/relationships/hyperlink" Target="https://cica.org.au/wp-content/uploads/Career-and-Skills-Pathways-Project-June-2017.pdf" TargetMode="External"/><Relationship Id="rId115" Type="http://schemas.openxmlformats.org/officeDocument/2006/relationships/hyperlink" Target="https://www.jobjumpstart.gov.au/article/what-do-if-you-didnt-get-atar-required-your-course" TargetMode="External"/><Relationship Id="rId157" Type="http://schemas.openxmlformats.org/officeDocument/2006/relationships/image" Target="media/image66.png"/><Relationship Id="rId322" Type="http://schemas.openxmlformats.org/officeDocument/2006/relationships/image" Target="media/image118.jpg"/><Relationship Id="rId364" Type="http://schemas.openxmlformats.org/officeDocument/2006/relationships/hyperlink" Target="https://www.abs.gov.au/ausstats/abs@.nsf/mf/4430.0" TargetMode="External"/><Relationship Id="rId61" Type="http://schemas.openxmlformats.org/officeDocument/2006/relationships/hyperlink" Target="https://cica.org.au/wp-content/uploads/Employment-Outlook-to-May-2024.pdf" TargetMode="External"/><Relationship Id="rId199" Type="http://schemas.openxmlformats.org/officeDocument/2006/relationships/hyperlink" Target="http://www.mitchellinstitute.org.au/wp-content/uploads/2018/07/Connecting-the-worlds-of-learning-and-work.pdf" TargetMode="External"/><Relationship Id="rId19" Type="http://schemas.openxmlformats.org/officeDocument/2006/relationships/hyperlink" Target="https://creativecommons.org/licenses/by-nd/4.0/legalcode" TargetMode="External"/><Relationship Id="rId224" Type="http://schemas.openxmlformats.org/officeDocument/2006/relationships/hyperlink" Target="https://www.oecd-ilibrary.org/education/education-at-a-glance-2019_f8d7880d-en" TargetMode="External"/><Relationship Id="rId266" Type="http://schemas.openxmlformats.org/officeDocument/2006/relationships/hyperlink" Target="https://www2.health.vic.gov.au/mental-health/prevention-and-promotion/early-intervention-in-mental-health" TargetMode="External"/><Relationship Id="rId431" Type="http://schemas.openxmlformats.org/officeDocument/2006/relationships/hyperlink" Target="http://www.mitchellinstitute.org.au/wp-content/uploads/2017/06/Counting-the-costs-of-lost-opportunity-in-Australian-education.pdf" TargetMode="External"/><Relationship Id="rId473" Type="http://schemas.openxmlformats.org/officeDocument/2006/relationships/hyperlink" Target="https://www.weforum.org/agenda/2016/01/the-fourth-industrial-revolution-what-it-means-and-how-to-respond" TargetMode="External"/><Relationship Id="rId30" Type="http://schemas.openxmlformats.org/officeDocument/2006/relationships/hyperlink" Target="http://www.bca.com.au/about-us/jennifer-westacott-chief-executive" TargetMode="External"/><Relationship Id="rId126" Type="http://schemas.openxmlformats.org/officeDocument/2006/relationships/image" Target="media/image55.png"/><Relationship Id="rId168" Type="http://schemas.openxmlformats.org/officeDocument/2006/relationships/image" Target="media/image70.png"/><Relationship Id="rId333" Type="http://schemas.openxmlformats.org/officeDocument/2006/relationships/image" Target="media/image121.png"/><Relationship Id="rId72" Type="http://schemas.openxmlformats.org/officeDocument/2006/relationships/image" Target="media/image35.png"/><Relationship Id="rId375" Type="http://schemas.openxmlformats.org/officeDocument/2006/relationships/hyperlink" Target="https://pssfw.myskills.gov.au/media/1188/attachment-c-common-career-education-terms-20151203.pdf" TargetMode="External"/><Relationship Id="rId3" Type="http://schemas.openxmlformats.org/officeDocument/2006/relationships/customXml" Target="../customXml/item3.xml"/><Relationship Id="rId235" Type="http://schemas.openxmlformats.org/officeDocument/2006/relationships/image" Target="media/image93.png"/><Relationship Id="rId277" Type="http://schemas.openxmlformats.org/officeDocument/2006/relationships/hyperlink" Target="https://www.acara.edu.au/reporting/national-report-on-schooling-in-australia/national-report-on-schooling-in-austral" TargetMode="External"/><Relationship Id="rId400" Type="http://schemas.openxmlformats.org/officeDocument/2006/relationships/hyperlink" Target="https://www.education.gov.au/selected-higher-education-statistics-2018-student-data" TargetMode="External"/><Relationship Id="rId442" Type="http://schemas.openxmlformats.org/officeDocument/2006/relationships/hyperlink" Target="http://www.oecd.org/officialdocuments/publicdisplaydocumentpdf/?cote=DELSA/ELSA/WD/SEM(2019)12&amp;docLanguage=En" TargetMode="External"/><Relationship Id="rId484" Type="http://schemas.openxmlformats.org/officeDocument/2006/relationships/hyperlink" Target="https://publicdocumentcentre.education.tas.gov.au/Documents/Education%209-12%20Frameworks%20A3%20WEB%20POSTER.pdf" TargetMode="External"/><Relationship Id="rId137" Type="http://schemas.openxmlformats.org/officeDocument/2006/relationships/hyperlink" Target="https://ncver.edu.au/__data/assets/file/0024/9393/socioeconomic-disadvantage-2612.pdf" TargetMode="External"/><Relationship Id="rId302" Type="http://schemas.openxmlformats.org/officeDocument/2006/relationships/hyperlink" Target="http://www.canberrac.act.edu.au/information/programs/cc_cares;" TargetMode="External"/><Relationship Id="rId344" Type="http://schemas.openxmlformats.org/officeDocument/2006/relationships/image" Target="media/image129.png"/><Relationship Id="rId41" Type="http://schemas.openxmlformats.org/officeDocument/2006/relationships/image" Target="media/image26.png"/><Relationship Id="rId83" Type="http://schemas.openxmlformats.org/officeDocument/2006/relationships/hyperlink" Target="https://cdn.aigroup.com.au/Reports/2018/Survey_Report_WFDNeeds_Skilling_Sept2018.pdf" TargetMode="External"/><Relationship Id="rId179" Type="http://schemas.openxmlformats.org/officeDocument/2006/relationships/hyperlink" Target="https://www.ncver.edu.au/__data/assets/pdf_file/0037/887716/VET-in-Schools-students-characteristics-and-post-school-employment-and-training-experiences.pdf" TargetMode="External"/><Relationship Id="rId386" Type="http://schemas.openxmlformats.org/officeDocument/2006/relationships/hyperlink" Target="http://www.ayac.org.au/uploads/AYAC%20Beyond%20Learn%20or%20Earn%205.7MB.pdf" TargetMode="External"/><Relationship Id="rId190" Type="http://schemas.openxmlformats.org/officeDocument/2006/relationships/hyperlink" Target="https://www.nswbusinesschamber.com.au/NSWBC/media/Policy/Workplace%20Skills/Recent%20submissions%20and%20publications/2019-Workforce-Skills-Survey-Report-FINAL_1.pdf" TargetMode="External"/><Relationship Id="rId204" Type="http://schemas.openxmlformats.org/officeDocument/2006/relationships/image" Target="media/image85.jpg"/><Relationship Id="rId246" Type="http://schemas.openxmlformats.org/officeDocument/2006/relationships/hyperlink" Target="https://desbt.qld.gov.au/__data/assets/pdf_file/0012/11019/micro-credentialing-pilots-program-fact-sheet.pdf" TargetMode="External"/><Relationship Id="rId288" Type="http://schemas.openxmlformats.org/officeDocument/2006/relationships/hyperlink" Target="https://www.aihw.gov.au/getmedia/34f09557-0acf-4adf-837d-eada7b74d466/Education-20905.pdf.aspx" TargetMode="External"/><Relationship Id="rId411" Type="http://schemas.openxmlformats.org/officeDocument/2006/relationships/hyperlink" Target="https://www2.deloitte.com/au/en/pages/building-lucky-country/articles/path-prosperity-future-work.html" TargetMode="External"/><Relationship Id="rId453" Type="http://schemas.openxmlformats.org/officeDocument/2006/relationships/hyperlink" Target="https://www.ceda.com.au/CEDA/media/ResearchCatalogueDocuments/Research%20and%20Policy/PDF/31760-CEDAVETReportAugust2016Final_flattened.pdf" TargetMode="External"/><Relationship Id="rId106" Type="http://schemas.openxmlformats.org/officeDocument/2006/relationships/hyperlink" Target="https://www.parliament.vic.gov.au/925-eejsc/inquiry-into-career-advice-activities-in-victorian-schools" TargetMode="External"/><Relationship Id="rId313" Type="http://schemas.openxmlformats.org/officeDocument/2006/relationships/hyperlink" Target="https://www.transitionta.org/about;" TargetMode="External"/><Relationship Id="rId495" Type="http://schemas.openxmlformats.org/officeDocument/2006/relationships/hyperlink" Target="https://eprints.qut.edu.au/98390" TargetMode="External"/><Relationship Id="rId10" Type="http://schemas.openxmlformats.org/officeDocument/2006/relationships/endnotes" Target="endnotes.xml"/><Relationship Id="rId52" Type="http://schemas.openxmlformats.org/officeDocument/2006/relationships/image" Target="media/image28.png"/><Relationship Id="rId94" Type="http://schemas.openxmlformats.org/officeDocument/2006/relationships/hyperlink" Target="http://asiasociety.org/files/gcen-measuring21cskills.pdf" TargetMode="External"/><Relationship Id="rId148" Type="http://schemas.openxmlformats.org/officeDocument/2006/relationships/image" Target="media/image61.jpg"/><Relationship Id="rId355" Type="http://schemas.openxmlformats.org/officeDocument/2006/relationships/hyperlink" Target="http://www.acaca.edu.au/?wpfb_dl=1279" TargetMode="External"/><Relationship Id="rId397" Type="http://schemas.openxmlformats.org/officeDocument/2006/relationships/hyperlink" Target="https://www.education.gov.au/employment-and-income-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09E97-3DAB-4E56-9E08-3A9404392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1CE5DF-6F4C-485C-B999-A2FB432AD7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B52316-2741-443F-81DD-A1B50814018B}">
  <ds:schemaRefs>
    <ds:schemaRef ds:uri="http://schemas.microsoft.com/sharepoint/v3/contenttype/forms"/>
  </ds:schemaRefs>
</ds:datastoreItem>
</file>

<file path=customXml/itemProps4.xml><?xml version="1.0" encoding="utf-8"?>
<ds:datastoreItem xmlns:ds="http://schemas.openxmlformats.org/officeDocument/2006/customXml" ds:itemID="{451F25DB-346F-4708-A184-D2F3A35E3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178</Pages>
  <Words>61747</Words>
  <Characters>351963</Characters>
  <Application>Microsoft Office Word</Application>
  <DocSecurity>0</DocSecurity>
  <Lines>2933</Lines>
  <Paragraphs>825</Paragraphs>
  <ScaleCrop>false</ScaleCrop>
  <HeadingPairs>
    <vt:vector size="2" baseType="variant">
      <vt:variant>
        <vt:lpstr>Title</vt:lpstr>
      </vt:variant>
      <vt:variant>
        <vt:i4>1</vt:i4>
      </vt:variant>
    </vt:vector>
  </HeadingPairs>
  <TitlesOfParts>
    <vt:vector size="1" baseType="lpstr">
      <vt:lpstr>Looking to the Future</vt:lpstr>
    </vt:vector>
  </TitlesOfParts>
  <Company>Australian Government</Company>
  <LinksUpToDate>false</LinksUpToDate>
  <CharactersWithSpaces>412885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Looking to the Future</dc:title>
  <dc:subject>Report of the Review of Senior Secondary Pathways into Work, Further Education and Training_x000d_June 2020</dc:subject>
  <dc:creator>Education Council</dc:creator>
  <cp:lastModifiedBy>MANNIE,Ryan</cp:lastModifiedBy>
  <cp:revision>2</cp:revision>
  <dcterms:created xsi:type="dcterms:W3CDTF">2021-07-09T04:41:00Z</dcterms:created>
  <dcterms:modified xsi:type="dcterms:W3CDTF">2021-07-09T04:41:00Z</dcterms:modified>
</cp:coreProperties>
</file>