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F40B5" w14:textId="77777777" w:rsidR="0030632A" w:rsidRDefault="0030632A" w:rsidP="0030632A">
      <w:pPr>
        <w:ind w:left="709"/>
        <w:sectPr w:rsidR="0030632A" w:rsidSect="0030632A">
          <w:pgSz w:w="11906" w:h="16838"/>
          <w:pgMar w:top="567" w:right="720" w:bottom="720" w:left="720" w:header="708" w:footer="708" w:gutter="0"/>
          <w:cols w:space="708"/>
          <w:docGrid w:linePitch="360"/>
        </w:sectPr>
      </w:pPr>
      <w:r w:rsidRPr="00A668BF"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5014D365" wp14:editId="49FEB510">
            <wp:simplePos x="0" y="0"/>
            <wp:positionH relativeFrom="column">
              <wp:posOffset>-476250</wp:posOffset>
            </wp:positionH>
            <wp:positionV relativeFrom="page">
              <wp:posOffset>-25400</wp:posOffset>
            </wp:positionV>
            <wp:extent cx="7592400" cy="2167200"/>
            <wp:effectExtent l="0" t="0" r="0" b="5080"/>
            <wp:wrapNone/>
            <wp:docPr id="7" name="Picture 7" descr="Decorativ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400" cy="21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inline distT="0" distB="0" distL="0" distR="0" wp14:anchorId="4B750BD1" wp14:editId="64532512">
            <wp:extent cx="2331725" cy="716281"/>
            <wp:effectExtent l="0" t="0" r="0" b="7620"/>
            <wp:docPr id="1" name="Picture 1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t Education, Skills and Employment_Inline_Rev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2358C" w14:textId="77777777" w:rsidR="0030632A" w:rsidRPr="00A668BF" w:rsidRDefault="0030632A" w:rsidP="003E393F">
      <w:pPr>
        <w:pStyle w:val="Title"/>
        <w:spacing w:after="240"/>
      </w:pPr>
      <w:r>
        <w:t>Supporting Australia’s International Education Sector</w:t>
      </w:r>
    </w:p>
    <w:p w14:paraId="60ED14DF" w14:textId="61392685" w:rsidR="0030632A" w:rsidRPr="00A24E6E" w:rsidRDefault="004F204D" w:rsidP="0030632A">
      <w:pPr>
        <w:pStyle w:val="Subtitle"/>
      </w:pPr>
      <w:r w:rsidRPr="004F204D">
        <w:t>FEE-HELP student loan fee exemption extension</w:t>
      </w:r>
    </w:p>
    <w:p w14:paraId="2D31C1E4" w14:textId="77777777" w:rsidR="00012B48" w:rsidRDefault="00012B48" w:rsidP="001750A8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</w:p>
    <w:p w14:paraId="019CFA5A" w14:textId="4A6F76D3" w:rsidR="002D5B49" w:rsidRPr="002D5B49" w:rsidRDefault="001750A8" w:rsidP="002F0790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 w:rsidRPr="001750A8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On </w:t>
      </w:r>
      <w:r w:rsidR="00B946E6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30</w:t>
      </w:r>
      <w:r w:rsidRPr="001750A8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April 2021 the Australian Government announced a package </w:t>
      </w:r>
      <w:r w:rsidR="00B071C7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of measures to support </w:t>
      </w:r>
      <w:r w:rsidRPr="001750A8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the Australian </w:t>
      </w:r>
      <w:r w:rsidR="000D4755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international </w:t>
      </w:r>
      <w:r w:rsidRPr="001750A8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education and training providers most affected by COVID-19 and border closures. </w:t>
      </w:r>
      <w:r w:rsidR="00ED6251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Subject to the passage of legislation, t</w:t>
      </w:r>
      <w:r w:rsidRPr="001750A8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his package </w:t>
      </w:r>
      <w:r w:rsidR="00B071C7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includes extending 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the</w:t>
      </w:r>
      <w:r w:rsidR="00012B48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="002D5B49" w:rsidRPr="002D5B49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FEE-HELP loan fee exemption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for a further six months to 31 December 2021, providing significant relief for about 30,000 higher education students. </w:t>
      </w:r>
    </w:p>
    <w:p w14:paraId="623072F6" w14:textId="77777777" w:rsidR="00012B48" w:rsidRDefault="00012B48" w:rsidP="002F0790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</w:p>
    <w:p w14:paraId="02C043BC" w14:textId="71C2467F" w:rsidR="002D5B49" w:rsidRPr="002D5B49" w:rsidRDefault="000D4755" w:rsidP="00F36DED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An initial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six-month exemption FEE-HELP loan fee exemption from 1 April to 30 September 2020 was part of the Government’s Higher Education Relief Package. The exemption has already been extended by nine months to 30 June 2021.</w:t>
      </w:r>
      <w:r w:rsidR="00F36DED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="008A492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The f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urther e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xten</w:t>
      </w:r>
      <w:r w:rsidR="008A492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sion of the 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loan fee exemption</w:t>
      </w:r>
      <w:r w:rsidR="008A492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to 31</w:t>
      </w:r>
      <w:r w:rsidR="0021785B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 </w:t>
      </w:r>
      <w:r w:rsidR="00670CC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D</w:t>
      </w:r>
      <w:r w:rsidR="008A4922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ecember 2021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will provide financial relief to students as they recover from the </w:t>
      </w:r>
      <w:r w:rsidR="00ED6251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e</w:t>
      </w: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ffect</w:t>
      </w:r>
      <w:r w:rsidR="00670CC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s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of the COVID-19 pandemic. </w:t>
      </w:r>
    </w:p>
    <w:p w14:paraId="2DC5A821" w14:textId="77777777" w:rsidR="00B43404" w:rsidRDefault="00B43404" w:rsidP="00F36DED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</w:p>
    <w:p w14:paraId="2121A043" w14:textId="08AD8D50" w:rsidR="002D5B49" w:rsidRPr="002D5B49" w:rsidRDefault="000D4755" w:rsidP="00F36DED">
      <w:pPr>
        <w:pStyle w:val="Heading1"/>
        <w:spacing w:before="0"/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Waiving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the loan fee </w:t>
      </w:r>
      <w:r w:rsidR="0004474A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provides an incentive for 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current students to continue their studies and may encourage more Australians to undertake study, building the educated and highly skilled workforce essential to Australia’s economic recovery following the COVID-19 pandemic.</w:t>
      </w:r>
      <w:r w:rsidR="00B43404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 xml:space="preserve"> </w:t>
      </w:r>
      <w:r w:rsidR="002D5B49" w:rsidRPr="002D5B49"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t>By encouraging more people to undertake study, the Government is supporting higher education providers to retain and build their workforce, and to continue delivering high quality education and training.</w:t>
      </w:r>
    </w:p>
    <w:p w14:paraId="0BA12E78" w14:textId="77777777" w:rsidR="002D5B49" w:rsidRPr="002D5B49" w:rsidRDefault="002D5B49" w:rsidP="00DB1E7A">
      <w:pPr>
        <w:pStyle w:val="Heading1"/>
      </w:pPr>
      <w:r w:rsidRPr="002D5B49">
        <w:t>Who is eligible?</w:t>
      </w:r>
    </w:p>
    <w:p w14:paraId="4180637F" w14:textId="4F5C18F3" w:rsidR="002D5B49" w:rsidRPr="002D5B49" w:rsidRDefault="002D5B49" w:rsidP="00DB1E7A">
      <w:r w:rsidRPr="002D5B49">
        <w:t>This exten</w:t>
      </w:r>
      <w:r w:rsidR="0073743C">
        <w:t>sion of</w:t>
      </w:r>
      <w:r w:rsidRPr="002D5B49">
        <w:t xml:space="preserve"> the loan fee exemption will benefit about 30,000 students studying for a higher education qualification at </w:t>
      </w:r>
      <w:r w:rsidR="0073743C">
        <w:t xml:space="preserve">mostly </w:t>
      </w:r>
      <w:r w:rsidRPr="002D5B49">
        <w:t xml:space="preserve">private </w:t>
      </w:r>
      <w:r w:rsidR="0004474A">
        <w:t xml:space="preserve">higher education </w:t>
      </w:r>
      <w:r w:rsidRPr="002D5B49">
        <w:t>institutions</w:t>
      </w:r>
      <w:r w:rsidR="0073743C">
        <w:t xml:space="preserve"> for units of study with census dates between 1 July and 31 December 2021</w:t>
      </w:r>
      <w:r w:rsidRPr="002D5B49">
        <w:t xml:space="preserve">. Students at public </w:t>
      </w:r>
      <w:r w:rsidR="0073743C">
        <w:t>universities</w:t>
      </w:r>
      <w:r w:rsidR="0073743C" w:rsidRPr="002D5B49">
        <w:t xml:space="preserve"> </w:t>
      </w:r>
      <w:r w:rsidRPr="002D5B49">
        <w:t xml:space="preserve">do not pay these fees. </w:t>
      </w:r>
    </w:p>
    <w:p w14:paraId="4AB227FA" w14:textId="77777777" w:rsidR="003E393F" w:rsidRDefault="002D5B49" w:rsidP="003E393F">
      <w:pPr>
        <w:pStyle w:val="Heading1"/>
      </w:pPr>
      <w:r w:rsidRPr="002D5B49">
        <w:t xml:space="preserve">Start Date </w:t>
      </w:r>
    </w:p>
    <w:p w14:paraId="44E9824E" w14:textId="07B6C325" w:rsidR="002D5B49" w:rsidRPr="002D5B49" w:rsidRDefault="002D5B49" w:rsidP="002D5B49">
      <w:r w:rsidRPr="002D5B49">
        <w:t xml:space="preserve">The current loan fee exemption is set to end on 30 June 2021. </w:t>
      </w:r>
      <w:r w:rsidR="00566BEF">
        <w:t>Subject to the passage of legislation, t</w:t>
      </w:r>
      <w:r w:rsidR="00566BEF" w:rsidRPr="00566BEF">
        <w:t>he extension will exempt the loan fee for a further six months, to 31 December 2021.</w:t>
      </w:r>
    </w:p>
    <w:p w14:paraId="0FEE4CF3" w14:textId="77777777" w:rsidR="00BC217B" w:rsidRDefault="00BC217B"/>
    <w:sectPr w:rsidR="00BC217B" w:rsidSect="008507C1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CE0EE" w14:textId="77777777" w:rsidR="002239E1" w:rsidRDefault="002239E1" w:rsidP="008645DB">
      <w:pPr>
        <w:spacing w:after="0" w:line="240" w:lineRule="auto"/>
      </w:pPr>
      <w:r>
        <w:separator/>
      </w:r>
    </w:p>
  </w:endnote>
  <w:endnote w:type="continuationSeparator" w:id="0">
    <w:p w14:paraId="2221AF13" w14:textId="77777777" w:rsidR="002239E1" w:rsidRDefault="002239E1" w:rsidP="0086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BC4819" w14:textId="77777777" w:rsidR="002239E1" w:rsidRDefault="002239E1" w:rsidP="008645DB">
      <w:pPr>
        <w:spacing w:after="0" w:line="240" w:lineRule="auto"/>
      </w:pPr>
      <w:r>
        <w:separator/>
      </w:r>
    </w:p>
  </w:footnote>
  <w:footnote w:type="continuationSeparator" w:id="0">
    <w:p w14:paraId="286001F9" w14:textId="77777777" w:rsidR="002239E1" w:rsidRDefault="002239E1" w:rsidP="00864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D0D7B"/>
    <w:multiLevelType w:val="hybridMultilevel"/>
    <w:tmpl w:val="043022DE"/>
    <w:lvl w:ilvl="0" w:tplc="2B523184"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2A"/>
    <w:rsid w:val="00012B48"/>
    <w:rsid w:val="0004474A"/>
    <w:rsid w:val="000D4755"/>
    <w:rsid w:val="001750A8"/>
    <w:rsid w:val="001822AF"/>
    <w:rsid w:val="0021785B"/>
    <w:rsid w:val="002239E1"/>
    <w:rsid w:val="002C056A"/>
    <w:rsid w:val="002D5B49"/>
    <w:rsid w:val="002F0790"/>
    <w:rsid w:val="002F6EFB"/>
    <w:rsid w:val="0030632A"/>
    <w:rsid w:val="003E393F"/>
    <w:rsid w:val="004922C7"/>
    <w:rsid w:val="004F204D"/>
    <w:rsid w:val="005027D5"/>
    <w:rsid w:val="00566BEF"/>
    <w:rsid w:val="00670CC4"/>
    <w:rsid w:val="006C6FAF"/>
    <w:rsid w:val="006D4C4D"/>
    <w:rsid w:val="00717AB7"/>
    <w:rsid w:val="0073743C"/>
    <w:rsid w:val="007E7648"/>
    <w:rsid w:val="008645DB"/>
    <w:rsid w:val="008A4922"/>
    <w:rsid w:val="008C5BD2"/>
    <w:rsid w:val="00A90A88"/>
    <w:rsid w:val="00B071C7"/>
    <w:rsid w:val="00B14CF3"/>
    <w:rsid w:val="00B43404"/>
    <w:rsid w:val="00B946E6"/>
    <w:rsid w:val="00BC217B"/>
    <w:rsid w:val="00DB1E7A"/>
    <w:rsid w:val="00E13643"/>
    <w:rsid w:val="00E54B56"/>
    <w:rsid w:val="00ED6251"/>
    <w:rsid w:val="00F236A8"/>
    <w:rsid w:val="00F36DED"/>
    <w:rsid w:val="00F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7947CA"/>
  <w15:chartTrackingRefBased/>
  <w15:docId w15:val="{6DA875D1-E745-47F4-BA7C-04E15F4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2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0632A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32A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32A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32A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0632A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0632A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32A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632A"/>
    <w:rPr>
      <w:rFonts w:ascii="Calibri" w:eastAsiaTheme="majorEastAsia" w:hAnsi="Calibri" w:cstheme="majorBidi"/>
      <w:b/>
      <w:color w:val="70AD47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632A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0632A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30632A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30632A"/>
    <w:rPr>
      <w:rFonts w:ascii="Calibri" w:eastAsiaTheme="majorEastAsia" w:hAnsi="Calibri" w:cstheme="majorBidi"/>
      <w:color w:val="5F6369"/>
    </w:rPr>
  </w:style>
  <w:style w:type="paragraph" w:styleId="Title">
    <w:name w:val="Title"/>
    <w:basedOn w:val="Normal"/>
    <w:next w:val="Normal"/>
    <w:link w:val="TitleChar"/>
    <w:uiPriority w:val="7"/>
    <w:qFormat/>
    <w:rsid w:val="0030632A"/>
    <w:pPr>
      <w:spacing w:before="1800" w:after="0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30632A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30632A"/>
    <w:pPr>
      <w:numPr>
        <w:ilvl w:val="1"/>
      </w:numPr>
      <w:spacing w:after="0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30632A"/>
    <w:rPr>
      <w:rFonts w:ascii="Calibri" w:eastAsiaTheme="minorEastAsia" w:hAnsi="Calibri"/>
      <w:spacing w:val="15"/>
      <w:sz w:val="40"/>
    </w:rPr>
  </w:style>
  <w:style w:type="character" w:styleId="Hyperlink">
    <w:name w:val="Hyperlink"/>
    <w:basedOn w:val="DefaultParagraphFont"/>
    <w:uiPriority w:val="99"/>
    <w:unhideWhenUsed/>
    <w:qFormat/>
    <w:rsid w:val="0030632A"/>
    <w:rPr>
      <w:color w:val="287BB3"/>
      <w:u w:val="single"/>
    </w:rPr>
  </w:style>
  <w:style w:type="character" w:styleId="Strong">
    <w:name w:val="Strong"/>
    <w:basedOn w:val="DefaultParagraphFont"/>
    <w:uiPriority w:val="11"/>
    <w:qFormat/>
    <w:rsid w:val="0030632A"/>
    <w:rPr>
      <w:b/>
      <w:bCs/>
    </w:rPr>
  </w:style>
  <w:style w:type="paragraph" w:styleId="Caption">
    <w:name w:val="caption"/>
    <w:basedOn w:val="Normal"/>
    <w:next w:val="Normal"/>
    <w:uiPriority w:val="16"/>
    <w:qFormat/>
    <w:rsid w:val="0030632A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30632A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30632A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30632A"/>
    <w:rPr>
      <w:sz w:val="18"/>
    </w:rPr>
  </w:style>
  <w:style w:type="table" w:customStyle="1" w:styleId="DESE">
    <w:name w:val="DESE"/>
    <w:basedOn w:val="TableNormal"/>
    <w:uiPriority w:val="99"/>
    <w:rsid w:val="0030632A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44546A" w:themeFill="text2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Number">
    <w:name w:val="List Number"/>
    <w:basedOn w:val="ListParagraph"/>
    <w:uiPriority w:val="99"/>
    <w:unhideWhenUsed/>
    <w:qFormat/>
    <w:rsid w:val="0030632A"/>
    <w:pPr>
      <w:numPr>
        <w:numId w:val="1"/>
      </w:numPr>
      <w:tabs>
        <w:tab w:val="num" w:pos="360"/>
      </w:tabs>
      <w:spacing w:line="360" w:lineRule="auto"/>
      <w:ind w:left="720" w:firstLine="0"/>
    </w:pPr>
  </w:style>
  <w:style w:type="paragraph" w:styleId="ListBullet">
    <w:name w:val="List Bullet"/>
    <w:basedOn w:val="ListParagraph"/>
    <w:uiPriority w:val="99"/>
    <w:unhideWhenUsed/>
    <w:qFormat/>
    <w:rsid w:val="0030632A"/>
    <w:pPr>
      <w:numPr>
        <w:numId w:val="2"/>
      </w:numPr>
      <w:tabs>
        <w:tab w:val="num" w:pos="360"/>
      </w:tabs>
      <w:spacing w:line="360" w:lineRule="auto"/>
      <w:ind w:left="720" w:firstLine="0"/>
    </w:pPr>
  </w:style>
  <w:style w:type="paragraph" w:styleId="List">
    <w:name w:val="List"/>
    <w:basedOn w:val="ListBullet"/>
    <w:uiPriority w:val="99"/>
    <w:unhideWhenUsed/>
    <w:qFormat/>
    <w:rsid w:val="0030632A"/>
    <w:pPr>
      <w:numPr>
        <w:numId w:val="3"/>
      </w:numPr>
      <w:tabs>
        <w:tab w:val="num" w:pos="360"/>
      </w:tabs>
    </w:pPr>
  </w:style>
  <w:style w:type="paragraph" w:styleId="ListParagraph">
    <w:name w:val="List Paragraph"/>
    <w:basedOn w:val="Normal"/>
    <w:uiPriority w:val="34"/>
    <w:qFormat/>
    <w:rsid w:val="00306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4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5DB"/>
  </w:style>
  <w:style w:type="paragraph" w:styleId="Footer">
    <w:name w:val="footer"/>
    <w:basedOn w:val="Normal"/>
    <w:link w:val="FooterChar"/>
    <w:uiPriority w:val="99"/>
    <w:unhideWhenUsed/>
    <w:rsid w:val="008645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46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A1045D-9FFA-4D32-9816-1C39EAA4B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D775C1-8AD9-42C0-9578-8A90033FD7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FC72A-1EFB-4CBF-88C7-F08076783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WARWICK,Steven</dc:creator>
  <cp:keywords>[SEC=OFFICIAL:Sensitive]</cp:keywords>
  <dc:description/>
  <cp:lastModifiedBy>MANNIE,Ryan</cp:lastModifiedBy>
  <cp:revision>2</cp:revision>
  <cp:lastPrinted>2021-04-29T06:10:00Z</cp:lastPrinted>
  <dcterms:created xsi:type="dcterms:W3CDTF">2021-04-29T23:10:00Z</dcterms:created>
  <dcterms:modified xsi:type="dcterms:W3CDTF">2021-04-29T23:10:00Z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ProtectiveMarkingImage_Header">
    <vt:lpwstr>C:\Program Files\Common Files\janusNET Shared\janusSEAL\Images\DocumentSlashBlue.png</vt:lpwstr>
  </property>
  <property fmtid="{D5CDD505-2E9C-101B-9397-08002B2CF9AE}" pid="3" name="PM_Caveats_Count">
    <vt:lpwstr>0</vt:lpwstr>
  </property>
  <property fmtid="{D5CDD505-2E9C-101B-9397-08002B2CF9AE}" pid="4" name="PM_DisplayValueSecClassificationWithQualifier">
    <vt:lpwstr>OFFICIAL:Sensitive</vt:lpwstr>
  </property>
  <property fmtid="{D5CDD505-2E9C-101B-9397-08002B2CF9AE}" pid="5" name="PM_Qualifier">
    <vt:lpwstr/>
  </property>
  <property fmtid="{D5CDD505-2E9C-101B-9397-08002B2CF9AE}" pid="6" name="PM_SecurityClassification">
    <vt:lpwstr>OFFICIAL:Sensitive</vt:lpwstr>
  </property>
  <property fmtid="{D5CDD505-2E9C-101B-9397-08002B2CF9AE}" pid="7" name="PM_InsertionValue">
    <vt:lpwstr>OFFICIAL:Sensitive</vt:lpwstr>
  </property>
  <property fmtid="{D5CDD505-2E9C-101B-9397-08002B2CF9AE}" pid="8" name="PM_Originating_FileId">
    <vt:lpwstr>5C96957B1B9744158FC598A85C275D34</vt:lpwstr>
  </property>
  <property fmtid="{D5CDD505-2E9C-101B-9397-08002B2CF9AE}" pid="9" name="PM_ProtectiveMarkingValue_Footer">
    <vt:lpwstr>OFFICIAL:Sensitive</vt:lpwstr>
  </property>
  <property fmtid="{D5CDD505-2E9C-101B-9397-08002B2CF9AE}" pid="10" name="PM_Originator_Hash_SHA1">
    <vt:lpwstr>9AD22E2A208204295323CB028C1C1275FDC1EAE8</vt:lpwstr>
  </property>
  <property fmtid="{D5CDD505-2E9C-101B-9397-08002B2CF9AE}" pid="11" name="PM_OriginationTimeStamp">
    <vt:lpwstr>2021-04-23T07:35:12Z</vt:lpwstr>
  </property>
  <property fmtid="{D5CDD505-2E9C-101B-9397-08002B2CF9AE}" pid="12" name="PM_ProtectiveMarkingValue_Header">
    <vt:lpwstr>OFFICIAL:Sensitive</vt:lpwstr>
  </property>
  <property fmtid="{D5CDD505-2E9C-101B-9397-08002B2CF9AE}" pid="13" name="PM_ProtectiveMarkingImage_Footer">
    <vt:lpwstr>C:\Program Files\Common Files\janusNET Shared\janusSEAL\Images\DocumentSlashBlue.png</vt:lpwstr>
  </property>
  <property fmtid="{D5CDD505-2E9C-101B-9397-08002B2CF9AE}" pid="14" name="PM_Namespace">
    <vt:lpwstr>gov.au</vt:lpwstr>
  </property>
  <property fmtid="{D5CDD505-2E9C-101B-9397-08002B2CF9AE}" pid="15" name="PM_Version">
    <vt:lpwstr>2018.4</vt:lpwstr>
  </property>
  <property fmtid="{D5CDD505-2E9C-101B-9397-08002B2CF9AE}" pid="16" name="PM_Note">
    <vt:lpwstr/>
  </property>
  <property fmtid="{D5CDD505-2E9C-101B-9397-08002B2CF9AE}" pid="17" name="PM_Markers">
    <vt:lpwstr/>
  </property>
  <property fmtid="{D5CDD505-2E9C-101B-9397-08002B2CF9AE}" pid="18" name="PM_Hash_Version">
    <vt:lpwstr>2018.0</vt:lpwstr>
  </property>
  <property fmtid="{D5CDD505-2E9C-101B-9397-08002B2CF9AE}" pid="19" name="PM_Hash_Salt_Prev">
    <vt:lpwstr>D3B412A3E2E5C3414DD199440BB8F678</vt:lpwstr>
  </property>
  <property fmtid="{D5CDD505-2E9C-101B-9397-08002B2CF9AE}" pid="20" name="PM_Hash_Salt">
    <vt:lpwstr>C9780AB0552730D018AB4ABEF488F7A3</vt:lpwstr>
  </property>
  <property fmtid="{D5CDD505-2E9C-101B-9397-08002B2CF9AE}" pid="21" name="PM_Hash_SHA1">
    <vt:lpwstr>BB4FB7BE5865FFDFC0C8A4562E324412F55A6B71</vt:lpwstr>
  </property>
  <property fmtid="{D5CDD505-2E9C-101B-9397-08002B2CF9AE}" pid="22" name="PM_SecurityClassification_Prev">
    <vt:lpwstr>OFFICIAL:Sensitive</vt:lpwstr>
  </property>
  <property fmtid="{D5CDD505-2E9C-101B-9397-08002B2CF9AE}" pid="23" name="PM_Qualifier_Prev">
    <vt:lpwstr/>
  </property>
</Properties>
</file>