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14:paraId="723FEDA8" w14:textId="368FADF7" w:rsidR="006E5D6E" w:rsidRDefault="00350FFA" w:rsidP="00350FFA">
      <w:pPr>
        <w:ind w:left="-1474"/>
      </w:pPr>
      <w:r w:rsidRPr="00350FFA">
        <w:rPr>
          <w:noProof/>
          <w:lang w:eastAsia="en-AU"/>
        </w:rPr>
        <w:drawing>
          <wp:anchor distT="0" distB="0" distL="114300" distR="114300" simplePos="0" relativeHeight="251658240" behindDoc="1" locked="1" layoutInCell="1" allowOverlap="1" wp14:anchorId="24C55B4C" wp14:editId="1B2F8461">
            <wp:simplePos x="0" y="0"/>
            <wp:positionH relativeFrom="margin">
              <wp:align>center</wp:align>
            </wp:positionH>
            <wp:positionV relativeFrom="page">
              <wp:align>top</wp:align>
            </wp:positionV>
            <wp:extent cx="7624445" cy="10785475"/>
            <wp:effectExtent l="0" t="0" r="0" b="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624445" cy="10785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4FD0">
        <w:t>Word doc a</w:t>
      </w:r>
    </w:p>
    <w:p w14:paraId="198D38C0" w14:textId="77777777" w:rsidR="00930CDA" w:rsidRDefault="00930CDA" w:rsidP="00930CDA">
      <w:pPr>
        <w:spacing w:after="160" w:line="720" w:lineRule="auto"/>
        <w:rPr>
          <w:noProof/>
          <w:lang w:eastAsia="en-AU"/>
        </w:rPr>
      </w:pPr>
      <w:r>
        <w:rPr>
          <w:noProof/>
          <w:lang w:eastAsia="en-AU"/>
        </w:rPr>
        <w:drawing>
          <wp:inline distT="0" distB="0" distL="0" distR="0" wp14:anchorId="7EFEE46B" wp14:editId="138DDC07">
            <wp:extent cx="2331725" cy="716281"/>
            <wp:effectExtent l="0" t="0" r="0" b="7620"/>
            <wp:docPr id="4" name="Picture 4"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ept Education, Skills and Employment_Inline_Rev.png"/>
                    <pic:cNvPicPr/>
                  </pic:nvPicPr>
                  <pic:blipFill>
                    <a:blip r:embed="rId12">
                      <a:extLst>
                        <a:ext uri="{28A0092B-C50C-407E-A947-70E740481C1C}">
                          <a14:useLocalDpi xmlns:a14="http://schemas.microsoft.com/office/drawing/2010/main" val="0"/>
                        </a:ext>
                      </a:extLst>
                    </a:blip>
                    <a:stretch>
                      <a:fillRect/>
                    </a:stretch>
                  </pic:blipFill>
                  <pic:spPr>
                    <a:xfrm>
                      <a:off x="0" y="0"/>
                      <a:ext cx="2331725" cy="716281"/>
                    </a:xfrm>
                    <a:prstGeom prst="rect">
                      <a:avLst/>
                    </a:prstGeom>
                  </pic:spPr>
                </pic:pic>
              </a:graphicData>
            </a:graphic>
          </wp:inline>
        </w:drawing>
      </w:r>
    </w:p>
    <w:p w14:paraId="59C6D4D2" w14:textId="77777777" w:rsidR="00930CDA" w:rsidRPr="000877E6" w:rsidRDefault="00CA66C8" w:rsidP="007855CC">
      <w:pPr>
        <w:pStyle w:val="Title"/>
        <w:spacing w:line="240" w:lineRule="auto"/>
        <w:ind w:left="1276"/>
        <w:rPr>
          <w:noProof/>
          <w:lang w:eastAsia="en-AU"/>
        </w:rPr>
      </w:pPr>
      <w:r w:rsidRPr="000877E6">
        <w:rPr>
          <w:noProof/>
          <w:lang w:eastAsia="en-AU"/>
        </w:rPr>
        <w:t>National Priorities and Industry Linkage Fund: Final report</w:t>
      </w:r>
    </w:p>
    <w:p w14:paraId="3BDF6989" w14:textId="205B8AF3" w:rsidR="00CA66C8" w:rsidRPr="00752DE5" w:rsidRDefault="00FD621A" w:rsidP="00CA66C8">
      <w:pPr>
        <w:pStyle w:val="Subtitle"/>
        <w:spacing w:before="240"/>
        <w:ind w:left="1276"/>
        <w:rPr>
          <w:noProof/>
          <w:color w:val="FFC000"/>
          <w:lang w:eastAsia="en-AU"/>
        </w:rPr>
      </w:pPr>
      <w:r w:rsidRPr="00752DE5">
        <w:rPr>
          <w:noProof/>
          <w:color w:val="FFC000"/>
          <w:lang w:eastAsia="en-AU"/>
        </w:rPr>
        <w:t>10</w:t>
      </w:r>
      <w:r w:rsidR="00F0782A" w:rsidRPr="00752DE5">
        <w:rPr>
          <w:noProof/>
          <w:color w:val="FFC000"/>
          <w:lang w:eastAsia="en-AU"/>
        </w:rPr>
        <w:t xml:space="preserve"> </w:t>
      </w:r>
      <w:r w:rsidR="00CA66C8" w:rsidRPr="00752DE5">
        <w:rPr>
          <w:noProof/>
          <w:color w:val="FFC000"/>
          <w:lang w:eastAsia="en-AU"/>
        </w:rPr>
        <w:t>December 2020</w:t>
      </w:r>
    </w:p>
    <w:p w14:paraId="04E0802B" w14:textId="77777777" w:rsidR="00A13341" w:rsidRDefault="00A13341" w:rsidP="0095636C"/>
    <w:p w14:paraId="33A1AB78" w14:textId="77777777" w:rsidR="00A13341" w:rsidRDefault="00A13341" w:rsidP="0095636C">
      <w:pPr>
        <w:sectPr w:rsidR="00A13341" w:rsidSect="00EA67FC">
          <w:footerReference w:type="default" r:id="rId13"/>
          <w:type w:val="continuous"/>
          <w:pgSz w:w="11906" w:h="16838"/>
          <w:pgMar w:top="1418" w:right="1440" w:bottom="1560" w:left="1276" w:header="708" w:footer="708" w:gutter="0"/>
          <w:cols w:space="708"/>
          <w:titlePg/>
          <w:docGrid w:linePitch="360"/>
        </w:sectPr>
      </w:pPr>
    </w:p>
    <w:p w14:paraId="5C3BD6C3" w14:textId="77777777" w:rsidR="00CA66C8" w:rsidRDefault="00CA66C8">
      <w:pPr>
        <w:spacing w:after="160" w:line="259" w:lineRule="auto"/>
        <w:rPr>
          <w:rFonts w:eastAsiaTheme="minorEastAsia"/>
          <w:bCs/>
          <w:color w:val="000000" w:themeColor="text1"/>
        </w:rPr>
      </w:pPr>
      <w:bookmarkStart w:id="0" w:name="_Toc30065222"/>
      <w:r>
        <w:rPr>
          <w:rFonts w:eastAsiaTheme="minorEastAsia"/>
          <w:b/>
          <w:bCs/>
          <w:color w:val="000000" w:themeColor="text1"/>
        </w:rPr>
        <w:br w:type="page"/>
      </w:r>
    </w:p>
    <w:sdt>
      <w:sdtPr>
        <w:rPr>
          <w:rFonts w:asciiTheme="minorHAnsi" w:eastAsiaTheme="minorHAnsi" w:hAnsiTheme="minorHAnsi" w:cstheme="minorBidi"/>
          <w:b w:val="0"/>
          <w:color w:val="auto"/>
          <w:sz w:val="22"/>
          <w:szCs w:val="22"/>
        </w:rPr>
        <w:id w:val="1047717316"/>
        <w:docPartObj>
          <w:docPartGallery w:val="Table of Contents"/>
          <w:docPartUnique/>
        </w:docPartObj>
      </w:sdtPr>
      <w:sdtEndPr>
        <w:rPr>
          <w:bCs/>
          <w:noProof/>
        </w:rPr>
      </w:sdtEndPr>
      <w:sdtContent>
        <w:p w14:paraId="38FE553C" w14:textId="01F14038" w:rsidR="009A4B0B" w:rsidRDefault="009A4B0B">
          <w:pPr>
            <w:pStyle w:val="TOCHeading"/>
          </w:pPr>
          <w:r>
            <w:t>Contents</w:t>
          </w:r>
        </w:p>
        <w:p w14:paraId="3A1913F2" w14:textId="5D6AB52C" w:rsidR="009A4B0B" w:rsidRDefault="009A4B0B">
          <w:pPr>
            <w:pStyle w:val="TOC1"/>
            <w:tabs>
              <w:tab w:val="right" w:leader="dot" w:pos="9016"/>
            </w:tabs>
            <w:rPr>
              <w:rFonts w:eastAsiaTheme="minorEastAsia"/>
              <w:b w:val="0"/>
              <w:noProof/>
              <w:lang w:eastAsia="en-AU"/>
            </w:rPr>
          </w:pPr>
          <w:r>
            <w:fldChar w:fldCharType="begin"/>
          </w:r>
          <w:r>
            <w:instrText xml:space="preserve"> TOC \o "1-3" \h \z \u </w:instrText>
          </w:r>
          <w:r>
            <w:fldChar w:fldCharType="separate"/>
          </w:r>
          <w:hyperlink w:anchor="_Toc58494486" w:history="1">
            <w:r w:rsidRPr="006F717F">
              <w:rPr>
                <w:rStyle w:val="Hyperlink"/>
                <w:noProof/>
              </w:rPr>
              <w:t>Foreword from the Chair</w:t>
            </w:r>
            <w:r>
              <w:rPr>
                <w:noProof/>
                <w:webHidden/>
              </w:rPr>
              <w:tab/>
            </w:r>
            <w:r>
              <w:rPr>
                <w:noProof/>
                <w:webHidden/>
              </w:rPr>
              <w:fldChar w:fldCharType="begin"/>
            </w:r>
            <w:r>
              <w:rPr>
                <w:noProof/>
                <w:webHidden/>
              </w:rPr>
              <w:instrText xml:space="preserve"> PAGEREF _Toc58494486 \h </w:instrText>
            </w:r>
            <w:r>
              <w:rPr>
                <w:noProof/>
                <w:webHidden/>
              </w:rPr>
            </w:r>
            <w:r>
              <w:rPr>
                <w:noProof/>
                <w:webHidden/>
              </w:rPr>
              <w:fldChar w:fldCharType="separate"/>
            </w:r>
            <w:r>
              <w:rPr>
                <w:noProof/>
                <w:webHidden/>
              </w:rPr>
              <w:t>3</w:t>
            </w:r>
            <w:r>
              <w:rPr>
                <w:noProof/>
                <w:webHidden/>
              </w:rPr>
              <w:fldChar w:fldCharType="end"/>
            </w:r>
          </w:hyperlink>
        </w:p>
        <w:p w14:paraId="6F1F09C5" w14:textId="4594CE28" w:rsidR="009A4B0B" w:rsidRDefault="00752DE5">
          <w:pPr>
            <w:pStyle w:val="TOC1"/>
            <w:tabs>
              <w:tab w:val="right" w:leader="dot" w:pos="9016"/>
            </w:tabs>
            <w:rPr>
              <w:rFonts w:eastAsiaTheme="minorEastAsia"/>
              <w:b w:val="0"/>
              <w:noProof/>
              <w:lang w:eastAsia="en-AU"/>
            </w:rPr>
          </w:pPr>
          <w:hyperlink w:anchor="_Toc58494487" w:history="1">
            <w:r w:rsidR="009A4B0B" w:rsidRPr="006F717F">
              <w:rPr>
                <w:rStyle w:val="Hyperlink"/>
                <w:noProof/>
              </w:rPr>
              <w:t>Executive summary</w:t>
            </w:r>
            <w:r w:rsidR="009A4B0B">
              <w:rPr>
                <w:noProof/>
                <w:webHidden/>
              </w:rPr>
              <w:tab/>
            </w:r>
            <w:r w:rsidR="009A4B0B">
              <w:rPr>
                <w:noProof/>
                <w:webHidden/>
              </w:rPr>
              <w:fldChar w:fldCharType="begin"/>
            </w:r>
            <w:r w:rsidR="009A4B0B">
              <w:rPr>
                <w:noProof/>
                <w:webHidden/>
              </w:rPr>
              <w:instrText xml:space="preserve"> PAGEREF _Toc58494487 \h </w:instrText>
            </w:r>
            <w:r w:rsidR="009A4B0B">
              <w:rPr>
                <w:noProof/>
                <w:webHidden/>
              </w:rPr>
            </w:r>
            <w:r w:rsidR="009A4B0B">
              <w:rPr>
                <w:noProof/>
                <w:webHidden/>
              </w:rPr>
              <w:fldChar w:fldCharType="separate"/>
            </w:r>
            <w:r w:rsidR="009A4B0B">
              <w:rPr>
                <w:noProof/>
                <w:webHidden/>
              </w:rPr>
              <w:t>4</w:t>
            </w:r>
            <w:r w:rsidR="009A4B0B">
              <w:rPr>
                <w:noProof/>
                <w:webHidden/>
              </w:rPr>
              <w:fldChar w:fldCharType="end"/>
            </w:r>
          </w:hyperlink>
        </w:p>
        <w:p w14:paraId="14C6C920" w14:textId="4115D589" w:rsidR="009A4B0B" w:rsidRDefault="00752DE5">
          <w:pPr>
            <w:pStyle w:val="TOC1"/>
            <w:tabs>
              <w:tab w:val="right" w:leader="dot" w:pos="9016"/>
            </w:tabs>
            <w:rPr>
              <w:rFonts w:eastAsiaTheme="minorEastAsia"/>
              <w:b w:val="0"/>
              <w:noProof/>
              <w:lang w:eastAsia="en-AU"/>
            </w:rPr>
          </w:pPr>
          <w:hyperlink w:anchor="_Toc58494488" w:history="1">
            <w:r w:rsidR="009A4B0B" w:rsidRPr="006F717F">
              <w:rPr>
                <w:rStyle w:val="Hyperlink"/>
                <w:noProof/>
              </w:rPr>
              <w:t>National Priorities and Industry Linkage Fund</w:t>
            </w:r>
            <w:r w:rsidR="009A4B0B">
              <w:rPr>
                <w:noProof/>
                <w:webHidden/>
              </w:rPr>
              <w:tab/>
            </w:r>
            <w:r w:rsidR="009A4B0B">
              <w:rPr>
                <w:noProof/>
                <w:webHidden/>
              </w:rPr>
              <w:fldChar w:fldCharType="begin"/>
            </w:r>
            <w:r w:rsidR="009A4B0B">
              <w:rPr>
                <w:noProof/>
                <w:webHidden/>
              </w:rPr>
              <w:instrText xml:space="preserve"> PAGEREF _Toc58494488 \h </w:instrText>
            </w:r>
            <w:r w:rsidR="009A4B0B">
              <w:rPr>
                <w:noProof/>
                <w:webHidden/>
              </w:rPr>
            </w:r>
            <w:r w:rsidR="009A4B0B">
              <w:rPr>
                <w:noProof/>
                <w:webHidden/>
              </w:rPr>
              <w:fldChar w:fldCharType="separate"/>
            </w:r>
            <w:r w:rsidR="009A4B0B">
              <w:rPr>
                <w:noProof/>
                <w:webHidden/>
              </w:rPr>
              <w:t>6</w:t>
            </w:r>
            <w:r w:rsidR="009A4B0B">
              <w:rPr>
                <w:noProof/>
                <w:webHidden/>
              </w:rPr>
              <w:fldChar w:fldCharType="end"/>
            </w:r>
          </w:hyperlink>
        </w:p>
        <w:p w14:paraId="291E7C29" w14:textId="1213E045" w:rsidR="009A4B0B" w:rsidRDefault="00752DE5">
          <w:pPr>
            <w:pStyle w:val="TOC2"/>
            <w:tabs>
              <w:tab w:val="right" w:leader="dot" w:pos="9016"/>
            </w:tabs>
            <w:rPr>
              <w:rFonts w:eastAsiaTheme="minorEastAsia"/>
              <w:noProof/>
              <w:lang w:eastAsia="en-AU"/>
            </w:rPr>
          </w:pPr>
          <w:hyperlink w:anchor="_Toc58494489" w:history="1">
            <w:r w:rsidR="009A4B0B" w:rsidRPr="006F717F">
              <w:rPr>
                <w:rStyle w:val="Hyperlink"/>
                <w:noProof/>
              </w:rPr>
              <w:t>Setting the scene</w:t>
            </w:r>
            <w:r w:rsidR="009A4B0B">
              <w:rPr>
                <w:noProof/>
                <w:webHidden/>
              </w:rPr>
              <w:tab/>
            </w:r>
            <w:r w:rsidR="009A4B0B">
              <w:rPr>
                <w:noProof/>
                <w:webHidden/>
              </w:rPr>
              <w:fldChar w:fldCharType="begin"/>
            </w:r>
            <w:r w:rsidR="009A4B0B">
              <w:rPr>
                <w:noProof/>
                <w:webHidden/>
              </w:rPr>
              <w:instrText xml:space="preserve"> PAGEREF _Toc58494489 \h </w:instrText>
            </w:r>
            <w:r w:rsidR="009A4B0B">
              <w:rPr>
                <w:noProof/>
                <w:webHidden/>
              </w:rPr>
            </w:r>
            <w:r w:rsidR="009A4B0B">
              <w:rPr>
                <w:noProof/>
                <w:webHidden/>
              </w:rPr>
              <w:fldChar w:fldCharType="separate"/>
            </w:r>
            <w:r w:rsidR="009A4B0B">
              <w:rPr>
                <w:noProof/>
                <w:webHidden/>
              </w:rPr>
              <w:t>7</w:t>
            </w:r>
            <w:r w:rsidR="009A4B0B">
              <w:rPr>
                <w:noProof/>
                <w:webHidden/>
              </w:rPr>
              <w:fldChar w:fldCharType="end"/>
            </w:r>
          </w:hyperlink>
        </w:p>
        <w:p w14:paraId="118DF8D4" w14:textId="09A3EA67" w:rsidR="009A4B0B" w:rsidRDefault="00752DE5">
          <w:pPr>
            <w:pStyle w:val="TOC2"/>
            <w:tabs>
              <w:tab w:val="right" w:leader="dot" w:pos="9016"/>
            </w:tabs>
            <w:rPr>
              <w:rFonts w:eastAsiaTheme="minorEastAsia"/>
              <w:noProof/>
              <w:lang w:eastAsia="en-AU"/>
            </w:rPr>
          </w:pPr>
          <w:hyperlink w:anchor="_Toc58494490" w:history="1">
            <w:r w:rsidR="009A4B0B" w:rsidRPr="006F717F">
              <w:rPr>
                <w:rStyle w:val="Hyperlink"/>
                <w:noProof/>
              </w:rPr>
              <w:t>Timeline</w:t>
            </w:r>
            <w:r w:rsidR="009A4B0B">
              <w:rPr>
                <w:noProof/>
                <w:webHidden/>
              </w:rPr>
              <w:tab/>
            </w:r>
            <w:r w:rsidR="009A4B0B">
              <w:rPr>
                <w:noProof/>
                <w:webHidden/>
              </w:rPr>
              <w:fldChar w:fldCharType="begin"/>
            </w:r>
            <w:r w:rsidR="009A4B0B">
              <w:rPr>
                <w:noProof/>
                <w:webHidden/>
              </w:rPr>
              <w:instrText xml:space="preserve"> PAGEREF _Toc58494490 \h </w:instrText>
            </w:r>
            <w:r w:rsidR="009A4B0B">
              <w:rPr>
                <w:noProof/>
                <w:webHidden/>
              </w:rPr>
            </w:r>
            <w:r w:rsidR="009A4B0B">
              <w:rPr>
                <w:noProof/>
                <w:webHidden/>
              </w:rPr>
              <w:fldChar w:fldCharType="separate"/>
            </w:r>
            <w:r w:rsidR="009A4B0B">
              <w:rPr>
                <w:noProof/>
                <w:webHidden/>
              </w:rPr>
              <w:t>8</w:t>
            </w:r>
            <w:r w:rsidR="009A4B0B">
              <w:rPr>
                <w:noProof/>
                <w:webHidden/>
              </w:rPr>
              <w:fldChar w:fldCharType="end"/>
            </w:r>
          </w:hyperlink>
        </w:p>
        <w:p w14:paraId="0E8F9EE2" w14:textId="4EC3C626" w:rsidR="009A4B0B" w:rsidRDefault="00752DE5">
          <w:pPr>
            <w:pStyle w:val="TOC2"/>
            <w:tabs>
              <w:tab w:val="right" w:leader="dot" w:pos="9016"/>
            </w:tabs>
            <w:rPr>
              <w:rFonts w:eastAsiaTheme="minorEastAsia"/>
              <w:noProof/>
              <w:lang w:eastAsia="en-AU"/>
            </w:rPr>
          </w:pPr>
          <w:hyperlink w:anchor="_Toc58494491" w:history="1">
            <w:r w:rsidR="009A4B0B" w:rsidRPr="006F717F">
              <w:rPr>
                <w:rStyle w:val="Hyperlink"/>
                <w:noProof/>
              </w:rPr>
              <w:t>Priorities</w:t>
            </w:r>
            <w:r w:rsidR="009A4B0B">
              <w:rPr>
                <w:noProof/>
                <w:webHidden/>
              </w:rPr>
              <w:tab/>
            </w:r>
            <w:r w:rsidR="009A4B0B">
              <w:rPr>
                <w:noProof/>
                <w:webHidden/>
              </w:rPr>
              <w:fldChar w:fldCharType="begin"/>
            </w:r>
            <w:r w:rsidR="009A4B0B">
              <w:rPr>
                <w:noProof/>
                <w:webHidden/>
              </w:rPr>
              <w:instrText xml:space="preserve"> PAGEREF _Toc58494491 \h </w:instrText>
            </w:r>
            <w:r w:rsidR="009A4B0B">
              <w:rPr>
                <w:noProof/>
                <w:webHidden/>
              </w:rPr>
            </w:r>
            <w:r w:rsidR="009A4B0B">
              <w:rPr>
                <w:noProof/>
                <w:webHidden/>
              </w:rPr>
              <w:fldChar w:fldCharType="separate"/>
            </w:r>
            <w:r w:rsidR="009A4B0B">
              <w:rPr>
                <w:noProof/>
                <w:webHidden/>
              </w:rPr>
              <w:t>9</w:t>
            </w:r>
            <w:r w:rsidR="009A4B0B">
              <w:rPr>
                <w:noProof/>
                <w:webHidden/>
              </w:rPr>
              <w:fldChar w:fldCharType="end"/>
            </w:r>
          </w:hyperlink>
        </w:p>
        <w:p w14:paraId="36CEEA9E" w14:textId="12D90129" w:rsidR="009A4B0B" w:rsidRDefault="00752DE5">
          <w:pPr>
            <w:pStyle w:val="TOC2"/>
            <w:tabs>
              <w:tab w:val="right" w:leader="dot" w:pos="9016"/>
            </w:tabs>
            <w:rPr>
              <w:rFonts w:eastAsiaTheme="minorEastAsia"/>
              <w:noProof/>
              <w:lang w:eastAsia="en-AU"/>
            </w:rPr>
          </w:pPr>
          <w:hyperlink w:anchor="_Toc58494492" w:history="1">
            <w:r w:rsidR="009A4B0B" w:rsidRPr="006F717F">
              <w:rPr>
                <w:rStyle w:val="Hyperlink"/>
                <w:rFonts w:eastAsia="Times New Roman"/>
                <w:noProof/>
              </w:rPr>
              <w:t>NPILF principles</w:t>
            </w:r>
            <w:r w:rsidR="009A4B0B">
              <w:rPr>
                <w:noProof/>
                <w:webHidden/>
              </w:rPr>
              <w:tab/>
            </w:r>
            <w:r w:rsidR="009A4B0B">
              <w:rPr>
                <w:noProof/>
                <w:webHidden/>
              </w:rPr>
              <w:fldChar w:fldCharType="begin"/>
            </w:r>
            <w:r w:rsidR="009A4B0B">
              <w:rPr>
                <w:noProof/>
                <w:webHidden/>
              </w:rPr>
              <w:instrText xml:space="preserve"> PAGEREF _Toc58494492 \h </w:instrText>
            </w:r>
            <w:r w:rsidR="009A4B0B">
              <w:rPr>
                <w:noProof/>
                <w:webHidden/>
              </w:rPr>
            </w:r>
            <w:r w:rsidR="009A4B0B">
              <w:rPr>
                <w:noProof/>
                <w:webHidden/>
              </w:rPr>
              <w:fldChar w:fldCharType="separate"/>
            </w:r>
            <w:r w:rsidR="009A4B0B">
              <w:rPr>
                <w:noProof/>
                <w:webHidden/>
              </w:rPr>
              <w:t>10</w:t>
            </w:r>
            <w:r w:rsidR="009A4B0B">
              <w:rPr>
                <w:noProof/>
                <w:webHidden/>
              </w:rPr>
              <w:fldChar w:fldCharType="end"/>
            </w:r>
          </w:hyperlink>
        </w:p>
        <w:p w14:paraId="3B0B70D0" w14:textId="42146BCB" w:rsidR="009A4B0B" w:rsidRDefault="00752DE5">
          <w:pPr>
            <w:pStyle w:val="TOC1"/>
            <w:tabs>
              <w:tab w:val="right" w:leader="dot" w:pos="9016"/>
            </w:tabs>
            <w:rPr>
              <w:rFonts w:eastAsiaTheme="minorEastAsia"/>
              <w:b w:val="0"/>
              <w:noProof/>
              <w:lang w:eastAsia="en-AU"/>
            </w:rPr>
          </w:pPr>
          <w:hyperlink w:anchor="_Toc58494493" w:history="1">
            <w:r w:rsidR="009A4B0B" w:rsidRPr="006F717F">
              <w:rPr>
                <w:rStyle w:val="Hyperlink"/>
                <w:noProof/>
              </w:rPr>
              <w:t>Framework</w:t>
            </w:r>
            <w:r w:rsidR="009A4B0B">
              <w:rPr>
                <w:noProof/>
                <w:webHidden/>
              </w:rPr>
              <w:tab/>
            </w:r>
            <w:r w:rsidR="009A4B0B">
              <w:rPr>
                <w:noProof/>
                <w:webHidden/>
              </w:rPr>
              <w:fldChar w:fldCharType="begin"/>
            </w:r>
            <w:r w:rsidR="009A4B0B">
              <w:rPr>
                <w:noProof/>
                <w:webHidden/>
              </w:rPr>
              <w:instrText xml:space="preserve"> PAGEREF _Toc58494493 \h </w:instrText>
            </w:r>
            <w:r w:rsidR="009A4B0B">
              <w:rPr>
                <w:noProof/>
                <w:webHidden/>
              </w:rPr>
            </w:r>
            <w:r w:rsidR="009A4B0B">
              <w:rPr>
                <w:noProof/>
                <w:webHidden/>
              </w:rPr>
              <w:fldChar w:fldCharType="separate"/>
            </w:r>
            <w:r w:rsidR="009A4B0B">
              <w:rPr>
                <w:noProof/>
                <w:webHidden/>
              </w:rPr>
              <w:t>11</w:t>
            </w:r>
            <w:r w:rsidR="009A4B0B">
              <w:rPr>
                <w:noProof/>
                <w:webHidden/>
              </w:rPr>
              <w:fldChar w:fldCharType="end"/>
            </w:r>
          </w:hyperlink>
        </w:p>
        <w:p w14:paraId="40F3A4FE" w14:textId="3A3439E3" w:rsidR="009A4B0B" w:rsidRDefault="00752DE5">
          <w:pPr>
            <w:pStyle w:val="TOC2"/>
            <w:tabs>
              <w:tab w:val="right" w:leader="dot" w:pos="9016"/>
            </w:tabs>
            <w:rPr>
              <w:rFonts w:eastAsiaTheme="minorEastAsia"/>
              <w:noProof/>
              <w:lang w:eastAsia="en-AU"/>
            </w:rPr>
          </w:pPr>
          <w:hyperlink w:anchor="_Toc58494494" w:history="1">
            <w:r w:rsidR="009A4B0B" w:rsidRPr="006F717F">
              <w:rPr>
                <w:rStyle w:val="Hyperlink"/>
                <w:noProof/>
              </w:rPr>
              <w:t>Metrics and case studies</w:t>
            </w:r>
            <w:r w:rsidR="009A4B0B">
              <w:rPr>
                <w:noProof/>
                <w:webHidden/>
              </w:rPr>
              <w:tab/>
            </w:r>
            <w:r w:rsidR="009A4B0B">
              <w:rPr>
                <w:noProof/>
                <w:webHidden/>
              </w:rPr>
              <w:fldChar w:fldCharType="begin"/>
            </w:r>
            <w:r w:rsidR="009A4B0B">
              <w:rPr>
                <w:noProof/>
                <w:webHidden/>
              </w:rPr>
              <w:instrText xml:space="preserve"> PAGEREF _Toc58494494 \h </w:instrText>
            </w:r>
            <w:r w:rsidR="009A4B0B">
              <w:rPr>
                <w:noProof/>
                <w:webHidden/>
              </w:rPr>
            </w:r>
            <w:r w:rsidR="009A4B0B">
              <w:rPr>
                <w:noProof/>
                <w:webHidden/>
              </w:rPr>
              <w:fldChar w:fldCharType="separate"/>
            </w:r>
            <w:r w:rsidR="009A4B0B">
              <w:rPr>
                <w:noProof/>
                <w:webHidden/>
              </w:rPr>
              <w:t>11</w:t>
            </w:r>
            <w:r w:rsidR="009A4B0B">
              <w:rPr>
                <w:noProof/>
                <w:webHidden/>
              </w:rPr>
              <w:fldChar w:fldCharType="end"/>
            </w:r>
          </w:hyperlink>
        </w:p>
        <w:p w14:paraId="5E0D7E69" w14:textId="5B927A0C" w:rsidR="009A4B0B" w:rsidRDefault="00752DE5">
          <w:pPr>
            <w:pStyle w:val="TOC2"/>
            <w:tabs>
              <w:tab w:val="right" w:leader="dot" w:pos="9016"/>
            </w:tabs>
            <w:rPr>
              <w:rFonts w:eastAsiaTheme="minorEastAsia"/>
              <w:noProof/>
              <w:lang w:eastAsia="en-AU"/>
            </w:rPr>
          </w:pPr>
          <w:hyperlink w:anchor="_Toc58494495" w:history="1">
            <w:r w:rsidR="009A4B0B" w:rsidRPr="006F717F">
              <w:rPr>
                <w:rStyle w:val="Hyperlink"/>
                <w:noProof/>
              </w:rPr>
              <w:t>Reporting and assessment</w:t>
            </w:r>
            <w:r w:rsidR="009A4B0B">
              <w:rPr>
                <w:noProof/>
                <w:webHidden/>
              </w:rPr>
              <w:tab/>
            </w:r>
            <w:r w:rsidR="009A4B0B">
              <w:rPr>
                <w:noProof/>
                <w:webHidden/>
              </w:rPr>
              <w:fldChar w:fldCharType="begin"/>
            </w:r>
            <w:r w:rsidR="009A4B0B">
              <w:rPr>
                <w:noProof/>
                <w:webHidden/>
              </w:rPr>
              <w:instrText xml:space="preserve"> PAGEREF _Toc58494495 \h </w:instrText>
            </w:r>
            <w:r w:rsidR="009A4B0B">
              <w:rPr>
                <w:noProof/>
                <w:webHidden/>
              </w:rPr>
            </w:r>
            <w:r w:rsidR="009A4B0B">
              <w:rPr>
                <w:noProof/>
                <w:webHidden/>
              </w:rPr>
              <w:fldChar w:fldCharType="separate"/>
            </w:r>
            <w:r w:rsidR="009A4B0B">
              <w:rPr>
                <w:noProof/>
                <w:webHidden/>
              </w:rPr>
              <w:t>13</w:t>
            </w:r>
            <w:r w:rsidR="009A4B0B">
              <w:rPr>
                <w:noProof/>
                <w:webHidden/>
              </w:rPr>
              <w:fldChar w:fldCharType="end"/>
            </w:r>
          </w:hyperlink>
        </w:p>
        <w:p w14:paraId="46B76FB1" w14:textId="38121852" w:rsidR="009A4B0B" w:rsidRDefault="00752DE5">
          <w:pPr>
            <w:pStyle w:val="TOC3"/>
            <w:tabs>
              <w:tab w:val="right" w:leader="dot" w:pos="9016"/>
            </w:tabs>
            <w:rPr>
              <w:rFonts w:eastAsiaTheme="minorEastAsia"/>
              <w:noProof/>
              <w:lang w:eastAsia="en-AU"/>
            </w:rPr>
          </w:pPr>
          <w:hyperlink w:anchor="_Toc58494496" w:history="1">
            <w:r w:rsidR="009A4B0B" w:rsidRPr="006F717F">
              <w:rPr>
                <w:rStyle w:val="Hyperlink"/>
                <w:noProof/>
              </w:rPr>
              <w:t>NPILF plan</w:t>
            </w:r>
            <w:r w:rsidR="009A4B0B">
              <w:rPr>
                <w:noProof/>
                <w:webHidden/>
              </w:rPr>
              <w:tab/>
            </w:r>
            <w:r w:rsidR="009A4B0B">
              <w:rPr>
                <w:noProof/>
                <w:webHidden/>
              </w:rPr>
              <w:fldChar w:fldCharType="begin"/>
            </w:r>
            <w:r w:rsidR="009A4B0B">
              <w:rPr>
                <w:noProof/>
                <w:webHidden/>
              </w:rPr>
              <w:instrText xml:space="preserve"> PAGEREF _Toc58494496 \h </w:instrText>
            </w:r>
            <w:r w:rsidR="009A4B0B">
              <w:rPr>
                <w:noProof/>
                <w:webHidden/>
              </w:rPr>
            </w:r>
            <w:r w:rsidR="009A4B0B">
              <w:rPr>
                <w:noProof/>
                <w:webHidden/>
              </w:rPr>
              <w:fldChar w:fldCharType="separate"/>
            </w:r>
            <w:r w:rsidR="009A4B0B">
              <w:rPr>
                <w:noProof/>
                <w:webHidden/>
              </w:rPr>
              <w:t>14</w:t>
            </w:r>
            <w:r w:rsidR="009A4B0B">
              <w:rPr>
                <w:noProof/>
                <w:webHidden/>
              </w:rPr>
              <w:fldChar w:fldCharType="end"/>
            </w:r>
          </w:hyperlink>
        </w:p>
        <w:p w14:paraId="0644A236" w14:textId="12AB0A31" w:rsidR="009A4B0B" w:rsidRDefault="00752DE5">
          <w:pPr>
            <w:pStyle w:val="TOC3"/>
            <w:tabs>
              <w:tab w:val="right" w:leader="dot" w:pos="9016"/>
            </w:tabs>
            <w:rPr>
              <w:rFonts w:eastAsiaTheme="minorEastAsia"/>
              <w:noProof/>
              <w:lang w:eastAsia="en-AU"/>
            </w:rPr>
          </w:pPr>
          <w:hyperlink w:anchor="_Toc58494497" w:history="1">
            <w:r w:rsidR="009A4B0B" w:rsidRPr="006F717F">
              <w:rPr>
                <w:rStyle w:val="Hyperlink"/>
                <w:noProof/>
              </w:rPr>
              <w:t>Annual review and fast fail</w:t>
            </w:r>
            <w:r w:rsidR="009A4B0B">
              <w:rPr>
                <w:noProof/>
                <w:webHidden/>
              </w:rPr>
              <w:tab/>
            </w:r>
            <w:r w:rsidR="009A4B0B">
              <w:rPr>
                <w:noProof/>
                <w:webHidden/>
              </w:rPr>
              <w:fldChar w:fldCharType="begin"/>
            </w:r>
            <w:r w:rsidR="009A4B0B">
              <w:rPr>
                <w:noProof/>
                <w:webHidden/>
              </w:rPr>
              <w:instrText xml:space="preserve"> PAGEREF _Toc58494497 \h </w:instrText>
            </w:r>
            <w:r w:rsidR="009A4B0B">
              <w:rPr>
                <w:noProof/>
                <w:webHidden/>
              </w:rPr>
            </w:r>
            <w:r w:rsidR="009A4B0B">
              <w:rPr>
                <w:noProof/>
                <w:webHidden/>
              </w:rPr>
              <w:fldChar w:fldCharType="separate"/>
            </w:r>
            <w:r w:rsidR="009A4B0B">
              <w:rPr>
                <w:noProof/>
                <w:webHidden/>
              </w:rPr>
              <w:t>14</w:t>
            </w:r>
            <w:r w:rsidR="009A4B0B">
              <w:rPr>
                <w:noProof/>
                <w:webHidden/>
              </w:rPr>
              <w:fldChar w:fldCharType="end"/>
            </w:r>
          </w:hyperlink>
        </w:p>
        <w:p w14:paraId="120F9AFB" w14:textId="0127D14D" w:rsidR="009A4B0B" w:rsidRDefault="00752DE5">
          <w:pPr>
            <w:pStyle w:val="TOC3"/>
            <w:tabs>
              <w:tab w:val="right" w:leader="dot" w:pos="9016"/>
            </w:tabs>
            <w:rPr>
              <w:rFonts w:eastAsiaTheme="minorEastAsia"/>
              <w:noProof/>
              <w:lang w:eastAsia="en-AU"/>
            </w:rPr>
          </w:pPr>
          <w:hyperlink w:anchor="_Toc58494498" w:history="1">
            <w:r w:rsidR="009A4B0B" w:rsidRPr="006F717F">
              <w:rPr>
                <w:rStyle w:val="Hyperlink"/>
                <w:noProof/>
              </w:rPr>
              <w:t>Final report</w:t>
            </w:r>
            <w:r w:rsidR="009A4B0B">
              <w:rPr>
                <w:noProof/>
                <w:webHidden/>
              </w:rPr>
              <w:tab/>
            </w:r>
            <w:r w:rsidR="009A4B0B">
              <w:rPr>
                <w:noProof/>
                <w:webHidden/>
              </w:rPr>
              <w:fldChar w:fldCharType="begin"/>
            </w:r>
            <w:r w:rsidR="009A4B0B">
              <w:rPr>
                <w:noProof/>
                <w:webHidden/>
              </w:rPr>
              <w:instrText xml:space="preserve"> PAGEREF _Toc58494498 \h </w:instrText>
            </w:r>
            <w:r w:rsidR="009A4B0B">
              <w:rPr>
                <w:noProof/>
                <w:webHidden/>
              </w:rPr>
            </w:r>
            <w:r w:rsidR="009A4B0B">
              <w:rPr>
                <w:noProof/>
                <w:webHidden/>
              </w:rPr>
              <w:fldChar w:fldCharType="separate"/>
            </w:r>
            <w:r w:rsidR="009A4B0B">
              <w:rPr>
                <w:noProof/>
                <w:webHidden/>
              </w:rPr>
              <w:t>14</w:t>
            </w:r>
            <w:r w:rsidR="009A4B0B">
              <w:rPr>
                <w:noProof/>
                <w:webHidden/>
              </w:rPr>
              <w:fldChar w:fldCharType="end"/>
            </w:r>
          </w:hyperlink>
        </w:p>
        <w:p w14:paraId="7BB94CD9" w14:textId="52E0C5D2" w:rsidR="009A4B0B" w:rsidRDefault="00752DE5">
          <w:pPr>
            <w:pStyle w:val="TOC2"/>
            <w:tabs>
              <w:tab w:val="right" w:leader="dot" w:pos="9016"/>
            </w:tabs>
            <w:rPr>
              <w:rFonts w:eastAsiaTheme="minorEastAsia"/>
              <w:noProof/>
              <w:lang w:eastAsia="en-AU"/>
            </w:rPr>
          </w:pPr>
          <w:hyperlink w:anchor="_Toc58494499" w:history="1">
            <w:r w:rsidR="009A4B0B" w:rsidRPr="006F717F">
              <w:rPr>
                <w:rStyle w:val="Hyperlink"/>
                <w:noProof/>
              </w:rPr>
              <w:t>Implementation timeline</w:t>
            </w:r>
            <w:r w:rsidR="009A4B0B">
              <w:rPr>
                <w:noProof/>
                <w:webHidden/>
              </w:rPr>
              <w:tab/>
            </w:r>
            <w:r w:rsidR="009A4B0B">
              <w:rPr>
                <w:noProof/>
                <w:webHidden/>
              </w:rPr>
              <w:fldChar w:fldCharType="begin"/>
            </w:r>
            <w:r w:rsidR="009A4B0B">
              <w:rPr>
                <w:noProof/>
                <w:webHidden/>
              </w:rPr>
              <w:instrText xml:space="preserve"> PAGEREF _Toc58494499 \h </w:instrText>
            </w:r>
            <w:r w:rsidR="009A4B0B">
              <w:rPr>
                <w:noProof/>
                <w:webHidden/>
              </w:rPr>
            </w:r>
            <w:r w:rsidR="009A4B0B">
              <w:rPr>
                <w:noProof/>
                <w:webHidden/>
              </w:rPr>
              <w:fldChar w:fldCharType="separate"/>
            </w:r>
            <w:r w:rsidR="009A4B0B">
              <w:rPr>
                <w:noProof/>
                <w:webHidden/>
              </w:rPr>
              <w:t>15</w:t>
            </w:r>
            <w:r w:rsidR="009A4B0B">
              <w:rPr>
                <w:noProof/>
                <w:webHidden/>
              </w:rPr>
              <w:fldChar w:fldCharType="end"/>
            </w:r>
          </w:hyperlink>
        </w:p>
        <w:p w14:paraId="0EC60D7B" w14:textId="08EE35CF" w:rsidR="009A4B0B" w:rsidRDefault="00752DE5">
          <w:pPr>
            <w:pStyle w:val="TOC2"/>
            <w:tabs>
              <w:tab w:val="right" w:leader="dot" w:pos="9016"/>
            </w:tabs>
            <w:rPr>
              <w:rFonts w:eastAsiaTheme="minorEastAsia"/>
              <w:noProof/>
              <w:lang w:eastAsia="en-AU"/>
            </w:rPr>
          </w:pPr>
          <w:hyperlink w:anchor="_Toc58494500" w:history="1">
            <w:r w:rsidR="009A4B0B" w:rsidRPr="006F717F">
              <w:rPr>
                <w:rStyle w:val="Hyperlink"/>
                <w:noProof/>
              </w:rPr>
              <w:t>Allocation and re-allocation timeline</w:t>
            </w:r>
            <w:r w:rsidR="009A4B0B">
              <w:rPr>
                <w:noProof/>
                <w:webHidden/>
              </w:rPr>
              <w:tab/>
            </w:r>
            <w:r w:rsidR="009A4B0B">
              <w:rPr>
                <w:noProof/>
                <w:webHidden/>
              </w:rPr>
              <w:fldChar w:fldCharType="begin"/>
            </w:r>
            <w:r w:rsidR="009A4B0B">
              <w:rPr>
                <w:noProof/>
                <w:webHidden/>
              </w:rPr>
              <w:instrText xml:space="preserve"> PAGEREF _Toc58494500 \h </w:instrText>
            </w:r>
            <w:r w:rsidR="009A4B0B">
              <w:rPr>
                <w:noProof/>
                <w:webHidden/>
              </w:rPr>
            </w:r>
            <w:r w:rsidR="009A4B0B">
              <w:rPr>
                <w:noProof/>
                <w:webHidden/>
              </w:rPr>
              <w:fldChar w:fldCharType="separate"/>
            </w:r>
            <w:r w:rsidR="009A4B0B">
              <w:rPr>
                <w:noProof/>
                <w:webHidden/>
              </w:rPr>
              <w:t>15</w:t>
            </w:r>
            <w:r w:rsidR="009A4B0B">
              <w:rPr>
                <w:noProof/>
                <w:webHidden/>
              </w:rPr>
              <w:fldChar w:fldCharType="end"/>
            </w:r>
          </w:hyperlink>
        </w:p>
        <w:p w14:paraId="5EFFE9D8" w14:textId="5256DBDC" w:rsidR="009A4B0B" w:rsidRDefault="00752DE5">
          <w:pPr>
            <w:pStyle w:val="TOC2"/>
            <w:tabs>
              <w:tab w:val="right" w:leader="dot" w:pos="9016"/>
            </w:tabs>
            <w:rPr>
              <w:rFonts w:eastAsiaTheme="minorEastAsia"/>
              <w:noProof/>
              <w:lang w:eastAsia="en-AU"/>
            </w:rPr>
          </w:pPr>
          <w:hyperlink w:anchor="_Toc58494501" w:history="1">
            <w:r w:rsidR="009A4B0B" w:rsidRPr="006F717F">
              <w:rPr>
                <w:rStyle w:val="Hyperlink"/>
                <w:noProof/>
              </w:rPr>
              <w:t>Distribution</w:t>
            </w:r>
            <w:r w:rsidR="009A4B0B">
              <w:rPr>
                <w:noProof/>
                <w:webHidden/>
              </w:rPr>
              <w:tab/>
            </w:r>
            <w:r w:rsidR="009A4B0B">
              <w:rPr>
                <w:noProof/>
                <w:webHidden/>
              </w:rPr>
              <w:fldChar w:fldCharType="begin"/>
            </w:r>
            <w:r w:rsidR="009A4B0B">
              <w:rPr>
                <w:noProof/>
                <w:webHidden/>
              </w:rPr>
              <w:instrText xml:space="preserve"> PAGEREF _Toc58494501 \h </w:instrText>
            </w:r>
            <w:r w:rsidR="009A4B0B">
              <w:rPr>
                <w:noProof/>
                <w:webHidden/>
              </w:rPr>
            </w:r>
            <w:r w:rsidR="009A4B0B">
              <w:rPr>
                <w:noProof/>
                <w:webHidden/>
              </w:rPr>
              <w:fldChar w:fldCharType="separate"/>
            </w:r>
            <w:r w:rsidR="009A4B0B">
              <w:rPr>
                <w:noProof/>
                <w:webHidden/>
              </w:rPr>
              <w:t>16</w:t>
            </w:r>
            <w:r w:rsidR="009A4B0B">
              <w:rPr>
                <w:noProof/>
                <w:webHidden/>
              </w:rPr>
              <w:fldChar w:fldCharType="end"/>
            </w:r>
          </w:hyperlink>
        </w:p>
        <w:p w14:paraId="1ABAEC39" w14:textId="7B219AC9" w:rsidR="009A4B0B" w:rsidRDefault="00752DE5">
          <w:pPr>
            <w:pStyle w:val="TOC1"/>
            <w:tabs>
              <w:tab w:val="right" w:leader="dot" w:pos="9016"/>
            </w:tabs>
            <w:rPr>
              <w:rFonts w:eastAsiaTheme="minorEastAsia"/>
              <w:b w:val="0"/>
              <w:noProof/>
              <w:lang w:eastAsia="en-AU"/>
            </w:rPr>
          </w:pPr>
          <w:hyperlink w:anchor="_Toc58494502" w:history="1">
            <w:r w:rsidR="009A4B0B" w:rsidRPr="006F717F">
              <w:rPr>
                <w:rStyle w:val="Hyperlink"/>
                <w:noProof/>
              </w:rPr>
              <w:t>The way forward</w:t>
            </w:r>
            <w:r w:rsidR="009A4B0B">
              <w:rPr>
                <w:noProof/>
                <w:webHidden/>
              </w:rPr>
              <w:tab/>
            </w:r>
            <w:r w:rsidR="009A4B0B">
              <w:rPr>
                <w:noProof/>
                <w:webHidden/>
              </w:rPr>
              <w:fldChar w:fldCharType="begin"/>
            </w:r>
            <w:r w:rsidR="009A4B0B">
              <w:rPr>
                <w:noProof/>
                <w:webHidden/>
              </w:rPr>
              <w:instrText xml:space="preserve"> PAGEREF _Toc58494502 \h </w:instrText>
            </w:r>
            <w:r w:rsidR="009A4B0B">
              <w:rPr>
                <w:noProof/>
                <w:webHidden/>
              </w:rPr>
            </w:r>
            <w:r w:rsidR="009A4B0B">
              <w:rPr>
                <w:noProof/>
                <w:webHidden/>
              </w:rPr>
              <w:fldChar w:fldCharType="separate"/>
            </w:r>
            <w:r w:rsidR="009A4B0B">
              <w:rPr>
                <w:noProof/>
                <w:webHidden/>
              </w:rPr>
              <w:t>17</w:t>
            </w:r>
            <w:r w:rsidR="009A4B0B">
              <w:rPr>
                <w:noProof/>
                <w:webHidden/>
              </w:rPr>
              <w:fldChar w:fldCharType="end"/>
            </w:r>
          </w:hyperlink>
        </w:p>
        <w:p w14:paraId="1004F7A3" w14:textId="792CC64F" w:rsidR="009A4B0B" w:rsidRDefault="00752DE5">
          <w:pPr>
            <w:pStyle w:val="TOC2"/>
            <w:tabs>
              <w:tab w:val="right" w:leader="dot" w:pos="9016"/>
            </w:tabs>
            <w:rPr>
              <w:rFonts w:eastAsiaTheme="minorEastAsia"/>
              <w:noProof/>
              <w:lang w:eastAsia="en-AU"/>
            </w:rPr>
          </w:pPr>
          <w:hyperlink w:anchor="_Toc58494503" w:history="1">
            <w:r w:rsidR="009A4B0B" w:rsidRPr="006F717F">
              <w:rPr>
                <w:rStyle w:val="Hyperlink"/>
                <w:noProof/>
              </w:rPr>
              <w:t>Pilot period</w:t>
            </w:r>
            <w:r w:rsidR="009A4B0B">
              <w:rPr>
                <w:noProof/>
                <w:webHidden/>
              </w:rPr>
              <w:tab/>
            </w:r>
            <w:r w:rsidR="009A4B0B">
              <w:rPr>
                <w:noProof/>
                <w:webHidden/>
              </w:rPr>
              <w:fldChar w:fldCharType="begin"/>
            </w:r>
            <w:r w:rsidR="009A4B0B">
              <w:rPr>
                <w:noProof/>
                <w:webHidden/>
              </w:rPr>
              <w:instrText xml:space="preserve"> PAGEREF _Toc58494503 \h </w:instrText>
            </w:r>
            <w:r w:rsidR="009A4B0B">
              <w:rPr>
                <w:noProof/>
                <w:webHidden/>
              </w:rPr>
            </w:r>
            <w:r w:rsidR="009A4B0B">
              <w:rPr>
                <w:noProof/>
                <w:webHidden/>
              </w:rPr>
              <w:fldChar w:fldCharType="separate"/>
            </w:r>
            <w:r w:rsidR="009A4B0B">
              <w:rPr>
                <w:noProof/>
                <w:webHidden/>
              </w:rPr>
              <w:t>17</w:t>
            </w:r>
            <w:r w:rsidR="009A4B0B">
              <w:rPr>
                <w:noProof/>
                <w:webHidden/>
              </w:rPr>
              <w:fldChar w:fldCharType="end"/>
            </w:r>
          </w:hyperlink>
        </w:p>
        <w:p w14:paraId="299CF325" w14:textId="2E05FFCC" w:rsidR="009A4B0B" w:rsidRDefault="00752DE5">
          <w:pPr>
            <w:pStyle w:val="TOC2"/>
            <w:tabs>
              <w:tab w:val="right" w:leader="dot" w:pos="9016"/>
            </w:tabs>
            <w:rPr>
              <w:rFonts w:eastAsiaTheme="minorEastAsia"/>
              <w:noProof/>
              <w:lang w:eastAsia="en-AU"/>
            </w:rPr>
          </w:pPr>
          <w:hyperlink w:anchor="_Toc58494504" w:history="1">
            <w:r w:rsidR="009A4B0B" w:rsidRPr="006F717F">
              <w:rPr>
                <w:rStyle w:val="Hyperlink"/>
                <w:noProof/>
              </w:rPr>
              <w:t>Recommendations</w:t>
            </w:r>
            <w:r w:rsidR="009A4B0B">
              <w:rPr>
                <w:noProof/>
                <w:webHidden/>
              </w:rPr>
              <w:tab/>
            </w:r>
            <w:r w:rsidR="009A4B0B">
              <w:rPr>
                <w:noProof/>
                <w:webHidden/>
              </w:rPr>
              <w:fldChar w:fldCharType="begin"/>
            </w:r>
            <w:r w:rsidR="009A4B0B">
              <w:rPr>
                <w:noProof/>
                <w:webHidden/>
              </w:rPr>
              <w:instrText xml:space="preserve"> PAGEREF _Toc58494504 \h </w:instrText>
            </w:r>
            <w:r w:rsidR="009A4B0B">
              <w:rPr>
                <w:noProof/>
                <w:webHidden/>
              </w:rPr>
            </w:r>
            <w:r w:rsidR="009A4B0B">
              <w:rPr>
                <w:noProof/>
                <w:webHidden/>
              </w:rPr>
              <w:fldChar w:fldCharType="separate"/>
            </w:r>
            <w:r w:rsidR="009A4B0B">
              <w:rPr>
                <w:noProof/>
                <w:webHidden/>
              </w:rPr>
              <w:t>17</w:t>
            </w:r>
            <w:r w:rsidR="009A4B0B">
              <w:rPr>
                <w:noProof/>
                <w:webHidden/>
              </w:rPr>
              <w:fldChar w:fldCharType="end"/>
            </w:r>
          </w:hyperlink>
        </w:p>
        <w:p w14:paraId="05289E7F" w14:textId="199EDE8C" w:rsidR="009A4B0B" w:rsidRDefault="00752DE5">
          <w:pPr>
            <w:pStyle w:val="TOC1"/>
            <w:tabs>
              <w:tab w:val="right" w:leader="dot" w:pos="9016"/>
            </w:tabs>
            <w:rPr>
              <w:rFonts w:eastAsiaTheme="minorEastAsia"/>
              <w:b w:val="0"/>
              <w:noProof/>
              <w:lang w:eastAsia="en-AU"/>
            </w:rPr>
          </w:pPr>
          <w:hyperlink w:anchor="_Toc58494505" w:history="1">
            <w:r w:rsidR="009A4B0B" w:rsidRPr="006F717F">
              <w:rPr>
                <w:rStyle w:val="Hyperlink"/>
                <w:rFonts w:eastAsia="Times New Roman"/>
                <w:noProof/>
              </w:rPr>
              <w:t>Appendix A – Supporting the national priorities beyond NPILF</w:t>
            </w:r>
            <w:r w:rsidR="009A4B0B">
              <w:rPr>
                <w:noProof/>
                <w:webHidden/>
              </w:rPr>
              <w:tab/>
            </w:r>
            <w:r w:rsidR="009A4B0B">
              <w:rPr>
                <w:noProof/>
                <w:webHidden/>
              </w:rPr>
              <w:fldChar w:fldCharType="begin"/>
            </w:r>
            <w:r w:rsidR="009A4B0B">
              <w:rPr>
                <w:noProof/>
                <w:webHidden/>
              </w:rPr>
              <w:instrText xml:space="preserve"> PAGEREF _Toc58494505 \h </w:instrText>
            </w:r>
            <w:r w:rsidR="009A4B0B">
              <w:rPr>
                <w:noProof/>
                <w:webHidden/>
              </w:rPr>
            </w:r>
            <w:r w:rsidR="009A4B0B">
              <w:rPr>
                <w:noProof/>
                <w:webHidden/>
              </w:rPr>
              <w:fldChar w:fldCharType="separate"/>
            </w:r>
            <w:r w:rsidR="009A4B0B">
              <w:rPr>
                <w:noProof/>
                <w:webHidden/>
              </w:rPr>
              <w:t>18</w:t>
            </w:r>
            <w:r w:rsidR="009A4B0B">
              <w:rPr>
                <w:noProof/>
                <w:webHidden/>
              </w:rPr>
              <w:fldChar w:fldCharType="end"/>
            </w:r>
          </w:hyperlink>
        </w:p>
        <w:p w14:paraId="1018A336" w14:textId="7ECC62A5" w:rsidR="009A4B0B" w:rsidRDefault="009A4B0B">
          <w:r>
            <w:rPr>
              <w:b/>
              <w:bCs/>
              <w:noProof/>
            </w:rPr>
            <w:fldChar w:fldCharType="end"/>
          </w:r>
        </w:p>
      </w:sdtContent>
    </w:sdt>
    <w:p w14:paraId="16F0EAB8" w14:textId="77777777" w:rsidR="007855CC" w:rsidRPr="0095636C" w:rsidRDefault="007855CC" w:rsidP="0095636C">
      <w:r>
        <w:br w:type="page"/>
      </w:r>
    </w:p>
    <w:p w14:paraId="3369446D" w14:textId="3DA7AEE3" w:rsidR="007C045D" w:rsidRDefault="007C045D" w:rsidP="002C2F80">
      <w:pPr>
        <w:pStyle w:val="Heading1"/>
      </w:pPr>
      <w:bookmarkStart w:id="1" w:name="_Toc58494486"/>
      <w:bookmarkEnd w:id="0"/>
      <w:r>
        <w:lastRenderedPageBreak/>
        <w:t>Foreword from the Chair</w:t>
      </w:r>
      <w:bookmarkEnd w:id="1"/>
    </w:p>
    <w:p w14:paraId="768CC1DE" w14:textId="77777777" w:rsidR="008D08EB" w:rsidRDefault="008D08EB" w:rsidP="008D08EB">
      <w:r>
        <w:t xml:space="preserve">There is no doubt that 2020 has been a year of significant disruption. Our world has changed dramatically in a short space of time. Trends that were evident prior to COVID-19 have accelerated, including the need for more targeted post-secondary education and ongoing skills development. </w:t>
      </w:r>
    </w:p>
    <w:p w14:paraId="10F6509F" w14:textId="77777777" w:rsidR="008D08EB" w:rsidRDefault="008D08EB" w:rsidP="008D08EB">
      <w:r>
        <w:t xml:space="preserve">Now more than ever, public universities must critically prepare and support our graduates to succeed in the future workplace, to drive innovation and new businesses, to support open and rigorous public debate and to ensure excellent research solves pressing real-world challenges. To deliver on this mandate, universities must engage and partner with industry, the community and governments in new and different ways and more completely than we did in the past. </w:t>
      </w:r>
    </w:p>
    <w:p w14:paraId="547F97B0" w14:textId="02916DFC" w:rsidR="008D08EB" w:rsidRDefault="008D08EB" w:rsidP="008D08EB">
      <w:r>
        <w:t>On 1 July 2020, you announced the working group to provide advice on the design and implementation of the National Priorities and Industry Linkage Fund (NPILF), introduced as part of the Job-ready Graduates package of reforms to higher education. On behalf of the working group, I am pleased to submit our final report which sets out the NPILF framework.</w:t>
      </w:r>
    </w:p>
    <w:p w14:paraId="3DEB100E" w14:textId="77777777" w:rsidR="008D08EB" w:rsidRDefault="008D08EB" w:rsidP="008D08EB">
      <w:r>
        <w:t>From the outset, it was important to define the NPILF as an opportunity to support universities in the evolution they are already undertaking. Our aim was to incentivise behaviours and mindsets that are responsive to the policy intent of supporting increased collaboration and new, innovative approaches to industry engagement. This report, and the proposed framework, addresses the core priorities of work-integrated learning, STEM-skilled graduates and industry partnerships in a way that generates impact, is transparent and collaborative, measurable and provides for flexibility – the key principles of NPILF. Importantly, the framework</w:t>
      </w:r>
      <w:r w:rsidRPr="00CC12C9">
        <w:t xml:space="preserve"> acknowledges the multiplicity and diversity of approaches towards industry engagement, the varied missions and strengths of universities, the needs of industry </w:t>
      </w:r>
      <w:r>
        <w:t>and communities,</w:t>
      </w:r>
      <w:r w:rsidRPr="00CC12C9">
        <w:t xml:space="preserve"> </w:t>
      </w:r>
      <w:r>
        <w:t>as well as</w:t>
      </w:r>
      <w:r w:rsidRPr="00CC12C9">
        <w:t xml:space="preserve"> the challenges and risks </w:t>
      </w:r>
      <w:r>
        <w:t>that come with innovation.</w:t>
      </w:r>
    </w:p>
    <w:p w14:paraId="7DD3D01C" w14:textId="77777777" w:rsidR="008D08EB" w:rsidRDefault="008D08EB" w:rsidP="008D08EB">
      <w:r>
        <w:t xml:space="preserve">To support the NPILF’s development, the working group has undertaken extensive consultation with representatives from universities, higher education bodies, industry and business, including small to medium enterprises. A written consultation process generated 68 submissions in response to the consultation paper. It was gratifying to see the high-level of interest and engagement across sectors and the shared commitment to improving the job-readiness of Australian graduates. </w:t>
      </w:r>
    </w:p>
    <w:p w14:paraId="41E3B902" w14:textId="77777777" w:rsidR="008D08EB" w:rsidRDefault="008D08EB" w:rsidP="008D08EB">
      <w:r>
        <w:t xml:space="preserve">I would like to take this opportunity to offer my deep appreciation to the working group members: Professor Helen Bartlett, Professor Barney Glover, Professor Eeva Leinonen, Professor David Lloyd, Professor Brian Schmidt, Professor Deborah Terry and Professor Alex Zelinsky. Their advice and insights were instrumental in developing the NPILF. I would also like to extend my thanks to the department for its dedication and professionalism in supporting this important work. </w:t>
      </w:r>
    </w:p>
    <w:p w14:paraId="583D5EDC" w14:textId="77777777" w:rsidR="008D08EB" w:rsidRDefault="008D08EB" w:rsidP="008D08EB">
      <w:r w:rsidRPr="00E6302C">
        <w:t xml:space="preserve">I am confident </w:t>
      </w:r>
      <w:r>
        <w:t xml:space="preserve">the </w:t>
      </w:r>
      <w:r w:rsidRPr="00E6302C">
        <w:t>NPILF will</w:t>
      </w:r>
      <w:r>
        <w:t xml:space="preserve"> </w:t>
      </w:r>
      <w:r w:rsidRPr="00E6302C">
        <w:t>speed</w:t>
      </w:r>
      <w:r>
        <w:t xml:space="preserve"> </w:t>
      </w:r>
      <w:r w:rsidRPr="00E6302C">
        <w:t xml:space="preserve">the evolution of engagement across </w:t>
      </w:r>
      <w:r>
        <w:t>A</w:t>
      </w:r>
      <w:r w:rsidRPr="00E6302C">
        <w:t>ustralia.</w:t>
      </w:r>
      <w:r>
        <w:br/>
      </w:r>
    </w:p>
    <w:p w14:paraId="456D15A8" w14:textId="77777777" w:rsidR="008D08EB" w:rsidRPr="00C86E66" w:rsidRDefault="008D08EB" w:rsidP="008D08EB">
      <w:r w:rsidRPr="00B90733">
        <w:rPr>
          <w:b/>
          <w:bCs/>
        </w:rPr>
        <w:t>Professor Attila Brungs</w:t>
      </w:r>
      <w:r>
        <w:br/>
        <w:t xml:space="preserve">Vice-Chancellor and President of the University of Technology Sydney </w:t>
      </w:r>
    </w:p>
    <w:p w14:paraId="3EC7ECA8" w14:textId="204C4991" w:rsidR="00B40B84" w:rsidRPr="00B40B84" w:rsidRDefault="00B40B84" w:rsidP="00B40B84">
      <w:pPr>
        <w:pStyle w:val="Heading1"/>
      </w:pPr>
      <w:bookmarkStart w:id="2" w:name="_Toc58494487"/>
      <w:r>
        <w:lastRenderedPageBreak/>
        <w:t>Executive summary</w:t>
      </w:r>
      <w:bookmarkEnd w:id="2"/>
    </w:p>
    <w:p w14:paraId="16CEB277" w14:textId="11F4AD32" w:rsidR="00B40B84" w:rsidRDefault="00B40B84" w:rsidP="00354FD0">
      <w:r>
        <w:t xml:space="preserve">The Minister for Education appointed a working group of university Vice-Chancellors to provide advice on the design and implementation of the </w:t>
      </w:r>
      <w:r w:rsidR="000D4878">
        <w:t>National Priorities and Industry Linkage Fund (NPILF)</w:t>
      </w:r>
      <w:r>
        <w:t xml:space="preserve">, introduced through the Job-ready Graduates Package of reforms to higher education. The </w:t>
      </w:r>
      <w:r w:rsidR="008D08EB">
        <w:t xml:space="preserve">Government determined that the </w:t>
      </w:r>
      <w:r>
        <w:t>NPILF will prioritise</w:t>
      </w:r>
      <w:r w:rsidR="007C21C6">
        <w:t>:</w:t>
      </w:r>
    </w:p>
    <w:p w14:paraId="12A13302" w14:textId="28D3666A" w:rsidR="00B40B84" w:rsidRPr="000B5D0B" w:rsidRDefault="002E3FD5" w:rsidP="00354FD0">
      <w:pPr>
        <w:pStyle w:val="ListBullet"/>
      </w:pPr>
      <w:r w:rsidRPr="000B5D0B">
        <w:t>i</w:t>
      </w:r>
      <w:r w:rsidR="00B40B84" w:rsidRPr="000B5D0B">
        <w:t xml:space="preserve">ncreasing </w:t>
      </w:r>
      <w:r w:rsidR="00CB7821" w:rsidRPr="000B5D0B">
        <w:t xml:space="preserve">the </w:t>
      </w:r>
      <w:r w:rsidR="00B40B84" w:rsidRPr="000B5D0B">
        <w:t xml:space="preserve">number of internships, practicums and other innovative approaches to </w:t>
      </w:r>
      <w:r w:rsidR="002F4030">
        <w:br/>
      </w:r>
      <w:r w:rsidR="00B40B84" w:rsidRPr="000B5D0B">
        <w:t xml:space="preserve">work-integrated learning </w:t>
      </w:r>
    </w:p>
    <w:p w14:paraId="4D2E9AE8" w14:textId="2836C69A" w:rsidR="00B40B84" w:rsidRPr="000B5D0B" w:rsidRDefault="002E3FD5" w:rsidP="00354FD0">
      <w:pPr>
        <w:pStyle w:val="ListBullet"/>
      </w:pPr>
      <w:r w:rsidRPr="000B5D0B">
        <w:t>i</w:t>
      </w:r>
      <w:r w:rsidR="00B40B84" w:rsidRPr="000B5D0B">
        <w:t xml:space="preserve">ncreasing </w:t>
      </w:r>
      <w:r w:rsidR="00CB7821" w:rsidRPr="000B5D0B">
        <w:t xml:space="preserve">the </w:t>
      </w:r>
      <w:r w:rsidR="00B40B84" w:rsidRPr="000B5D0B">
        <w:t>number of STEM-skilled graduates and improve their employment outcomes</w:t>
      </w:r>
    </w:p>
    <w:p w14:paraId="0FF9A58E" w14:textId="05F22999" w:rsidR="00B40B84" w:rsidRPr="000B5D0B" w:rsidRDefault="00CB7821" w:rsidP="00354FD0">
      <w:pPr>
        <w:pStyle w:val="ListBullet"/>
      </w:pPr>
      <w:r w:rsidRPr="000B5D0B">
        <w:t>developing</w:t>
      </w:r>
      <w:r w:rsidR="00B40B84" w:rsidRPr="000B5D0B">
        <w:t xml:space="preserve"> partnerships and collaborations with industry</w:t>
      </w:r>
      <w:r w:rsidR="007C21C6" w:rsidRPr="000B5D0B">
        <w:t>.</w:t>
      </w:r>
      <w:r w:rsidR="00B40B84" w:rsidRPr="000B5D0B">
        <w:t xml:space="preserve"> </w:t>
      </w:r>
    </w:p>
    <w:p w14:paraId="1C273D80" w14:textId="76DD3110" w:rsidR="00DD3EB4" w:rsidRPr="000B5D0B" w:rsidRDefault="00DD3EB4" w:rsidP="00354FD0">
      <w:r w:rsidRPr="000B5D0B">
        <w:t>The aspiration of the fund is to:</w:t>
      </w:r>
    </w:p>
    <w:p w14:paraId="286F177E" w14:textId="510CAD6C" w:rsidR="00DD3EB4" w:rsidRPr="000B5D0B" w:rsidRDefault="00DD3EB4" w:rsidP="00354FD0">
      <w:pPr>
        <w:pStyle w:val="ListBullet"/>
      </w:pPr>
      <w:r w:rsidRPr="000B5D0B">
        <w:t>ensure Australia has the skills and capacity to meet today’s workforce needs and drive future economic prosperity for the nation</w:t>
      </w:r>
    </w:p>
    <w:p w14:paraId="48E4F4E5" w14:textId="6E65FBEC" w:rsidR="00DD3EB4" w:rsidRPr="000B5D0B" w:rsidRDefault="00DD3EB4" w:rsidP="00354FD0">
      <w:pPr>
        <w:pStyle w:val="ListBullet"/>
      </w:pPr>
      <w:r w:rsidRPr="000B5D0B">
        <w:t>support universities as they respond to this evolution by introducing high quality, diverse and innovative approaches</w:t>
      </w:r>
    </w:p>
    <w:p w14:paraId="1293D0E8" w14:textId="77777777" w:rsidR="00DD3EB4" w:rsidRPr="000B5D0B" w:rsidRDefault="00DD3EB4" w:rsidP="00354FD0">
      <w:pPr>
        <w:pStyle w:val="ListBullet"/>
      </w:pPr>
      <w:r w:rsidRPr="000B5D0B">
        <w:t>support connectivity between universities and industry as the post-secondary education system evolves.</w:t>
      </w:r>
    </w:p>
    <w:p w14:paraId="2E80D88E" w14:textId="36327E1E" w:rsidR="00AC091D" w:rsidRPr="000B5D0B" w:rsidRDefault="00DD3EB4" w:rsidP="00354FD0">
      <w:pPr>
        <w:rPr>
          <w:b/>
        </w:rPr>
      </w:pPr>
      <w:r w:rsidRPr="000B5D0B">
        <w:t xml:space="preserve">Industry is broadly defined as business, government and the community sector as all play a critical role in our national prosperity and wellbeing. </w:t>
      </w:r>
    </w:p>
    <w:p w14:paraId="52282877" w14:textId="18A9EB17" w:rsidR="00713287" w:rsidRPr="000F5E9E" w:rsidRDefault="00713287" w:rsidP="009813F9">
      <w:pPr>
        <w:pStyle w:val="Heading4"/>
      </w:pPr>
      <w:r w:rsidRPr="000F5E9E">
        <w:t xml:space="preserve">Intention of framework </w:t>
      </w:r>
    </w:p>
    <w:p w14:paraId="69A54D2C" w14:textId="048E15B2" w:rsidR="00713287" w:rsidRPr="000B5D0B" w:rsidRDefault="00713287" w:rsidP="00354FD0">
      <w:r w:rsidRPr="000B5D0B">
        <w:t>Unlike the performance-based funding</w:t>
      </w:r>
      <w:r w:rsidR="00CB7821" w:rsidRPr="000B5D0B">
        <w:t xml:space="preserve"> (PBF)</w:t>
      </w:r>
      <w:r w:rsidRPr="000B5D0B">
        <w:t xml:space="preserve"> model</w:t>
      </w:r>
      <w:r w:rsidR="009A4B0B">
        <w:t xml:space="preserve"> </w:t>
      </w:r>
      <w:r w:rsidRPr="000B5D0B">
        <w:t xml:space="preserve">which is heavily focused on performance, </w:t>
      </w:r>
      <w:r w:rsidR="008D08EB">
        <w:t xml:space="preserve">the </w:t>
      </w:r>
      <w:r w:rsidRPr="000B5D0B">
        <w:t xml:space="preserve">NPILF seeks to incentivise behaviours and mindsets that are responsive to </w:t>
      </w:r>
      <w:r w:rsidR="00AC091D" w:rsidRPr="000B5D0B">
        <w:t xml:space="preserve">the </w:t>
      </w:r>
      <w:r w:rsidRPr="000B5D0B">
        <w:t>policy intent of increased collaboration, supporting new and innovative ways for universities to engage with industry. It also aims to increase support of lifelong learning, which will provide new learning and skills for individuals in today’s workforce</w:t>
      </w:r>
      <w:r w:rsidR="00CB7821" w:rsidRPr="000B5D0B">
        <w:t xml:space="preserve">. In so doing, </w:t>
      </w:r>
      <w:r w:rsidR="008D08EB">
        <w:t>the design of the fund</w:t>
      </w:r>
      <w:r w:rsidR="008D08EB" w:rsidRPr="000B5D0B">
        <w:t xml:space="preserve"> </w:t>
      </w:r>
      <w:r w:rsidR="008D08EB">
        <w:t>takes into account</w:t>
      </w:r>
      <w:r w:rsidR="008D08EB" w:rsidRPr="000B5D0B">
        <w:t xml:space="preserve"> </w:t>
      </w:r>
      <w:r w:rsidR="00AC091D" w:rsidRPr="000B5D0B">
        <w:t xml:space="preserve">the </w:t>
      </w:r>
      <w:r w:rsidRPr="000B5D0B">
        <w:t>multiplicity and diversity of approaches towards industry engagement</w:t>
      </w:r>
      <w:r w:rsidR="00CB7821" w:rsidRPr="000B5D0B">
        <w:t xml:space="preserve">, </w:t>
      </w:r>
      <w:r w:rsidRPr="000B5D0B">
        <w:t>the varied missions and strengths of different universities</w:t>
      </w:r>
      <w:r w:rsidR="00CB7821" w:rsidRPr="000B5D0B">
        <w:t xml:space="preserve">, </w:t>
      </w:r>
      <w:r w:rsidRPr="000B5D0B">
        <w:t>the needs of both industry partners and universities</w:t>
      </w:r>
      <w:r w:rsidR="00CB7821" w:rsidRPr="000B5D0B">
        <w:t xml:space="preserve"> and also the </w:t>
      </w:r>
      <w:r w:rsidRPr="000B5D0B">
        <w:t>challenges and risks with developing innovative or high risk</w:t>
      </w:r>
      <w:r w:rsidR="00AC091D" w:rsidRPr="000B5D0B">
        <w:t>-</w:t>
      </w:r>
      <w:r w:rsidRPr="000B5D0B">
        <w:t xml:space="preserve">high reward approaches. </w:t>
      </w:r>
    </w:p>
    <w:p w14:paraId="058E7910" w14:textId="1A6197B2" w:rsidR="00713287" w:rsidRPr="000B5D0B" w:rsidRDefault="00713287" w:rsidP="00354FD0">
      <w:r w:rsidRPr="000B5D0B">
        <w:t>One of the intended outcomes of the framework is the development and sharing of</w:t>
      </w:r>
      <w:r w:rsidR="008D08EB">
        <w:t xml:space="preserve"> university</w:t>
      </w:r>
      <w:r w:rsidRPr="000B5D0B">
        <w:t xml:space="preserve"> best practise approaches to industry engagement. This will enable business, community groups and universities to see models and approaches that have worked for others, speeding the evolution of engagement across Australia.</w:t>
      </w:r>
    </w:p>
    <w:p w14:paraId="73336BFF" w14:textId="77777777" w:rsidR="000F5E9E" w:rsidRDefault="000F5E9E">
      <w:pPr>
        <w:spacing w:after="160" w:line="259" w:lineRule="auto"/>
        <w:rPr>
          <w:rFonts w:ascii="Calibri" w:eastAsiaTheme="majorEastAsia" w:hAnsi="Calibri" w:cstheme="majorBidi"/>
          <w:b/>
          <w:color w:val="5F6369"/>
        </w:rPr>
      </w:pPr>
      <w:r>
        <w:br w:type="page"/>
      </w:r>
    </w:p>
    <w:p w14:paraId="74858E66" w14:textId="251008EE" w:rsidR="00AC091D" w:rsidRPr="000F5E9E" w:rsidRDefault="00AC091D" w:rsidP="009813F9">
      <w:pPr>
        <w:pStyle w:val="Heading4"/>
      </w:pPr>
      <w:r w:rsidRPr="000F5E9E">
        <w:lastRenderedPageBreak/>
        <w:t>Summary of framework</w:t>
      </w:r>
    </w:p>
    <w:p w14:paraId="11D72EB6" w14:textId="2DBF0795" w:rsidR="00B40B84" w:rsidRPr="00354FD0" w:rsidRDefault="0053425E" w:rsidP="00354FD0">
      <w:pPr>
        <w:rPr>
          <w:rStyle w:val="Strong"/>
        </w:rPr>
      </w:pPr>
      <w:r w:rsidRPr="00354FD0">
        <w:rPr>
          <w:rStyle w:val="Strong"/>
        </w:rPr>
        <w:t xml:space="preserve">Universities provide a three-year plan consisting of metrics and case studies </w:t>
      </w:r>
      <w:r w:rsidR="008D08EB" w:rsidRPr="00354FD0">
        <w:rPr>
          <w:rStyle w:val="Strong"/>
        </w:rPr>
        <w:t xml:space="preserve">under </w:t>
      </w:r>
      <w:r w:rsidRPr="00354FD0">
        <w:rPr>
          <w:rStyle w:val="Strong"/>
        </w:rPr>
        <w:t xml:space="preserve">each priority </w:t>
      </w:r>
    </w:p>
    <w:p w14:paraId="03E3A1D8" w14:textId="59E2F735" w:rsidR="0053425E" w:rsidRPr="000B5D0B" w:rsidRDefault="0053425E" w:rsidP="00354FD0">
      <w:r w:rsidRPr="000B5D0B">
        <w:t>P</w:t>
      </w:r>
      <w:r w:rsidR="00B40B84" w:rsidRPr="000B5D0B">
        <w:t xml:space="preserve">lans will comprise </w:t>
      </w:r>
      <w:r w:rsidR="00AC091D" w:rsidRPr="000B5D0B">
        <w:t>nine</w:t>
      </w:r>
      <w:r w:rsidR="00B40B84" w:rsidRPr="000B5D0B">
        <w:t xml:space="preserve"> metrics and case</w:t>
      </w:r>
      <w:r w:rsidR="00B40B84" w:rsidRPr="00433915">
        <w:t xml:space="preserve"> studies </w:t>
      </w:r>
      <w:r w:rsidR="00B40B84">
        <w:t>(</w:t>
      </w:r>
      <w:r w:rsidR="005C53F7">
        <w:t>six</w:t>
      </w:r>
      <w:r w:rsidR="00B40B84">
        <w:t xml:space="preserve"> </w:t>
      </w:r>
      <w:r>
        <w:t>for the pilot phase</w:t>
      </w:r>
      <w:r w:rsidR="00B40B84">
        <w:t>)</w:t>
      </w:r>
      <w:r w:rsidR="00AC091D">
        <w:t>,</w:t>
      </w:r>
      <w:r w:rsidR="00B40B84">
        <w:t xml:space="preserve"> </w:t>
      </w:r>
      <w:r w:rsidR="00B40B84" w:rsidRPr="00433915">
        <w:t xml:space="preserve">which reflect the priorities </w:t>
      </w:r>
      <w:r w:rsidR="00AC091D">
        <w:t xml:space="preserve">of </w:t>
      </w:r>
      <w:r w:rsidR="00B40B84" w:rsidRPr="00433915">
        <w:t xml:space="preserve">work-integrated learning, STEM-skilled </w:t>
      </w:r>
      <w:r w:rsidR="008D08EB">
        <w:t xml:space="preserve">graduates </w:t>
      </w:r>
      <w:r w:rsidR="00B40B84" w:rsidRPr="00433915">
        <w:t>and industry partnerships</w:t>
      </w:r>
      <w:r w:rsidR="00B40B84">
        <w:t xml:space="preserve">. </w:t>
      </w:r>
      <w:r w:rsidR="00B40B84" w:rsidRPr="00433915">
        <w:t xml:space="preserve">The metrics provide an opportunity to determine three-year </w:t>
      </w:r>
      <w:r w:rsidR="00B40B84">
        <w:t xml:space="preserve">quantitative </w:t>
      </w:r>
      <w:r w:rsidR="00B40B84" w:rsidRPr="00433915">
        <w:t xml:space="preserve">targets </w:t>
      </w:r>
      <w:r w:rsidR="00B40B84">
        <w:t>while the</w:t>
      </w:r>
      <w:r w:rsidR="00B40B84" w:rsidRPr="00433915">
        <w:t xml:space="preserve"> case studies provide an </w:t>
      </w:r>
      <w:r w:rsidR="00B40B84" w:rsidRPr="000B5D0B">
        <w:t xml:space="preserve">opportunity to highlight activities, programs and strategies </w:t>
      </w:r>
      <w:r w:rsidR="00CF01D0" w:rsidRPr="000B5D0B">
        <w:t>being undertaken</w:t>
      </w:r>
      <w:r w:rsidR="00B40B84" w:rsidRPr="000B5D0B">
        <w:t xml:space="preserve"> to support the priorities. </w:t>
      </w:r>
      <w:r w:rsidR="001C2965">
        <w:t>Three</w:t>
      </w:r>
      <w:r w:rsidR="00CB7821" w:rsidRPr="000B5D0B">
        <w:t xml:space="preserve"> </w:t>
      </w:r>
      <w:r w:rsidRPr="000B5D0B">
        <w:t xml:space="preserve">metrics </w:t>
      </w:r>
      <w:r w:rsidR="001C2965">
        <w:t>or</w:t>
      </w:r>
      <w:r w:rsidRPr="000B5D0B">
        <w:t xml:space="preserve"> case studies </w:t>
      </w:r>
      <w:r w:rsidR="008D08EB">
        <w:t xml:space="preserve">can be placed against any priority area at the discretion of the university </w:t>
      </w:r>
      <w:r w:rsidR="00C264E2" w:rsidRPr="000B5D0B">
        <w:t xml:space="preserve">and are intended </w:t>
      </w:r>
      <w:r w:rsidRPr="000B5D0B">
        <w:t>to enhance the individual missions, distinctive strengths and communities of each university and their partners</w:t>
      </w:r>
      <w:r w:rsidR="00C264E2" w:rsidRPr="000B5D0B">
        <w:t>.</w:t>
      </w:r>
    </w:p>
    <w:p w14:paraId="3D6190F9" w14:textId="38EC58C2" w:rsidR="0053425E" w:rsidRPr="00354FD0" w:rsidRDefault="0053425E" w:rsidP="00354FD0">
      <w:pPr>
        <w:rPr>
          <w:rStyle w:val="Strong"/>
        </w:rPr>
      </w:pPr>
      <w:r w:rsidRPr="00354FD0">
        <w:rPr>
          <w:rStyle w:val="Strong"/>
        </w:rPr>
        <w:t xml:space="preserve">The NPILF will operate on a three-year timeline and includes a pilot and annual </w:t>
      </w:r>
      <w:r w:rsidR="002F4030" w:rsidRPr="00354FD0">
        <w:rPr>
          <w:rStyle w:val="Strong"/>
        </w:rPr>
        <w:t>touch</w:t>
      </w:r>
      <w:r w:rsidRPr="00354FD0">
        <w:rPr>
          <w:rStyle w:val="Strong"/>
        </w:rPr>
        <w:t xml:space="preserve"> points</w:t>
      </w:r>
    </w:p>
    <w:p w14:paraId="142B6AD4" w14:textId="6295E445" w:rsidR="0053425E" w:rsidRPr="000F5E9E" w:rsidRDefault="0053425E" w:rsidP="00354FD0">
      <w:r w:rsidRPr="000B5D0B">
        <w:t>The NPILF operates on a three-</w:t>
      </w:r>
      <w:r w:rsidRPr="000F5E9E">
        <w:t>year reporting cycle. A</w:t>
      </w:r>
      <w:r w:rsidR="00FE4F71" w:rsidRPr="000F5E9E">
        <w:t>n initial learning year will take place in 2021 and a</w:t>
      </w:r>
      <w:r w:rsidRPr="000F5E9E">
        <w:t xml:space="preserve"> pilot will be implemented from 202</w:t>
      </w:r>
      <w:r w:rsidR="00FE4F71" w:rsidRPr="000F5E9E">
        <w:t>2</w:t>
      </w:r>
      <w:r w:rsidRPr="000F5E9E">
        <w:t>-2</w:t>
      </w:r>
      <w:r w:rsidR="00FE4F71" w:rsidRPr="000F5E9E">
        <w:t>4</w:t>
      </w:r>
      <w:r w:rsidR="00C264E2" w:rsidRPr="000F5E9E">
        <w:t xml:space="preserve">. </w:t>
      </w:r>
      <w:r w:rsidR="008D08EB" w:rsidRPr="000F5E9E">
        <w:t xml:space="preserve">The </w:t>
      </w:r>
      <w:r w:rsidR="00C264E2" w:rsidRPr="000F5E9E">
        <w:t>NPILF will be fully implemented in 202</w:t>
      </w:r>
      <w:r w:rsidR="00FE4F71" w:rsidRPr="000F5E9E">
        <w:t>5.</w:t>
      </w:r>
      <w:r w:rsidR="007C0931" w:rsidRPr="000F5E9E">
        <w:t xml:space="preserve"> Annual touch points will provide accountability toward continued engagement with NPILF.</w:t>
      </w:r>
      <w:r w:rsidRPr="000F5E9E">
        <w:t xml:space="preserve"> </w:t>
      </w:r>
      <w:bookmarkStart w:id="3" w:name="_Hlk57888294"/>
    </w:p>
    <w:p w14:paraId="11EBB1BF" w14:textId="620D7228" w:rsidR="0053425E" w:rsidRPr="00354FD0" w:rsidRDefault="008D08EB" w:rsidP="00354FD0">
      <w:pPr>
        <w:rPr>
          <w:rStyle w:val="Strong"/>
        </w:rPr>
      </w:pPr>
      <w:r w:rsidRPr="00354FD0">
        <w:rPr>
          <w:rStyle w:val="Strong"/>
        </w:rPr>
        <w:t>Full funding is guaranteed</w:t>
      </w:r>
      <w:r w:rsidR="00F0150B" w:rsidRPr="00354FD0">
        <w:rPr>
          <w:rStyle w:val="Strong"/>
        </w:rPr>
        <w:t xml:space="preserve"> during the pilot </w:t>
      </w:r>
    </w:p>
    <w:p w14:paraId="31C32F3F" w14:textId="51CE3C7B" w:rsidR="00B40B84" w:rsidRPr="000F5E9E" w:rsidRDefault="008D08EB" w:rsidP="00354FD0">
      <w:r w:rsidRPr="000F5E9E">
        <w:t>In</w:t>
      </w:r>
      <w:r w:rsidR="00C264E2" w:rsidRPr="000F5E9E">
        <w:t xml:space="preserve"> 202</w:t>
      </w:r>
      <w:r w:rsidR="00FE4F71" w:rsidRPr="000F5E9E">
        <w:t>5</w:t>
      </w:r>
      <w:r w:rsidR="007C0931" w:rsidRPr="000F5E9E">
        <w:t xml:space="preserve"> </w:t>
      </w:r>
      <w:r w:rsidRPr="000F5E9E">
        <w:t xml:space="preserve">the </w:t>
      </w:r>
      <w:r w:rsidR="007C0931" w:rsidRPr="000F5E9E">
        <w:t>allocation of funding will be consistent</w:t>
      </w:r>
      <w:r w:rsidR="007C0931">
        <w:t xml:space="preserve"> with the </w:t>
      </w:r>
      <w:r w:rsidR="00C264E2">
        <w:t xml:space="preserve">assessment of the six measures of the pilot. </w:t>
      </w:r>
      <w:r w:rsidR="005525FD">
        <w:t>W</w:t>
      </w:r>
      <w:r w:rsidR="002F5235">
        <w:t>here a university does not receive their full allocation, the remaining amount will be evenly distributed among universities that achieve</w:t>
      </w:r>
      <w:r w:rsidR="00FE4F71">
        <w:t>d</w:t>
      </w:r>
      <w:r w:rsidR="002F5235">
        <w:t xml:space="preserve"> 6/6 from the pilot.  </w:t>
      </w:r>
      <w:bookmarkEnd w:id="3"/>
    </w:p>
    <w:p w14:paraId="27F86020" w14:textId="77777777" w:rsidR="00B40B84" w:rsidRPr="00354FD0" w:rsidRDefault="00B40B84" w:rsidP="00354FD0">
      <w:pPr>
        <w:rPr>
          <w:rStyle w:val="Strong"/>
        </w:rPr>
      </w:pPr>
      <w:r w:rsidRPr="00354FD0">
        <w:rPr>
          <w:rStyle w:val="Strong"/>
        </w:rPr>
        <w:t>The pilot period is critical to the fund’s success</w:t>
      </w:r>
    </w:p>
    <w:p w14:paraId="6D9BB269" w14:textId="3349DBDE" w:rsidR="00B40B84" w:rsidRDefault="00B40B84" w:rsidP="00354FD0">
      <w:r>
        <w:t xml:space="preserve">The report outlines the </w:t>
      </w:r>
      <w:r w:rsidR="00C5151F">
        <w:t>design of the fund</w:t>
      </w:r>
      <w:r w:rsidR="00E5162B">
        <w:t xml:space="preserve"> in addition to</w:t>
      </w:r>
      <w:r w:rsidR="00C5151F">
        <w:t xml:space="preserve"> the</w:t>
      </w:r>
      <w:r w:rsidR="00E5162B">
        <w:t xml:space="preserve"> key policy </w:t>
      </w:r>
      <w:r w:rsidR="00C5151F">
        <w:t>objective</w:t>
      </w:r>
      <w:r w:rsidR="008D0A4B">
        <w:t>s</w:t>
      </w:r>
      <w:r w:rsidR="00C5151F">
        <w:t>,</w:t>
      </w:r>
      <w:r>
        <w:t xml:space="preserve"> </w:t>
      </w:r>
      <w:r w:rsidR="00C5151F">
        <w:t>which</w:t>
      </w:r>
      <w:r>
        <w:t xml:space="preserve"> </w:t>
      </w:r>
      <w:r w:rsidR="00C5151F">
        <w:t>drive</w:t>
      </w:r>
      <w:r>
        <w:t xml:space="preserve"> performance in each priorit</w:t>
      </w:r>
      <w:r w:rsidR="009A4B0B">
        <w:t>y</w:t>
      </w:r>
      <w:r>
        <w:t xml:space="preserve">. </w:t>
      </w:r>
      <w:r w:rsidR="008D0A4B">
        <w:t>Additional</w:t>
      </w:r>
      <w:r>
        <w:t xml:space="preserve"> work is required with the sector to </w:t>
      </w:r>
      <w:r w:rsidR="008D0A4B">
        <w:t>establish</w:t>
      </w:r>
      <w:r>
        <w:t xml:space="preserve"> the definitions</w:t>
      </w:r>
      <w:r w:rsidR="008D0A4B">
        <w:t xml:space="preserve"> of the</w:t>
      </w:r>
      <w:r>
        <w:t xml:space="preserve"> NPILF metrics, as well as the process of assessment by the department. The pilot period provides an opportunity to further this </w:t>
      </w:r>
      <w:r w:rsidR="00CB7821">
        <w:t xml:space="preserve">important </w:t>
      </w:r>
      <w:r>
        <w:t xml:space="preserve">work. </w:t>
      </w:r>
    </w:p>
    <w:p w14:paraId="5D8AE2D9" w14:textId="77777777" w:rsidR="00713287" w:rsidRDefault="00713287" w:rsidP="000F5E9E">
      <w:pPr>
        <w:spacing w:after="120" w:line="240" w:lineRule="auto"/>
      </w:pPr>
    </w:p>
    <w:p w14:paraId="73A13A9D" w14:textId="64C46606" w:rsidR="007C21C6" w:rsidRDefault="007C21C6">
      <w:pPr>
        <w:spacing w:after="160" w:line="259" w:lineRule="auto"/>
        <w:rPr>
          <w:rFonts w:ascii="Calibri" w:eastAsiaTheme="majorEastAsia" w:hAnsi="Calibri" w:cstheme="majorBidi"/>
          <w:b/>
          <w:color w:val="5F6369"/>
        </w:rPr>
      </w:pPr>
      <w:r>
        <w:br w:type="page"/>
      </w:r>
    </w:p>
    <w:p w14:paraId="08D46642" w14:textId="494E5521" w:rsidR="00CA66C8" w:rsidRDefault="007C045D" w:rsidP="00CA66C8">
      <w:pPr>
        <w:pStyle w:val="Heading1"/>
      </w:pPr>
      <w:bookmarkStart w:id="4" w:name="_Toc58494488"/>
      <w:r>
        <w:lastRenderedPageBreak/>
        <w:t>National Priorities and Industry Linkage Fund</w:t>
      </w:r>
      <w:bookmarkEnd w:id="4"/>
    </w:p>
    <w:p w14:paraId="5763A2D4" w14:textId="268B4BCB" w:rsidR="009857B6" w:rsidRDefault="00CA66C8" w:rsidP="00354FD0">
      <w:pPr>
        <w:rPr>
          <w:rFonts w:ascii="Calibri" w:eastAsia="Times New Roman" w:hAnsi="Calibri" w:cs="Calibri"/>
          <w:color w:val="000000"/>
          <w:szCs w:val="24"/>
        </w:rPr>
      </w:pPr>
      <w:r w:rsidRPr="004252D5">
        <w:t xml:space="preserve">Under the Job-ready Graduates </w:t>
      </w:r>
      <w:r>
        <w:t>Package</w:t>
      </w:r>
      <w:r w:rsidRPr="004252D5">
        <w:t xml:space="preserve"> of higher education</w:t>
      </w:r>
      <w:r>
        <w:t xml:space="preserve"> reforms</w:t>
      </w:r>
      <w:r w:rsidRPr="004252D5">
        <w:t>, the $900 million National Priorities and Ind</w:t>
      </w:r>
      <w:r>
        <w:t xml:space="preserve">ustry Linkage Fund (NPILF) will incentivise </w:t>
      </w:r>
      <w:r w:rsidRPr="004252D5">
        <w:t>universities to support enhanced university engagement with industry to produce job-ready graduates.</w:t>
      </w:r>
      <w:r>
        <w:t xml:space="preserve"> </w:t>
      </w:r>
      <w:r w:rsidR="00E108DF">
        <w:t xml:space="preserve">From 2021, </w:t>
      </w:r>
      <w:r w:rsidR="0047664E">
        <w:t>t</w:t>
      </w:r>
      <w:r w:rsidR="0047664E">
        <w:rPr>
          <w:rFonts w:ascii="Calibri" w:eastAsia="Times New Roman" w:hAnsi="Calibri" w:cs="Calibri"/>
          <w:color w:val="000000"/>
          <w:szCs w:val="24"/>
          <w:lang w:val="x-none"/>
        </w:rPr>
        <w:t>he</w:t>
      </w:r>
      <w:r w:rsidR="00E108DF">
        <w:rPr>
          <w:rFonts w:ascii="Calibri" w:eastAsia="Times New Roman" w:hAnsi="Calibri" w:cs="Calibri"/>
          <w:color w:val="000000"/>
          <w:szCs w:val="24"/>
          <w:lang w:val="x-none"/>
        </w:rPr>
        <w:t xml:space="preserve"> NPILF will operate through Part 2-3 (Other grants) of the </w:t>
      </w:r>
      <w:r w:rsidR="00E108DF">
        <w:rPr>
          <w:rFonts w:ascii="Calibri" w:eastAsia="Times New Roman" w:hAnsi="Calibri" w:cs="Calibri"/>
          <w:i/>
          <w:color w:val="000000"/>
          <w:szCs w:val="24"/>
          <w:lang w:val="x-none"/>
        </w:rPr>
        <w:t xml:space="preserve">Higher Education Support Act 2003 </w:t>
      </w:r>
      <w:r w:rsidR="00E108DF">
        <w:rPr>
          <w:rFonts w:ascii="Calibri" w:eastAsia="Times New Roman" w:hAnsi="Calibri" w:cs="Calibri"/>
          <w:color w:val="000000"/>
          <w:szCs w:val="24"/>
          <w:lang w:val="x-none"/>
        </w:rPr>
        <w:t>(HESA).</w:t>
      </w:r>
    </w:p>
    <w:p w14:paraId="246A8957" w14:textId="7EDD2916" w:rsidR="00F63AA0" w:rsidRPr="009857B6" w:rsidRDefault="00F63AA0" w:rsidP="00354FD0">
      <w:pPr>
        <w:rPr>
          <w:rFonts w:ascii="Calibri" w:eastAsia="Times New Roman" w:hAnsi="Calibri" w:cs="Calibri"/>
          <w:color w:val="000000"/>
          <w:szCs w:val="24"/>
          <w:lang w:val="x-none"/>
        </w:rPr>
      </w:pPr>
      <w:r>
        <w:t>The purpose of this report</w:t>
      </w:r>
      <w:r w:rsidR="00D313D8">
        <w:t xml:space="preserve"> is to provide advice about the design and implementation of the fund. The advice has been agreed by all working group members:</w:t>
      </w:r>
    </w:p>
    <w:p w14:paraId="26239EC8" w14:textId="77777777" w:rsidR="00D313D8" w:rsidRPr="009857B6" w:rsidRDefault="00D313D8" w:rsidP="00354FD0">
      <w:pPr>
        <w:pStyle w:val="ListBullet"/>
      </w:pPr>
      <w:r w:rsidRPr="009857B6">
        <w:t>Professor Attila Brungs, Vice-Chancellor, Uni</w:t>
      </w:r>
      <w:r w:rsidR="00416E5F">
        <w:t>versity of Technology, Sydney (</w:t>
      </w:r>
      <w:r w:rsidRPr="009857B6">
        <w:t>Chair</w:t>
      </w:r>
      <w:r w:rsidR="00416E5F">
        <w:t>)</w:t>
      </w:r>
    </w:p>
    <w:p w14:paraId="0171D545" w14:textId="77777777" w:rsidR="009715BE" w:rsidRPr="009857B6" w:rsidRDefault="009715BE" w:rsidP="00354FD0">
      <w:pPr>
        <w:pStyle w:val="ListBullet"/>
      </w:pPr>
      <w:r w:rsidRPr="009857B6">
        <w:t>Professor Helen Bartlett, Vice-Chancellor, University of Sunshine Coast</w:t>
      </w:r>
    </w:p>
    <w:p w14:paraId="747E1219" w14:textId="77777777" w:rsidR="009715BE" w:rsidRPr="009857B6" w:rsidRDefault="009715BE" w:rsidP="00354FD0">
      <w:pPr>
        <w:pStyle w:val="ListBullet"/>
      </w:pPr>
      <w:r w:rsidRPr="009857B6">
        <w:t>Professor Barney Glover AO, Vice-Chancellor, Western Sydney University</w:t>
      </w:r>
    </w:p>
    <w:p w14:paraId="34D02C01" w14:textId="77777777" w:rsidR="009715BE" w:rsidRPr="009857B6" w:rsidRDefault="009715BE" w:rsidP="00354FD0">
      <w:pPr>
        <w:pStyle w:val="ListBullet"/>
      </w:pPr>
      <w:r w:rsidRPr="009857B6">
        <w:t>Professor Eeva Leinonen, Vice-Chancellor, Murdoch University</w:t>
      </w:r>
    </w:p>
    <w:p w14:paraId="64F9D54C" w14:textId="77777777" w:rsidR="009715BE" w:rsidRPr="009857B6" w:rsidRDefault="009715BE" w:rsidP="00354FD0">
      <w:pPr>
        <w:pStyle w:val="ListBullet"/>
      </w:pPr>
      <w:r w:rsidRPr="009857B6">
        <w:t>Professor David Lloyd, Vice-Chancellor, University of South Australia</w:t>
      </w:r>
    </w:p>
    <w:p w14:paraId="5A06B9B0" w14:textId="77777777" w:rsidR="009715BE" w:rsidRPr="009857B6" w:rsidRDefault="009715BE" w:rsidP="00354FD0">
      <w:pPr>
        <w:pStyle w:val="ListBullet"/>
      </w:pPr>
      <w:r w:rsidRPr="009857B6">
        <w:t>Professor Brian Schmidt AC, Vice-Chancellor, Australian National University</w:t>
      </w:r>
    </w:p>
    <w:p w14:paraId="3F8F1FC5" w14:textId="77777777" w:rsidR="00D313D8" w:rsidRPr="009857B6" w:rsidRDefault="00D313D8" w:rsidP="00354FD0">
      <w:pPr>
        <w:pStyle w:val="ListBullet"/>
      </w:pPr>
      <w:r w:rsidRPr="009857B6">
        <w:t>Professor Deborah Terry AO, Vice-Chancellor, The University of Queensland</w:t>
      </w:r>
    </w:p>
    <w:p w14:paraId="5009C78F" w14:textId="374C0C0F" w:rsidR="00D313D8" w:rsidRPr="009857B6" w:rsidRDefault="00D313D8" w:rsidP="00354FD0">
      <w:pPr>
        <w:pStyle w:val="ListBullet"/>
      </w:pPr>
      <w:r w:rsidRPr="009857B6">
        <w:t xml:space="preserve">Professor Alex </w:t>
      </w:r>
      <w:r w:rsidR="00B66384" w:rsidRPr="009857B6">
        <w:t>Zelins</w:t>
      </w:r>
      <w:r w:rsidR="001D7DF0">
        <w:t>k</w:t>
      </w:r>
      <w:r w:rsidR="00B66384" w:rsidRPr="009857B6">
        <w:t xml:space="preserve">y AO, Vice-Chancellor, </w:t>
      </w:r>
      <w:r w:rsidRPr="009857B6">
        <w:t>University of Newcastle</w:t>
      </w:r>
    </w:p>
    <w:p w14:paraId="21573FC6" w14:textId="77777777" w:rsidR="00A94A7A" w:rsidRDefault="00A94A7A" w:rsidP="00354FD0">
      <w:pPr>
        <w:rPr>
          <w:rFonts w:ascii="Calibri" w:eastAsiaTheme="majorEastAsia" w:hAnsi="Calibri" w:cstheme="majorBidi"/>
          <w:b/>
          <w:color w:val="287DB2" w:themeColor="accent6"/>
          <w:sz w:val="30"/>
          <w:szCs w:val="26"/>
        </w:rPr>
      </w:pPr>
      <w:r>
        <w:br w:type="page"/>
      </w:r>
    </w:p>
    <w:p w14:paraId="6DD5E3AA" w14:textId="3234032B" w:rsidR="000F77C1" w:rsidRDefault="000F77C1" w:rsidP="00921034">
      <w:pPr>
        <w:pStyle w:val="Heading2"/>
      </w:pPr>
      <w:bookmarkStart w:id="5" w:name="_Toc58494489"/>
      <w:r>
        <w:lastRenderedPageBreak/>
        <w:t>Setting the scene</w:t>
      </w:r>
      <w:bookmarkEnd w:id="5"/>
    </w:p>
    <w:p w14:paraId="0AEDEA6D" w14:textId="77777777" w:rsidR="00B40B84" w:rsidRPr="00354FD0" w:rsidRDefault="00B40B84" w:rsidP="00354FD0">
      <w:pPr>
        <w:pStyle w:val="Heading4"/>
      </w:pPr>
      <w:r w:rsidRPr="00354FD0">
        <w:t>The job-ready graduate</w:t>
      </w:r>
    </w:p>
    <w:p w14:paraId="6447169C" w14:textId="74FA7B36" w:rsidR="00B40B84" w:rsidRDefault="00B40B84" w:rsidP="00354FD0">
      <w:r>
        <w:t>The development</w:t>
      </w:r>
      <w:r w:rsidR="005C53F7">
        <w:t xml:space="preserve"> of</w:t>
      </w:r>
      <w:r>
        <w:t xml:space="preserve"> a job-ready graduate</w:t>
      </w:r>
      <w:r w:rsidR="005C53F7">
        <w:t xml:space="preserve"> </w:t>
      </w:r>
      <w:r>
        <w:t>is more complex than ever before. The types of jobs and the nature of work are increasingly more global, complex and connected. Automation and the uptake of artificial intelligence can rapidly replace the skillsets of an existing workforce, requiring a lifetime commitment to education. Graduates require a range of skills to future</w:t>
      </w:r>
      <w:r w:rsidR="008D08EB">
        <w:t>-</w:t>
      </w:r>
      <w:r>
        <w:t xml:space="preserve">proof them against robotic redundancy and enable their success in a future of multiple careers. </w:t>
      </w:r>
    </w:p>
    <w:p w14:paraId="163B55A9" w14:textId="478BDE44" w:rsidR="00B40B84" w:rsidRPr="000B5D0B" w:rsidRDefault="00B40B84" w:rsidP="00354FD0">
      <w:r>
        <w:t>The</w:t>
      </w:r>
      <w:r w:rsidR="005C53F7">
        <w:t xml:space="preserve"> job-ready graduate </w:t>
      </w:r>
      <w:r>
        <w:t>need</w:t>
      </w:r>
      <w:r w:rsidR="005C53F7">
        <w:t>s</w:t>
      </w:r>
      <w:r>
        <w:t xml:space="preserve"> to be prepared for the future of work, have enhanced STEM-skills and have the professional skills which make them confident to apply their course knowledge. The challenge of COVID-19 means that our graduates also need to be resilient, entrepreneurial and willing to </w:t>
      </w:r>
      <w:r w:rsidRPr="000B5D0B">
        <w:t xml:space="preserve">engage with such complexity. </w:t>
      </w:r>
    </w:p>
    <w:p w14:paraId="7D51F8F3" w14:textId="77777777" w:rsidR="00B40B84" w:rsidRPr="00354FD0" w:rsidRDefault="00B40B84" w:rsidP="00354FD0">
      <w:pPr>
        <w:pStyle w:val="Heading4"/>
      </w:pPr>
      <w:r w:rsidRPr="00354FD0">
        <w:t xml:space="preserve">Driving long-term change </w:t>
      </w:r>
    </w:p>
    <w:p w14:paraId="4CC88A32" w14:textId="1BAE0F93" w:rsidR="00B40B84" w:rsidRPr="000B5D0B" w:rsidRDefault="00B40B84" w:rsidP="00354FD0">
      <w:r w:rsidRPr="000B5D0B">
        <w:t xml:space="preserve">Our institutions play an important role in driving the settings to enable this change. It is therefore important to provide a space for universities to be innovative and creative in their approach to </w:t>
      </w:r>
      <w:r w:rsidR="00713287" w:rsidRPr="000B5D0B">
        <w:t xml:space="preserve">engagement and </w:t>
      </w:r>
      <w:r w:rsidRPr="000B5D0B">
        <w:t>building job-ready graduates. Innovation is an important driver of economic growth and can be supported by a strong culture of collaboration between universities, industry, business (includ</w:t>
      </w:r>
      <w:r w:rsidR="008D08EB">
        <w:t>ing</w:t>
      </w:r>
      <w:r w:rsidRPr="000B5D0B">
        <w:t xml:space="preserve"> small</w:t>
      </w:r>
      <w:r w:rsidR="008D08EB">
        <w:t xml:space="preserve"> to </w:t>
      </w:r>
      <w:r w:rsidRPr="000B5D0B">
        <w:t>medium</w:t>
      </w:r>
      <w:r w:rsidR="008D08EB">
        <w:t xml:space="preserve"> size</w:t>
      </w:r>
      <w:r w:rsidRPr="000B5D0B">
        <w:t xml:space="preserve"> enterprises), government and the wider community. </w:t>
      </w:r>
    </w:p>
    <w:p w14:paraId="446A8D2F" w14:textId="2EE4ED9F" w:rsidR="00B40B84" w:rsidRDefault="00B40B84" w:rsidP="00354FD0">
      <w:r w:rsidRPr="000B5D0B">
        <w:t xml:space="preserve">University-industry partnerships and collaboration across teaching, learning and research is critical to ensuring graduates leave the higher education system with the skills and experience they need to </w:t>
      </w:r>
      <w:r w:rsidR="00713287" w:rsidRPr="000B5D0B">
        <w:t xml:space="preserve">both </w:t>
      </w:r>
      <w:r w:rsidRPr="000B5D0B">
        <w:t xml:space="preserve">succeed </w:t>
      </w:r>
      <w:r w:rsidR="00713287" w:rsidRPr="000B5D0B">
        <w:t>in and shape</w:t>
      </w:r>
      <w:r w:rsidRPr="000B5D0B">
        <w:t xml:space="preserve"> the workforce. The diversity of Australia’s university sector </w:t>
      </w:r>
      <w:r w:rsidR="005C53F7" w:rsidRPr="000B5D0B">
        <w:t xml:space="preserve">means that </w:t>
      </w:r>
      <w:r w:rsidRPr="000B5D0B">
        <w:t>every institution will have different ideas about how this can be best achieved, as articulated through their missions. This</w:t>
      </w:r>
      <w:r>
        <w:t xml:space="preserve"> is not a weakness but a strength of the sector and should be celebrated and shared. </w:t>
      </w:r>
    </w:p>
    <w:p w14:paraId="24EA0159" w14:textId="7F984986" w:rsidR="000F77C1" w:rsidRDefault="00B40B84" w:rsidP="00354FD0">
      <w:r>
        <w:t>The</w:t>
      </w:r>
      <w:r w:rsidR="008E0F18">
        <w:t xml:space="preserve"> design of the </w:t>
      </w:r>
      <w:r w:rsidR="008D08EB">
        <w:t xml:space="preserve">NPILF </w:t>
      </w:r>
      <w:r w:rsidR="008E0F18">
        <w:t>reflects the</w:t>
      </w:r>
      <w:r>
        <w:t xml:space="preserve"> importance of being flexible, collaborativ</w:t>
      </w:r>
      <w:r w:rsidR="008E0F18">
        <w:t>e and measured</w:t>
      </w:r>
      <w:r w:rsidR="00BD5BCC">
        <w:t xml:space="preserve">. The metrics and case studies </w:t>
      </w:r>
      <w:r w:rsidR="008E0F18">
        <w:t>enable the measurement of</w:t>
      </w:r>
      <w:r w:rsidR="00BD5BCC">
        <w:t xml:space="preserve"> institutional activities against the aspirations and priorities of the fund. The case studies themselves can be </w:t>
      </w:r>
      <w:r w:rsidR="008E0F18">
        <w:t>programs that are</w:t>
      </w:r>
      <w:r w:rsidR="00BD5BCC">
        <w:t xml:space="preserve"> a demonstration of best practice</w:t>
      </w:r>
      <w:r w:rsidR="008E0F18">
        <w:t xml:space="preserve"> or more innovative and seek to turn the dial. The</w:t>
      </w:r>
      <w:r w:rsidR="003451EE">
        <w:t xml:space="preserve"> case studies will lift the sector as a whole </w:t>
      </w:r>
      <w:r w:rsidR="00837519">
        <w:t>by allowing</w:t>
      </w:r>
      <w:r w:rsidR="003451EE">
        <w:t xml:space="preserve"> institutions</w:t>
      </w:r>
      <w:r w:rsidR="008D08EB">
        <w:t xml:space="preserve"> and businesses</w:t>
      </w:r>
      <w:r w:rsidR="00837519">
        <w:t xml:space="preserve"> to</w:t>
      </w:r>
      <w:r w:rsidR="008E0F18">
        <w:t xml:space="preserve"> </w:t>
      </w:r>
      <w:r w:rsidR="003451EE">
        <w:t>learn from each other and share the ideas and activities that have a track record of success</w:t>
      </w:r>
      <w:r w:rsidR="00837519">
        <w:t>,</w:t>
      </w:r>
      <w:r w:rsidR="003451EE">
        <w:t xml:space="preserve"> </w:t>
      </w:r>
      <w:r w:rsidR="00837519">
        <w:t>i</w:t>
      </w:r>
      <w:r w:rsidR="003451EE">
        <w:t>n addition</w:t>
      </w:r>
      <w:r w:rsidR="00837519">
        <w:t xml:space="preserve"> to encouraging growth by </w:t>
      </w:r>
      <w:r w:rsidR="008E0F18">
        <w:t>push</w:t>
      </w:r>
      <w:r w:rsidR="00837519">
        <w:t>ing</w:t>
      </w:r>
      <w:r w:rsidR="008E0F18">
        <w:t xml:space="preserve"> th</w:t>
      </w:r>
      <w:r w:rsidR="003451EE">
        <w:t>e boundaries and try</w:t>
      </w:r>
      <w:r w:rsidR="00837519">
        <w:t>ing</w:t>
      </w:r>
      <w:r w:rsidR="003451EE">
        <w:t xml:space="preserve"> new things, without fear of failure</w:t>
      </w:r>
      <w:r w:rsidR="00837519">
        <w:t>.</w:t>
      </w:r>
    </w:p>
    <w:p w14:paraId="4006778F" w14:textId="77777777" w:rsidR="000F77C1" w:rsidRDefault="000F77C1" w:rsidP="00921034">
      <w:pPr>
        <w:pStyle w:val="Heading2"/>
      </w:pPr>
    </w:p>
    <w:p w14:paraId="1983A12D" w14:textId="77777777" w:rsidR="00B40B84" w:rsidRDefault="00B40B84" w:rsidP="00921034">
      <w:pPr>
        <w:pStyle w:val="Heading2"/>
      </w:pPr>
      <w:r>
        <w:br w:type="page"/>
      </w:r>
    </w:p>
    <w:p w14:paraId="2B36554A" w14:textId="27CA5DF7" w:rsidR="00CA66C8" w:rsidRDefault="00921034" w:rsidP="00921034">
      <w:pPr>
        <w:pStyle w:val="Heading2"/>
      </w:pPr>
      <w:bookmarkStart w:id="6" w:name="_Toc58494490"/>
      <w:r>
        <w:lastRenderedPageBreak/>
        <w:t>T</w:t>
      </w:r>
      <w:r w:rsidR="00CA66C8" w:rsidRPr="0068656A">
        <w:t>imeline</w:t>
      </w:r>
      <w:bookmarkEnd w:id="6"/>
    </w:p>
    <w:p w14:paraId="5E72C0DD" w14:textId="77777777" w:rsidR="00921034" w:rsidRDefault="00921034" w:rsidP="00354FD0">
      <w:r>
        <w:rPr>
          <w:rFonts w:cstheme="minorHAnsi"/>
        </w:rPr>
        <w:t xml:space="preserve">In preparing this advice, the working group </w:t>
      </w:r>
      <w:r w:rsidR="0050491A">
        <w:rPr>
          <w:rFonts w:cstheme="minorHAnsi"/>
        </w:rPr>
        <w:t>conducted</w:t>
      </w:r>
      <w:r>
        <w:rPr>
          <w:rFonts w:cstheme="minorHAnsi"/>
        </w:rPr>
        <w:t xml:space="preserve"> </w:t>
      </w:r>
      <w:r>
        <w:t>a broad consultation process across sectors, jurisdictions and different roles within the university</w:t>
      </w:r>
      <w:r w:rsidR="00A94A7A">
        <w:t xml:space="preserve"> community, refer </w:t>
      </w:r>
      <w:r w:rsidR="00A94A7A" w:rsidRPr="00A94A7A">
        <w:rPr>
          <w:b/>
        </w:rPr>
        <w:t>Figure 1</w:t>
      </w:r>
      <w:r w:rsidR="00A94A7A">
        <w:t>.</w:t>
      </w:r>
    </w:p>
    <w:p w14:paraId="735DB4F9" w14:textId="77777777" w:rsidR="00A94A7A" w:rsidRPr="00A94A7A" w:rsidRDefault="00A94A7A" w:rsidP="00921034">
      <w:pPr>
        <w:rPr>
          <w:b/>
        </w:rPr>
      </w:pPr>
      <w:r w:rsidRPr="00A94A7A">
        <w:rPr>
          <w:b/>
        </w:rPr>
        <w:t>Figure 1: NPILF consultation and implementation timeline</w:t>
      </w:r>
    </w:p>
    <w:p w14:paraId="6CF4BABA" w14:textId="76D5D80F" w:rsidR="005C53F7" w:rsidRDefault="00140CFA" w:rsidP="00140CFA">
      <w:r w:rsidRPr="00140CFA">
        <w:rPr>
          <w:noProof/>
          <w:lang w:eastAsia="en-AU"/>
        </w:rPr>
        <w:drawing>
          <wp:inline distT="0" distB="0" distL="0" distR="0" wp14:anchorId="443EB576" wp14:editId="58023E36">
            <wp:extent cx="5629910" cy="5413248"/>
            <wp:effectExtent l="38100" t="19050" r="27940" b="35560"/>
            <wp:docPr id="3" name="Diagram 3" descr="NPILF timeline that starts in August 2020 when the job-ready graduates package was announced. Then consultations were held with peak bodies of education and industry as well as other representatives from September to December. The working group provided final advice to the Minister in December and 2021 is the commencement of the learning yea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04CEA9A5" w14:textId="77777777" w:rsidR="005C53F7" w:rsidRDefault="005C53F7">
      <w:pPr>
        <w:spacing w:after="160" w:line="259" w:lineRule="auto"/>
      </w:pPr>
      <w:r>
        <w:br w:type="page"/>
      </w:r>
    </w:p>
    <w:p w14:paraId="06B5ABCA" w14:textId="77777777" w:rsidR="00677483" w:rsidRPr="0068656A" w:rsidRDefault="0050491A" w:rsidP="0068656A">
      <w:pPr>
        <w:pStyle w:val="Heading2"/>
      </w:pPr>
      <w:bookmarkStart w:id="7" w:name="_Toc58494491"/>
      <w:r>
        <w:lastRenderedPageBreak/>
        <w:t>P</w:t>
      </w:r>
      <w:r w:rsidR="00677483" w:rsidRPr="0068656A">
        <w:t>riorities</w:t>
      </w:r>
      <w:bookmarkEnd w:id="7"/>
    </w:p>
    <w:p w14:paraId="028C0B33" w14:textId="104992B1" w:rsidR="00677483" w:rsidRDefault="00677483" w:rsidP="00354FD0">
      <w:r>
        <w:t xml:space="preserve">The </w:t>
      </w:r>
      <w:r w:rsidR="0050491A">
        <w:t>working group recommends clear definitions to support the Government’s priorities</w:t>
      </w:r>
      <w:r w:rsidR="00B20A46">
        <w:t xml:space="preserve">. These will be revised for currency at the completion of the </w:t>
      </w:r>
      <w:r w:rsidR="008D08EB">
        <w:t>p</w:t>
      </w:r>
      <w:r w:rsidR="00B20A46">
        <w:t>ilot:</w:t>
      </w:r>
    </w:p>
    <w:p w14:paraId="51965A73" w14:textId="77777777" w:rsidR="00677483" w:rsidRPr="00354FD0" w:rsidRDefault="0012455E" w:rsidP="00354FD0">
      <w:pPr>
        <w:rPr>
          <w:b/>
          <w:bCs/>
          <w:color w:val="B6006A" w:themeColor="accent4"/>
        </w:rPr>
      </w:pPr>
      <w:r w:rsidRPr="00354FD0">
        <w:rPr>
          <w:b/>
          <w:bCs/>
          <w:color w:val="B6006A" w:themeColor="accent4"/>
        </w:rPr>
        <w:t xml:space="preserve">1. </w:t>
      </w:r>
      <w:r w:rsidR="00677483" w:rsidRPr="00354FD0">
        <w:rPr>
          <w:b/>
          <w:bCs/>
          <w:color w:val="B6006A" w:themeColor="accent4"/>
        </w:rPr>
        <w:t xml:space="preserve">Increase the number of internships, practicums and other innovative approaches to </w:t>
      </w:r>
      <w:r w:rsidR="007F2121" w:rsidRPr="00354FD0">
        <w:rPr>
          <w:b/>
          <w:bCs/>
          <w:color w:val="B6006A" w:themeColor="accent4"/>
        </w:rPr>
        <w:br/>
      </w:r>
      <w:r w:rsidR="00C26B30" w:rsidRPr="00354FD0">
        <w:rPr>
          <w:b/>
          <w:bCs/>
          <w:color w:val="B6006A" w:themeColor="accent4"/>
        </w:rPr>
        <w:t>work-integrated learning</w:t>
      </w:r>
    </w:p>
    <w:p w14:paraId="3A3470A5" w14:textId="3AA5059B" w:rsidR="00B20A46" w:rsidRDefault="00E12979" w:rsidP="00354FD0">
      <w:pPr>
        <w:rPr>
          <w:rStyle w:val="Heading5Char"/>
          <w:b w:val="0"/>
          <w:color w:val="auto"/>
        </w:rPr>
      </w:pPr>
      <w:r w:rsidRPr="00E12979">
        <w:rPr>
          <w:rStyle w:val="Heading5Char"/>
          <w:b w:val="0"/>
          <w:color w:val="auto"/>
        </w:rPr>
        <w:t>Work-integrated learning (WIL</w:t>
      </w:r>
      <w:r>
        <w:rPr>
          <w:rStyle w:val="Heading5Char"/>
          <w:b w:val="0"/>
          <w:color w:val="auto"/>
        </w:rPr>
        <w:t>) has been long cited as beneficial for stude</w:t>
      </w:r>
      <w:r w:rsidR="007C0477">
        <w:rPr>
          <w:rStyle w:val="Heading5Char"/>
          <w:b w:val="0"/>
          <w:color w:val="auto"/>
        </w:rPr>
        <w:t xml:space="preserve">nts, employers and universities. In particular, </w:t>
      </w:r>
      <w:r w:rsidR="00B91F09">
        <w:rPr>
          <w:rStyle w:val="Heading5Char"/>
          <w:b w:val="0"/>
          <w:color w:val="auto"/>
        </w:rPr>
        <w:t>the</w:t>
      </w:r>
      <w:r w:rsidR="007C0477">
        <w:rPr>
          <w:rStyle w:val="Heading5Char"/>
          <w:b w:val="0"/>
          <w:color w:val="auto"/>
        </w:rPr>
        <w:t xml:space="preserve"> positive correlation </w:t>
      </w:r>
      <w:r w:rsidR="00B91F09">
        <w:rPr>
          <w:rStyle w:val="Heading5Char"/>
          <w:b w:val="0"/>
          <w:color w:val="auto"/>
        </w:rPr>
        <w:t>between WIL and</w:t>
      </w:r>
      <w:r w:rsidR="007C0477">
        <w:rPr>
          <w:rStyle w:val="Heading5Char"/>
          <w:b w:val="0"/>
          <w:color w:val="auto"/>
        </w:rPr>
        <w:t xml:space="preserve"> graduate </w:t>
      </w:r>
      <w:r w:rsidR="00B91F09">
        <w:rPr>
          <w:rStyle w:val="Heading5Char"/>
          <w:b w:val="0"/>
          <w:color w:val="auto"/>
        </w:rPr>
        <w:t xml:space="preserve">employment </w:t>
      </w:r>
      <w:r w:rsidR="007C0477">
        <w:rPr>
          <w:rStyle w:val="Heading5Char"/>
          <w:b w:val="0"/>
          <w:color w:val="auto"/>
        </w:rPr>
        <w:t>outcomes</w:t>
      </w:r>
      <w:r w:rsidR="00B91F09">
        <w:rPr>
          <w:rStyle w:val="Heading5Char"/>
          <w:b w:val="0"/>
          <w:color w:val="auto"/>
        </w:rPr>
        <w:t xml:space="preserve"> is the reason</w:t>
      </w:r>
      <w:r w:rsidR="007C0477">
        <w:rPr>
          <w:rStyle w:val="Heading5Char"/>
          <w:b w:val="0"/>
          <w:color w:val="auto"/>
        </w:rPr>
        <w:t xml:space="preserve"> this priority is a cornerstone of the fund.</w:t>
      </w:r>
      <w:r w:rsidR="00B91F09">
        <w:rPr>
          <w:rStyle w:val="Heading5Char"/>
          <w:b w:val="0"/>
          <w:color w:val="auto"/>
        </w:rPr>
        <w:t xml:space="preserve"> </w:t>
      </w:r>
      <w:r>
        <w:rPr>
          <w:rStyle w:val="Heading5Char"/>
          <w:b w:val="0"/>
          <w:color w:val="auto"/>
        </w:rPr>
        <w:t xml:space="preserve">While a high baseline for WIL exists across the sector, and </w:t>
      </w:r>
      <w:r w:rsidR="00F0150B">
        <w:rPr>
          <w:rStyle w:val="Heading5Char"/>
          <w:b w:val="0"/>
          <w:color w:val="auto"/>
        </w:rPr>
        <w:t xml:space="preserve">the Tertiary </w:t>
      </w:r>
      <w:r w:rsidR="00E06668">
        <w:rPr>
          <w:rStyle w:val="Heading5Char"/>
          <w:b w:val="0"/>
          <w:color w:val="auto"/>
        </w:rPr>
        <w:t xml:space="preserve">Education </w:t>
      </w:r>
      <w:r w:rsidR="00F0150B">
        <w:rPr>
          <w:rStyle w:val="Heading5Char"/>
          <w:b w:val="0"/>
          <w:color w:val="auto"/>
        </w:rPr>
        <w:t>Quality and Standards Agency (TEQSA)</w:t>
      </w:r>
      <w:r w:rsidR="00107DB6">
        <w:rPr>
          <w:rStyle w:val="Heading5Char"/>
          <w:b w:val="0"/>
          <w:color w:val="auto"/>
        </w:rPr>
        <w:t xml:space="preserve"> assure the quality of WIL </w:t>
      </w:r>
      <w:r>
        <w:rPr>
          <w:rStyle w:val="Heading5Char"/>
          <w:b w:val="0"/>
          <w:color w:val="auto"/>
        </w:rPr>
        <w:t>activities</w:t>
      </w:r>
      <w:r w:rsidR="00B91F09">
        <w:rPr>
          <w:rStyle w:val="Heading5Char"/>
          <w:b w:val="0"/>
          <w:color w:val="auto"/>
        </w:rPr>
        <w:t>, there rem</w:t>
      </w:r>
      <w:r w:rsidR="00750FF8">
        <w:rPr>
          <w:rStyle w:val="Heading5Char"/>
          <w:b w:val="0"/>
          <w:color w:val="auto"/>
        </w:rPr>
        <w:t xml:space="preserve">ains barriers for some cohorts and </w:t>
      </w:r>
      <w:r w:rsidR="00B91F09">
        <w:rPr>
          <w:rStyle w:val="Heading5Char"/>
          <w:b w:val="0"/>
          <w:color w:val="auto"/>
        </w:rPr>
        <w:t>areas for improvement that are to be addressed under this priority</w:t>
      </w:r>
      <w:r>
        <w:rPr>
          <w:rStyle w:val="Heading5Char"/>
          <w:b w:val="0"/>
          <w:color w:val="auto"/>
        </w:rPr>
        <w:t>.</w:t>
      </w:r>
      <w:r w:rsidR="00750FF8">
        <w:rPr>
          <w:rStyle w:val="Heading5Char"/>
          <w:b w:val="0"/>
          <w:color w:val="auto"/>
        </w:rPr>
        <w:t xml:space="preserve"> </w:t>
      </w:r>
    </w:p>
    <w:p w14:paraId="1018CD17" w14:textId="7237C233" w:rsidR="0012455E" w:rsidRDefault="00B20A46" w:rsidP="00354FD0">
      <w:pPr>
        <w:rPr>
          <w:rStyle w:val="Heading5Char"/>
          <w:rFonts w:asciiTheme="minorHAnsi" w:eastAsiaTheme="minorHAnsi" w:hAnsiTheme="minorHAnsi" w:cstheme="minorBidi"/>
          <w:b w:val="0"/>
          <w:color w:val="auto"/>
        </w:rPr>
      </w:pPr>
      <w:r>
        <w:t xml:space="preserve">The focus on WIL opportunities may require non-traditional approaches to meet demand and innovative approaches in line with the changing nature of work. Recognising a broad interpretation of ‘industry’, NPILF acknowledges WIL across start-up, entrepreneurship, community and </w:t>
      </w:r>
      <w:r w:rsidR="008620FA">
        <w:t xml:space="preserve">       service-learning</w:t>
      </w:r>
      <w:r>
        <w:t xml:space="preserve"> environments</w:t>
      </w:r>
      <w:r w:rsidR="008D08EB">
        <w:t xml:space="preserve"> (such as the Carnegie </w:t>
      </w:r>
      <w:r w:rsidR="009A4B0B">
        <w:t>m</w:t>
      </w:r>
      <w:r w:rsidR="008D08EB">
        <w:t>odel)</w:t>
      </w:r>
      <w:r>
        <w:t xml:space="preserve">, among other traditional methods. However, quality and authenticity must not be lost as scale increases and assessment remains critical to implementation of WIL. </w:t>
      </w:r>
      <w:r w:rsidR="0012455E" w:rsidRPr="00E12979">
        <w:rPr>
          <w:rStyle w:val="Heading5Char"/>
          <w:b w:val="0"/>
          <w:color w:val="auto"/>
        </w:rPr>
        <w:t>For the purposes of this fund:</w:t>
      </w:r>
    </w:p>
    <w:p w14:paraId="1477B773" w14:textId="66AC11E7" w:rsidR="00354FD0" w:rsidRPr="008620FA" w:rsidRDefault="00354FD0" w:rsidP="00354FD0">
      <w:pPr>
        <w:ind w:left="720"/>
        <w:rPr>
          <w:rStyle w:val="Heading5Char"/>
          <w:rFonts w:asciiTheme="minorHAnsi" w:eastAsiaTheme="minorHAnsi" w:hAnsiTheme="minorHAnsi" w:cstheme="minorBidi"/>
          <w:b w:val="0"/>
          <w:color w:val="auto"/>
        </w:rPr>
      </w:pPr>
      <w:r w:rsidRPr="00354FD0">
        <w:rPr>
          <w:rStyle w:val="Heading5Char"/>
          <w:rFonts w:asciiTheme="minorHAnsi" w:eastAsiaTheme="minorHAnsi" w:hAnsiTheme="minorHAnsi" w:cstheme="minorBidi"/>
          <w:bCs/>
          <w:color w:val="auto"/>
        </w:rPr>
        <w:t>Work-integrated learning</w:t>
      </w:r>
      <w:r>
        <w:rPr>
          <w:rStyle w:val="Heading5Char"/>
          <w:rFonts w:asciiTheme="minorHAnsi" w:eastAsiaTheme="minorHAnsi" w:hAnsiTheme="minorHAnsi" w:cstheme="minorBidi"/>
          <w:b w:val="0"/>
          <w:color w:val="auto"/>
        </w:rPr>
        <w:t xml:space="preserve"> r</w:t>
      </w:r>
      <w:r w:rsidRPr="00354FD0">
        <w:rPr>
          <w:rStyle w:val="Heading5Char"/>
          <w:rFonts w:asciiTheme="minorHAnsi" w:eastAsiaTheme="minorHAnsi" w:hAnsiTheme="minorHAnsi" w:cstheme="minorBidi"/>
          <w:b w:val="0"/>
          <w:color w:val="auto"/>
        </w:rPr>
        <w:t>efers to student experiences of work within curriculum (or as co-curricular), undertaken in partnership, through engagement with authentic and genuine activities with and for industry, business or community partners, and which are assessed.</w:t>
      </w:r>
    </w:p>
    <w:p w14:paraId="4AA64AEE" w14:textId="77777777" w:rsidR="00354FD0" w:rsidRDefault="0012455E" w:rsidP="00354FD0">
      <w:pPr>
        <w:rPr>
          <w:rFonts w:ascii="Calibri" w:eastAsia="Times New Roman" w:hAnsi="Calibri" w:cs="Calibri"/>
          <w:color w:val="000000"/>
          <w:szCs w:val="24"/>
        </w:rPr>
      </w:pPr>
      <w:r>
        <w:rPr>
          <w:rStyle w:val="Heading5Char"/>
          <w:color w:val="B6006A" w:themeColor="accent4"/>
        </w:rPr>
        <w:t xml:space="preserve">2. </w:t>
      </w:r>
      <w:r w:rsidR="00677483" w:rsidRPr="0012455E">
        <w:rPr>
          <w:rStyle w:val="Heading5Char"/>
          <w:color w:val="B6006A" w:themeColor="accent4"/>
        </w:rPr>
        <w:t>Increase the number of STEM-skilled graduates and improve their employment outcomes</w:t>
      </w:r>
      <w:r w:rsidR="009A4B0B">
        <w:rPr>
          <w:rStyle w:val="Heading5Char"/>
          <w:color w:val="B6006A" w:themeColor="accent4"/>
        </w:rPr>
        <w:br/>
      </w:r>
      <w:r w:rsidR="00C33D8A">
        <w:t xml:space="preserve">The priority of ‘STEM-skilled’ </w:t>
      </w:r>
      <w:r w:rsidR="00C33D8A" w:rsidRPr="0012455E">
        <w:rPr>
          <w:rFonts w:ascii="Calibri" w:eastAsia="Times New Roman" w:hAnsi="Calibri" w:cs="Calibri"/>
          <w:color w:val="000000"/>
          <w:szCs w:val="24"/>
          <w:lang w:val="x-none"/>
        </w:rPr>
        <w:t xml:space="preserve">moves away from </w:t>
      </w:r>
      <w:r w:rsidR="00F34DB2">
        <w:rPr>
          <w:rFonts w:ascii="Calibri" w:eastAsia="Times New Roman" w:hAnsi="Calibri" w:cs="Calibri"/>
          <w:color w:val="000000"/>
          <w:szCs w:val="24"/>
        </w:rPr>
        <w:t xml:space="preserve">exclusively </w:t>
      </w:r>
      <w:r w:rsidR="00C33D8A">
        <w:rPr>
          <w:rFonts w:ascii="Calibri" w:eastAsia="Times New Roman" w:hAnsi="Calibri" w:cs="Calibri"/>
          <w:color w:val="000000"/>
          <w:szCs w:val="24"/>
        </w:rPr>
        <w:t>core</w:t>
      </w:r>
      <w:r w:rsidR="00C33D8A" w:rsidRPr="0012455E">
        <w:rPr>
          <w:rFonts w:ascii="Calibri" w:eastAsia="Times New Roman" w:hAnsi="Calibri" w:cs="Calibri"/>
          <w:color w:val="000000"/>
          <w:szCs w:val="24"/>
        </w:rPr>
        <w:t xml:space="preserve"> </w:t>
      </w:r>
      <w:r w:rsidR="00C33D8A" w:rsidRPr="0012455E">
        <w:rPr>
          <w:rFonts w:ascii="Calibri" w:eastAsia="Times New Roman" w:hAnsi="Calibri" w:cs="Calibri"/>
          <w:color w:val="000000"/>
          <w:szCs w:val="24"/>
          <w:lang w:val="x-none"/>
        </w:rPr>
        <w:t>STEM</w:t>
      </w:r>
      <w:r w:rsidR="00C33D8A" w:rsidRPr="0012455E">
        <w:rPr>
          <w:rFonts w:ascii="Calibri" w:eastAsia="Times New Roman" w:hAnsi="Calibri" w:cs="Calibri"/>
          <w:color w:val="000000"/>
          <w:szCs w:val="24"/>
        </w:rPr>
        <w:t xml:space="preserve"> </w:t>
      </w:r>
      <w:r w:rsidR="0047664E">
        <w:rPr>
          <w:rFonts w:ascii="Calibri" w:eastAsia="Times New Roman" w:hAnsi="Calibri" w:cs="Calibri"/>
          <w:color w:val="000000"/>
          <w:szCs w:val="24"/>
        </w:rPr>
        <w:t>fields</w:t>
      </w:r>
      <w:r w:rsidR="009A4B0B">
        <w:rPr>
          <w:rFonts w:ascii="Calibri" w:eastAsia="Times New Roman" w:hAnsi="Calibri" w:cs="Calibri"/>
          <w:color w:val="000000"/>
          <w:szCs w:val="24"/>
        </w:rPr>
        <w:t xml:space="preserve">. It </w:t>
      </w:r>
      <w:r w:rsidR="00C33D8A">
        <w:rPr>
          <w:rFonts w:ascii="Calibri" w:eastAsia="Times New Roman" w:hAnsi="Calibri" w:cs="Calibri"/>
          <w:color w:val="000000"/>
          <w:szCs w:val="24"/>
        </w:rPr>
        <w:t>seeks to increase</w:t>
      </w:r>
      <w:r w:rsidR="00C33D8A">
        <w:rPr>
          <w:rFonts w:ascii="Calibri" w:eastAsia="Times New Roman" w:hAnsi="Calibri" w:cs="Calibri"/>
          <w:color w:val="000000"/>
          <w:szCs w:val="24"/>
          <w:lang w:val="x-none"/>
        </w:rPr>
        <w:t xml:space="preserve"> the STEM-skills across all </w:t>
      </w:r>
      <w:r w:rsidR="00107DB6">
        <w:rPr>
          <w:rFonts w:ascii="Calibri" w:eastAsia="Times New Roman" w:hAnsi="Calibri" w:cs="Calibri"/>
          <w:color w:val="000000"/>
          <w:szCs w:val="24"/>
        </w:rPr>
        <w:t>disciplines</w:t>
      </w:r>
      <w:r w:rsidR="009A4B0B">
        <w:rPr>
          <w:rFonts w:ascii="Calibri" w:eastAsia="Times New Roman" w:hAnsi="Calibri" w:cs="Calibri"/>
          <w:color w:val="000000"/>
          <w:szCs w:val="24"/>
        </w:rPr>
        <w:t xml:space="preserve"> </w:t>
      </w:r>
      <w:r w:rsidR="0047664E">
        <w:rPr>
          <w:rFonts w:ascii="Calibri" w:eastAsia="Times New Roman" w:hAnsi="Calibri" w:cs="Calibri"/>
          <w:color w:val="000000"/>
          <w:szCs w:val="24"/>
        </w:rPr>
        <w:t>with the aim</w:t>
      </w:r>
      <w:r w:rsidR="00C33D8A">
        <w:rPr>
          <w:rFonts w:ascii="Calibri" w:eastAsia="Times New Roman" w:hAnsi="Calibri" w:cs="Calibri"/>
          <w:color w:val="000000"/>
          <w:szCs w:val="24"/>
          <w:lang w:val="x-none"/>
        </w:rPr>
        <w:t xml:space="preserve"> </w:t>
      </w:r>
      <w:r w:rsidR="00C33D8A">
        <w:rPr>
          <w:rFonts w:ascii="Calibri" w:eastAsia="Times New Roman" w:hAnsi="Calibri" w:cs="Calibri"/>
          <w:color w:val="000000"/>
          <w:szCs w:val="24"/>
        </w:rPr>
        <w:t>to</w:t>
      </w:r>
      <w:r w:rsidR="00C33D8A">
        <w:rPr>
          <w:rFonts w:ascii="Calibri" w:eastAsia="Times New Roman" w:hAnsi="Calibri" w:cs="Calibri"/>
          <w:color w:val="000000"/>
          <w:szCs w:val="24"/>
          <w:lang w:val="x-none"/>
        </w:rPr>
        <w:t xml:space="preserve"> </w:t>
      </w:r>
      <w:r w:rsidR="00C33D8A">
        <w:rPr>
          <w:rFonts w:ascii="Calibri" w:eastAsia="Times New Roman" w:hAnsi="Calibri" w:cs="Calibri"/>
          <w:color w:val="000000"/>
          <w:szCs w:val="24"/>
        </w:rPr>
        <w:t>ensure</w:t>
      </w:r>
      <w:r w:rsidR="00C33D8A">
        <w:rPr>
          <w:rFonts w:ascii="Calibri" w:eastAsia="Times New Roman" w:hAnsi="Calibri" w:cs="Calibri"/>
          <w:color w:val="000000"/>
          <w:szCs w:val="24"/>
          <w:lang w:val="x-none"/>
        </w:rPr>
        <w:t xml:space="preserve"> today</w:t>
      </w:r>
      <w:r w:rsidR="00C33D8A">
        <w:rPr>
          <w:rFonts w:ascii="Calibri" w:eastAsia="Times New Roman" w:hAnsi="Calibri" w:cs="Calibri"/>
          <w:color w:val="000000"/>
          <w:szCs w:val="24"/>
        </w:rPr>
        <w:t>’</w:t>
      </w:r>
      <w:r w:rsidR="00C33D8A">
        <w:rPr>
          <w:rFonts w:ascii="Calibri" w:eastAsia="Times New Roman" w:hAnsi="Calibri" w:cs="Calibri"/>
          <w:color w:val="000000"/>
          <w:szCs w:val="24"/>
          <w:lang w:val="x-none"/>
        </w:rPr>
        <w:t xml:space="preserve">s graduates </w:t>
      </w:r>
      <w:r w:rsidR="00C33D8A">
        <w:rPr>
          <w:rFonts w:ascii="Calibri" w:eastAsia="Times New Roman" w:hAnsi="Calibri" w:cs="Calibri"/>
          <w:color w:val="000000"/>
          <w:szCs w:val="24"/>
        </w:rPr>
        <w:t>are adaptable to future workforce needs</w:t>
      </w:r>
      <w:r w:rsidR="009A4B0B">
        <w:rPr>
          <w:rFonts w:ascii="Calibri" w:eastAsia="Times New Roman" w:hAnsi="Calibri" w:cs="Calibri"/>
          <w:color w:val="000000"/>
          <w:szCs w:val="24"/>
        </w:rPr>
        <w:t>, while appreciating that</w:t>
      </w:r>
      <w:r w:rsidR="009A4B0B">
        <w:t xml:space="preserve"> STEM-skills are not exclusive to STEM</w:t>
      </w:r>
      <w:r w:rsidR="00C33D8A" w:rsidRPr="0012455E">
        <w:rPr>
          <w:rFonts w:ascii="Calibri" w:eastAsia="Times New Roman" w:hAnsi="Calibri" w:cs="Calibri"/>
          <w:color w:val="000000"/>
          <w:szCs w:val="24"/>
          <w:lang w:val="x-none"/>
        </w:rPr>
        <w:t>.</w:t>
      </w:r>
      <w:r w:rsidR="00C33D8A">
        <w:rPr>
          <w:rFonts w:ascii="Calibri" w:eastAsia="Times New Roman" w:hAnsi="Calibri" w:cs="Calibri"/>
          <w:color w:val="000000"/>
          <w:szCs w:val="24"/>
        </w:rPr>
        <w:t xml:space="preserve"> </w:t>
      </w:r>
      <w:r w:rsidR="00C33D8A" w:rsidRPr="00C26659">
        <w:t>With globalisation and technological advances changing the nature of work, the number and variety of occupations requiring STEM skills and advanced STEM literacy is increasing.</w:t>
      </w:r>
      <w:r w:rsidR="00C33D8A">
        <w:t xml:space="preserve"> </w:t>
      </w:r>
      <w:r w:rsidR="00F34DB2">
        <w:rPr>
          <w:rFonts w:ascii="Calibri" w:eastAsia="Times New Roman" w:hAnsi="Calibri" w:cs="Calibri"/>
          <w:color w:val="000000"/>
          <w:szCs w:val="24"/>
        </w:rPr>
        <w:t>I</w:t>
      </w:r>
      <w:r w:rsidR="00C33D8A">
        <w:t>t i</w:t>
      </w:r>
      <w:r w:rsidR="00C33D8A" w:rsidRPr="00FB340D">
        <w:t>s predicted future workers will spend more than twice as much time on job tasks requiring science, maths and critical thinking than today.</w:t>
      </w:r>
      <w:r w:rsidR="00262D5A">
        <w:t xml:space="preserve"> </w:t>
      </w:r>
      <w:r w:rsidR="00CE7E91">
        <w:t>NPILF</w:t>
      </w:r>
      <w:r w:rsidR="00262D5A">
        <w:t xml:space="preserve"> </w:t>
      </w:r>
      <w:r w:rsidR="0047664E">
        <w:t>recognises</w:t>
      </w:r>
      <w:r w:rsidR="00262D5A">
        <w:t xml:space="preserve"> core STEM fields </w:t>
      </w:r>
      <w:r w:rsidR="00CE7E91">
        <w:t>in addition to the</w:t>
      </w:r>
      <w:r w:rsidR="00262D5A" w:rsidRPr="00F31F04">
        <w:t xml:space="preserve"> fields of Allied Health</w:t>
      </w:r>
      <w:r w:rsidR="00262D5A">
        <w:t xml:space="preserve"> and Architecture and Building. </w:t>
      </w:r>
      <w:r>
        <w:rPr>
          <w:rFonts w:ascii="Calibri" w:eastAsia="Times New Roman" w:hAnsi="Calibri" w:cs="Calibri"/>
          <w:color w:val="000000"/>
          <w:szCs w:val="24"/>
        </w:rPr>
        <w:t>For the purposes of this fund:</w:t>
      </w:r>
    </w:p>
    <w:p w14:paraId="5A5424BB" w14:textId="6895616D" w:rsidR="00677483" w:rsidRPr="009A4B0B" w:rsidRDefault="00354FD0" w:rsidP="00354FD0">
      <w:pPr>
        <w:ind w:left="720"/>
        <w:rPr>
          <w:rFonts w:ascii="Calibri" w:eastAsiaTheme="majorEastAsia" w:hAnsi="Calibri" w:cstheme="majorBidi"/>
          <w:b/>
        </w:rPr>
      </w:pPr>
      <w:r w:rsidRPr="00354FD0">
        <w:rPr>
          <w:b/>
          <w:bCs/>
        </w:rPr>
        <w:t>STEM-skilled</w:t>
      </w:r>
      <w:r w:rsidRPr="00354FD0">
        <w:t xml:space="preserve"> refers to the skills expected to be gained from tertiary-education subjects of science, technology, engineering and maths, such as critical thinking, creativity, collaboration and problem-solving. The concept considers both broad education in discipline content as well as the scientific method.</w:t>
      </w:r>
    </w:p>
    <w:p w14:paraId="2A1C7F8A" w14:textId="77777777" w:rsidR="00B91F09" w:rsidRPr="00354FD0" w:rsidRDefault="0012455E" w:rsidP="00354FD0">
      <w:pPr>
        <w:rPr>
          <w:b/>
          <w:bCs/>
          <w:color w:val="B6006A" w:themeColor="accent4"/>
        </w:rPr>
      </w:pPr>
      <w:r w:rsidRPr="00354FD0">
        <w:rPr>
          <w:b/>
          <w:bCs/>
          <w:color w:val="B6006A" w:themeColor="accent4"/>
        </w:rPr>
        <w:t xml:space="preserve">3. </w:t>
      </w:r>
      <w:r w:rsidR="00677483" w:rsidRPr="00354FD0">
        <w:rPr>
          <w:b/>
          <w:bCs/>
          <w:color w:val="B6006A" w:themeColor="accent4"/>
        </w:rPr>
        <w:t>Supporting universities for the development of partnerships and collaborations with industry</w:t>
      </w:r>
    </w:p>
    <w:p w14:paraId="4BB66A9F" w14:textId="77777777" w:rsidR="00354FD0" w:rsidRDefault="00B91F09" w:rsidP="00354FD0">
      <w:pPr>
        <w:rPr>
          <w:lang w:eastAsia="en-AU"/>
        </w:rPr>
      </w:pPr>
      <w:r>
        <w:t>I</w:t>
      </w:r>
      <w:r w:rsidR="00E12979">
        <w:t>ncreasing graduate numbers alone is not enough</w:t>
      </w:r>
      <w:r>
        <w:t xml:space="preserve"> </w:t>
      </w:r>
      <w:r w:rsidR="00F34DB2">
        <w:t>to support</w:t>
      </w:r>
      <w:r>
        <w:t xml:space="preserve"> economic recovery</w:t>
      </w:r>
      <w:r w:rsidR="00F34DB2">
        <w:t xml:space="preserve">, particularly in a </w:t>
      </w:r>
      <w:r>
        <w:t>post-COVID environment</w:t>
      </w:r>
      <w:r w:rsidR="00E12979">
        <w:t>. Improving university-industry engagement in teaching</w:t>
      </w:r>
      <w:r w:rsidR="00E52CD9">
        <w:t xml:space="preserve">, knowledge </w:t>
      </w:r>
      <w:r w:rsidR="00E52CD9">
        <w:lastRenderedPageBreak/>
        <w:t>transfer</w:t>
      </w:r>
      <w:r w:rsidR="00E12979">
        <w:t xml:space="preserve"> and research is critical to ensuring graduates leave the higher education system with the capabilities, skills and experience needed to succeed in the workforce</w:t>
      </w:r>
      <w:r w:rsidR="009975EF">
        <w:t>; and innovation across industry based on cutting-edge knowledge</w:t>
      </w:r>
      <w:r w:rsidR="00E12979">
        <w:t>. This requires universities and industry to embed mutual engagement in their day</w:t>
      </w:r>
      <w:r w:rsidR="00F34DB2">
        <w:t>-</w:t>
      </w:r>
      <w:r w:rsidR="00E12979">
        <w:t>to</w:t>
      </w:r>
      <w:r w:rsidR="00F34DB2">
        <w:t>-</w:t>
      </w:r>
      <w:r w:rsidR="00E12979">
        <w:t xml:space="preserve">day operations. </w:t>
      </w:r>
      <w:r w:rsidR="007F2121">
        <w:rPr>
          <w:lang w:eastAsia="en-AU"/>
        </w:rPr>
        <w:t xml:space="preserve">For the purposes of </w:t>
      </w:r>
      <w:r w:rsidR="0012455E">
        <w:rPr>
          <w:lang w:eastAsia="en-AU"/>
        </w:rPr>
        <w:t>this fund:</w:t>
      </w:r>
    </w:p>
    <w:p w14:paraId="22559BFD" w14:textId="7CCA7CD9" w:rsidR="00DC0B5B" w:rsidRPr="00B91F09" w:rsidRDefault="00354FD0" w:rsidP="00354FD0">
      <w:pPr>
        <w:ind w:left="720"/>
      </w:pPr>
      <w:r w:rsidRPr="00354FD0">
        <w:rPr>
          <w:b/>
          <w:bCs/>
        </w:rPr>
        <w:t>University-industry engagement</w:t>
      </w:r>
      <w:r>
        <w:t xml:space="preserve"> r</w:t>
      </w:r>
      <w:r w:rsidRPr="00354FD0">
        <w:t>efers to partnerships between universities and industry (encompassing business, government, NGOs and the wider community) through teaching, learning and research, which provide for the mutually beneficial exchange of knowledge and resources.</w:t>
      </w:r>
    </w:p>
    <w:p w14:paraId="2606D130" w14:textId="77777777" w:rsidR="00DC0B5B" w:rsidRDefault="00DC0B5B" w:rsidP="00DC0B5B">
      <w:pPr>
        <w:pStyle w:val="Heading2"/>
        <w:rPr>
          <w:rFonts w:eastAsia="Times New Roman"/>
        </w:rPr>
      </w:pPr>
      <w:bookmarkStart w:id="8" w:name="_Toc58494492"/>
      <w:r>
        <w:rPr>
          <w:rFonts w:eastAsia="Times New Roman"/>
        </w:rPr>
        <w:t>NPILF principles</w:t>
      </w:r>
      <w:bookmarkEnd w:id="8"/>
    </w:p>
    <w:p w14:paraId="6E93D44F" w14:textId="3DDCDA56" w:rsidR="00DC0B5B" w:rsidRDefault="00DC0B5B" w:rsidP="00354FD0">
      <w:r>
        <w:t>The</w:t>
      </w:r>
      <w:r w:rsidR="00174AC4">
        <w:t xml:space="preserve"> working group support the adoption of clear guiding principles to support implementation. The four principles are:</w:t>
      </w:r>
      <w:r w:rsidR="001A62E9">
        <w:t xml:space="preserve"> </w:t>
      </w:r>
    </w:p>
    <w:p w14:paraId="3844CB8B" w14:textId="77777777" w:rsidR="00DC0B5B" w:rsidRPr="00F31F04" w:rsidRDefault="00DC0B5B" w:rsidP="00DC0B5B">
      <w:pPr>
        <w:rPr>
          <w:color w:val="2F5496"/>
        </w:rPr>
      </w:pPr>
      <w:r>
        <w:rPr>
          <w:noProof/>
          <w:lang w:eastAsia="en-AU"/>
        </w:rPr>
        <w:drawing>
          <wp:inline distT="0" distB="0" distL="0" distR="0" wp14:anchorId="676C6C05" wp14:editId="0B8B932C">
            <wp:extent cx="5572125" cy="3396343"/>
            <wp:effectExtent l="38100" t="0" r="9525" b="0"/>
            <wp:docPr id="1" name="Diagram 1" descr="The four principles are: &#10;1. Impact&#10;2. Transparent and collaborative&#10;3. Flexible&#10;4. Measureable"/>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42415C40" w14:textId="77777777" w:rsidR="00476E19" w:rsidRDefault="00476E19">
      <w:pPr>
        <w:spacing w:after="160" w:line="259" w:lineRule="auto"/>
        <w:rPr>
          <w:rFonts w:ascii="Calibri" w:eastAsiaTheme="majorEastAsia" w:hAnsi="Calibri" w:cstheme="majorBidi"/>
          <w:b/>
          <w:color w:val="343741"/>
          <w:sz w:val="32"/>
          <w:szCs w:val="32"/>
        </w:rPr>
      </w:pPr>
      <w:r>
        <w:br w:type="page"/>
      </w:r>
    </w:p>
    <w:p w14:paraId="607CEB66" w14:textId="77777777" w:rsidR="00DC0B5B" w:rsidRDefault="00DC0B5B" w:rsidP="002C2F80">
      <w:pPr>
        <w:pStyle w:val="Heading1"/>
      </w:pPr>
      <w:bookmarkStart w:id="9" w:name="_Toc58494493"/>
      <w:r>
        <w:lastRenderedPageBreak/>
        <w:t>Framework</w:t>
      </w:r>
      <w:bookmarkEnd w:id="9"/>
      <w:r>
        <w:t xml:space="preserve"> </w:t>
      </w:r>
    </w:p>
    <w:p w14:paraId="74CA200C" w14:textId="718D5143" w:rsidR="002C2F80" w:rsidRDefault="00D72FB2" w:rsidP="00354FD0">
      <w:r>
        <w:t>The working g</w:t>
      </w:r>
      <w:r w:rsidR="009857B6">
        <w:t xml:space="preserve">roup propose a framework upon which the NPILF will be allocated to universities. The </w:t>
      </w:r>
      <w:r w:rsidR="002C2F80">
        <w:t xml:space="preserve">framework asks universities to highlight their commitment to the three priorities </w:t>
      </w:r>
      <w:r w:rsidR="009F0EB4">
        <w:t xml:space="preserve">by </w:t>
      </w:r>
      <w:r>
        <w:t xml:space="preserve">submitting </w:t>
      </w:r>
      <w:r w:rsidR="00C177EA">
        <w:t>a</w:t>
      </w:r>
      <w:r w:rsidR="009975EF">
        <w:t>n</w:t>
      </w:r>
      <w:r w:rsidR="00C177EA">
        <w:t xml:space="preserve"> NPILF p</w:t>
      </w:r>
      <w:r w:rsidR="009F0EB4">
        <w:t>lan</w:t>
      </w:r>
      <w:r>
        <w:t xml:space="preserve">, which outlines the </w:t>
      </w:r>
      <w:r w:rsidR="002C2F80" w:rsidRPr="00C177EA">
        <w:t xml:space="preserve">metrics </w:t>
      </w:r>
      <w:r w:rsidR="009F0EB4" w:rsidRPr="00C177EA">
        <w:t>and</w:t>
      </w:r>
      <w:r w:rsidR="002C2F80" w:rsidRPr="00C177EA">
        <w:t xml:space="preserve"> case studies</w:t>
      </w:r>
      <w:r w:rsidR="002C2F80" w:rsidRPr="009F0EB4">
        <w:t xml:space="preserve"> </w:t>
      </w:r>
      <w:r w:rsidR="00C177EA">
        <w:t>they have chosen to be measured against at</w:t>
      </w:r>
      <w:r w:rsidR="009F0EB4">
        <w:t xml:space="preserve"> the end</w:t>
      </w:r>
      <w:r>
        <w:t xml:space="preserve"> of the</w:t>
      </w:r>
      <w:r w:rsidR="009F0EB4">
        <w:t xml:space="preserve"> three-year cycle.</w:t>
      </w:r>
    </w:p>
    <w:p w14:paraId="093C5BC8" w14:textId="77777777" w:rsidR="00DC0B5B" w:rsidRPr="00367622" w:rsidRDefault="00DC0B5B" w:rsidP="0068656A">
      <w:pPr>
        <w:pStyle w:val="Heading2"/>
      </w:pPr>
      <w:bookmarkStart w:id="10" w:name="_Toc58494494"/>
      <w:r>
        <w:t>Metrics and case studies</w:t>
      </w:r>
      <w:bookmarkEnd w:id="10"/>
      <w:r>
        <w:t xml:space="preserve"> </w:t>
      </w:r>
    </w:p>
    <w:p w14:paraId="6B99BF07" w14:textId="46C42397" w:rsidR="00DC0B5B" w:rsidRDefault="00DC0B5B" w:rsidP="00354FD0">
      <w:bookmarkStart w:id="11" w:name="_Hlk56765035"/>
      <w:r>
        <w:t>Universities will submit a</w:t>
      </w:r>
      <w:r w:rsidR="009975EF">
        <w:t>n</w:t>
      </w:r>
      <w:r>
        <w:t xml:space="preserve"> NPILF plan to the department compris</w:t>
      </w:r>
      <w:r w:rsidR="001B3CEA">
        <w:t>ing</w:t>
      </w:r>
      <w:r>
        <w:t xml:space="preserve"> nine activities</w:t>
      </w:r>
      <w:r w:rsidR="009975EF">
        <w:t xml:space="preserve">, </w:t>
      </w:r>
      <w:r w:rsidR="00C177EA" w:rsidRPr="00A73162">
        <w:t xml:space="preserve">refer </w:t>
      </w:r>
      <w:r w:rsidR="00A73162" w:rsidRPr="00A73162">
        <w:rPr>
          <w:b/>
        </w:rPr>
        <w:t>Table 1</w:t>
      </w:r>
      <w:r w:rsidR="009975EF">
        <w:t>:</w:t>
      </w:r>
    </w:p>
    <w:p w14:paraId="0442524D" w14:textId="77777777" w:rsidR="00DC0B5B" w:rsidRDefault="00DC0B5B" w:rsidP="00354FD0">
      <w:pPr>
        <w:pStyle w:val="ListBullet"/>
      </w:pPr>
      <w:bookmarkStart w:id="12" w:name="_Hlk58415425"/>
      <w:r>
        <w:rPr>
          <w:bCs/>
        </w:rPr>
        <w:t>Three</w:t>
      </w:r>
      <w:r w:rsidRPr="002A6D72">
        <w:rPr>
          <w:bCs/>
        </w:rPr>
        <w:t xml:space="preserve"> metrics</w:t>
      </w:r>
      <w:r w:rsidRPr="004350E1">
        <w:t xml:space="preserve"> </w:t>
      </w:r>
      <w:r>
        <w:t>–</w:t>
      </w:r>
      <w:r w:rsidRPr="004350E1">
        <w:t xml:space="preserve"> one per priority</w:t>
      </w:r>
    </w:p>
    <w:p w14:paraId="7F5C1708" w14:textId="77777777" w:rsidR="00DC0B5B" w:rsidRDefault="00DC0B5B" w:rsidP="00354FD0">
      <w:pPr>
        <w:pStyle w:val="ListBullet"/>
      </w:pPr>
      <w:r>
        <w:rPr>
          <w:bCs/>
        </w:rPr>
        <w:t>Three</w:t>
      </w:r>
      <w:r w:rsidRPr="002A6D72">
        <w:rPr>
          <w:bCs/>
        </w:rPr>
        <w:t xml:space="preserve"> case studies</w:t>
      </w:r>
      <w:r w:rsidRPr="004350E1">
        <w:t xml:space="preserve"> </w:t>
      </w:r>
      <w:r>
        <w:t>–</w:t>
      </w:r>
      <w:r w:rsidRPr="004350E1">
        <w:t xml:space="preserve"> one per priority</w:t>
      </w:r>
    </w:p>
    <w:p w14:paraId="0AEC7D8E" w14:textId="77777777" w:rsidR="00DC0B5B" w:rsidRDefault="00DC0B5B" w:rsidP="00354FD0">
      <w:pPr>
        <w:pStyle w:val="ListBullet"/>
      </w:pPr>
      <w:r>
        <w:rPr>
          <w:bCs/>
        </w:rPr>
        <w:t>Three</w:t>
      </w:r>
      <w:r w:rsidRPr="002A6D72">
        <w:rPr>
          <w:bCs/>
        </w:rPr>
        <w:t xml:space="preserve"> metrics </w:t>
      </w:r>
      <w:r w:rsidRPr="002A6D72">
        <w:rPr>
          <w:bCs/>
          <w:u w:val="single"/>
        </w:rPr>
        <w:t>or</w:t>
      </w:r>
      <w:r w:rsidRPr="002A6D72">
        <w:rPr>
          <w:bCs/>
        </w:rPr>
        <w:t xml:space="preserve"> case studies – from any priority</w:t>
      </w:r>
      <w:r w:rsidRPr="00443E6F">
        <w:t xml:space="preserve"> </w:t>
      </w:r>
    </w:p>
    <w:p w14:paraId="2D995693" w14:textId="77777777" w:rsidR="00C177EA" w:rsidRPr="00C177EA" w:rsidRDefault="00A73162" w:rsidP="00D72F05">
      <w:pPr>
        <w:spacing w:after="120" w:line="240" w:lineRule="auto"/>
        <w:rPr>
          <w:b/>
        </w:rPr>
      </w:pPr>
      <w:r>
        <w:rPr>
          <w:b/>
        </w:rPr>
        <w:t>Table 1</w:t>
      </w:r>
      <w:r w:rsidR="00C177EA" w:rsidRPr="00C177EA">
        <w:rPr>
          <w:b/>
        </w:rPr>
        <w:t>: Metric and Case study combination to make nine</w:t>
      </w:r>
    </w:p>
    <w:tbl>
      <w:tblPr>
        <w:tblStyle w:val="DESE"/>
        <w:tblW w:w="9016" w:type="dxa"/>
        <w:tblLook w:val="0420" w:firstRow="1" w:lastRow="0" w:firstColumn="0" w:lastColumn="0" w:noHBand="0" w:noVBand="1"/>
      </w:tblPr>
      <w:tblGrid>
        <w:gridCol w:w="1271"/>
        <w:gridCol w:w="2581"/>
        <w:gridCol w:w="2582"/>
        <w:gridCol w:w="2582"/>
      </w:tblGrid>
      <w:tr w:rsidR="0034534C" w:rsidRPr="008F3B89" w14:paraId="72BCE136" w14:textId="77777777" w:rsidTr="000877E6">
        <w:trPr>
          <w:cnfStyle w:val="100000000000" w:firstRow="1" w:lastRow="0" w:firstColumn="0" w:lastColumn="0" w:oddVBand="0" w:evenVBand="0" w:oddHBand="0" w:evenHBand="0" w:firstRowFirstColumn="0" w:firstRowLastColumn="0" w:lastRowFirstColumn="0" w:lastRowLastColumn="0"/>
          <w:trHeight w:val="549"/>
        </w:trPr>
        <w:tc>
          <w:tcPr>
            <w:tcW w:w="1271" w:type="dxa"/>
            <w:shd w:val="clear" w:color="auto" w:fill="287DB2" w:themeFill="accent6"/>
          </w:tcPr>
          <w:p w14:paraId="49981D26" w14:textId="77777777" w:rsidR="0034534C" w:rsidRPr="008F3B89" w:rsidRDefault="0034534C" w:rsidP="00527D6A">
            <w:pPr>
              <w:spacing w:after="120" w:line="240" w:lineRule="auto"/>
              <w:jc w:val="center"/>
              <w:rPr>
                <w:b/>
                <w:bCs/>
                <w:sz w:val="24"/>
              </w:rPr>
            </w:pPr>
          </w:p>
        </w:tc>
        <w:tc>
          <w:tcPr>
            <w:tcW w:w="2581" w:type="dxa"/>
            <w:shd w:val="clear" w:color="auto" w:fill="287DB2" w:themeFill="accent6"/>
            <w:hideMark/>
          </w:tcPr>
          <w:p w14:paraId="6E9B22C3" w14:textId="5151C8FB" w:rsidR="0034534C" w:rsidRPr="008F3B89" w:rsidRDefault="0034534C" w:rsidP="00527D6A">
            <w:pPr>
              <w:spacing w:after="120" w:line="240" w:lineRule="auto"/>
              <w:jc w:val="center"/>
              <w:rPr>
                <w:sz w:val="24"/>
              </w:rPr>
            </w:pPr>
            <w:r w:rsidRPr="008F3B89">
              <w:rPr>
                <w:b/>
                <w:bCs/>
                <w:sz w:val="24"/>
              </w:rPr>
              <w:t>WIL</w:t>
            </w:r>
          </w:p>
        </w:tc>
        <w:tc>
          <w:tcPr>
            <w:tcW w:w="2582" w:type="dxa"/>
            <w:shd w:val="clear" w:color="auto" w:fill="287DB2" w:themeFill="accent6"/>
            <w:hideMark/>
          </w:tcPr>
          <w:p w14:paraId="5091791E" w14:textId="4DA75A31" w:rsidR="0034534C" w:rsidRPr="008F3B89" w:rsidRDefault="0034534C" w:rsidP="00527D6A">
            <w:pPr>
              <w:spacing w:after="120" w:line="240" w:lineRule="auto"/>
              <w:jc w:val="center"/>
              <w:rPr>
                <w:sz w:val="24"/>
              </w:rPr>
            </w:pPr>
            <w:r w:rsidRPr="008F3B89">
              <w:rPr>
                <w:b/>
                <w:bCs/>
                <w:sz w:val="24"/>
              </w:rPr>
              <w:t>STEM</w:t>
            </w:r>
            <w:r>
              <w:rPr>
                <w:b/>
                <w:bCs/>
                <w:sz w:val="24"/>
              </w:rPr>
              <w:t>-skilled</w:t>
            </w:r>
          </w:p>
        </w:tc>
        <w:tc>
          <w:tcPr>
            <w:tcW w:w="2582" w:type="dxa"/>
            <w:shd w:val="clear" w:color="auto" w:fill="287DB2" w:themeFill="accent6"/>
            <w:hideMark/>
          </w:tcPr>
          <w:p w14:paraId="77E04B7D" w14:textId="6D962AB9" w:rsidR="0034534C" w:rsidRPr="008F3B89" w:rsidRDefault="0034534C" w:rsidP="00527D6A">
            <w:pPr>
              <w:spacing w:after="120" w:line="240" w:lineRule="auto"/>
              <w:jc w:val="center"/>
              <w:rPr>
                <w:sz w:val="24"/>
              </w:rPr>
            </w:pPr>
            <w:r>
              <w:rPr>
                <w:b/>
                <w:bCs/>
                <w:sz w:val="24"/>
              </w:rPr>
              <w:t>Industry p</w:t>
            </w:r>
            <w:r w:rsidRPr="008F3B89">
              <w:rPr>
                <w:b/>
                <w:bCs/>
                <w:sz w:val="24"/>
              </w:rPr>
              <w:t>artnerships</w:t>
            </w:r>
          </w:p>
        </w:tc>
      </w:tr>
      <w:tr w:rsidR="0034534C" w:rsidRPr="008F3B89" w14:paraId="56DB4BD3" w14:textId="77777777" w:rsidTr="0034534C">
        <w:trPr>
          <w:trHeight w:val="699"/>
        </w:trPr>
        <w:tc>
          <w:tcPr>
            <w:tcW w:w="1271" w:type="dxa"/>
          </w:tcPr>
          <w:p w14:paraId="6BC5FF51" w14:textId="3A8016B3" w:rsidR="0034534C" w:rsidRPr="008F3B89" w:rsidRDefault="0034534C" w:rsidP="008C7A95">
            <w:pPr>
              <w:spacing w:after="120" w:line="240" w:lineRule="auto"/>
              <w:jc w:val="both"/>
            </w:pPr>
            <w:r>
              <w:t>Required</w:t>
            </w:r>
          </w:p>
        </w:tc>
        <w:tc>
          <w:tcPr>
            <w:tcW w:w="2581" w:type="dxa"/>
            <w:tcBorders>
              <w:bottom w:val="single" w:sz="4" w:space="0" w:color="auto"/>
            </w:tcBorders>
            <w:hideMark/>
          </w:tcPr>
          <w:p w14:paraId="5318B68C" w14:textId="736D1E73" w:rsidR="0034534C" w:rsidRPr="008F3B89" w:rsidRDefault="0034534C" w:rsidP="0034534C">
            <w:pPr>
              <w:spacing w:after="120" w:line="240" w:lineRule="auto"/>
            </w:pPr>
            <w:r w:rsidRPr="008F3B89">
              <w:t>1x</w:t>
            </w:r>
            <w:r>
              <w:t xml:space="preserve"> </w:t>
            </w:r>
            <w:r w:rsidRPr="008F3B89">
              <w:t>Metric</w:t>
            </w:r>
            <w:r>
              <w:t xml:space="preserve"> and </w:t>
            </w:r>
            <w:r>
              <w:br/>
            </w:r>
            <w:r w:rsidRPr="008F3B89">
              <w:t>1x Case study</w:t>
            </w:r>
          </w:p>
        </w:tc>
        <w:tc>
          <w:tcPr>
            <w:tcW w:w="2582" w:type="dxa"/>
            <w:tcBorders>
              <w:bottom w:val="single" w:sz="4" w:space="0" w:color="auto"/>
            </w:tcBorders>
            <w:hideMark/>
          </w:tcPr>
          <w:p w14:paraId="76200248" w14:textId="3157CF54" w:rsidR="0034534C" w:rsidRPr="008F3B89" w:rsidRDefault="0034534C" w:rsidP="00527D6A">
            <w:pPr>
              <w:spacing w:after="120" w:line="240" w:lineRule="auto"/>
            </w:pPr>
            <w:r w:rsidRPr="008F3B89">
              <w:t>1x</w:t>
            </w:r>
            <w:r>
              <w:t xml:space="preserve"> </w:t>
            </w:r>
            <w:r w:rsidRPr="008F3B89">
              <w:t>Metric</w:t>
            </w:r>
            <w:r>
              <w:t xml:space="preserve"> and </w:t>
            </w:r>
            <w:r>
              <w:br/>
            </w:r>
            <w:r w:rsidRPr="008F3B89">
              <w:t>1x Case study</w:t>
            </w:r>
          </w:p>
        </w:tc>
        <w:tc>
          <w:tcPr>
            <w:tcW w:w="2582" w:type="dxa"/>
            <w:tcBorders>
              <w:bottom w:val="single" w:sz="4" w:space="0" w:color="auto"/>
            </w:tcBorders>
            <w:hideMark/>
          </w:tcPr>
          <w:p w14:paraId="450473CD" w14:textId="3BA01889" w:rsidR="0034534C" w:rsidRPr="008F3B89" w:rsidRDefault="0034534C" w:rsidP="00527D6A">
            <w:pPr>
              <w:spacing w:after="120" w:line="240" w:lineRule="auto"/>
            </w:pPr>
            <w:r w:rsidRPr="008F3B89">
              <w:t>1x</w:t>
            </w:r>
            <w:r>
              <w:t xml:space="preserve"> </w:t>
            </w:r>
            <w:r w:rsidRPr="008F3B89">
              <w:t>Metric</w:t>
            </w:r>
            <w:r>
              <w:t xml:space="preserve"> and </w:t>
            </w:r>
            <w:r>
              <w:br/>
            </w:r>
            <w:r w:rsidRPr="008F3B89">
              <w:t>1x Case study</w:t>
            </w:r>
          </w:p>
        </w:tc>
      </w:tr>
      <w:tr w:rsidR="0034534C" w:rsidRPr="008F3B89" w14:paraId="7BCB8533" w14:textId="77777777" w:rsidTr="0034534C">
        <w:trPr>
          <w:trHeight w:val="553"/>
        </w:trPr>
        <w:tc>
          <w:tcPr>
            <w:tcW w:w="1271" w:type="dxa"/>
          </w:tcPr>
          <w:p w14:paraId="444095DC" w14:textId="53404282" w:rsidR="0034534C" w:rsidRPr="008F3B89" w:rsidRDefault="0034534C" w:rsidP="0034534C">
            <w:pPr>
              <w:spacing w:after="120" w:line="240" w:lineRule="auto"/>
            </w:pPr>
            <w:r>
              <w:t>Flexible</w:t>
            </w:r>
          </w:p>
        </w:tc>
        <w:tc>
          <w:tcPr>
            <w:tcW w:w="2581" w:type="dxa"/>
            <w:tcBorders>
              <w:right w:val="single" w:sz="4" w:space="0" w:color="FFFFFF" w:themeColor="background1"/>
            </w:tcBorders>
            <w:hideMark/>
          </w:tcPr>
          <w:p w14:paraId="6D69EC24" w14:textId="69994E87" w:rsidR="0034534C" w:rsidRPr="008F3B89" w:rsidRDefault="0034534C" w:rsidP="00527D6A">
            <w:pPr>
              <w:spacing w:after="120" w:line="240" w:lineRule="auto"/>
              <w:jc w:val="center"/>
            </w:pPr>
            <w:r w:rsidRPr="008F3B89">
              <w:t xml:space="preserve">3 metrics or case studies </w:t>
            </w:r>
          </w:p>
        </w:tc>
        <w:tc>
          <w:tcPr>
            <w:tcW w:w="2582" w:type="dxa"/>
            <w:tcBorders>
              <w:left w:val="single" w:sz="4" w:space="0" w:color="FFFFFF" w:themeColor="background1"/>
              <w:right w:val="single" w:sz="4" w:space="0" w:color="FFFFFF" w:themeColor="background1"/>
            </w:tcBorders>
          </w:tcPr>
          <w:p w14:paraId="13950064" w14:textId="39667885" w:rsidR="0034534C" w:rsidRPr="008F3B89" w:rsidRDefault="0034534C" w:rsidP="0034534C">
            <w:pPr>
              <w:spacing w:after="120" w:line="240" w:lineRule="auto"/>
            </w:pPr>
            <w:r>
              <w:t>from any priority</w:t>
            </w:r>
          </w:p>
        </w:tc>
        <w:tc>
          <w:tcPr>
            <w:tcW w:w="2582" w:type="dxa"/>
            <w:tcBorders>
              <w:left w:val="single" w:sz="4" w:space="0" w:color="FFFFFF" w:themeColor="background1"/>
            </w:tcBorders>
          </w:tcPr>
          <w:p w14:paraId="787D58FB" w14:textId="385D4697" w:rsidR="0034534C" w:rsidRPr="008F3B89" w:rsidRDefault="0034534C" w:rsidP="00527D6A">
            <w:pPr>
              <w:spacing w:after="120" w:line="240" w:lineRule="auto"/>
              <w:jc w:val="center"/>
            </w:pPr>
          </w:p>
        </w:tc>
      </w:tr>
    </w:tbl>
    <w:bookmarkEnd w:id="12"/>
    <w:p w14:paraId="49C1E4A5" w14:textId="77777777" w:rsidR="00DC0B5B" w:rsidRDefault="00A73162" w:rsidP="00354FD0">
      <w:r>
        <w:br/>
      </w:r>
      <w:r w:rsidR="00DC0B5B">
        <w:t xml:space="preserve">Nine activities overall, including the opportunity to focus efforts in line with a university’s mission and strategy, aims to balance the framework’s ambitions to be both measurable and impactful, with the importance of being flexible for the university sector. </w:t>
      </w:r>
    </w:p>
    <w:p w14:paraId="2E6D762B" w14:textId="77777777" w:rsidR="00DC0B5B" w:rsidRPr="00452E2C" w:rsidRDefault="00DC0B5B" w:rsidP="00617610">
      <w:pPr>
        <w:pStyle w:val="Heading4"/>
        <w:rPr>
          <w:rFonts w:eastAsia="Times New Roman"/>
          <w:lang w:eastAsia="en-AU"/>
        </w:rPr>
      </w:pPr>
      <w:r w:rsidRPr="00452E2C">
        <w:rPr>
          <w:rFonts w:eastAsia="Times New Roman"/>
          <w:lang w:eastAsia="en-AU"/>
        </w:rPr>
        <w:t>Metrics</w:t>
      </w:r>
    </w:p>
    <w:p w14:paraId="333A17A7" w14:textId="77777777" w:rsidR="009A4B0B" w:rsidRPr="000B5D0B" w:rsidRDefault="009A4B0B" w:rsidP="00354FD0">
      <w:pPr>
        <w:rPr>
          <w:lang w:eastAsia="en-AU"/>
        </w:rPr>
      </w:pPr>
      <w:r w:rsidRPr="000B5D0B">
        <w:rPr>
          <w:lang w:eastAsia="en-AU"/>
        </w:rPr>
        <w:t>Universities will choose their metrics from the themes</w:t>
      </w:r>
      <w:r>
        <w:rPr>
          <w:lang w:eastAsia="en-AU"/>
        </w:rPr>
        <w:t xml:space="preserve"> listed in </w:t>
      </w:r>
      <w:r w:rsidRPr="00C0668D">
        <w:rPr>
          <w:b/>
          <w:bCs/>
          <w:lang w:eastAsia="en-AU"/>
        </w:rPr>
        <w:t>Table 2</w:t>
      </w:r>
      <w:r>
        <w:rPr>
          <w:lang w:eastAsia="en-AU"/>
        </w:rPr>
        <w:t xml:space="preserve"> and will </w:t>
      </w:r>
      <w:r w:rsidRPr="000B5D0B">
        <w:rPr>
          <w:lang w:eastAsia="en-AU"/>
        </w:rPr>
        <w:t xml:space="preserve">establish an appropriate target </w:t>
      </w:r>
      <w:r>
        <w:rPr>
          <w:lang w:eastAsia="en-AU"/>
        </w:rPr>
        <w:t xml:space="preserve">that reflects a positive outcome for their university, taking into account their mission, previous performance and local circumstances. </w:t>
      </w:r>
      <w:bookmarkStart w:id="13" w:name="_Hlk58409119"/>
      <w:r w:rsidRPr="000B5D0B">
        <w:rPr>
          <w:szCs w:val="24"/>
          <w:lang w:val="x-none"/>
        </w:rPr>
        <w:t xml:space="preserve">There is no requirement for universities to choose the same </w:t>
      </w:r>
      <w:r w:rsidRPr="000B5D0B">
        <w:rPr>
          <w:szCs w:val="24"/>
        </w:rPr>
        <w:t>metrics</w:t>
      </w:r>
      <w:r w:rsidRPr="000B5D0B">
        <w:rPr>
          <w:szCs w:val="24"/>
          <w:lang w:val="x-none"/>
        </w:rPr>
        <w:t xml:space="preserve"> </w:t>
      </w:r>
      <w:r w:rsidRPr="000B5D0B">
        <w:rPr>
          <w:szCs w:val="24"/>
        </w:rPr>
        <w:t xml:space="preserve">for </w:t>
      </w:r>
      <w:r w:rsidRPr="000B5D0B">
        <w:rPr>
          <w:szCs w:val="24"/>
          <w:lang w:val="x-none"/>
        </w:rPr>
        <w:t xml:space="preserve">each </w:t>
      </w:r>
      <w:r w:rsidRPr="000B5D0B">
        <w:rPr>
          <w:szCs w:val="24"/>
        </w:rPr>
        <w:t>cycle</w:t>
      </w:r>
      <w:r w:rsidRPr="000B5D0B">
        <w:rPr>
          <w:szCs w:val="24"/>
          <w:lang w:val="x-none"/>
        </w:rPr>
        <w:t xml:space="preserve"> and there is no one </w:t>
      </w:r>
      <w:r w:rsidRPr="000B5D0B">
        <w:rPr>
          <w:szCs w:val="24"/>
        </w:rPr>
        <w:t>metric</w:t>
      </w:r>
      <w:r w:rsidRPr="000B5D0B">
        <w:rPr>
          <w:szCs w:val="24"/>
          <w:lang w:val="x-none"/>
        </w:rPr>
        <w:t xml:space="preserve"> that is required to be </w:t>
      </w:r>
      <w:r w:rsidRPr="000B5D0B">
        <w:rPr>
          <w:szCs w:val="24"/>
        </w:rPr>
        <w:t>chosen</w:t>
      </w:r>
      <w:r w:rsidRPr="000B5D0B">
        <w:rPr>
          <w:szCs w:val="24"/>
          <w:lang w:val="x-none"/>
        </w:rPr>
        <w:t xml:space="preserve"> by all universities. </w:t>
      </w:r>
    </w:p>
    <w:p w14:paraId="5FA30BCF" w14:textId="1EDBAB97" w:rsidR="009A4B0B" w:rsidRDefault="009A4B0B" w:rsidP="00354FD0">
      <w:pPr>
        <w:rPr>
          <w:lang w:eastAsia="en-AU"/>
        </w:rPr>
      </w:pPr>
      <w:r>
        <w:rPr>
          <w:lang w:eastAsia="en-AU"/>
        </w:rPr>
        <w:t>For example, the target may be a proportionate increase or maintenance of top performance and may focus on a particular equity group, faculty or known barrier. The target will state the data source to be used and the anticipated outcome (proportional growth, overall increase, maintenance of top performance).</w:t>
      </w:r>
    </w:p>
    <w:bookmarkEnd w:id="13"/>
    <w:p w14:paraId="1A78A971" w14:textId="30F1C386" w:rsidR="00602AD4" w:rsidRPr="000B5D0B" w:rsidRDefault="00602AD4" w:rsidP="00354FD0">
      <w:pPr>
        <w:rPr>
          <w:lang w:eastAsia="en-AU"/>
        </w:rPr>
      </w:pPr>
      <w:r w:rsidRPr="000B5D0B">
        <w:rPr>
          <w:lang w:eastAsia="en-AU"/>
        </w:rPr>
        <w:t>The establishment of a target</w:t>
      </w:r>
      <w:r w:rsidR="009B3F0E" w:rsidRPr="000B5D0B">
        <w:rPr>
          <w:lang w:eastAsia="en-AU"/>
        </w:rPr>
        <w:t xml:space="preserve"> </w:t>
      </w:r>
      <w:r w:rsidR="00030605" w:rsidRPr="000B5D0B">
        <w:rPr>
          <w:lang w:eastAsia="en-AU"/>
        </w:rPr>
        <w:t xml:space="preserve">alongside </w:t>
      </w:r>
      <w:r w:rsidR="00222529" w:rsidRPr="000B5D0B">
        <w:rPr>
          <w:lang w:eastAsia="en-AU"/>
        </w:rPr>
        <w:t>each chosen</w:t>
      </w:r>
      <w:r w:rsidR="00C57220" w:rsidRPr="000B5D0B">
        <w:rPr>
          <w:lang w:eastAsia="en-AU"/>
        </w:rPr>
        <w:t xml:space="preserve"> metric </w:t>
      </w:r>
      <w:r w:rsidR="00C57220" w:rsidRPr="000B5D0B">
        <w:rPr>
          <w:szCs w:val="24"/>
          <w:lang w:val="x-none"/>
        </w:rPr>
        <w:t>champion</w:t>
      </w:r>
      <w:r w:rsidR="00C57220" w:rsidRPr="000B5D0B">
        <w:rPr>
          <w:szCs w:val="24"/>
        </w:rPr>
        <w:t>s</w:t>
      </w:r>
      <w:r w:rsidR="00C57220" w:rsidRPr="000B5D0B">
        <w:rPr>
          <w:szCs w:val="24"/>
          <w:lang w:val="x-none"/>
        </w:rPr>
        <w:t xml:space="preserve"> the importance</w:t>
      </w:r>
      <w:r w:rsidR="00713287" w:rsidRPr="000B5D0B">
        <w:rPr>
          <w:szCs w:val="24"/>
        </w:rPr>
        <w:t xml:space="preserve"> </w:t>
      </w:r>
      <w:r w:rsidR="00C57220" w:rsidRPr="000B5D0B">
        <w:rPr>
          <w:szCs w:val="24"/>
          <w:lang w:val="x-none"/>
        </w:rPr>
        <w:t xml:space="preserve">of </w:t>
      </w:r>
      <w:r w:rsidR="00CE7E91" w:rsidRPr="000B5D0B">
        <w:rPr>
          <w:szCs w:val="24"/>
        </w:rPr>
        <w:t>both</w:t>
      </w:r>
      <w:r w:rsidR="00222529" w:rsidRPr="000B5D0B">
        <w:rPr>
          <w:szCs w:val="24"/>
          <w:lang w:val="x-none"/>
        </w:rPr>
        <w:br/>
      </w:r>
      <w:r w:rsidR="00713287" w:rsidRPr="000B5D0B">
        <w:rPr>
          <w:szCs w:val="24"/>
        </w:rPr>
        <w:t xml:space="preserve">performance and </w:t>
      </w:r>
      <w:r w:rsidR="00C57220" w:rsidRPr="000B5D0B">
        <w:rPr>
          <w:szCs w:val="24"/>
          <w:lang w:val="x-none"/>
        </w:rPr>
        <w:t>self-improvement, against an institution’s own missions, goals and prioritie</w:t>
      </w:r>
      <w:r w:rsidR="00F34DB2" w:rsidRPr="000B5D0B">
        <w:rPr>
          <w:szCs w:val="24"/>
        </w:rPr>
        <w:t xml:space="preserve">s. It affirms that </w:t>
      </w:r>
      <w:r w:rsidR="00F34DB2" w:rsidRPr="000B5D0B">
        <w:rPr>
          <w:lang w:eastAsia="en-AU"/>
        </w:rPr>
        <w:t>NPILF</w:t>
      </w:r>
      <w:r w:rsidR="00837519" w:rsidRPr="000B5D0B">
        <w:rPr>
          <w:lang w:eastAsia="en-AU"/>
        </w:rPr>
        <w:t xml:space="preserve"> is not intended to be </w:t>
      </w:r>
      <w:r w:rsidR="00222529" w:rsidRPr="000B5D0B">
        <w:rPr>
          <w:lang w:eastAsia="en-AU"/>
        </w:rPr>
        <w:t>the introduction of a</w:t>
      </w:r>
      <w:r w:rsidR="00837519" w:rsidRPr="000B5D0B">
        <w:rPr>
          <w:lang w:eastAsia="en-AU"/>
        </w:rPr>
        <w:t xml:space="preserve"> national data set</w:t>
      </w:r>
      <w:r w:rsidR="00222529" w:rsidRPr="000B5D0B">
        <w:rPr>
          <w:lang w:eastAsia="en-AU"/>
        </w:rPr>
        <w:t xml:space="preserve">. It </w:t>
      </w:r>
      <w:r w:rsidRPr="000B5D0B">
        <w:rPr>
          <w:lang w:eastAsia="en-AU"/>
        </w:rPr>
        <w:t xml:space="preserve">ensures universities </w:t>
      </w:r>
      <w:r w:rsidRPr="000B5D0B">
        <w:rPr>
          <w:lang w:eastAsia="en-AU"/>
        </w:rPr>
        <w:lastRenderedPageBreak/>
        <w:t xml:space="preserve">are not </w:t>
      </w:r>
      <w:r w:rsidR="009975EF">
        <w:rPr>
          <w:lang w:eastAsia="en-AU"/>
        </w:rPr>
        <w:t xml:space="preserve">simply </w:t>
      </w:r>
      <w:r w:rsidRPr="000B5D0B">
        <w:rPr>
          <w:lang w:eastAsia="en-AU"/>
        </w:rPr>
        <w:t xml:space="preserve">compared </w:t>
      </w:r>
      <w:r w:rsidR="004905A8" w:rsidRPr="000B5D0B">
        <w:rPr>
          <w:lang w:eastAsia="en-AU"/>
        </w:rPr>
        <w:t>across</w:t>
      </w:r>
      <w:r w:rsidRPr="000B5D0B">
        <w:rPr>
          <w:lang w:eastAsia="en-AU"/>
        </w:rPr>
        <w:t xml:space="preserve"> the sector or</w:t>
      </w:r>
      <w:r w:rsidR="004905A8" w:rsidRPr="000B5D0B">
        <w:rPr>
          <w:lang w:eastAsia="en-AU"/>
        </w:rPr>
        <w:t xml:space="preserve"> against</w:t>
      </w:r>
      <w:r w:rsidRPr="000B5D0B">
        <w:rPr>
          <w:lang w:eastAsia="en-AU"/>
        </w:rPr>
        <w:t xml:space="preserve"> sector averages</w:t>
      </w:r>
      <w:r w:rsidR="00713287" w:rsidRPr="000B5D0B">
        <w:rPr>
          <w:lang w:eastAsia="en-AU"/>
        </w:rPr>
        <w:t xml:space="preserve">, </w:t>
      </w:r>
      <w:r w:rsidR="00CE7E91" w:rsidRPr="000B5D0B">
        <w:rPr>
          <w:lang w:eastAsia="en-AU"/>
        </w:rPr>
        <w:t>while</w:t>
      </w:r>
      <w:r w:rsidR="00713287" w:rsidRPr="000B5D0B">
        <w:rPr>
          <w:lang w:eastAsia="en-AU"/>
        </w:rPr>
        <w:t xml:space="preserve"> also </w:t>
      </w:r>
      <w:r w:rsidRPr="000B5D0B">
        <w:rPr>
          <w:lang w:eastAsia="en-AU"/>
        </w:rPr>
        <w:t>account</w:t>
      </w:r>
      <w:r w:rsidR="00CE7E91" w:rsidRPr="000B5D0B">
        <w:rPr>
          <w:lang w:eastAsia="en-AU"/>
        </w:rPr>
        <w:t>ing</w:t>
      </w:r>
      <w:r w:rsidRPr="000B5D0B">
        <w:rPr>
          <w:lang w:eastAsia="en-AU"/>
        </w:rPr>
        <w:t xml:space="preserve"> for maintenance of top performance. </w:t>
      </w:r>
    </w:p>
    <w:p w14:paraId="12145D6C" w14:textId="3A19DDEB" w:rsidR="00C0668D" w:rsidRPr="00C0668D" w:rsidRDefault="00C0668D" w:rsidP="004905A8">
      <w:pPr>
        <w:rPr>
          <w:b/>
          <w:bCs/>
          <w:lang w:eastAsia="en-AU"/>
        </w:rPr>
      </w:pPr>
      <w:r w:rsidRPr="00C0668D">
        <w:rPr>
          <w:b/>
          <w:bCs/>
          <w:lang w:eastAsia="en-AU"/>
        </w:rPr>
        <w:t>Table 2: List of metric themes that a university can select a target against</w:t>
      </w:r>
    </w:p>
    <w:tbl>
      <w:tblPr>
        <w:tblStyle w:val="TableGrid"/>
        <w:tblW w:w="8931" w:type="dxa"/>
        <w:tblInd w:w="-5" w:type="dxa"/>
        <w:tblLook w:val="04A0" w:firstRow="1" w:lastRow="0" w:firstColumn="1" w:lastColumn="0" w:noHBand="0" w:noVBand="1"/>
        <w:tblCaption w:val="Table 4 draft list of NPILF metrics"/>
        <w:tblDescription w:val="The draft list of metrics under work integrated learning include: increase/proportion of credit bearing, undergraduate WIL at your institution, broken down by field of education and depth; increase/proportion of academic workforce actively from industry; increase/proportion of curriculum that is co-designed and/or reviewed that year by industry, increase/proportion of HDR students undertaking internship/placement within first 18 months (of commencing HDR); and increase/proportion of WEI units with academic positions. &#10;The draft list of metrics under STEM+ include: improvement in employment outcomes for STEM+ course graduates (3 and/or 5 years); increase in STEM+ and STEM-skilled graduates (number of non-STEM graduates with a STEM unit completed); increase/proportion of non-STEM units with STEM-skills embedded; proportion of final year students rated as job ready; increase/proportion of STEM-skills embedded in curriculum; increase/proportion of women in 'core' STEM courses (excluding health/architecture)&#10;The draft list of metrics under industry partnerships include: increase value/number of industry-linked programs, collaboration or partnerships broken down by industry type (e.g. ASX company, local government); increase category 2-4 income; increase in number of industry partners use of facilities/infrastructure or co-location; improvements in graduate outcomes overall; increase in the number of courses co-designed with industry (from short courses to PhDs)&#10;"/>
      </w:tblPr>
      <w:tblGrid>
        <w:gridCol w:w="2977"/>
        <w:gridCol w:w="2977"/>
        <w:gridCol w:w="2977"/>
      </w:tblGrid>
      <w:tr w:rsidR="009C1526" w:rsidRPr="00835C0B" w14:paraId="5C5425EB" w14:textId="77777777" w:rsidTr="000877E6">
        <w:trPr>
          <w:trHeight w:hRule="exact" w:val="397"/>
          <w:tblHeader/>
        </w:trPr>
        <w:tc>
          <w:tcPr>
            <w:tcW w:w="2977" w:type="dxa"/>
            <w:tcBorders>
              <w:bottom w:val="single" w:sz="4" w:space="0" w:color="auto"/>
            </w:tcBorders>
            <w:shd w:val="clear" w:color="auto" w:fill="287DB2" w:themeFill="accent6"/>
            <w:vAlign w:val="center"/>
          </w:tcPr>
          <w:p w14:paraId="357E60E8" w14:textId="77777777" w:rsidR="009C1526" w:rsidRPr="00653494" w:rsidRDefault="009C1526" w:rsidP="00527D6A">
            <w:pPr>
              <w:spacing w:line="240" w:lineRule="auto"/>
              <w:jc w:val="center"/>
              <w:rPr>
                <w:rFonts w:cstheme="minorHAnsi"/>
                <w:b/>
                <w:color w:val="FFFFFF" w:themeColor="background1"/>
                <w:sz w:val="24"/>
                <w:szCs w:val="24"/>
              </w:rPr>
            </w:pPr>
            <w:r w:rsidRPr="00653494">
              <w:rPr>
                <w:rFonts w:cstheme="minorHAnsi"/>
                <w:b/>
                <w:color w:val="FFFFFF" w:themeColor="background1"/>
                <w:sz w:val="24"/>
                <w:szCs w:val="24"/>
              </w:rPr>
              <w:t>WIL</w:t>
            </w:r>
          </w:p>
        </w:tc>
        <w:tc>
          <w:tcPr>
            <w:tcW w:w="2977" w:type="dxa"/>
            <w:tcBorders>
              <w:bottom w:val="single" w:sz="4" w:space="0" w:color="auto"/>
            </w:tcBorders>
            <w:shd w:val="clear" w:color="auto" w:fill="287DB2" w:themeFill="accent6"/>
            <w:vAlign w:val="center"/>
          </w:tcPr>
          <w:p w14:paraId="4C587FB1" w14:textId="6392AC44" w:rsidR="009C1526" w:rsidRPr="00653494" w:rsidRDefault="009C1526" w:rsidP="00527D6A">
            <w:pPr>
              <w:spacing w:line="240" w:lineRule="auto"/>
              <w:jc w:val="center"/>
              <w:rPr>
                <w:rFonts w:cstheme="minorHAnsi"/>
                <w:b/>
                <w:color w:val="FFFFFF" w:themeColor="background1"/>
                <w:sz w:val="24"/>
                <w:szCs w:val="24"/>
              </w:rPr>
            </w:pPr>
            <w:r w:rsidRPr="00434A76">
              <w:rPr>
                <w:rFonts w:cstheme="minorHAnsi"/>
                <w:b/>
                <w:color w:val="FFFFFF" w:themeColor="background1"/>
                <w:sz w:val="24"/>
                <w:szCs w:val="24"/>
              </w:rPr>
              <w:t>STEM</w:t>
            </w:r>
            <w:r w:rsidR="002E3FD5">
              <w:rPr>
                <w:rFonts w:cstheme="minorHAnsi"/>
                <w:b/>
                <w:color w:val="FFFFFF" w:themeColor="background1"/>
                <w:sz w:val="24"/>
                <w:szCs w:val="24"/>
              </w:rPr>
              <w:t>-skilled</w:t>
            </w:r>
          </w:p>
        </w:tc>
        <w:tc>
          <w:tcPr>
            <w:tcW w:w="2977" w:type="dxa"/>
            <w:shd w:val="clear" w:color="auto" w:fill="287DB2" w:themeFill="accent6"/>
            <w:vAlign w:val="center"/>
          </w:tcPr>
          <w:p w14:paraId="7A279A37" w14:textId="77777777" w:rsidR="009C1526" w:rsidRPr="00653494" w:rsidRDefault="009C1526" w:rsidP="00527D6A">
            <w:pPr>
              <w:spacing w:line="240" w:lineRule="auto"/>
              <w:jc w:val="center"/>
              <w:rPr>
                <w:color w:val="FFFFFF" w:themeColor="background1"/>
              </w:rPr>
            </w:pPr>
            <w:r w:rsidRPr="00653494">
              <w:rPr>
                <w:rFonts w:cstheme="minorHAnsi"/>
                <w:b/>
                <w:color w:val="FFFFFF" w:themeColor="background1"/>
                <w:sz w:val="24"/>
                <w:szCs w:val="24"/>
              </w:rPr>
              <w:t>Industry partnerships</w:t>
            </w:r>
          </w:p>
        </w:tc>
      </w:tr>
      <w:tr w:rsidR="009C1526" w:rsidRPr="00573D0B" w14:paraId="6DC0AAFC" w14:textId="77777777" w:rsidTr="00527D6A">
        <w:trPr>
          <w:trHeight w:val="631"/>
        </w:trPr>
        <w:tc>
          <w:tcPr>
            <w:tcW w:w="2977" w:type="dxa"/>
          </w:tcPr>
          <w:p w14:paraId="233F7E9E" w14:textId="75135A9D" w:rsidR="009C1526" w:rsidRPr="0034534C" w:rsidRDefault="00D45FA9" w:rsidP="009C1526">
            <w:pPr>
              <w:pStyle w:val="ListParagraph"/>
              <w:numPr>
                <w:ilvl w:val="0"/>
                <w:numId w:val="31"/>
              </w:numPr>
              <w:tabs>
                <w:tab w:val="left" w:pos="6227"/>
              </w:tabs>
              <w:spacing w:line="240" w:lineRule="auto"/>
              <w:ind w:left="357" w:hanging="357"/>
              <w:contextualSpacing w:val="0"/>
              <w:rPr>
                <w:rFonts w:cstheme="minorHAnsi"/>
                <w:iCs/>
              </w:rPr>
            </w:pPr>
            <w:r w:rsidRPr="0034534C">
              <w:rPr>
                <w:rFonts w:cstheme="minorHAnsi"/>
                <w:iCs/>
              </w:rPr>
              <w:t>Work-integrated learning</w:t>
            </w:r>
          </w:p>
          <w:p w14:paraId="170EFFC4" w14:textId="77777777" w:rsidR="009C1526" w:rsidRPr="0034534C" w:rsidRDefault="009C1526" w:rsidP="009C1526">
            <w:pPr>
              <w:pStyle w:val="ListParagraph"/>
              <w:numPr>
                <w:ilvl w:val="0"/>
                <w:numId w:val="31"/>
              </w:numPr>
              <w:tabs>
                <w:tab w:val="left" w:pos="6227"/>
              </w:tabs>
              <w:spacing w:line="240" w:lineRule="auto"/>
              <w:ind w:left="357" w:hanging="357"/>
              <w:contextualSpacing w:val="0"/>
              <w:rPr>
                <w:rFonts w:cstheme="minorHAnsi"/>
                <w:iCs/>
                <w:color w:val="006158" w:themeColor="accent3" w:themeShade="BF"/>
              </w:rPr>
            </w:pPr>
            <w:r w:rsidRPr="0034534C">
              <w:rPr>
                <w:rFonts w:cstheme="minorHAnsi"/>
                <w:iCs/>
                <w:color w:val="006158" w:themeColor="accent3" w:themeShade="BF"/>
              </w:rPr>
              <w:t>HDR students undertaking internship/placement</w:t>
            </w:r>
          </w:p>
          <w:p w14:paraId="114E1289" w14:textId="77777777" w:rsidR="009C1526" w:rsidRPr="0034534C" w:rsidRDefault="009C1526" w:rsidP="009C1526">
            <w:pPr>
              <w:pStyle w:val="ListParagraph"/>
              <w:numPr>
                <w:ilvl w:val="0"/>
                <w:numId w:val="31"/>
              </w:numPr>
              <w:tabs>
                <w:tab w:val="left" w:pos="6227"/>
              </w:tabs>
              <w:spacing w:line="240" w:lineRule="auto"/>
              <w:ind w:left="357" w:hanging="357"/>
              <w:contextualSpacing w:val="0"/>
              <w:rPr>
                <w:rFonts w:cstheme="minorHAnsi"/>
                <w:iCs/>
              </w:rPr>
            </w:pPr>
            <w:r w:rsidRPr="0034534C">
              <w:rPr>
                <w:rFonts w:cstheme="minorHAnsi"/>
                <w:iCs/>
                <w:color w:val="008276" w:themeColor="accent3"/>
              </w:rPr>
              <w:t>W</w:t>
            </w:r>
            <w:r w:rsidR="008E2249" w:rsidRPr="0034534C">
              <w:rPr>
                <w:rFonts w:cstheme="minorHAnsi"/>
                <w:iCs/>
                <w:color w:val="008276" w:themeColor="accent3"/>
              </w:rPr>
              <w:t>ork experience in industry (WEI)</w:t>
            </w:r>
            <w:r w:rsidRPr="0034534C">
              <w:rPr>
                <w:rFonts w:cstheme="minorHAnsi"/>
                <w:iCs/>
                <w:color w:val="008276" w:themeColor="accent3"/>
              </w:rPr>
              <w:t xml:space="preserve"> </w:t>
            </w:r>
            <w:r w:rsidR="00753554" w:rsidRPr="0034534C">
              <w:rPr>
                <w:rFonts w:cstheme="minorHAnsi"/>
                <w:iCs/>
                <w:color w:val="008276" w:themeColor="accent3"/>
              </w:rPr>
              <w:t>units</w:t>
            </w:r>
          </w:p>
          <w:p w14:paraId="2828F513" w14:textId="5469EADD" w:rsidR="00C014E6" w:rsidRPr="0034534C" w:rsidRDefault="00190683" w:rsidP="00C014E6">
            <w:pPr>
              <w:pStyle w:val="ListParagraph"/>
              <w:numPr>
                <w:ilvl w:val="0"/>
                <w:numId w:val="31"/>
              </w:numPr>
              <w:spacing w:line="240" w:lineRule="auto"/>
              <w:ind w:left="357" w:hanging="357"/>
              <w:contextualSpacing w:val="0"/>
              <w:rPr>
                <w:iCs/>
              </w:rPr>
            </w:pPr>
            <w:r w:rsidRPr="0034534C">
              <w:rPr>
                <w:iCs/>
              </w:rPr>
              <w:t>Co-designed courses*</w:t>
            </w:r>
          </w:p>
        </w:tc>
        <w:tc>
          <w:tcPr>
            <w:tcW w:w="2977" w:type="dxa"/>
          </w:tcPr>
          <w:p w14:paraId="464E9D7D" w14:textId="5B0C31D8" w:rsidR="009C1526" w:rsidRPr="0034534C" w:rsidRDefault="009C1526" w:rsidP="009C1526">
            <w:pPr>
              <w:pStyle w:val="ListParagraph"/>
              <w:numPr>
                <w:ilvl w:val="0"/>
                <w:numId w:val="31"/>
              </w:numPr>
              <w:tabs>
                <w:tab w:val="left" w:pos="6227"/>
              </w:tabs>
              <w:spacing w:line="240" w:lineRule="auto"/>
              <w:ind w:left="357" w:hanging="357"/>
              <w:contextualSpacing w:val="0"/>
              <w:rPr>
                <w:rFonts w:cstheme="minorHAnsi"/>
                <w:iCs/>
                <w:color w:val="008276" w:themeColor="accent3"/>
              </w:rPr>
            </w:pPr>
            <w:r w:rsidRPr="0034534C">
              <w:rPr>
                <w:rFonts w:cstheme="minorHAnsi"/>
                <w:iCs/>
                <w:color w:val="008276" w:themeColor="accent3"/>
              </w:rPr>
              <w:t xml:space="preserve">STEM graduate employment outcomes </w:t>
            </w:r>
          </w:p>
          <w:p w14:paraId="3B826A35" w14:textId="2BCA9585" w:rsidR="009C1526" w:rsidRPr="0034534C" w:rsidRDefault="009C1526" w:rsidP="009C1526">
            <w:pPr>
              <w:pStyle w:val="ListParagraph"/>
              <w:numPr>
                <w:ilvl w:val="0"/>
                <w:numId w:val="31"/>
              </w:numPr>
              <w:tabs>
                <w:tab w:val="left" w:pos="6227"/>
              </w:tabs>
              <w:spacing w:line="240" w:lineRule="auto"/>
              <w:ind w:left="357" w:hanging="357"/>
              <w:contextualSpacing w:val="0"/>
              <w:rPr>
                <w:rFonts w:cstheme="minorHAnsi"/>
                <w:iCs/>
                <w:color w:val="008276" w:themeColor="accent3"/>
              </w:rPr>
            </w:pPr>
            <w:r w:rsidRPr="0034534C">
              <w:rPr>
                <w:rFonts w:cstheme="minorHAnsi"/>
                <w:iCs/>
                <w:color w:val="008276" w:themeColor="accent3"/>
              </w:rPr>
              <w:t>STEM graduates</w:t>
            </w:r>
          </w:p>
          <w:p w14:paraId="50FC981B" w14:textId="5726B1CE" w:rsidR="009C1526" w:rsidRPr="0034534C" w:rsidRDefault="009C1526" w:rsidP="009C1526">
            <w:pPr>
              <w:pStyle w:val="ListParagraph"/>
              <w:numPr>
                <w:ilvl w:val="0"/>
                <w:numId w:val="31"/>
              </w:numPr>
              <w:tabs>
                <w:tab w:val="left" w:pos="6227"/>
              </w:tabs>
              <w:spacing w:line="240" w:lineRule="auto"/>
              <w:ind w:left="357" w:hanging="357"/>
              <w:contextualSpacing w:val="0"/>
              <w:rPr>
                <w:rFonts w:cstheme="minorHAnsi"/>
                <w:iCs/>
                <w:color w:val="008276" w:themeColor="accent3"/>
              </w:rPr>
            </w:pPr>
            <w:r w:rsidRPr="0034534C">
              <w:rPr>
                <w:rFonts w:cstheme="minorHAnsi"/>
                <w:iCs/>
                <w:color w:val="008276" w:themeColor="accent3"/>
              </w:rPr>
              <w:t>STEM</w:t>
            </w:r>
            <w:r w:rsidRPr="0034534C">
              <w:rPr>
                <w:rFonts w:cstheme="minorHAnsi"/>
                <w:iCs/>
                <w:color w:val="008276" w:themeColor="accent3"/>
              </w:rPr>
              <w:noBreakHyphen/>
              <w:t xml:space="preserve">skilled graduates </w:t>
            </w:r>
          </w:p>
          <w:p w14:paraId="2AB844D7" w14:textId="4D08B0C6" w:rsidR="00DF4E65" w:rsidRPr="0034534C" w:rsidRDefault="00C43ACA" w:rsidP="00DF4E65">
            <w:pPr>
              <w:pStyle w:val="ListParagraph"/>
              <w:numPr>
                <w:ilvl w:val="0"/>
                <w:numId w:val="31"/>
              </w:numPr>
              <w:tabs>
                <w:tab w:val="left" w:pos="6227"/>
              </w:tabs>
              <w:spacing w:line="240" w:lineRule="auto"/>
              <w:ind w:left="357" w:hanging="357"/>
              <w:contextualSpacing w:val="0"/>
              <w:rPr>
                <w:rFonts w:cstheme="minorHAnsi"/>
                <w:iCs/>
              </w:rPr>
            </w:pPr>
            <w:r w:rsidRPr="0034534C">
              <w:rPr>
                <w:rFonts w:cstheme="minorHAnsi"/>
                <w:iCs/>
                <w:color w:val="008276" w:themeColor="accent3"/>
              </w:rPr>
              <w:t>Equity groups undertaking</w:t>
            </w:r>
            <w:r w:rsidR="009C1526" w:rsidRPr="0034534C">
              <w:rPr>
                <w:rFonts w:cstheme="minorHAnsi"/>
                <w:iCs/>
                <w:color w:val="008276" w:themeColor="accent3"/>
              </w:rPr>
              <w:t xml:space="preserve"> ‘core’ STEM courses (excluding health/architecture)</w:t>
            </w:r>
          </w:p>
        </w:tc>
        <w:tc>
          <w:tcPr>
            <w:tcW w:w="2977" w:type="dxa"/>
          </w:tcPr>
          <w:p w14:paraId="7A35C7AA" w14:textId="5539726E" w:rsidR="009C1526" w:rsidRPr="0034534C" w:rsidRDefault="009567BE" w:rsidP="009C1526">
            <w:pPr>
              <w:pStyle w:val="ListParagraph"/>
              <w:numPr>
                <w:ilvl w:val="0"/>
                <w:numId w:val="31"/>
              </w:numPr>
              <w:spacing w:line="240" w:lineRule="auto"/>
              <w:ind w:left="357" w:hanging="357"/>
              <w:contextualSpacing w:val="0"/>
              <w:rPr>
                <w:iCs/>
              </w:rPr>
            </w:pPr>
            <w:r w:rsidRPr="0034534C">
              <w:rPr>
                <w:iCs/>
              </w:rPr>
              <w:t>I</w:t>
            </w:r>
            <w:r w:rsidR="009C1526" w:rsidRPr="0034534C">
              <w:rPr>
                <w:iCs/>
              </w:rPr>
              <w:t xml:space="preserve">ndustry-linked programs, collaboration or partnerships </w:t>
            </w:r>
          </w:p>
          <w:p w14:paraId="7C39C39C" w14:textId="240F08A3" w:rsidR="009C1526" w:rsidRPr="0034534C" w:rsidRDefault="00D45FA9" w:rsidP="009C1526">
            <w:pPr>
              <w:pStyle w:val="ListParagraph"/>
              <w:numPr>
                <w:ilvl w:val="0"/>
                <w:numId w:val="31"/>
              </w:numPr>
              <w:spacing w:line="240" w:lineRule="auto"/>
              <w:ind w:left="357" w:hanging="357"/>
              <w:contextualSpacing w:val="0"/>
              <w:rPr>
                <w:iCs/>
                <w:color w:val="008276" w:themeColor="accent3"/>
              </w:rPr>
            </w:pPr>
            <w:r w:rsidRPr="0034534C">
              <w:rPr>
                <w:iCs/>
                <w:color w:val="008276" w:themeColor="accent3"/>
              </w:rPr>
              <w:t>Research income from industry</w:t>
            </w:r>
          </w:p>
          <w:p w14:paraId="4F122571" w14:textId="375C0485" w:rsidR="009C1526" w:rsidRPr="0034534C" w:rsidRDefault="009567BE" w:rsidP="009C1526">
            <w:pPr>
              <w:pStyle w:val="ListParagraph"/>
              <w:numPr>
                <w:ilvl w:val="0"/>
                <w:numId w:val="31"/>
              </w:numPr>
              <w:spacing w:line="240" w:lineRule="auto"/>
              <w:ind w:left="357" w:hanging="357"/>
              <w:contextualSpacing w:val="0"/>
              <w:rPr>
                <w:iCs/>
              </w:rPr>
            </w:pPr>
            <w:r w:rsidRPr="0034534C">
              <w:rPr>
                <w:iCs/>
              </w:rPr>
              <w:t>Shared</w:t>
            </w:r>
            <w:r w:rsidR="009C1526" w:rsidRPr="0034534C">
              <w:rPr>
                <w:iCs/>
              </w:rPr>
              <w:t xml:space="preserve"> facilities</w:t>
            </w:r>
            <w:r w:rsidRPr="0034534C">
              <w:rPr>
                <w:iCs/>
              </w:rPr>
              <w:t xml:space="preserve">, </w:t>
            </w:r>
            <w:r w:rsidR="009C1526" w:rsidRPr="0034534C">
              <w:rPr>
                <w:iCs/>
              </w:rPr>
              <w:t xml:space="preserve">infrastructure or </w:t>
            </w:r>
            <w:r w:rsidR="009C1526" w:rsidRPr="0034534C">
              <w:rPr>
                <w:iCs/>
              </w:rPr>
              <w:br/>
              <w:t>co-location</w:t>
            </w:r>
            <w:r w:rsidR="00C0668D" w:rsidRPr="0034534C">
              <w:rPr>
                <w:iCs/>
              </w:rPr>
              <w:t xml:space="preserve"> by industry partners</w:t>
            </w:r>
          </w:p>
          <w:p w14:paraId="06333DF1" w14:textId="7D9309F4" w:rsidR="009C1526" w:rsidRPr="0034534C" w:rsidRDefault="00C43ACA" w:rsidP="009C1526">
            <w:pPr>
              <w:pStyle w:val="ListParagraph"/>
              <w:numPr>
                <w:ilvl w:val="0"/>
                <w:numId w:val="31"/>
              </w:numPr>
              <w:spacing w:line="240" w:lineRule="auto"/>
              <w:ind w:left="357" w:hanging="357"/>
              <w:contextualSpacing w:val="0"/>
              <w:rPr>
                <w:iCs/>
                <w:color w:val="008276" w:themeColor="accent3"/>
              </w:rPr>
            </w:pPr>
            <w:r w:rsidRPr="0034534C">
              <w:rPr>
                <w:iCs/>
                <w:color w:val="008276" w:themeColor="accent3"/>
              </w:rPr>
              <w:t>G</w:t>
            </w:r>
            <w:r w:rsidR="009C1526" w:rsidRPr="0034534C">
              <w:rPr>
                <w:iCs/>
                <w:color w:val="008276" w:themeColor="accent3"/>
              </w:rPr>
              <w:t>raduate employment outcomes overall</w:t>
            </w:r>
          </w:p>
          <w:p w14:paraId="557953DA" w14:textId="5BDB96AB" w:rsidR="009C1526" w:rsidRPr="0034534C" w:rsidRDefault="009567BE" w:rsidP="009C1526">
            <w:pPr>
              <w:pStyle w:val="ListParagraph"/>
              <w:numPr>
                <w:ilvl w:val="0"/>
                <w:numId w:val="31"/>
              </w:numPr>
              <w:spacing w:line="240" w:lineRule="auto"/>
              <w:ind w:left="357" w:hanging="357"/>
              <w:contextualSpacing w:val="0"/>
              <w:rPr>
                <w:iCs/>
              </w:rPr>
            </w:pPr>
            <w:r w:rsidRPr="0034534C">
              <w:rPr>
                <w:iCs/>
              </w:rPr>
              <w:t>C</w:t>
            </w:r>
            <w:r w:rsidR="009C1526" w:rsidRPr="0034534C">
              <w:rPr>
                <w:iCs/>
              </w:rPr>
              <w:t xml:space="preserve">o-designed </w:t>
            </w:r>
            <w:r w:rsidRPr="0034534C">
              <w:rPr>
                <w:iCs/>
              </w:rPr>
              <w:t>courses</w:t>
            </w:r>
            <w:r w:rsidR="00190683" w:rsidRPr="0034534C">
              <w:rPr>
                <w:iCs/>
              </w:rPr>
              <w:t>*</w:t>
            </w:r>
          </w:p>
          <w:p w14:paraId="76DBEA83" w14:textId="2EC37641" w:rsidR="00C0668D" w:rsidRPr="0034534C" w:rsidRDefault="00C0668D" w:rsidP="00C0668D">
            <w:pPr>
              <w:pStyle w:val="ListParagraph"/>
              <w:numPr>
                <w:ilvl w:val="0"/>
                <w:numId w:val="31"/>
              </w:numPr>
              <w:tabs>
                <w:tab w:val="left" w:pos="6227"/>
              </w:tabs>
              <w:spacing w:line="240" w:lineRule="auto"/>
              <w:ind w:left="357" w:hanging="357"/>
              <w:contextualSpacing w:val="0"/>
              <w:rPr>
                <w:rFonts w:cstheme="minorHAnsi"/>
                <w:iCs/>
              </w:rPr>
            </w:pPr>
            <w:r w:rsidRPr="0034534C">
              <w:rPr>
                <w:rFonts w:cstheme="minorHAnsi"/>
                <w:iCs/>
              </w:rPr>
              <w:t>Academic workforce actively from industry</w:t>
            </w:r>
          </w:p>
        </w:tc>
      </w:tr>
    </w:tbl>
    <w:p w14:paraId="4A408A83" w14:textId="0FFB6CCE" w:rsidR="00C0668D" w:rsidRPr="0034534C" w:rsidRDefault="00C0668D" w:rsidP="00C0668D">
      <w:pPr>
        <w:rPr>
          <w:i/>
          <w:iCs/>
          <w:sz w:val="20"/>
          <w:szCs w:val="20"/>
        </w:rPr>
      </w:pPr>
      <w:r w:rsidRPr="0034534C">
        <w:rPr>
          <w:i/>
          <w:iCs/>
          <w:color w:val="008276" w:themeColor="accent3"/>
          <w:sz w:val="20"/>
          <w:szCs w:val="20"/>
        </w:rPr>
        <w:t xml:space="preserve">Green highlighting </w:t>
      </w:r>
      <w:r w:rsidRPr="0034534C">
        <w:rPr>
          <w:i/>
          <w:iCs/>
          <w:sz w:val="20"/>
          <w:szCs w:val="20"/>
        </w:rPr>
        <w:t>represents data already collected by Government</w:t>
      </w:r>
      <w:r w:rsidR="0046416C" w:rsidRPr="0034534C">
        <w:rPr>
          <w:i/>
          <w:iCs/>
          <w:sz w:val="20"/>
          <w:szCs w:val="20"/>
        </w:rPr>
        <w:t xml:space="preserve">. </w:t>
      </w:r>
      <w:r w:rsidR="00A07170" w:rsidRPr="0034534C">
        <w:rPr>
          <w:i/>
          <w:iCs/>
          <w:sz w:val="20"/>
          <w:szCs w:val="20"/>
        </w:rPr>
        <w:t>Remaining metrics are internally collected and</w:t>
      </w:r>
      <w:r w:rsidR="0046416C" w:rsidRPr="0034534C">
        <w:rPr>
          <w:i/>
          <w:iCs/>
          <w:sz w:val="20"/>
          <w:szCs w:val="20"/>
        </w:rPr>
        <w:t xml:space="preserve"> likely to differ in exact measure across institutions.</w:t>
      </w:r>
      <w:r w:rsidR="00C014E6" w:rsidRPr="0034534C">
        <w:rPr>
          <w:i/>
          <w:iCs/>
          <w:sz w:val="20"/>
          <w:szCs w:val="20"/>
        </w:rPr>
        <w:br/>
      </w:r>
      <w:r w:rsidR="00190683" w:rsidRPr="0034534C">
        <w:rPr>
          <w:i/>
          <w:iCs/>
          <w:sz w:val="20"/>
          <w:szCs w:val="20"/>
        </w:rPr>
        <w:t>*</w:t>
      </w:r>
      <w:r w:rsidR="00354FD0" w:rsidRPr="0034534C">
        <w:rPr>
          <w:i/>
          <w:iCs/>
          <w:sz w:val="20"/>
          <w:szCs w:val="20"/>
        </w:rPr>
        <w:t>‘C</w:t>
      </w:r>
      <w:r w:rsidR="00190683" w:rsidRPr="0034534C">
        <w:rPr>
          <w:i/>
          <w:iCs/>
          <w:sz w:val="20"/>
          <w:szCs w:val="20"/>
        </w:rPr>
        <w:t>o-design</w:t>
      </w:r>
      <w:r w:rsidR="00354FD0" w:rsidRPr="0034534C">
        <w:rPr>
          <w:i/>
          <w:iCs/>
          <w:sz w:val="20"/>
          <w:szCs w:val="20"/>
        </w:rPr>
        <w:t>ed</w:t>
      </w:r>
      <w:r w:rsidR="00190683" w:rsidRPr="0034534C">
        <w:rPr>
          <w:i/>
          <w:iCs/>
          <w:sz w:val="20"/>
          <w:szCs w:val="20"/>
        </w:rPr>
        <w:t xml:space="preserve"> courses</w:t>
      </w:r>
      <w:r w:rsidR="00354FD0" w:rsidRPr="0034534C">
        <w:rPr>
          <w:i/>
          <w:iCs/>
          <w:sz w:val="20"/>
          <w:szCs w:val="20"/>
        </w:rPr>
        <w:t>’</w:t>
      </w:r>
      <w:r w:rsidR="00190683" w:rsidRPr="0034534C">
        <w:rPr>
          <w:i/>
          <w:iCs/>
          <w:sz w:val="20"/>
          <w:szCs w:val="20"/>
        </w:rPr>
        <w:t xml:space="preserve"> could be</w:t>
      </w:r>
      <w:r w:rsidR="004040F1" w:rsidRPr="0034534C">
        <w:rPr>
          <w:i/>
          <w:iCs/>
          <w:sz w:val="20"/>
          <w:szCs w:val="20"/>
        </w:rPr>
        <w:t xml:space="preserve"> a demonstration of either</w:t>
      </w:r>
      <w:r w:rsidR="00190683" w:rsidRPr="0034534C">
        <w:rPr>
          <w:i/>
          <w:iCs/>
          <w:sz w:val="20"/>
          <w:szCs w:val="20"/>
        </w:rPr>
        <w:t xml:space="preserve"> the WIL or Industry partnerships priority.</w:t>
      </w:r>
    </w:p>
    <w:p w14:paraId="34C10125" w14:textId="124275A2" w:rsidR="00C0668D" w:rsidRDefault="00C0668D" w:rsidP="00354FD0">
      <w:pPr>
        <w:rPr>
          <w:lang w:eastAsia="en-AU"/>
        </w:rPr>
      </w:pPr>
      <w:r>
        <w:rPr>
          <w:lang w:eastAsia="en-AU"/>
        </w:rPr>
        <w:t xml:space="preserve">The definition of each metric is critical to ensuring a model that is fair </w:t>
      </w:r>
      <w:r w:rsidR="008E2249">
        <w:rPr>
          <w:lang w:eastAsia="en-AU"/>
        </w:rPr>
        <w:t>and not easily</w:t>
      </w:r>
      <w:r>
        <w:rPr>
          <w:lang w:eastAsia="en-AU"/>
        </w:rPr>
        <w:t xml:space="preserve"> gamed. The definitions are being established </w:t>
      </w:r>
      <w:r w:rsidR="00CE7E91">
        <w:rPr>
          <w:lang w:eastAsia="en-AU"/>
        </w:rPr>
        <w:t xml:space="preserve">by the department </w:t>
      </w:r>
      <w:r>
        <w:rPr>
          <w:lang w:eastAsia="en-AU"/>
        </w:rPr>
        <w:t>in conjunction with university planners. The pilot provides an opportunity to test the metrics to ensure they are robust and fit for purpose.</w:t>
      </w:r>
    </w:p>
    <w:p w14:paraId="220907D4" w14:textId="4784BC81" w:rsidR="00DC0B5B" w:rsidRPr="00617610" w:rsidRDefault="00DC0B5B" w:rsidP="00617610">
      <w:pPr>
        <w:pStyle w:val="Heading4"/>
        <w:rPr>
          <w:rStyle w:val="Heading4Char"/>
        </w:rPr>
      </w:pPr>
      <w:r w:rsidRPr="00452E2C">
        <w:t>Case studies</w:t>
      </w:r>
    </w:p>
    <w:bookmarkEnd w:id="11"/>
    <w:p w14:paraId="4F7E1732" w14:textId="48C2DB38" w:rsidR="00AA0605" w:rsidRPr="000B5D0B" w:rsidRDefault="00AA0605" w:rsidP="00354FD0">
      <w:r>
        <w:t xml:space="preserve">Universities will provide </w:t>
      </w:r>
      <w:r w:rsidR="008E2249" w:rsidRPr="00CE7E91">
        <w:t>at least</w:t>
      </w:r>
      <w:r w:rsidR="008E2249">
        <w:t xml:space="preserve"> </w:t>
      </w:r>
      <w:r>
        <w:t xml:space="preserve">three case studies in their plan. </w:t>
      </w:r>
      <w:r w:rsidR="00DC0B5B">
        <w:t xml:space="preserve">Each case study will be a submission that outlines the activity, program or strategy that universities are undertaking in line with a particular NPILF </w:t>
      </w:r>
      <w:r w:rsidR="00DC0B5B" w:rsidRPr="00214F3B">
        <w:t xml:space="preserve">priority </w:t>
      </w:r>
      <w:r w:rsidR="00DC0B5B" w:rsidRPr="000B5D0B">
        <w:t xml:space="preserve">and </w:t>
      </w:r>
      <w:r w:rsidRPr="000B5D0B">
        <w:t xml:space="preserve">importantly, </w:t>
      </w:r>
      <w:r w:rsidR="00DC0B5B" w:rsidRPr="000B5D0B">
        <w:t xml:space="preserve">will require both </w:t>
      </w:r>
      <w:r w:rsidR="00DC0B5B" w:rsidRPr="000B5D0B">
        <w:rPr>
          <w:rFonts w:ascii="Calibri" w:eastAsia="Times New Roman" w:hAnsi="Calibri" w:cs="Calibri"/>
          <w:color w:val="000000"/>
          <w:szCs w:val="24"/>
          <w:lang w:val="x-none"/>
        </w:rPr>
        <w:t>quantitative and qualitative evidence to demonstrate outcomes</w:t>
      </w:r>
      <w:r w:rsidR="00DC0B5B" w:rsidRPr="000B5D0B">
        <w:t xml:space="preserve">. </w:t>
      </w:r>
    </w:p>
    <w:p w14:paraId="334CC86F" w14:textId="241E5FDF" w:rsidR="00DC0B5B" w:rsidRPr="000B5D0B" w:rsidRDefault="00DC0B5B" w:rsidP="00354FD0">
      <w:r w:rsidRPr="000B5D0B">
        <w:t xml:space="preserve">Case studies will be developed by each university in line with their </w:t>
      </w:r>
      <w:r w:rsidR="00AB235E" w:rsidRPr="000B5D0B">
        <w:t>missions and</w:t>
      </w:r>
      <w:r w:rsidRPr="000B5D0B">
        <w:t xml:space="preserve"> may vary greatly in what they are trying to achieve. The case studies are a key aspect of the framework to enable universities to meet their missions, in addition to encouraging new and innovative programs, while also providing a platform for the sharing of best practice.</w:t>
      </w:r>
      <w:r w:rsidR="00CE7E91" w:rsidRPr="000B5D0B">
        <w:t xml:space="preserve"> The NPILF framework is deliberately designed to encourage innovation and new ways of university industry engagement.</w:t>
      </w:r>
    </w:p>
    <w:p w14:paraId="32457D1D" w14:textId="77777777" w:rsidR="0034534C" w:rsidRDefault="0034534C">
      <w:pPr>
        <w:spacing w:after="160" w:line="259" w:lineRule="auto"/>
      </w:pPr>
      <w:r>
        <w:br w:type="page"/>
      </w:r>
    </w:p>
    <w:p w14:paraId="23B21A0D" w14:textId="5ACE2A9C" w:rsidR="00DC0B5B" w:rsidRPr="000B5D0B" w:rsidRDefault="00DC0B5B" w:rsidP="00354FD0">
      <w:r w:rsidRPr="000B5D0B">
        <w:lastRenderedPageBreak/>
        <w:t>Case studies may be activities that</w:t>
      </w:r>
      <w:r w:rsidR="008E2249" w:rsidRPr="000B5D0B">
        <w:t xml:space="preserve">: </w:t>
      </w:r>
    </w:p>
    <w:p w14:paraId="029E2265" w14:textId="00641497" w:rsidR="00DC0B5B" w:rsidRPr="002941EE" w:rsidRDefault="00DC0B5B" w:rsidP="00354FD0">
      <w:pPr>
        <w:pStyle w:val="List"/>
        <w:numPr>
          <w:ilvl w:val="0"/>
          <w:numId w:val="45"/>
        </w:numPr>
      </w:pPr>
      <w:r w:rsidRPr="000B5D0B">
        <w:t xml:space="preserve">demonstrate best practice or are an expansion of a program with a track record of </w:t>
      </w:r>
      <w:r w:rsidR="00AB235E" w:rsidRPr="000B5D0B">
        <w:t>success and</w:t>
      </w:r>
      <w:r w:rsidRPr="000B5D0B">
        <w:t xml:space="preserve"> are </w:t>
      </w:r>
      <w:r w:rsidR="003F738F" w:rsidRPr="000B5D0B">
        <w:t xml:space="preserve">likely to be </w:t>
      </w:r>
      <w:r w:rsidR="008E2249" w:rsidRPr="000B5D0B">
        <w:t>effective such as a</w:t>
      </w:r>
      <w:r w:rsidR="003F738F" w:rsidRPr="000B5D0B">
        <w:t xml:space="preserve"> start-up </w:t>
      </w:r>
      <w:r w:rsidR="00DD3E36" w:rsidRPr="000B5D0B">
        <w:t xml:space="preserve">or </w:t>
      </w:r>
      <w:r w:rsidR="003F738F" w:rsidRPr="000B5D0B">
        <w:t>entrepreneurship</w:t>
      </w:r>
      <w:r w:rsidR="003F738F">
        <w:t xml:space="preserve"> program</w:t>
      </w:r>
    </w:p>
    <w:p w14:paraId="263ED869" w14:textId="16088F03" w:rsidR="00CB59E3" w:rsidRPr="00214F3B" w:rsidRDefault="00DC0B5B" w:rsidP="00354FD0">
      <w:pPr>
        <w:pStyle w:val="List"/>
        <w:numPr>
          <w:ilvl w:val="0"/>
          <w:numId w:val="45"/>
        </w:numPr>
      </w:pPr>
      <w:r w:rsidRPr="00214F3B">
        <w:t xml:space="preserve">are highly innovative by nature and seek to ‘turn the dial’. </w:t>
      </w:r>
      <w:r w:rsidR="00CB59E3">
        <w:t xml:space="preserve">These </w:t>
      </w:r>
      <w:r w:rsidR="008E2249">
        <w:t xml:space="preserve">are likely to be </w:t>
      </w:r>
      <w:r w:rsidR="00CB59E3">
        <w:t xml:space="preserve">pilot </w:t>
      </w:r>
      <w:r w:rsidR="00DD3E36">
        <w:t xml:space="preserve">programs </w:t>
      </w:r>
      <w:r w:rsidR="008E2249">
        <w:t xml:space="preserve">implemented </w:t>
      </w:r>
      <w:r w:rsidR="00CB59E3">
        <w:t>on a small</w:t>
      </w:r>
      <w:r w:rsidR="00AB235E">
        <w:t>er</w:t>
      </w:r>
      <w:r w:rsidR="00CB59E3">
        <w:t xml:space="preserve"> </w:t>
      </w:r>
      <w:r w:rsidR="00334AF1">
        <w:t>scale but</w:t>
      </w:r>
      <w:r w:rsidR="008E2249">
        <w:t xml:space="preserve"> indicate potential to be </w:t>
      </w:r>
      <w:r w:rsidR="00CB59E3" w:rsidRPr="00CB59E3">
        <w:t>scaled up</w:t>
      </w:r>
      <w:r w:rsidR="008E2249">
        <w:t xml:space="preserve"> such as</w:t>
      </w:r>
      <w:r w:rsidR="003F738F">
        <w:t xml:space="preserve"> a new</w:t>
      </w:r>
      <w:r w:rsidR="00DD3E36">
        <w:t xml:space="preserve"> virtual</w:t>
      </w:r>
      <w:r w:rsidR="003F738F">
        <w:t xml:space="preserve"> WIL </w:t>
      </w:r>
      <w:r w:rsidR="00DD3E36">
        <w:t>program</w:t>
      </w:r>
      <w:r w:rsidR="003F738F">
        <w:t>.</w:t>
      </w:r>
    </w:p>
    <w:p w14:paraId="3E48750D" w14:textId="590E6988" w:rsidR="004905A8" w:rsidRPr="00497F00" w:rsidRDefault="00497F00" w:rsidP="00354FD0">
      <w:pPr>
        <w:rPr>
          <w:rFonts w:ascii="Calibri" w:eastAsia="Times New Roman" w:hAnsi="Calibri" w:cs="Calibri"/>
          <w:color w:val="000000"/>
          <w:szCs w:val="24"/>
          <w:lang w:val="x-none"/>
        </w:rPr>
      </w:pPr>
      <w:r>
        <w:t>T</w:t>
      </w:r>
      <w:r w:rsidR="00DC0B5B" w:rsidRPr="00214F3B">
        <w:t>hes</w:t>
      </w:r>
      <w:r>
        <w:t xml:space="preserve">e characteristics of the two types of case studies are critical to the model. In particular, the innovation aspect ensures </w:t>
      </w:r>
      <w:r w:rsidR="00DC0B5B" w:rsidRPr="00214F3B">
        <w:t>a failure tolerant design that enco</w:t>
      </w:r>
      <w:r w:rsidR="00CB59E3">
        <w:t xml:space="preserve">urages risk and enables growth. Universities </w:t>
      </w:r>
      <w:r w:rsidR="00DC0B5B" w:rsidRPr="00214F3B">
        <w:rPr>
          <w:rFonts w:ascii="Calibri" w:eastAsia="Times New Roman" w:hAnsi="Calibri" w:cs="Calibri"/>
          <w:color w:val="000000"/>
          <w:szCs w:val="24"/>
          <w:lang w:val="x-none"/>
        </w:rPr>
        <w:t xml:space="preserve">are encouraged to take risk </w:t>
      </w:r>
      <w:r w:rsidR="00CB59E3">
        <w:rPr>
          <w:rFonts w:ascii="Calibri" w:eastAsia="Times New Roman" w:hAnsi="Calibri" w:cs="Calibri"/>
          <w:color w:val="000000"/>
          <w:szCs w:val="24"/>
        </w:rPr>
        <w:t>for positive gain and growth,</w:t>
      </w:r>
      <w:r>
        <w:rPr>
          <w:rFonts w:ascii="Calibri" w:eastAsia="Times New Roman" w:hAnsi="Calibri" w:cs="Calibri"/>
          <w:color w:val="000000"/>
          <w:szCs w:val="24"/>
          <w:lang w:val="x-none"/>
        </w:rPr>
        <w:t xml:space="preserve"> and </w:t>
      </w:r>
      <w:r w:rsidR="00CB59E3">
        <w:rPr>
          <w:rFonts w:ascii="Calibri" w:eastAsia="Times New Roman" w:hAnsi="Calibri" w:cs="Calibri"/>
          <w:color w:val="000000"/>
          <w:szCs w:val="24"/>
        </w:rPr>
        <w:t xml:space="preserve">to </w:t>
      </w:r>
      <w:r>
        <w:rPr>
          <w:rFonts w:ascii="Calibri" w:eastAsia="Times New Roman" w:hAnsi="Calibri" w:cs="Calibri"/>
          <w:color w:val="000000"/>
          <w:szCs w:val="24"/>
        </w:rPr>
        <w:t>create</w:t>
      </w:r>
      <w:r w:rsidRPr="00214F3B">
        <w:rPr>
          <w:rFonts w:ascii="Calibri" w:eastAsia="Times New Roman" w:hAnsi="Calibri" w:cs="Calibri"/>
          <w:color w:val="000000"/>
          <w:szCs w:val="24"/>
          <w:lang w:val="x-none"/>
        </w:rPr>
        <w:t xml:space="preserve"> </w:t>
      </w:r>
      <w:r>
        <w:rPr>
          <w:rFonts w:ascii="Calibri" w:eastAsia="Times New Roman" w:hAnsi="Calibri" w:cs="Calibri"/>
          <w:color w:val="000000"/>
          <w:szCs w:val="24"/>
        </w:rPr>
        <w:t xml:space="preserve">broader </w:t>
      </w:r>
      <w:r w:rsidRPr="00214F3B">
        <w:rPr>
          <w:rFonts w:ascii="Calibri" w:eastAsia="Times New Roman" w:hAnsi="Calibri" w:cs="Calibri"/>
          <w:color w:val="000000"/>
          <w:szCs w:val="24"/>
          <w:lang w:val="x-none"/>
        </w:rPr>
        <w:t>behavioural change across the sector.</w:t>
      </w:r>
    </w:p>
    <w:p w14:paraId="7CBF3F2A" w14:textId="63B87305" w:rsidR="00DC0B5B" w:rsidRDefault="0046416C" w:rsidP="00354FD0">
      <w:pPr>
        <w:rPr>
          <w:rFonts w:ascii="Calibri" w:eastAsia="Times New Roman" w:hAnsi="Calibri" w:cs="Calibri"/>
          <w:color w:val="000000"/>
          <w:szCs w:val="24"/>
        </w:rPr>
      </w:pPr>
      <w:r>
        <w:rPr>
          <w:rFonts w:ascii="Calibri" w:eastAsia="Times New Roman" w:hAnsi="Calibri" w:cs="Calibri"/>
          <w:color w:val="000000"/>
          <w:szCs w:val="24"/>
        </w:rPr>
        <w:t>W</w:t>
      </w:r>
      <w:r w:rsidR="00DC0B5B" w:rsidRPr="00214F3B">
        <w:rPr>
          <w:rFonts w:ascii="Calibri" w:eastAsia="Times New Roman" w:hAnsi="Calibri" w:cs="Calibri"/>
          <w:color w:val="000000"/>
          <w:szCs w:val="24"/>
          <w:lang w:val="x-none"/>
        </w:rPr>
        <w:t xml:space="preserve">here a university does not achieve the expected outcome of any metric </w:t>
      </w:r>
      <w:r w:rsidR="00DC0B5B" w:rsidRPr="00214F3B">
        <w:rPr>
          <w:rFonts w:ascii="Calibri" w:eastAsia="Times New Roman" w:hAnsi="Calibri" w:cs="Calibri"/>
          <w:color w:val="000000"/>
          <w:szCs w:val="24"/>
        </w:rPr>
        <w:t>or case study</w:t>
      </w:r>
      <w:r w:rsidR="00DC0B5B" w:rsidRPr="00214F3B">
        <w:rPr>
          <w:rFonts w:ascii="Calibri" w:eastAsia="Times New Roman" w:hAnsi="Calibri" w:cs="Calibri"/>
          <w:color w:val="000000"/>
          <w:szCs w:val="24"/>
          <w:lang w:val="x-none"/>
        </w:rPr>
        <w:t>, the requirements can still be met</w:t>
      </w:r>
      <w:r w:rsidR="00CB59E3">
        <w:rPr>
          <w:rFonts w:ascii="Calibri" w:eastAsia="Times New Roman" w:hAnsi="Calibri" w:cs="Calibri"/>
          <w:color w:val="000000"/>
          <w:szCs w:val="24"/>
        </w:rPr>
        <w:t xml:space="preserve"> </w:t>
      </w:r>
      <w:r w:rsidR="008E2249">
        <w:rPr>
          <w:rFonts w:ascii="Calibri" w:eastAsia="Times New Roman" w:hAnsi="Calibri" w:cs="Calibri"/>
          <w:color w:val="000000"/>
          <w:szCs w:val="24"/>
        </w:rPr>
        <w:t>provided a university demonstrate</w:t>
      </w:r>
      <w:r w:rsidR="009A4B0B">
        <w:rPr>
          <w:rFonts w:ascii="Calibri" w:eastAsia="Times New Roman" w:hAnsi="Calibri" w:cs="Calibri"/>
          <w:color w:val="000000"/>
          <w:szCs w:val="24"/>
        </w:rPr>
        <w:t>s</w:t>
      </w:r>
      <w:r w:rsidR="008E2249">
        <w:rPr>
          <w:rFonts w:ascii="Calibri" w:eastAsia="Times New Roman" w:hAnsi="Calibri" w:cs="Calibri"/>
          <w:color w:val="000000"/>
          <w:szCs w:val="24"/>
        </w:rPr>
        <w:t xml:space="preserve"> with evidence the key learnings from the process. </w:t>
      </w:r>
      <w:r w:rsidR="00497F00">
        <w:rPr>
          <w:rFonts w:ascii="Calibri" w:eastAsia="Times New Roman" w:hAnsi="Calibri" w:cs="Calibri"/>
          <w:color w:val="000000"/>
          <w:szCs w:val="24"/>
          <w:lang w:val="x-none"/>
        </w:rPr>
        <w:t>This</w:t>
      </w:r>
      <w:r w:rsidR="00DC0B5B" w:rsidRPr="00214F3B">
        <w:rPr>
          <w:rFonts w:ascii="Calibri" w:eastAsia="Times New Roman" w:hAnsi="Calibri" w:cs="Calibri"/>
          <w:color w:val="000000"/>
          <w:szCs w:val="24"/>
          <w:lang w:val="x-none"/>
        </w:rPr>
        <w:t xml:space="preserve"> </w:t>
      </w:r>
      <w:r w:rsidR="00497F00">
        <w:rPr>
          <w:rFonts w:ascii="Calibri" w:eastAsia="Times New Roman" w:hAnsi="Calibri" w:cs="Calibri"/>
          <w:color w:val="000000"/>
          <w:szCs w:val="24"/>
        </w:rPr>
        <w:t xml:space="preserve">is what differentiates this </w:t>
      </w:r>
      <w:r w:rsidR="009A4B0B">
        <w:rPr>
          <w:rFonts w:ascii="Calibri" w:eastAsia="Times New Roman" w:hAnsi="Calibri" w:cs="Calibri"/>
          <w:color w:val="000000"/>
          <w:szCs w:val="24"/>
        </w:rPr>
        <w:t>NPILF</w:t>
      </w:r>
      <w:r w:rsidR="00497F00">
        <w:rPr>
          <w:rFonts w:ascii="Calibri" w:eastAsia="Times New Roman" w:hAnsi="Calibri" w:cs="Calibri"/>
          <w:color w:val="000000"/>
          <w:szCs w:val="24"/>
        </w:rPr>
        <w:t xml:space="preserve"> a purely performance-based model.</w:t>
      </w:r>
    </w:p>
    <w:p w14:paraId="4FE71BCD" w14:textId="4B2E8ED6" w:rsidR="00DC0B5B" w:rsidRPr="004F3C97" w:rsidRDefault="00DC0B5B" w:rsidP="004F3C97">
      <w:pPr>
        <w:pStyle w:val="Heading2"/>
      </w:pPr>
      <w:bookmarkStart w:id="14" w:name="_Toc58494495"/>
      <w:r w:rsidRPr="004F3C97">
        <w:t xml:space="preserve">Reporting </w:t>
      </w:r>
      <w:r w:rsidR="00466C77" w:rsidRPr="004F3C97">
        <w:t>and assessment</w:t>
      </w:r>
      <w:bookmarkEnd w:id="14"/>
      <w:r w:rsidR="00466C77" w:rsidRPr="004F3C97">
        <w:t xml:space="preserve"> </w:t>
      </w:r>
    </w:p>
    <w:p w14:paraId="06C947D8" w14:textId="77777777" w:rsidR="00DF05D5" w:rsidRDefault="004F3C97" w:rsidP="00354FD0">
      <w:r>
        <w:t xml:space="preserve">The reporting and assessment </w:t>
      </w:r>
      <w:r w:rsidR="007A67F6">
        <w:t>requirements are</w:t>
      </w:r>
      <w:r>
        <w:t xml:space="preserve"> outlined in </w:t>
      </w:r>
      <w:r w:rsidRPr="002F4030">
        <w:rPr>
          <w:b/>
          <w:bCs/>
        </w:rPr>
        <w:t>Figure 2</w:t>
      </w:r>
      <w:r w:rsidRPr="007A67F6">
        <w:t>.</w:t>
      </w:r>
    </w:p>
    <w:p w14:paraId="18B048D8" w14:textId="344BED12" w:rsidR="004F3C97" w:rsidRPr="004F3C97" w:rsidRDefault="004F3C97" w:rsidP="000406B1">
      <w:r w:rsidRPr="000406B1">
        <w:rPr>
          <w:b/>
          <w:bCs/>
        </w:rPr>
        <w:t xml:space="preserve">Figure 2: NPILF </w:t>
      </w:r>
      <w:r w:rsidR="00966440" w:rsidRPr="000406B1">
        <w:rPr>
          <w:b/>
          <w:bCs/>
        </w:rPr>
        <w:t>reporting</w:t>
      </w:r>
      <w:r w:rsidR="00966440">
        <w:t xml:space="preserve"> </w:t>
      </w:r>
      <w:r w:rsidRPr="000406B1">
        <w:rPr>
          <w:b/>
          <w:bCs/>
        </w:rPr>
        <w:t>timeline</w:t>
      </w:r>
      <w:r w:rsidRPr="004F3C97">
        <w:rPr>
          <w:noProof/>
        </w:rPr>
        <w:t xml:space="preserve"> </w:t>
      </w:r>
    </w:p>
    <w:p w14:paraId="29188E0F" w14:textId="53789ACB" w:rsidR="00354FD0" w:rsidRDefault="00354FD0" w:rsidP="00354FD0">
      <w:bookmarkStart w:id="15" w:name="_Toc58494496"/>
      <w:bookmarkStart w:id="16" w:name="_GoBack"/>
      <w:r>
        <w:rPr>
          <w:noProof/>
        </w:rPr>
        <w:drawing>
          <wp:inline distT="0" distB="0" distL="0" distR="0" wp14:anchorId="52C1F0ED" wp14:editId="3172B98D">
            <wp:extent cx="5731510" cy="3409950"/>
            <wp:effectExtent l="0" t="0" r="2540" b="0"/>
            <wp:docPr id="27" name="Picture 27" descr="This timeline demonstrates the key actions required by universities from 2021 to 2025. &#10;The NPILF plan will be submitted in March 2021, the pilot will commence in 2022 with a NPILF plan due in March. Annual touch points will be in March 2023 and 2024 with the NPILF report due in December 2024. In Early 2025, the department will publish case studies and advise universities if funding penalties apply. In March 2025 the new NPILF plan is d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31510" cy="3409950"/>
                    </a:xfrm>
                    <a:prstGeom prst="rect">
                      <a:avLst/>
                    </a:prstGeom>
                  </pic:spPr>
                </pic:pic>
              </a:graphicData>
            </a:graphic>
          </wp:inline>
        </w:drawing>
      </w:r>
      <w:bookmarkEnd w:id="16"/>
    </w:p>
    <w:p w14:paraId="5F40AF59" w14:textId="1D8597AD" w:rsidR="00FD0B37" w:rsidRDefault="00FD0B37" w:rsidP="000406B1">
      <w:pPr>
        <w:pStyle w:val="Heading3"/>
      </w:pPr>
      <w:r>
        <w:lastRenderedPageBreak/>
        <w:t>NPILF plan</w:t>
      </w:r>
      <w:bookmarkEnd w:id="15"/>
      <w:r>
        <w:t xml:space="preserve"> </w:t>
      </w:r>
    </w:p>
    <w:p w14:paraId="702276E3" w14:textId="61AB4E61" w:rsidR="00DC0B5B" w:rsidRDefault="00662F8A" w:rsidP="00354FD0">
      <w:r>
        <w:t xml:space="preserve">The NPILF plans will be submitted </w:t>
      </w:r>
      <w:r w:rsidR="00AB235E">
        <w:t>and</w:t>
      </w:r>
      <w:r>
        <w:t xml:space="preserve"> follow </w:t>
      </w:r>
      <w:r w:rsidR="00334AF1">
        <w:t>a</w:t>
      </w:r>
      <w:r>
        <w:t xml:space="preserve"> three-year cycle. The</w:t>
      </w:r>
      <w:r w:rsidR="00DC0B5B" w:rsidRPr="00214F3B">
        <w:rPr>
          <w:b/>
        </w:rPr>
        <w:t xml:space="preserve"> </w:t>
      </w:r>
      <w:r w:rsidR="00DC0B5B" w:rsidRPr="002F4030">
        <w:rPr>
          <w:bCs/>
        </w:rPr>
        <w:t>three-year NPILF plan</w:t>
      </w:r>
      <w:r>
        <w:t xml:space="preserve"> will include</w:t>
      </w:r>
      <w:r w:rsidR="00DC0B5B" w:rsidRPr="00214F3B">
        <w:t xml:space="preserve"> </w:t>
      </w:r>
      <w:r w:rsidR="008E2249">
        <w:t>the metrics and case studies chosen by a university</w:t>
      </w:r>
      <w:r w:rsidR="00F67C2A">
        <w:t xml:space="preserve">. </w:t>
      </w:r>
      <w:r w:rsidR="00DD3E36">
        <w:t>T</w:t>
      </w:r>
      <w:r w:rsidR="007369EC">
        <w:t>he three-year timeframe is appropriate for</w:t>
      </w:r>
      <w:r w:rsidR="00546162">
        <w:t xml:space="preserve"> </w:t>
      </w:r>
      <w:r w:rsidR="00546162" w:rsidRPr="00214F3B">
        <w:t>universities to achieve outcomes and see</w:t>
      </w:r>
      <w:r w:rsidR="009E68D0">
        <w:t xml:space="preserve"> the</w:t>
      </w:r>
      <w:r w:rsidR="00546162" w:rsidRPr="00214F3B">
        <w:t xml:space="preserve"> result</w:t>
      </w:r>
      <w:r w:rsidR="009E68D0">
        <w:t>s</w:t>
      </w:r>
      <w:r w:rsidR="00546162" w:rsidRPr="00214F3B">
        <w:t xml:space="preserve"> of the programs that have been implemented.</w:t>
      </w:r>
    </w:p>
    <w:p w14:paraId="3734ACE9" w14:textId="498E0DB9" w:rsidR="00053E09" w:rsidRDefault="00F67C2A" w:rsidP="00354FD0">
      <w:r>
        <w:t>T</w:t>
      </w:r>
      <w:r w:rsidR="00DD3E36">
        <w:t xml:space="preserve">he targets (against metrics) and activities (against case studies) will be assessed </w:t>
      </w:r>
      <w:r w:rsidR="00466C77">
        <w:t xml:space="preserve">on entry </w:t>
      </w:r>
      <w:r>
        <w:t>to determine suitability</w:t>
      </w:r>
      <w:r w:rsidR="00466C77">
        <w:t>.</w:t>
      </w:r>
      <w:r w:rsidR="00053E09">
        <w:t xml:space="preserve"> The department will agree to a</w:t>
      </w:r>
      <w:r w:rsidR="009975EF">
        <w:t>n</w:t>
      </w:r>
      <w:r w:rsidR="00053E09">
        <w:t xml:space="preserve"> NPILF plan after determining the appropriateness of</w:t>
      </w:r>
      <w:r w:rsidR="009975EF">
        <w:t>:</w:t>
      </w:r>
      <w:r w:rsidR="00053E09">
        <w:t xml:space="preserve"> </w:t>
      </w:r>
    </w:p>
    <w:p w14:paraId="57C4B189" w14:textId="4F9943BF" w:rsidR="00DD3E36" w:rsidRDefault="00DD3E36" w:rsidP="00354FD0">
      <w:pPr>
        <w:pStyle w:val="ListBullet"/>
      </w:pPr>
      <w:r>
        <w:t>targets based on current and/or previous performance</w:t>
      </w:r>
    </w:p>
    <w:p w14:paraId="0EDF6B00" w14:textId="6F0C6510" w:rsidR="00053E09" w:rsidRDefault="00DD3E36" w:rsidP="00354FD0">
      <w:pPr>
        <w:pStyle w:val="ListBullet"/>
      </w:pPr>
      <w:r>
        <w:t xml:space="preserve">activities </w:t>
      </w:r>
      <w:r w:rsidR="00053E09">
        <w:t>to be used for the case studies</w:t>
      </w:r>
      <w:r w:rsidR="00D45FA9">
        <w:t xml:space="preserve">. These will </w:t>
      </w:r>
      <w:r w:rsidR="00F67C2A">
        <w:t>outline</w:t>
      </w:r>
      <w:r w:rsidR="00D45FA9">
        <w:t xml:space="preserve"> the</w:t>
      </w:r>
      <w:r w:rsidR="00F67C2A">
        <w:t xml:space="preserve"> case study intent, evaluation method and outcomes to be achieved.</w:t>
      </w:r>
      <w:r w:rsidR="00053E09">
        <w:t xml:space="preserve"> </w:t>
      </w:r>
    </w:p>
    <w:p w14:paraId="5B4D6A96" w14:textId="5A3BDCDE" w:rsidR="00466C77" w:rsidRDefault="00053E09" w:rsidP="00354FD0">
      <w:r>
        <w:t>The department may request more information or amendments to the plan before agreeing</w:t>
      </w:r>
      <w:r w:rsidR="006A3DBF">
        <w:t xml:space="preserve"> to it to ensure all targets and activities aim to have impact</w:t>
      </w:r>
      <w:r w:rsidR="00CE3489">
        <w:t>,</w:t>
      </w:r>
      <w:r w:rsidR="006A3DBF">
        <w:t xml:space="preserve"> while being measurable and achievable.</w:t>
      </w:r>
    </w:p>
    <w:p w14:paraId="3708F2F7" w14:textId="1AC70B54" w:rsidR="00FD0B37" w:rsidRPr="00214F3B" w:rsidRDefault="00FD0B37" w:rsidP="00DD3E36">
      <w:pPr>
        <w:pStyle w:val="Heading3"/>
      </w:pPr>
      <w:bookmarkStart w:id="17" w:name="_Toc58494497"/>
      <w:r>
        <w:t>Annual review and fast fail</w:t>
      </w:r>
      <w:bookmarkEnd w:id="17"/>
      <w:r>
        <w:t xml:space="preserve"> </w:t>
      </w:r>
    </w:p>
    <w:p w14:paraId="4F980E00" w14:textId="32F384AB" w:rsidR="00FD0B37" w:rsidRDefault="00546162" w:rsidP="00354FD0">
      <w:r>
        <w:t xml:space="preserve">The </w:t>
      </w:r>
      <w:r w:rsidRPr="002F4030">
        <w:rPr>
          <w:bCs/>
        </w:rPr>
        <w:t>a</w:t>
      </w:r>
      <w:r w:rsidR="00DC0B5B" w:rsidRPr="002F4030">
        <w:rPr>
          <w:bCs/>
        </w:rPr>
        <w:t xml:space="preserve">nnual </w:t>
      </w:r>
      <w:r w:rsidR="00CE3489" w:rsidRPr="002F4030">
        <w:rPr>
          <w:bCs/>
        </w:rPr>
        <w:t>touch</w:t>
      </w:r>
      <w:r w:rsidR="00DC0B5B" w:rsidRPr="002F4030">
        <w:rPr>
          <w:bCs/>
        </w:rPr>
        <w:t>points</w:t>
      </w:r>
      <w:r w:rsidR="00DC0B5B" w:rsidRPr="00546162">
        <w:rPr>
          <w:b/>
        </w:rPr>
        <w:t xml:space="preserve"> </w:t>
      </w:r>
      <w:r w:rsidR="00DC0B5B" w:rsidRPr="00214F3B">
        <w:t xml:space="preserve">will require universities to submit </w:t>
      </w:r>
      <w:r w:rsidR="00CE3489">
        <w:t xml:space="preserve">interim </w:t>
      </w:r>
      <w:r w:rsidR="00DC0B5B" w:rsidRPr="00214F3B">
        <w:t>data and progress reports to demonstrate progress against NPILF plans</w:t>
      </w:r>
      <w:r w:rsidR="009B19A8">
        <w:t xml:space="preserve">. </w:t>
      </w:r>
      <w:r w:rsidR="00DC0B5B" w:rsidRPr="00214F3B">
        <w:t xml:space="preserve">The annual </w:t>
      </w:r>
      <w:r w:rsidR="00CE3489">
        <w:t>touch</w:t>
      </w:r>
      <w:r w:rsidR="00DC0B5B" w:rsidRPr="00214F3B">
        <w:t>points are not tied to funding</w:t>
      </w:r>
      <w:r>
        <w:t xml:space="preserve"> but </w:t>
      </w:r>
      <w:r w:rsidRPr="00214F3B">
        <w:t>provide accountability to ensure that the behaviour change that th</w:t>
      </w:r>
      <w:r>
        <w:t>e fund aspires to is met</w:t>
      </w:r>
      <w:r w:rsidR="00DC0B5B" w:rsidRPr="00214F3B">
        <w:t xml:space="preserve">. </w:t>
      </w:r>
    </w:p>
    <w:p w14:paraId="77CE7B03" w14:textId="13B55D21" w:rsidR="009B19A8" w:rsidRDefault="009B19A8" w:rsidP="00354FD0">
      <w:r>
        <w:t>T</w:t>
      </w:r>
      <w:r w:rsidRPr="00214F3B">
        <w:t>he annual touchpoints provide the opportunity for the department to provide feedback and guide universities toward achieving their targets</w:t>
      </w:r>
      <w:r w:rsidR="00D473EE">
        <w:t xml:space="preserve"> </w:t>
      </w:r>
      <w:r>
        <w:t xml:space="preserve">and secure full funding amounts. </w:t>
      </w:r>
    </w:p>
    <w:p w14:paraId="7537E67C" w14:textId="3C8F8910" w:rsidR="00DC0B5B" w:rsidRPr="00214F3B" w:rsidRDefault="00DC0B5B" w:rsidP="00354FD0">
      <w:r w:rsidRPr="00214F3B">
        <w:t xml:space="preserve">While a full report </w:t>
      </w:r>
      <w:r w:rsidR="00FD0B37">
        <w:t xml:space="preserve">is not </w:t>
      </w:r>
      <w:r w:rsidRPr="00214F3B">
        <w:t xml:space="preserve">required at each touchpoint, it should provide clear progress information and indicate if a university is on track to achieve against the targets. At a minimum, this </w:t>
      </w:r>
      <w:r w:rsidR="00FD0B37">
        <w:t>includes</w:t>
      </w:r>
    </w:p>
    <w:p w14:paraId="7C922558" w14:textId="45C8E6DB" w:rsidR="00DC0B5B" w:rsidRPr="00214F3B" w:rsidRDefault="00DC0B5B" w:rsidP="00354FD0">
      <w:pPr>
        <w:pStyle w:val="ListBullet"/>
      </w:pPr>
      <w:r w:rsidRPr="00214F3B">
        <w:t>interim metric data – this should demonstrate progress toward the end goal</w:t>
      </w:r>
    </w:p>
    <w:p w14:paraId="0DAF9C61" w14:textId="580CDCFB" w:rsidR="00DC0B5B" w:rsidRDefault="00DC0B5B" w:rsidP="00354FD0">
      <w:pPr>
        <w:pStyle w:val="ListBullet"/>
      </w:pPr>
      <w:r w:rsidRPr="00214F3B">
        <w:t>a progress report for the case study – this should outline what has been achieved and how it will contribute to the intended outcome of the case study.</w:t>
      </w:r>
    </w:p>
    <w:p w14:paraId="00866F2A" w14:textId="0ED2A30E" w:rsidR="00FD0B37" w:rsidRDefault="00FD0B37" w:rsidP="00E76E92">
      <w:pPr>
        <w:pStyle w:val="Heading4"/>
      </w:pPr>
      <w:r>
        <w:t xml:space="preserve">Fast fail </w:t>
      </w:r>
    </w:p>
    <w:p w14:paraId="6CD40222" w14:textId="1B440030" w:rsidR="008F71A0" w:rsidRPr="00A070AD" w:rsidRDefault="00CE3489" w:rsidP="00354FD0">
      <w:r>
        <w:t>NPILF</w:t>
      </w:r>
      <w:r w:rsidR="007369EC">
        <w:t xml:space="preserve"> </w:t>
      </w:r>
      <w:r w:rsidR="00F67C2A">
        <w:t xml:space="preserve">aims to drive new behaviours, </w:t>
      </w:r>
      <w:r w:rsidR="009975EF">
        <w:t>including</w:t>
      </w:r>
      <w:r w:rsidR="00F67C2A">
        <w:t xml:space="preserve"> the ability to take risks. To encourage a healthy risk culture, a </w:t>
      </w:r>
      <w:r w:rsidR="007369EC">
        <w:t>‘fast fail’</w:t>
      </w:r>
      <w:r>
        <w:t xml:space="preserve"> approach </w:t>
      </w:r>
      <w:r w:rsidR="00F67C2A">
        <w:t xml:space="preserve">will be adopted </w:t>
      </w:r>
      <w:r>
        <w:t>whereby if</w:t>
      </w:r>
      <w:r w:rsidR="00FD0B37">
        <w:t xml:space="preserve"> a particular program is </w:t>
      </w:r>
      <w:r w:rsidR="007369EC">
        <w:t xml:space="preserve">not </w:t>
      </w:r>
      <w:r w:rsidR="007369EC" w:rsidRPr="005D2047">
        <w:t>demonstrating a benefit or positive outcome</w:t>
      </w:r>
      <w:r w:rsidR="00F67C2A">
        <w:t xml:space="preserve"> a university can </w:t>
      </w:r>
      <w:r w:rsidR="00D473EE">
        <w:t xml:space="preserve">request </w:t>
      </w:r>
      <w:r w:rsidR="00F67C2A">
        <w:t>to change their case study</w:t>
      </w:r>
      <w:r w:rsidR="00D45FA9">
        <w:t xml:space="preserve">. This </w:t>
      </w:r>
      <w:r w:rsidR="00F67C2A">
        <w:t xml:space="preserve">can only occur within the first 12 months of implementation. A new case study would then be negotiated with the </w:t>
      </w:r>
      <w:r w:rsidR="00D45FA9">
        <w:t>d</w:t>
      </w:r>
      <w:r w:rsidR="00F67C2A">
        <w:t>epartment.</w:t>
      </w:r>
    </w:p>
    <w:p w14:paraId="180340CC" w14:textId="098F8B7A" w:rsidR="00FD0B37" w:rsidRDefault="00FD0B37" w:rsidP="00FD0B37">
      <w:pPr>
        <w:pStyle w:val="Heading3"/>
      </w:pPr>
      <w:bookmarkStart w:id="18" w:name="_Toc58494498"/>
      <w:r>
        <w:lastRenderedPageBreak/>
        <w:t>Final report</w:t>
      </w:r>
      <w:bookmarkEnd w:id="18"/>
      <w:r>
        <w:t xml:space="preserve"> </w:t>
      </w:r>
    </w:p>
    <w:p w14:paraId="180CC672" w14:textId="74FBDA33" w:rsidR="008F71A0" w:rsidRPr="009B19A8" w:rsidRDefault="00062663" w:rsidP="00354FD0">
      <w:r w:rsidRPr="00A73162">
        <w:t>At the end of the three-year cycle, universities will submit a report against their metrics and case studies</w:t>
      </w:r>
      <w:r w:rsidR="00D473EE">
        <w:t xml:space="preserve"> which </w:t>
      </w:r>
      <w:r w:rsidR="008F71A0">
        <w:t>demonstrate</w:t>
      </w:r>
      <w:r w:rsidR="00D473EE">
        <w:t>s</w:t>
      </w:r>
      <w:r w:rsidR="008F71A0">
        <w:t xml:space="preserve"> t</w:t>
      </w:r>
      <w:r w:rsidR="00D45FA9">
        <w:t>he university has</w:t>
      </w:r>
      <w:r w:rsidR="008F71A0">
        <w:t xml:space="preserve"> implemented the measures outlined in </w:t>
      </w:r>
      <w:r w:rsidR="00D45FA9">
        <w:t xml:space="preserve">its </w:t>
      </w:r>
      <w:r w:rsidR="008F71A0">
        <w:t>plan</w:t>
      </w:r>
      <w:r w:rsidRPr="00A73162">
        <w:t xml:space="preserve">. Quantitative evidence will demonstrate efforts against the metrics, while both quantitative and qualitative </w:t>
      </w:r>
      <w:r w:rsidRPr="005D2047">
        <w:t xml:space="preserve">evidence will support the submission </w:t>
      </w:r>
      <w:r w:rsidR="00F3086C" w:rsidRPr="009B19A8">
        <w:t>of the</w:t>
      </w:r>
      <w:r w:rsidRPr="009B19A8">
        <w:t xml:space="preserve"> case studies</w:t>
      </w:r>
      <w:r w:rsidR="009975EF">
        <w:t>.</w:t>
      </w:r>
      <w:r w:rsidR="008F71A0" w:rsidRPr="009B19A8">
        <w:t xml:space="preserve"> </w:t>
      </w:r>
    </w:p>
    <w:p w14:paraId="79ED1BA6" w14:textId="1FD06058" w:rsidR="008F71A0" w:rsidRPr="00A070AD" w:rsidRDefault="008F71A0" w:rsidP="00354FD0">
      <w:r w:rsidRPr="00A070AD">
        <w:t>The transparency aspect of publishing all case studies will maintain authenticity in the self-reporting.</w:t>
      </w:r>
    </w:p>
    <w:p w14:paraId="108D450B" w14:textId="7BD27D8F" w:rsidR="00FD0B37" w:rsidRDefault="008F71A0" w:rsidP="00354FD0">
      <w:pPr>
        <w:rPr>
          <w:strike/>
        </w:rPr>
      </w:pPr>
      <w:r w:rsidRPr="00A070AD">
        <w:t>The final</w:t>
      </w:r>
      <w:r w:rsidRPr="008B6ECE">
        <w:t xml:space="preserve"> report </w:t>
      </w:r>
      <w:r>
        <w:t xml:space="preserve">will directly reflect implementation of the plan and will take into account evaluation (key learnings). In this way, a ‘fail’ on the case studies would be a fail on being able to present the case, not a fail on the outcome. </w:t>
      </w:r>
    </w:p>
    <w:p w14:paraId="35C5866C" w14:textId="38251676" w:rsidR="00DF05D5" w:rsidRDefault="00DF05D5">
      <w:pPr>
        <w:pStyle w:val="Heading2"/>
      </w:pPr>
      <w:bookmarkStart w:id="19" w:name="_Toc58494499"/>
      <w:r>
        <w:t>Implementation</w:t>
      </w:r>
      <w:r w:rsidR="004A74BD">
        <w:t xml:space="preserve"> timeline</w:t>
      </w:r>
      <w:bookmarkEnd w:id="19"/>
    </w:p>
    <w:p w14:paraId="35B1E245" w14:textId="5D15D3F5" w:rsidR="00C9020A" w:rsidRDefault="0050102C" w:rsidP="00354FD0">
      <w:r>
        <w:t xml:space="preserve">The first year (2021) </w:t>
      </w:r>
      <w:r w:rsidR="00FD621A">
        <w:t>is</w:t>
      </w:r>
      <w:r w:rsidR="00DF05D5">
        <w:t xml:space="preserve"> a learning year for the </w:t>
      </w:r>
      <w:r>
        <w:t>model</w:t>
      </w:r>
      <w:r w:rsidR="00FD621A">
        <w:t>,</w:t>
      </w:r>
      <w:r>
        <w:t xml:space="preserve"> where the sector and the department </w:t>
      </w:r>
      <w:r w:rsidR="00FD621A">
        <w:t>will</w:t>
      </w:r>
      <w:r w:rsidR="00C9020A">
        <w:t xml:space="preserve"> test </w:t>
      </w:r>
      <w:r w:rsidR="009975EF">
        <w:t xml:space="preserve">the </w:t>
      </w:r>
      <w:r w:rsidR="00DF05D5">
        <w:t>design</w:t>
      </w:r>
      <w:r w:rsidR="00C9020A">
        <w:t xml:space="preserve"> of the fund</w:t>
      </w:r>
      <w:r w:rsidR="00DF05D5">
        <w:t xml:space="preserve">. Universities will be required to engage with the fund and select </w:t>
      </w:r>
      <w:r w:rsidR="00DF05D5" w:rsidRPr="00214F3B">
        <w:t>one metric and one case study per priority (total of six).</w:t>
      </w:r>
      <w:r w:rsidR="00C9020A">
        <w:t xml:space="preserve"> This learning year focuses on putting the mechanics of the model into practice. The activities agreed to in the plan for 2021 are expected to be multiannual, which is in line with the intent of the fund’s full implementation design. At the commencement of the pilot in 2022, a university </w:t>
      </w:r>
      <w:r w:rsidR="00C9020A" w:rsidRPr="00214F3B">
        <w:t>will</w:t>
      </w:r>
      <w:r w:rsidR="00C9020A">
        <w:t xml:space="preserve"> again</w:t>
      </w:r>
      <w:r w:rsidR="00C9020A" w:rsidRPr="00214F3B">
        <w:t xml:space="preserve"> select one metric and one case study per priority (total of six)</w:t>
      </w:r>
      <w:r w:rsidR="00C9020A">
        <w:t xml:space="preserve">. It may choose to roll-over </w:t>
      </w:r>
      <w:r w:rsidR="009975EF">
        <w:t xml:space="preserve">its </w:t>
      </w:r>
      <w:r w:rsidR="00C9020A">
        <w:t>plan from the learning year and continue with the activities over the commencing three-year period.</w:t>
      </w:r>
      <w:r w:rsidR="00D45FA9">
        <w:t xml:space="preserve"> </w:t>
      </w:r>
      <w:r w:rsidR="00C9020A">
        <w:t>The pilot will conclude at the end of 2024 and universities will submit their final report at that time.</w:t>
      </w:r>
    </w:p>
    <w:p w14:paraId="3897E4BE" w14:textId="718F4DEC" w:rsidR="008E607C" w:rsidRPr="00523D26" w:rsidRDefault="008E607C" w:rsidP="00354FD0">
      <w:r>
        <w:t xml:space="preserve">In the first quarter of 2025 the department will </w:t>
      </w:r>
      <w:r w:rsidR="00AB555F">
        <w:t>provide advice to those universities that will have</w:t>
      </w:r>
      <w:r>
        <w:t xml:space="preserve"> a portion of their funding re-allocated</w:t>
      </w:r>
      <w:r w:rsidR="001640AE">
        <w:t>. The three</w:t>
      </w:r>
      <w:r w:rsidR="00AB555F">
        <w:t>-</w:t>
      </w:r>
      <w:r w:rsidR="001640AE">
        <w:t>year NPILF cycle will begin in 2025, with a new NPILF plan agreed to for the period 2025-27.</w:t>
      </w:r>
    </w:p>
    <w:p w14:paraId="48F3FB4A" w14:textId="21AD4CAC" w:rsidR="00DC0B5B" w:rsidRPr="00214F3B" w:rsidRDefault="00D45FA9">
      <w:pPr>
        <w:pStyle w:val="Heading2"/>
      </w:pPr>
      <w:bookmarkStart w:id="20" w:name="_Toc58494500"/>
      <w:r>
        <w:t>Allocation and r</w:t>
      </w:r>
      <w:r w:rsidR="00DC0B5B" w:rsidRPr="00214F3B">
        <w:t xml:space="preserve">e-allocation </w:t>
      </w:r>
      <w:r w:rsidR="00463A57">
        <w:t>timeline</w:t>
      </w:r>
      <w:bookmarkEnd w:id="20"/>
    </w:p>
    <w:p w14:paraId="2D261035" w14:textId="4DC254F0" w:rsidR="00DC0B5B" w:rsidRDefault="00DC0B5B" w:rsidP="00354FD0">
      <w:r w:rsidRPr="00214F3B">
        <w:t xml:space="preserve">There is </w:t>
      </w:r>
      <w:r w:rsidRPr="00214F3B">
        <w:rPr>
          <w:b/>
          <w:bCs/>
        </w:rPr>
        <w:t>no funding at risk</w:t>
      </w:r>
      <w:r w:rsidRPr="00214F3B">
        <w:t xml:space="preserve"> during 2021-2</w:t>
      </w:r>
      <w:r w:rsidR="00463A57">
        <w:t>4 (learning year plus the pilot).</w:t>
      </w:r>
    </w:p>
    <w:p w14:paraId="03FFBE91" w14:textId="144121BD" w:rsidR="00DC0B5B" w:rsidRPr="009D2E0B" w:rsidRDefault="00D45FA9" w:rsidP="00D72F05">
      <w:pPr>
        <w:pStyle w:val="Heading4"/>
      </w:pPr>
      <w:r w:rsidRPr="009D2E0B">
        <w:t>Allocation of funding</w:t>
      </w:r>
    </w:p>
    <w:p w14:paraId="053E7F18" w14:textId="18105DD8" w:rsidR="00DC0B5B" w:rsidRDefault="00FB4FEE" w:rsidP="00354FD0">
      <w:r>
        <w:t xml:space="preserve">At the beginning of each </w:t>
      </w:r>
      <w:r w:rsidR="00463A57">
        <w:t xml:space="preserve">three-year </w:t>
      </w:r>
      <w:r>
        <w:t xml:space="preserve">cycle, </w:t>
      </w:r>
      <w:r w:rsidR="00F3086C">
        <w:t xml:space="preserve">assessment and allocation </w:t>
      </w:r>
      <w:r w:rsidR="00B94874">
        <w:t xml:space="preserve">of </w:t>
      </w:r>
      <w:r w:rsidR="00D45FA9">
        <w:t>fund</w:t>
      </w:r>
      <w:r w:rsidR="00B94874">
        <w:t xml:space="preserve"> </w:t>
      </w:r>
      <w:r w:rsidR="00F3086C">
        <w:t>will commence.</w:t>
      </w:r>
      <w:r w:rsidR="00B94874">
        <w:t xml:space="preserve"> Therefore, in 202</w:t>
      </w:r>
      <w:r w:rsidR="00463A57">
        <w:t>5</w:t>
      </w:r>
      <w:r w:rsidR="00B94874">
        <w:t xml:space="preserve"> </w:t>
      </w:r>
      <w:r>
        <w:t>a</w:t>
      </w:r>
      <w:r w:rsidR="00DC0B5B" w:rsidRPr="00214F3B">
        <w:t xml:space="preserve"> university will be assessed against </w:t>
      </w:r>
      <w:r w:rsidR="00B94874">
        <w:t>the</w:t>
      </w:r>
      <w:r w:rsidR="00F3086C">
        <w:t xml:space="preserve"> six </w:t>
      </w:r>
      <w:r w:rsidR="00DC0B5B" w:rsidRPr="00214F3B">
        <w:t>measures</w:t>
      </w:r>
      <w:r w:rsidR="00B94874">
        <w:t xml:space="preserve"> from the pilot</w:t>
      </w:r>
      <w:r w:rsidR="00DC0B5B" w:rsidRPr="00214F3B">
        <w:t xml:space="preserve"> and funding will be allocated as follows:</w:t>
      </w:r>
    </w:p>
    <w:p w14:paraId="5A674AC9" w14:textId="1AD82F31" w:rsidR="00527D6A" w:rsidRPr="00A070AD" w:rsidRDefault="00FB4FEE" w:rsidP="00354FD0">
      <w:pPr>
        <w:rPr>
          <w:b/>
          <w:bCs/>
        </w:rPr>
      </w:pPr>
      <w:r w:rsidRPr="00A070AD">
        <w:rPr>
          <w:b/>
          <w:bCs/>
        </w:rPr>
        <w:t xml:space="preserve">Where </w:t>
      </w:r>
      <w:r w:rsidR="00527D6A" w:rsidRPr="00A070AD">
        <w:rPr>
          <w:b/>
          <w:bCs/>
        </w:rPr>
        <w:t>x represents the number of metrics met</w:t>
      </w:r>
      <w:r w:rsidRPr="00A070AD">
        <w:rPr>
          <w:b/>
          <w:bCs/>
        </w:rPr>
        <w:t>, if x &lt; 6, (</w:t>
      </w:r>
      <w:r w:rsidR="00B94874">
        <w:rPr>
          <w:b/>
          <w:bCs/>
        </w:rPr>
        <w:t>5</w:t>
      </w:r>
      <w:r w:rsidRPr="00A070AD">
        <w:rPr>
          <w:b/>
          <w:bCs/>
        </w:rPr>
        <w:t xml:space="preserve"> – x) * 10 = percentage reduction</w:t>
      </w:r>
    </w:p>
    <w:p w14:paraId="5D8B9BA5" w14:textId="44D7F50E" w:rsidR="00F3086C" w:rsidRDefault="00F3086C" w:rsidP="00354FD0">
      <w:r>
        <w:t>This means</w:t>
      </w:r>
    </w:p>
    <w:p w14:paraId="5E7A2DAD" w14:textId="2CC90080" w:rsidR="00F3086C" w:rsidRDefault="00F3086C" w:rsidP="00354FD0">
      <w:pPr>
        <w:pStyle w:val="ListBullet"/>
      </w:pPr>
      <w:r>
        <w:t xml:space="preserve">100 per </w:t>
      </w:r>
      <w:r w:rsidR="00527D6A">
        <w:t xml:space="preserve">of funding </w:t>
      </w:r>
      <w:r>
        <w:t>to universities who receive 6/6 or 5/6</w:t>
      </w:r>
    </w:p>
    <w:p w14:paraId="4C74306A" w14:textId="3D7A5D73" w:rsidR="00F3086C" w:rsidRDefault="00F3086C" w:rsidP="00354FD0">
      <w:pPr>
        <w:pStyle w:val="ListBullet"/>
      </w:pPr>
      <w:r>
        <w:t>A university will lose 10 per cent of funding for very metric or case study not met</w:t>
      </w:r>
      <w:r w:rsidR="00B94874">
        <w:t xml:space="preserve"> thereafter</w:t>
      </w:r>
    </w:p>
    <w:p w14:paraId="6C9EA2AD" w14:textId="77777777" w:rsidR="00B91B45" w:rsidRDefault="00527D6A" w:rsidP="00354FD0">
      <w:r>
        <w:lastRenderedPageBreak/>
        <w:t>From 202</w:t>
      </w:r>
      <w:r w:rsidR="00463A57">
        <w:t>5</w:t>
      </w:r>
      <w:r>
        <w:t xml:space="preserve">, </w:t>
      </w:r>
      <w:r w:rsidR="005D2047">
        <w:t>nine</w:t>
      </w:r>
      <w:r>
        <w:t xml:space="preserve"> </w:t>
      </w:r>
      <w:r w:rsidR="00463A57">
        <w:t xml:space="preserve">(total) </w:t>
      </w:r>
      <w:r>
        <w:t>metrics and case studies will be included as part of the assessment</w:t>
      </w:r>
      <w:r w:rsidR="00B91B45">
        <w:t xml:space="preserve"> </w:t>
      </w:r>
      <w:r w:rsidR="00B91B45" w:rsidRPr="00214F3B">
        <w:t>and funding will be allocated as follows:</w:t>
      </w:r>
    </w:p>
    <w:p w14:paraId="78658C69" w14:textId="6851B08F" w:rsidR="00FB4FEE" w:rsidRPr="00A070AD" w:rsidRDefault="00FB4FEE" w:rsidP="00354FD0">
      <w:pPr>
        <w:rPr>
          <w:b/>
          <w:bCs/>
        </w:rPr>
      </w:pPr>
      <w:r w:rsidRPr="00A070AD">
        <w:rPr>
          <w:b/>
          <w:bCs/>
        </w:rPr>
        <w:t>Where x represents the number of metrics met, if x &lt;</w:t>
      </w:r>
      <w:r w:rsidR="00463A57">
        <w:rPr>
          <w:b/>
          <w:bCs/>
        </w:rPr>
        <w:t xml:space="preserve"> </w:t>
      </w:r>
      <w:r w:rsidRPr="00A070AD">
        <w:rPr>
          <w:b/>
          <w:bCs/>
        </w:rPr>
        <w:t>8, (8 – x) * 10 = percentage reduction</w:t>
      </w:r>
    </w:p>
    <w:p w14:paraId="0EA093B2" w14:textId="7E487AE4" w:rsidR="00527D6A" w:rsidRDefault="00527D6A" w:rsidP="00354FD0">
      <w:r>
        <w:t>This means</w:t>
      </w:r>
    </w:p>
    <w:p w14:paraId="414ECC3C" w14:textId="56756367" w:rsidR="00527D6A" w:rsidRDefault="00527D6A" w:rsidP="00354FD0">
      <w:pPr>
        <w:pStyle w:val="ListBullet"/>
      </w:pPr>
      <w:r>
        <w:t>100 per allocation to universities who receive 9/9 or 8/9</w:t>
      </w:r>
    </w:p>
    <w:p w14:paraId="06FDF8F6" w14:textId="1BB8BC8F" w:rsidR="00527D6A" w:rsidRDefault="00527D6A" w:rsidP="00354FD0">
      <w:pPr>
        <w:pStyle w:val="ListBullet"/>
      </w:pPr>
      <w:r>
        <w:t>A university will lose 10 per cent of funding for very metric or case study not met</w:t>
      </w:r>
      <w:r w:rsidR="00B94874">
        <w:t xml:space="preserve"> thereafter</w:t>
      </w:r>
    </w:p>
    <w:p w14:paraId="23FD63DA" w14:textId="6E61A967" w:rsidR="00DE5131" w:rsidRPr="001F5A82" w:rsidRDefault="00527D6A" w:rsidP="00354FD0">
      <w:r>
        <w:t xml:space="preserve">For example, </w:t>
      </w:r>
      <w:r w:rsidR="00DC0B5B" w:rsidRPr="00214F3B">
        <w:t xml:space="preserve">a university misses one metric and one case study from their plan (i.e. 7/9) this would result in </w:t>
      </w:r>
      <w:r w:rsidR="00DC0B5B" w:rsidRPr="00DE5131">
        <w:t xml:space="preserve">10 per cent of funding to be re-allocated. </w:t>
      </w:r>
      <w:r w:rsidR="00DE5131" w:rsidRPr="00DE5131">
        <w:t>This means that even if a university achieves 0/9, there is a 20</w:t>
      </w:r>
      <w:r>
        <w:t xml:space="preserve"> per cent</w:t>
      </w:r>
      <w:r w:rsidR="00DE5131" w:rsidRPr="00DE5131">
        <w:t xml:space="preserve"> base.</w:t>
      </w:r>
      <w:r>
        <w:t xml:space="preserve"> </w:t>
      </w:r>
    </w:p>
    <w:p w14:paraId="394E4974" w14:textId="6BCB7221" w:rsidR="00DC0B5B" w:rsidRPr="009D2E0B" w:rsidRDefault="00DC0B5B" w:rsidP="00D72F05">
      <w:pPr>
        <w:pStyle w:val="Heading4"/>
      </w:pPr>
      <w:r w:rsidRPr="009D2E0B">
        <w:t>Re-allocation of funding</w:t>
      </w:r>
    </w:p>
    <w:p w14:paraId="56E914CA" w14:textId="07743460" w:rsidR="005D2047" w:rsidRDefault="00DC0B5B" w:rsidP="00354FD0">
      <w:r w:rsidRPr="00214F3B">
        <w:t xml:space="preserve">Re-allocation </w:t>
      </w:r>
      <w:r w:rsidR="005D2047">
        <w:t xml:space="preserve">will </w:t>
      </w:r>
      <w:r w:rsidR="00527D6A">
        <w:t>occur at the beginning of a new</w:t>
      </w:r>
      <w:r w:rsidRPr="00214F3B">
        <w:t xml:space="preserve"> </w:t>
      </w:r>
      <w:r w:rsidR="009E68D0">
        <w:t xml:space="preserve">three-year </w:t>
      </w:r>
      <w:r w:rsidRPr="00214F3B">
        <w:t>cycle</w:t>
      </w:r>
      <w:r w:rsidR="00527D6A">
        <w:t xml:space="preserve"> and is based on the previous three years</w:t>
      </w:r>
      <w:r w:rsidRPr="00214F3B">
        <w:t>.</w:t>
      </w:r>
    </w:p>
    <w:p w14:paraId="18C1160A" w14:textId="07254CC3" w:rsidR="0008357F" w:rsidRDefault="0008357F" w:rsidP="00354FD0">
      <w:r>
        <w:t xml:space="preserve">The funding penalty is applied to the next three years. However, opportunity is given to a university to bring their funding level back to a full allocation if they decide to work with the </w:t>
      </w:r>
      <w:r w:rsidR="00D45FA9">
        <w:t>d</w:t>
      </w:r>
      <w:r>
        <w:t>epartment to show improvement.</w:t>
      </w:r>
    </w:p>
    <w:p w14:paraId="0B24E885" w14:textId="34A731C8" w:rsidR="005D2047" w:rsidRDefault="009B19A8" w:rsidP="00354FD0">
      <w:r>
        <w:t>In the first year, u</w:t>
      </w:r>
      <w:r w:rsidR="005D2047" w:rsidRPr="005D2047">
        <w:t>niversities will have</w:t>
      </w:r>
      <w:r>
        <w:t xml:space="preserve"> a portion of</w:t>
      </w:r>
      <w:r w:rsidR="005D2047" w:rsidRPr="005D2047">
        <w:t xml:space="preserve"> </w:t>
      </w:r>
      <w:r>
        <w:t xml:space="preserve">their </w:t>
      </w:r>
      <w:r w:rsidR="005D2047" w:rsidRPr="005D2047">
        <w:t>funding re-allocated to universities</w:t>
      </w:r>
      <w:r w:rsidR="005D2047">
        <w:t xml:space="preserve"> that achieved 6/6 in the pilot or 9/9 thereafter</w:t>
      </w:r>
      <w:r w:rsidR="005D2047" w:rsidRPr="005D2047">
        <w:t>.</w:t>
      </w:r>
      <w:r w:rsidR="005D2047">
        <w:t xml:space="preserve"> </w:t>
      </w:r>
      <w:r>
        <w:t>In the second and third years, u</w:t>
      </w:r>
      <w:r w:rsidR="005D2047" w:rsidRPr="005D2047">
        <w:t xml:space="preserve">niversities will have the opportunity to demonstrate improvements and/or stronger engagement with NPILF (as negotiated with the department) to be able to receive their full funding amounts </w:t>
      </w:r>
      <w:r>
        <w:t xml:space="preserve">for those remaining </w:t>
      </w:r>
      <w:r w:rsidR="005D2047" w:rsidRPr="005D2047">
        <w:t>years of the NPILF cycle.</w:t>
      </w:r>
    </w:p>
    <w:p w14:paraId="7EF2B6BA" w14:textId="5713E3BF" w:rsidR="00DC0B5B" w:rsidRPr="00D4795F" w:rsidRDefault="00DC0B5B" w:rsidP="00D4795F">
      <w:pPr>
        <w:pStyle w:val="Heading2"/>
      </w:pPr>
      <w:bookmarkStart w:id="21" w:name="_Toc58494501"/>
      <w:r w:rsidRPr="00D4795F">
        <w:t>Distribution</w:t>
      </w:r>
      <w:bookmarkEnd w:id="21"/>
      <w:r w:rsidRPr="00D4795F">
        <w:t xml:space="preserve"> </w:t>
      </w:r>
    </w:p>
    <w:p w14:paraId="7E3198BA" w14:textId="77777777" w:rsidR="00617610" w:rsidRPr="00D72F05" w:rsidRDefault="00617610" w:rsidP="00D72F05">
      <w:pPr>
        <w:pStyle w:val="Heading4"/>
      </w:pPr>
      <w:r w:rsidRPr="00D72F05">
        <w:t>2021-23</w:t>
      </w:r>
    </w:p>
    <w:p w14:paraId="4058F24F" w14:textId="0D640A38" w:rsidR="009E68D0" w:rsidRDefault="009E68D0" w:rsidP="00354FD0">
      <w:r>
        <w:t xml:space="preserve">A banded distribution system will be applied from 2021-23. This is consistent with the legislation. Universities will fall into one of four funding bands, depending on the number of Commonwealth Supported Places (CSPs), refer </w:t>
      </w:r>
      <w:r w:rsidR="00A73162">
        <w:rPr>
          <w:b/>
        </w:rPr>
        <w:t xml:space="preserve">Table </w:t>
      </w:r>
      <w:r w:rsidR="00D4795F">
        <w:rPr>
          <w:b/>
        </w:rPr>
        <w:t>3</w:t>
      </w:r>
      <w:r>
        <w:t>. These bands are weighted to provide additional support to smaller universities and regional institutions.</w:t>
      </w:r>
    </w:p>
    <w:p w14:paraId="2F549A8A" w14:textId="6B477276" w:rsidR="009E68D0" w:rsidRPr="00354FD0" w:rsidRDefault="00A73162" w:rsidP="00354FD0">
      <w:pPr>
        <w:rPr>
          <w:rStyle w:val="Strong"/>
        </w:rPr>
      </w:pPr>
      <w:r w:rsidRPr="00354FD0">
        <w:rPr>
          <w:rStyle w:val="Strong"/>
        </w:rPr>
        <w:t xml:space="preserve">Table </w:t>
      </w:r>
      <w:r w:rsidR="00D4795F" w:rsidRPr="00354FD0">
        <w:rPr>
          <w:rStyle w:val="Strong"/>
        </w:rPr>
        <w:t>3</w:t>
      </w:r>
      <w:r w:rsidR="009E68D0" w:rsidRPr="00354FD0">
        <w:rPr>
          <w:rStyle w:val="Strong"/>
        </w:rPr>
        <w:t>. NPILF Pilot period fund allocation bands</w:t>
      </w:r>
    </w:p>
    <w:tbl>
      <w:tblPr>
        <w:tblStyle w:val="DESE"/>
        <w:tblW w:w="0" w:type="auto"/>
        <w:tblLook w:val="04A0" w:firstRow="1" w:lastRow="0" w:firstColumn="1" w:lastColumn="0" w:noHBand="0" w:noVBand="1"/>
      </w:tblPr>
      <w:tblGrid>
        <w:gridCol w:w="4508"/>
        <w:gridCol w:w="4508"/>
      </w:tblGrid>
      <w:tr w:rsidR="009E68D0" w14:paraId="334E104C" w14:textId="77777777" w:rsidTr="000877E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508" w:type="dxa"/>
            <w:shd w:val="clear" w:color="auto" w:fill="287DB2" w:themeFill="accent6"/>
          </w:tcPr>
          <w:p w14:paraId="5BB971CE" w14:textId="51E8C582" w:rsidR="009E68D0" w:rsidRPr="00172D1F" w:rsidRDefault="009E68D0" w:rsidP="00527D6A">
            <w:pPr>
              <w:spacing w:after="0"/>
              <w:contextualSpacing/>
              <w:rPr>
                <w:b/>
              </w:rPr>
            </w:pPr>
            <w:r w:rsidRPr="00172D1F">
              <w:rPr>
                <w:b/>
              </w:rPr>
              <w:t>Band Criteria (CSPs)</w:t>
            </w:r>
          </w:p>
        </w:tc>
        <w:tc>
          <w:tcPr>
            <w:tcW w:w="4508" w:type="dxa"/>
            <w:shd w:val="clear" w:color="auto" w:fill="287DB2" w:themeFill="accent6"/>
          </w:tcPr>
          <w:p w14:paraId="744FC539" w14:textId="77777777" w:rsidR="009E68D0" w:rsidRPr="00172D1F" w:rsidRDefault="009E68D0" w:rsidP="00527D6A">
            <w:pPr>
              <w:spacing w:after="0"/>
              <w:contextualSpacing/>
              <w:cnfStyle w:val="100000000000" w:firstRow="1" w:lastRow="0" w:firstColumn="0" w:lastColumn="0" w:oddVBand="0" w:evenVBand="0" w:oddHBand="0" w:evenHBand="0" w:firstRowFirstColumn="0" w:firstRowLastColumn="0" w:lastRowFirstColumn="0" w:lastRowLastColumn="0"/>
              <w:rPr>
                <w:b/>
              </w:rPr>
            </w:pPr>
            <w:r w:rsidRPr="00172D1F">
              <w:rPr>
                <w:b/>
              </w:rPr>
              <w:t xml:space="preserve">NPILF funding </w:t>
            </w:r>
          </w:p>
        </w:tc>
      </w:tr>
      <w:tr w:rsidR="009E68D0" w14:paraId="4A583FB9" w14:textId="77777777" w:rsidTr="00A73162">
        <w:tc>
          <w:tcPr>
            <w:cnfStyle w:val="001000000000" w:firstRow="0" w:lastRow="0" w:firstColumn="1" w:lastColumn="0" w:oddVBand="0" w:evenVBand="0" w:oddHBand="0" w:evenHBand="0" w:firstRowFirstColumn="0" w:firstRowLastColumn="0" w:lastRowFirstColumn="0" w:lastRowLastColumn="0"/>
            <w:tcW w:w="4508" w:type="dxa"/>
          </w:tcPr>
          <w:p w14:paraId="54D3FF5C" w14:textId="77777777" w:rsidR="009E68D0" w:rsidRDefault="009E68D0" w:rsidP="00527D6A">
            <w:pPr>
              <w:spacing w:after="0"/>
              <w:contextualSpacing/>
            </w:pPr>
            <w:r>
              <w:t>0 – 9,999</w:t>
            </w:r>
          </w:p>
        </w:tc>
        <w:tc>
          <w:tcPr>
            <w:tcW w:w="4508" w:type="dxa"/>
          </w:tcPr>
          <w:p w14:paraId="63F85EC3" w14:textId="77777777" w:rsidR="009E68D0" w:rsidRDefault="009E68D0" w:rsidP="00527D6A">
            <w:pPr>
              <w:spacing w:after="0"/>
              <w:contextualSpacing/>
              <w:cnfStyle w:val="000000000000" w:firstRow="0" w:lastRow="0" w:firstColumn="0" w:lastColumn="0" w:oddVBand="0" w:evenVBand="0" w:oddHBand="0" w:evenHBand="0" w:firstRowFirstColumn="0" w:firstRowLastColumn="0" w:lastRowFirstColumn="0" w:lastRowLastColumn="0"/>
            </w:pPr>
            <w:r>
              <w:t>$3.25 million</w:t>
            </w:r>
          </w:p>
        </w:tc>
      </w:tr>
      <w:tr w:rsidR="009E68D0" w14:paraId="4B9DBA0F" w14:textId="77777777" w:rsidTr="00A73162">
        <w:tc>
          <w:tcPr>
            <w:cnfStyle w:val="001000000000" w:firstRow="0" w:lastRow="0" w:firstColumn="1" w:lastColumn="0" w:oddVBand="0" w:evenVBand="0" w:oddHBand="0" w:evenHBand="0" w:firstRowFirstColumn="0" w:firstRowLastColumn="0" w:lastRowFirstColumn="0" w:lastRowLastColumn="0"/>
            <w:tcW w:w="4508" w:type="dxa"/>
          </w:tcPr>
          <w:p w14:paraId="369170BA" w14:textId="77777777" w:rsidR="009E68D0" w:rsidRDefault="009E68D0" w:rsidP="00527D6A">
            <w:pPr>
              <w:spacing w:after="0"/>
              <w:contextualSpacing/>
            </w:pPr>
            <w:r>
              <w:t>10,000 – 14,999</w:t>
            </w:r>
          </w:p>
        </w:tc>
        <w:tc>
          <w:tcPr>
            <w:tcW w:w="4508" w:type="dxa"/>
          </w:tcPr>
          <w:p w14:paraId="049E6538" w14:textId="77777777" w:rsidR="009E68D0" w:rsidRDefault="009E68D0" w:rsidP="00527D6A">
            <w:pPr>
              <w:spacing w:after="0"/>
              <w:contextualSpacing/>
              <w:cnfStyle w:val="000000000000" w:firstRow="0" w:lastRow="0" w:firstColumn="0" w:lastColumn="0" w:oddVBand="0" w:evenVBand="0" w:oddHBand="0" w:evenHBand="0" w:firstRowFirstColumn="0" w:firstRowLastColumn="0" w:lastRowFirstColumn="0" w:lastRowLastColumn="0"/>
            </w:pPr>
            <w:r>
              <w:t>$4.75 million</w:t>
            </w:r>
          </w:p>
        </w:tc>
      </w:tr>
      <w:tr w:rsidR="009E68D0" w14:paraId="68827FC1" w14:textId="77777777" w:rsidTr="00A73162">
        <w:tc>
          <w:tcPr>
            <w:cnfStyle w:val="001000000000" w:firstRow="0" w:lastRow="0" w:firstColumn="1" w:lastColumn="0" w:oddVBand="0" w:evenVBand="0" w:oddHBand="0" w:evenHBand="0" w:firstRowFirstColumn="0" w:firstRowLastColumn="0" w:lastRowFirstColumn="0" w:lastRowLastColumn="0"/>
            <w:tcW w:w="4508" w:type="dxa"/>
          </w:tcPr>
          <w:p w14:paraId="7CF7AB6F" w14:textId="77777777" w:rsidR="009E68D0" w:rsidRDefault="009E68D0" w:rsidP="00527D6A">
            <w:pPr>
              <w:spacing w:after="0"/>
              <w:contextualSpacing/>
            </w:pPr>
            <w:r>
              <w:t>15,000 – 21,999</w:t>
            </w:r>
          </w:p>
        </w:tc>
        <w:tc>
          <w:tcPr>
            <w:tcW w:w="4508" w:type="dxa"/>
          </w:tcPr>
          <w:p w14:paraId="4478C74C" w14:textId="77777777" w:rsidR="009E68D0" w:rsidRDefault="009E68D0" w:rsidP="00527D6A">
            <w:pPr>
              <w:spacing w:after="0"/>
              <w:contextualSpacing/>
              <w:cnfStyle w:val="000000000000" w:firstRow="0" w:lastRow="0" w:firstColumn="0" w:lastColumn="0" w:oddVBand="0" w:evenVBand="0" w:oddHBand="0" w:evenHBand="0" w:firstRowFirstColumn="0" w:firstRowLastColumn="0" w:lastRowFirstColumn="0" w:lastRowLastColumn="0"/>
            </w:pPr>
            <w:r>
              <w:t>$7 million</w:t>
            </w:r>
          </w:p>
        </w:tc>
      </w:tr>
      <w:tr w:rsidR="009E68D0" w14:paraId="37886667" w14:textId="77777777" w:rsidTr="00A73162">
        <w:tc>
          <w:tcPr>
            <w:cnfStyle w:val="001000000000" w:firstRow="0" w:lastRow="0" w:firstColumn="1" w:lastColumn="0" w:oddVBand="0" w:evenVBand="0" w:oddHBand="0" w:evenHBand="0" w:firstRowFirstColumn="0" w:firstRowLastColumn="0" w:lastRowFirstColumn="0" w:lastRowLastColumn="0"/>
            <w:tcW w:w="4508" w:type="dxa"/>
          </w:tcPr>
          <w:p w14:paraId="716C0473" w14:textId="77777777" w:rsidR="009E68D0" w:rsidRDefault="009E68D0" w:rsidP="00527D6A">
            <w:pPr>
              <w:spacing w:after="0"/>
              <w:contextualSpacing/>
            </w:pPr>
            <w:r>
              <w:t>22,000 and above</w:t>
            </w:r>
          </w:p>
        </w:tc>
        <w:tc>
          <w:tcPr>
            <w:tcW w:w="4508" w:type="dxa"/>
          </w:tcPr>
          <w:p w14:paraId="57F39AD9" w14:textId="77777777" w:rsidR="009E68D0" w:rsidRDefault="009E68D0" w:rsidP="00527D6A">
            <w:pPr>
              <w:spacing w:after="0"/>
              <w:contextualSpacing/>
              <w:cnfStyle w:val="000000000000" w:firstRow="0" w:lastRow="0" w:firstColumn="0" w:lastColumn="0" w:oddVBand="0" w:evenVBand="0" w:oddHBand="0" w:evenHBand="0" w:firstRowFirstColumn="0" w:firstRowLastColumn="0" w:lastRowFirstColumn="0" w:lastRowLastColumn="0"/>
            </w:pPr>
            <w:r>
              <w:t>$8.75 million</w:t>
            </w:r>
          </w:p>
        </w:tc>
      </w:tr>
    </w:tbl>
    <w:p w14:paraId="1BC1DDD7" w14:textId="3635B716" w:rsidR="00617610" w:rsidRDefault="00617610" w:rsidP="00617610">
      <w:pPr>
        <w:pStyle w:val="Heading4"/>
      </w:pPr>
      <w:r>
        <w:lastRenderedPageBreak/>
        <w:t>From 2024</w:t>
      </w:r>
    </w:p>
    <w:p w14:paraId="06CD42A8" w14:textId="29715464" w:rsidR="00DB7B19" w:rsidRDefault="00617610" w:rsidP="00354FD0">
      <w:r>
        <w:t>The working group recommends</w:t>
      </w:r>
      <w:r w:rsidR="009E68D0">
        <w:t xml:space="preserve"> an </w:t>
      </w:r>
      <w:r w:rsidR="009E68D0" w:rsidRPr="00B91B45">
        <w:t>EFTSL + base</w:t>
      </w:r>
      <w:r w:rsidR="009E68D0">
        <w:rPr>
          <w:b/>
          <w:bCs/>
        </w:rPr>
        <w:t xml:space="preserve"> </w:t>
      </w:r>
      <w:r w:rsidR="009E68D0" w:rsidRPr="00A070AD">
        <w:t>(at a minimum)</w:t>
      </w:r>
      <w:r w:rsidR="009E68D0">
        <w:rPr>
          <w:b/>
          <w:bCs/>
        </w:rPr>
        <w:t xml:space="preserve"> </w:t>
      </w:r>
      <w:r w:rsidR="009E68D0">
        <w:t xml:space="preserve">distribution model </w:t>
      </w:r>
      <w:r>
        <w:t>to</w:t>
      </w:r>
      <w:r w:rsidR="009E68D0">
        <w:t xml:space="preserve"> be app</w:t>
      </w:r>
      <w:r>
        <w:t>lied to universities from 2024</w:t>
      </w:r>
      <w:r w:rsidR="00D646C7">
        <w:t>.</w:t>
      </w:r>
    </w:p>
    <w:p w14:paraId="0B82D437" w14:textId="69EDEAC9" w:rsidR="00C62ABB" w:rsidRDefault="00C62ABB">
      <w:pPr>
        <w:spacing w:after="160" w:line="259" w:lineRule="auto"/>
        <w:rPr>
          <w:rFonts w:ascii="Calibri" w:eastAsiaTheme="majorEastAsia" w:hAnsi="Calibri" w:cstheme="majorBidi"/>
          <w:b/>
          <w:color w:val="343741"/>
          <w:sz w:val="32"/>
          <w:szCs w:val="32"/>
        </w:rPr>
      </w:pPr>
    </w:p>
    <w:p w14:paraId="0B0793D2" w14:textId="77777777" w:rsidR="00D72F05" w:rsidRDefault="00D72F05">
      <w:pPr>
        <w:spacing w:after="160" w:line="259" w:lineRule="auto"/>
        <w:rPr>
          <w:rFonts w:ascii="Calibri" w:eastAsiaTheme="majorEastAsia" w:hAnsi="Calibri" w:cstheme="majorBidi"/>
          <w:b/>
          <w:color w:val="343741"/>
          <w:sz w:val="32"/>
          <w:szCs w:val="32"/>
        </w:rPr>
      </w:pPr>
      <w:r>
        <w:br w:type="page"/>
      </w:r>
    </w:p>
    <w:p w14:paraId="351409C3" w14:textId="48FF73BA" w:rsidR="00DB7B19" w:rsidRDefault="00C62ABB" w:rsidP="00DB7B19">
      <w:pPr>
        <w:pStyle w:val="Heading1"/>
      </w:pPr>
      <w:bookmarkStart w:id="22" w:name="_Toc58494502"/>
      <w:r>
        <w:lastRenderedPageBreak/>
        <w:t>The way forward</w:t>
      </w:r>
      <w:bookmarkEnd w:id="22"/>
    </w:p>
    <w:p w14:paraId="5CC75821" w14:textId="77777777" w:rsidR="00DB7B19" w:rsidRPr="00214F3B" w:rsidRDefault="00DB7B19" w:rsidP="00DB7B19">
      <w:pPr>
        <w:pStyle w:val="Heading2"/>
      </w:pPr>
      <w:bookmarkStart w:id="23" w:name="_Toc58494503"/>
      <w:r w:rsidRPr="00214F3B">
        <w:t>Pilot period</w:t>
      </w:r>
      <w:bookmarkEnd w:id="23"/>
    </w:p>
    <w:p w14:paraId="172CCA5B" w14:textId="675503B3" w:rsidR="002B1E35" w:rsidRDefault="002B1E35" w:rsidP="00354FD0">
      <w:r>
        <w:t xml:space="preserve">2021 will be a learning year for the sector and the department for the design of the fund. The first metrics and case studies will be negotiated with the </w:t>
      </w:r>
      <w:r w:rsidR="00D45FA9">
        <w:t>d</w:t>
      </w:r>
      <w:r>
        <w:t xml:space="preserve">epartment in the first quarter of 2021. </w:t>
      </w:r>
    </w:p>
    <w:p w14:paraId="6F5026FD" w14:textId="5752F9D3" w:rsidR="00673ECE" w:rsidRDefault="002B1E35" w:rsidP="00354FD0">
      <w:r>
        <w:t>T</w:t>
      </w:r>
      <w:r w:rsidR="00A21FE7">
        <w:t>he NPILF pilot will commence in</w:t>
      </w:r>
      <w:r w:rsidR="00A73162">
        <w:t xml:space="preserve"> 202</w:t>
      </w:r>
      <w:r>
        <w:t>2</w:t>
      </w:r>
      <w:r w:rsidR="00A21FE7">
        <w:t xml:space="preserve"> and continue through until 202</w:t>
      </w:r>
      <w:r>
        <w:t>4</w:t>
      </w:r>
      <w:r w:rsidR="00A21FE7">
        <w:t xml:space="preserve">. </w:t>
      </w:r>
      <w:r w:rsidR="00A21FE7" w:rsidRPr="00214F3B">
        <w:t>The pilot provides an opportunity for universities to ensure they have systems in place to be able to meet the</w:t>
      </w:r>
      <w:r w:rsidR="00617610">
        <w:t xml:space="preserve"> NPILF requirements and for the model to be reviewed and evaluated.</w:t>
      </w:r>
    </w:p>
    <w:p w14:paraId="23B68D81" w14:textId="07A11573" w:rsidR="00673ECE" w:rsidRDefault="00673ECE" w:rsidP="00354FD0">
      <w:r>
        <w:t xml:space="preserve">The </w:t>
      </w:r>
      <w:r w:rsidR="000C4441">
        <w:t xml:space="preserve">proposed </w:t>
      </w:r>
      <w:r>
        <w:t xml:space="preserve">NPILF framework is outlined in this paper. However, </w:t>
      </w:r>
      <w:r w:rsidR="009975EF">
        <w:t>the learning year provides opportunity for</w:t>
      </w:r>
      <w:r>
        <w:t xml:space="preserve"> implementation features </w:t>
      </w:r>
      <w:r w:rsidR="009975EF">
        <w:t>to be further</w:t>
      </w:r>
      <w:r>
        <w:t xml:space="preserve"> considered, especially with regard to the metrics.</w:t>
      </w:r>
      <w:r w:rsidR="000F77C1">
        <w:t xml:space="preserve"> As a result,</w:t>
      </w:r>
      <w:r>
        <w:t xml:space="preserve"> </w:t>
      </w:r>
      <w:r w:rsidR="000C4441">
        <w:t>the</w:t>
      </w:r>
      <w:r w:rsidR="000F77C1">
        <w:t xml:space="preserve"> timing of the</w:t>
      </w:r>
      <w:r w:rsidR="000C4441">
        <w:t xml:space="preserve"> NPILF </w:t>
      </w:r>
      <w:r w:rsidR="000F77C1">
        <w:t>and</w:t>
      </w:r>
      <w:r w:rsidR="000C4441">
        <w:t xml:space="preserve"> </w:t>
      </w:r>
      <w:r w:rsidR="001D6910">
        <w:t>mission-based</w:t>
      </w:r>
      <w:r w:rsidR="000F77C1">
        <w:t xml:space="preserve"> compacts</w:t>
      </w:r>
      <w:r w:rsidR="000C4441">
        <w:t xml:space="preserve"> process</w:t>
      </w:r>
      <w:r w:rsidR="000F77C1">
        <w:t xml:space="preserve">es </w:t>
      </w:r>
      <w:r w:rsidR="001D6910">
        <w:t>will</w:t>
      </w:r>
      <w:r w:rsidR="000F77C1">
        <w:t xml:space="preserve"> </w:t>
      </w:r>
      <w:r w:rsidR="001D6910">
        <w:t xml:space="preserve">come into alignment </w:t>
      </w:r>
      <w:r w:rsidR="000F77C1">
        <w:t xml:space="preserve">in </w:t>
      </w:r>
      <w:r w:rsidR="001D6910">
        <w:t>later years</w:t>
      </w:r>
      <w:r w:rsidR="009666C8">
        <w:t>. T</w:t>
      </w:r>
      <w:r w:rsidR="000C4441">
        <w:t>he department will provide guidance to the sector</w:t>
      </w:r>
      <w:r w:rsidR="001D6910">
        <w:t xml:space="preserve"> in preparation for implement</w:t>
      </w:r>
      <w:r w:rsidR="009975EF">
        <w:t>ation during</w:t>
      </w:r>
      <w:r w:rsidR="001D6910">
        <w:t xml:space="preserve"> the </w:t>
      </w:r>
      <w:r w:rsidR="009975EF">
        <w:t>learning year</w:t>
      </w:r>
      <w:r w:rsidR="001D6910">
        <w:t>.</w:t>
      </w:r>
    </w:p>
    <w:p w14:paraId="1EF57A88" w14:textId="77777777" w:rsidR="00A73162" w:rsidRDefault="00A73162" w:rsidP="00A73162">
      <w:pPr>
        <w:pStyle w:val="Heading2"/>
      </w:pPr>
      <w:bookmarkStart w:id="24" w:name="_Toc58494504"/>
      <w:r>
        <w:t>Recommendations</w:t>
      </w:r>
      <w:bookmarkEnd w:id="24"/>
    </w:p>
    <w:p w14:paraId="62BA07CA" w14:textId="77777777" w:rsidR="007C21C6" w:rsidRDefault="007C21C6" w:rsidP="00354FD0">
      <w:r>
        <w:t>The working group recommends:</w:t>
      </w:r>
    </w:p>
    <w:p w14:paraId="15C9B9F6" w14:textId="0B5BADBE" w:rsidR="007C21C6" w:rsidRDefault="007C21C6" w:rsidP="00354FD0">
      <w:pPr>
        <w:pStyle w:val="ListBullet"/>
      </w:pPr>
      <w:r>
        <w:t xml:space="preserve">The Minister approves the proposed framework, to begin implementing </w:t>
      </w:r>
      <w:r w:rsidR="00F54D4F">
        <w:t xml:space="preserve">in the learning year of 2021 and </w:t>
      </w:r>
      <w:r>
        <w:t>the pilot from 202</w:t>
      </w:r>
      <w:r w:rsidR="00F54D4F">
        <w:t>2</w:t>
      </w:r>
      <w:r w:rsidR="00A070AD">
        <w:t>.</w:t>
      </w:r>
    </w:p>
    <w:p w14:paraId="76EFC338" w14:textId="0A32CC89" w:rsidR="007C21C6" w:rsidRDefault="007C21C6" w:rsidP="00354FD0">
      <w:pPr>
        <w:pStyle w:val="ListBullet"/>
      </w:pPr>
      <w:r>
        <w:t>The department to work collaboratively with the sector to provide necessary, additional detail on aspects of implementation</w:t>
      </w:r>
      <w:r w:rsidR="001D6910">
        <w:t>,</w:t>
      </w:r>
      <w:r>
        <w:t xml:space="preserve"> including the metrics and process for assessment</w:t>
      </w:r>
      <w:r w:rsidR="00A070AD">
        <w:t>.</w:t>
      </w:r>
      <w:r>
        <w:t xml:space="preserve"> </w:t>
      </w:r>
    </w:p>
    <w:p w14:paraId="672125AA" w14:textId="59DD57C5" w:rsidR="007C21C6" w:rsidRDefault="007C21C6" w:rsidP="00354FD0">
      <w:pPr>
        <w:pStyle w:val="ListBullet"/>
      </w:pPr>
      <w:r>
        <w:t>That a review be undertaken by the department prior to full implementation in 2024</w:t>
      </w:r>
      <w:r w:rsidR="00A070AD">
        <w:t>.</w:t>
      </w:r>
    </w:p>
    <w:p w14:paraId="7DAEE15E" w14:textId="77777777" w:rsidR="007C21C6" w:rsidRDefault="007C21C6" w:rsidP="00354FD0">
      <w:pPr>
        <w:pStyle w:val="ListBullet"/>
      </w:pPr>
      <w:r>
        <w:t xml:space="preserve">The Minister consider the recommendations outlined in </w:t>
      </w:r>
      <w:r w:rsidRPr="003B192D">
        <w:rPr>
          <w:b/>
          <w:bCs/>
        </w:rPr>
        <w:t>Appendix A</w:t>
      </w:r>
      <w:r>
        <w:t xml:space="preserve">. While the recommendations are beyond the scope of the working group’s task, they complement the aspirations of the NPILF. </w:t>
      </w:r>
    </w:p>
    <w:p w14:paraId="73A43F90" w14:textId="77777777" w:rsidR="00C62ABB" w:rsidRPr="00A73162" w:rsidRDefault="00C62ABB" w:rsidP="00A73162"/>
    <w:p w14:paraId="7F27611C" w14:textId="6762D69A" w:rsidR="006201DE" w:rsidRDefault="006201DE" w:rsidP="00DC0B5B">
      <w:pPr>
        <w:spacing w:after="120" w:line="240" w:lineRule="auto"/>
      </w:pPr>
    </w:p>
    <w:p w14:paraId="55CFC329" w14:textId="0A970BE8" w:rsidR="00920BA5" w:rsidRDefault="00920BA5" w:rsidP="00DC0B5B">
      <w:pPr>
        <w:spacing w:after="120" w:line="240" w:lineRule="auto"/>
      </w:pPr>
    </w:p>
    <w:p w14:paraId="5FB076C1" w14:textId="04CC5E9C" w:rsidR="00920BA5" w:rsidRDefault="00920BA5" w:rsidP="00DC0B5B">
      <w:pPr>
        <w:spacing w:after="120" w:line="240" w:lineRule="auto"/>
      </w:pPr>
    </w:p>
    <w:p w14:paraId="2F564131" w14:textId="44444364" w:rsidR="00920BA5" w:rsidRDefault="00920BA5" w:rsidP="00DC0B5B">
      <w:pPr>
        <w:spacing w:after="120" w:line="240" w:lineRule="auto"/>
      </w:pPr>
    </w:p>
    <w:p w14:paraId="09DA247B" w14:textId="1957C102" w:rsidR="00920BA5" w:rsidRDefault="00920BA5">
      <w:pPr>
        <w:spacing w:after="160" w:line="259" w:lineRule="auto"/>
      </w:pPr>
      <w:r>
        <w:br w:type="page"/>
      </w:r>
    </w:p>
    <w:p w14:paraId="0FA7FFBA" w14:textId="77777777" w:rsidR="007369EC" w:rsidRDefault="007369EC" w:rsidP="007369EC">
      <w:pPr>
        <w:pStyle w:val="Heading1"/>
        <w:rPr>
          <w:rFonts w:eastAsia="Times New Roman"/>
        </w:rPr>
      </w:pPr>
      <w:bookmarkStart w:id="25" w:name="_Toc58494505"/>
      <w:r>
        <w:rPr>
          <w:rFonts w:eastAsia="Times New Roman"/>
        </w:rPr>
        <w:lastRenderedPageBreak/>
        <w:t>Appendix A – Supporting the national priorities beyond NPILF</w:t>
      </w:r>
      <w:bookmarkEnd w:id="25"/>
    </w:p>
    <w:p w14:paraId="3B0A4ABA" w14:textId="7B3A017B" w:rsidR="007369EC" w:rsidRDefault="009975EF" w:rsidP="00D72F05">
      <w:pPr>
        <w:spacing w:after="120" w:line="240" w:lineRule="auto"/>
        <w:rPr>
          <w:lang w:eastAsia="en-AU"/>
        </w:rPr>
      </w:pPr>
      <w:r>
        <w:rPr>
          <w:lang w:eastAsia="en-AU"/>
        </w:rPr>
        <w:t>A</w:t>
      </w:r>
      <w:r w:rsidR="007369EC">
        <w:rPr>
          <w:lang w:eastAsia="en-AU"/>
        </w:rPr>
        <w:t xml:space="preserve"> number of suggestions </w:t>
      </w:r>
      <w:r>
        <w:rPr>
          <w:lang w:eastAsia="en-AU"/>
        </w:rPr>
        <w:t xml:space="preserve">were made during the consultation process </w:t>
      </w:r>
      <w:r w:rsidR="007369EC">
        <w:rPr>
          <w:lang w:eastAsia="en-AU"/>
        </w:rPr>
        <w:t xml:space="preserve">that fall outside the scope of the working group. While they have not been considered for </w:t>
      </w:r>
      <w:r>
        <w:rPr>
          <w:lang w:eastAsia="en-AU"/>
        </w:rPr>
        <w:t xml:space="preserve">the </w:t>
      </w:r>
      <w:r w:rsidR="007369EC">
        <w:rPr>
          <w:lang w:eastAsia="en-AU"/>
        </w:rPr>
        <w:t xml:space="preserve">NPILF, they </w:t>
      </w:r>
      <w:r>
        <w:rPr>
          <w:lang w:eastAsia="en-AU"/>
        </w:rPr>
        <w:t xml:space="preserve">are important policy proposals that </w:t>
      </w:r>
      <w:r w:rsidR="007369EC">
        <w:rPr>
          <w:lang w:eastAsia="en-AU"/>
        </w:rPr>
        <w:t xml:space="preserve">may interest Government and universities. </w:t>
      </w:r>
    </w:p>
    <w:p w14:paraId="472CA9CA" w14:textId="7B57C4C4" w:rsidR="003D660B" w:rsidRDefault="007369EC" w:rsidP="009D2E0B">
      <w:pPr>
        <w:pStyle w:val="Heading4"/>
        <w:spacing w:before="0" w:after="120" w:line="240" w:lineRule="auto"/>
        <w:rPr>
          <w:lang w:eastAsia="en-AU"/>
        </w:rPr>
      </w:pPr>
      <w:r>
        <w:rPr>
          <w:lang w:eastAsia="en-AU"/>
        </w:rPr>
        <w:t xml:space="preserve">To incentivise </w:t>
      </w:r>
      <w:r w:rsidR="009975EF">
        <w:rPr>
          <w:lang w:eastAsia="en-AU"/>
        </w:rPr>
        <w:t xml:space="preserve">industry </w:t>
      </w:r>
      <w:r>
        <w:rPr>
          <w:lang w:eastAsia="en-AU"/>
        </w:rPr>
        <w:t>to engage with universities</w:t>
      </w:r>
    </w:p>
    <w:p w14:paraId="769A2C48" w14:textId="54E785A8" w:rsidR="009975EF" w:rsidRPr="009D2E0B" w:rsidRDefault="009975EF" w:rsidP="009D2E0B">
      <w:pPr>
        <w:spacing w:after="120" w:line="240" w:lineRule="auto"/>
        <w:rPr>
          <w:lang w:eastAsia="en-AU"/>
        </w:rPr>
      </w:pPr>
      <w:r>
        <w:rPr>
          <w:lang w:eastAsia="en-AU"/>
        </w:rPr>
        <w:t>A theme common to the consultation was that the NPILF provided university incentives but industry incentives would be required to further the policy objectives. It is recommended that compelling incentives and mechanisms to change mindsets and behaviours in industry towards collaboration are considered. Some examples from the consultation include:</w:t>
      </w:r>
    </w:p>
    <w:p w14:paraId="6B4B7345" w14:textId="548375BA" w:rsidR="00087610" w:rsidRDefault="0008357F" w:rsidP="00D72F05">
      <w:pPr>
        <w:pStyle w:val="ListParagraph"/>
        <w:numPr>
          <w:ilvl w:val="0"/>
          <w:numId w:val="38"/>
        </w:numPr>
        <w:spacing w:after="120" w:line="240" w:lineRule="auto"/>
        <w:contextualSpacing w:val="0"/>
      </w:pPr>
      <w:r>
        <w:t xml:space="preserve">Government </w:t>
      </w:r>
      <w:r w:rsidR="009975EF">
        <w:t xml:space="preserve">could </w:t>
      </w:r>
      <w:r w:rsidR="00087610">
        <w:t>recognise excellence of university-industry collaboration by selecting awards for representatives</w:t>
      </w:r>
      <w:r w:rsidR="009975EF">
        <w:t>/</w:t>
      </w:r>
      <w:r w:rsidR="00087610">
        <w:t xml:space="preserve">organisations from higher education </w:t>
      </w:r>
      <w:r w:rsidR="009975EF">
        <w:t>and/</w:t>
      </w:r>
      <w:r w:rsidR="00087610">
        <w:t xml:space="preserve">or industry, based on </w:t>
      </w:r>
      <w:r w:rsidR="009975EF">
        <w:t xml:space="preserve">NPILF </w:t>
      </w:r>
      <w:r w:rsidR="00087610">
        <w:t xml:space="preserve">case studies. This would be no extra work or cost to the sector but is a strong promotional activity and aligns with aspiration of </w:t>
      </w:r>
      <w:r w:rsidR="009975EF">
        <w:t xml:space="preserve">the </w:t>
      </w:r>
      <w:r w:rsidR="00087610">
        <w:t>NPILF to drive university-industry engagement.</w:t>
      </w:r>
    </w:p>
    <w:p w14:paraId="5BE8F04A" w14:textId="50C4E29B" w:rsidR="007369EC" w:rsidRDefault="007369EC" w:rsidP="009D2E0B">
      <w:pPr>
        <w:pStyle w:val="ListParagraph"/>
        <w:numPr>
          <w:ilvl w:val="0"/>
          <w:numId w:val="38"/>
        </w:numPr>
        <w:spacing w:after="120" w:line="240" w:lineRule="auto"/>
        <w:contextualSpacing w:val="0"/>
        <w:rPr>
          <w:color w:val="000000"/>
        </w:rPr>
      </w:pPr>
      <w:r>
        <w:rPr>
          <w:color w:val="000000"/>
        </w:rPr>
        <w:t xml:space="preserve">Government </w:t>
      </w:r>
      <w:r w:rsidR="009975EF">
        <w:rPr>
          <w:color w:val="000000"/>
        </w:rPr>
        <w:t xml:space="preserve">should </w:t>
      </w:r>
      <w:r>
        <w:rPr>
          <w:color w:val="000000"/>
        </w:rPr>
        <w:t>explore new</w:t>
      </w:r>
      <w:r w:rsidR="009975EF">
        <w:rPr>
          <w:color w:val="000000"/>
        </w:rPr>
        <w:t>,</w:t>
      </w:r>
      <w:r>
        <w:rPr>
          <w:color w:val="000000"/>
        </w:rPr>
        <w:t xml:space="preserve"> tax-based incentives for industry to take students for WIL experiences</w:t>
      </w:r>
      <w:r w:rsidR="009975EF">
        <w:rPr>
          <w:color w:val="000000"/>
        </w:rPr>
        <w:t>.</w:t>
      </w:r>
      <w:r>
        <w:rPr>
          <w:color w:val="000000"/>
        </w:rPr>
        <w:t xml:space="preserve"> </w:t>
      </w:r>
      <w:r w:rsidR="009975EF">
        <w:rPr>
          <w:color w:val="000000"/>
        </w:rPr>
        <w:t>C</w:t>
      </w:r>
      <w:r>
        <w:rPr>
          <w:color w:val="000000"/>
        </w:rPr>
        <w:t>urrent initiatives such as the Government’s Boosting Apprenticeship Commencements wage subsidy could be extended to industry placements.</w:t>
      </w:r>
    </w:p>
    <w:p w14:paraId="4E2A61FA" w14:textId="70B21370" w:rsidR="009975EF" w:rsidRPr="009D2E0B" w:rsidRDefault="009975EF" w:rsidP="009D2E0B">
      <w:pPr>
        <w:pStyle w:val="ListParagraph"/>
        <w:numPr>
          <w:ilvl w:val="0"/>
          <w:numId w:val="38"/>
        </w:numPr>
        <w:spacing w:after="120" w:line="240" w:lineRule="auto"/>
        <w:contextualSpacing w:val="0"/>
        <w:rPr>
          <w:color w:val="000000"/>
        </w:rPr>
      </w:pPr>
      <w:r>
        <w:rPr>
          <w:color w:val="000000"/>
        </w:rPr>
        <w:t>Government could subsidise through tax incentives the employment of PhD level graduates in industry. This would increase knowledge transfer to industry (particularly focussed on STEM), increase workforce skill levels and increase connection of industry back into universities.</w:t>
      </w:r>
    </w:p>
    <w:p w14:paraId="0536B64B" w14:textId="28F8F11A" w:rsidR="009975EF" w:rsidRDefault="009975EF" w:rsidP="009D2E0B">
      <w:pPr>
        <w:pStyle w:val="Heading4"/>
        <w:spacing w:before="0" w:after="120" w:line="240" w:lineRule="auto"/>
        <w:rPr>
          <w:lang w:eastAsia="en-AU"/>
        </w:rPr>
      </w:pPr>
      <w:r>
        <w:rPr>
          <w:lang w:eastAsia="en-AU"/>
        </w:rPr>
        <w:t>To incentivise SMEs to engage with universities</w:t>
      </w:r>
    </w:p>
    <w:p w14:paraId="2C041694" w14:textId="6EF9889E" w:rsidR="009975EF" w:rsidRDefault="009975EF" w:rsidP="009D2E0B">
      <w:pPr>
        <w:spacing w:after="120" w:line="240" w:lineRule="auto"/>
        <w:rPr>
          <w:lang w:eastAsia="en-AU"/>
        </w:rPr>
      </w:pPr>
      <w:r>
        <w:rPr>
          <w:lang w:eastAsia="en-AU"/>
        </w:rPr>
        <w:t>SMEs were identified as a critical component of the Australian industry landscape and a group that would most benefit from appropriate collaboration with universities. This sector however currently faces both the greatest barriers towards engagement and requirement for mindset shifts. Suggestions include:</w:t>
      </w:r>
    </w:p>
    <w:p w14:paraId="57D65449" w14:textId="5C4E7620" w:rsidR="009975EF" w:rsidRDefault="009975EF" w:rsidP="00D72F05">
      <w:pPr>
        <w:pStyle w:val="ListParagraph"/>
        <w:numPr>
          <w:ilvl w:val="0"/>
          <w:numId w:val="38"/>
        </w:numPr>
        <w:spacing w:after="120" w:line="240" w:lineRule="auto"/>
        <w:contextualSpacing w:val="0"/>
        <w:rPr>
          <w:rFonts w:eastAsia="Times New Roman"/>
          <w:color w:val="000000"/>
        </w:rPr>
      </w:pPr>
      <w:r>
        <w:rPr>
          <w:color w:val="000000"/>
        </w:rPr>
        <w:t xml:space="preserve">Government could establish an SME-student matching platform to supply WIL opportunities. This could also match research </w:t>
      </w:r>
      <w:r w:rsidR="0047664E">
        <w:rPr>
          <w:color w:val="000000"/>
        </w:rPr>
        <w:t>ideas;</w:t>
      </w:r>
      <w:r>
        <w:rPr>
          <w:color w:val="000000"/>
        </w:rPr>
        <w:t xml:space="preserve"> advanced apprenticeship needs or increase cadetships.</w:t>
      </w:r>
    </w:p>
    <w:p w14:paraId="2721D432" w14:textId="5D331EA4" w:rsidR="009975EF" w:rsidRPr="009975EF" w:rsidRDefault="009975EF" w:rsidP="009D2E0B">
      <w:pPr>
        <w:pStyle w:val="ListParagraph"/>
        <w:numPr>
          <w:ilvl w:val="0"/>
          <w:numId w:val="38"/>
        </w:numPr>
        <w:spacing w:after="120" w:line="240" w:lineRule="auto"/>
        <w:contextualSpacing w:val="0"/>
        <w:rPr>
          <w:rFonts w:eastAsia="Times New Roman"/>
        </w:rPr>
      </w:pPr>
      <w:r>
        <w:t xml:space="preserve">Government could undertake a national promotional campaign targeting SMEs to encourage them to engage with universities. For example, through delivering innovative and flexible WIL on and off campus and research opportunities. Government could use existing communication channels (via ATO, ABN etc) to provide information. </w:t>
      </w:r>
    </w:p>
    <w:p w14:paraId="4946EC27" w14:textId="7554EF14" w:rsidR="007369EC" w:rsidRDefault="007369EC" w:rsidP="009D2E0B">
      <w:pPr>
        <w:pStyle w:val="Heading4"/>
        <w:spacing w:before="0" w:after="120" w:line="240" w:lineRule="auto"/>
        <w:rPr>
          <w:lang w:eastAsia="en-AU"/>
        </w:rPr>
      </w:pPr>
      <w:r>
        <w:rPr>
          <w:lang w:eastAsia="en-AU"/>
        </w:rPr>
        <w:t xml:space="preserve">To </w:t>
      </w:r>
      <w:r w:rsidR="009975EF">
        <w:rPr>
          <w:lang w:eastAsia="en-AU"/>
        </w:rPr>
        <w:t>enhance</w:t>
      </w:r>
      <w:r>
        <w:rPr>
          <w:lang w:eastAsia="en-AU"/>
        </w:rPr>
        <w:t xml:space="preserve"> WIL </w:t>
      </w:r>
    </w:p>
    <w:p w14:paraId="2541B59D" w14:textId="45C8C8D6" w:rsidR="00087610" w:rsidRPr="00693986" w:rsidRDefault="0046416C" w:rsidP="000F5E9E">
      <w:pPr>
        <w:pStyle w:val="ListParagraph"/>
        <w:numPr>
          <w:ilvl w:val="0"/>
          <w:numId w:val="39"/>
        </w:numPr>
        <w:spacing w:after="120" w:line="240" w:lineRule="auto"/>
        <w:ind w:left="360"/>
        <w:contextualSpacing w:val="0"/>
        <w:rPr>
          <w:color w:val="000000"/>
          <w:lang w:eastAsia="en-AU"/>
        </w:rPr>
      </w:pPr>
      <w:r>
        <w:t xml:space="preserve">To support </w:t>
      </w:r>
      <w:r w:rsidR="00C30F35">
        <w:t xml:space="preserve">strong </w:t>
      </w:r>
      <w:r>
        <w:t xml:space="preserve">policy, </w:t>
      </w:r>
      <w:r w:rsidR="00C30F35">
        <w:t xml:space="preserve">Government should establish </w:t>
      </w:r>
      <w:r>
        <w:t xml:space="preserve">a </w:t>
      </w:r>
      <w:r w:rsidR="00087610">
        <w:t>national WIL data collection</w:t>
      </w:r>
      <w:r w:rsidR="00C30F35">
        <w:t>.</w:t>
      </w:r>
    </w:p>
    <w:p w14:paraId="40DE7E31" w14:textId="2D90CC30" w:rsidR="007369EC" w:rsidRDefault="007369EC" w:rsidP="000F5E9E">
      <w:pPr>
        <w:pStyle w:val="ListParagraph"/>
        <w:numPr>
          <w:ilvl w:val="0"/>
          <w:numId w:val="39"/>
        </w:numPr>
        <w:spacing w:after="120" w:line="240" w:lineRule="auto"/>
        <w:ind w:left="360"/>
        <w:contextualSpacing w:val="0"/>
        <w:rPr>
          <w:color w:val="000000"/>
          <w:lang w:eastAsia="en-AU"/>
        </w:rPr>
      </w:pPr>
      <w:r>
        <w:rPr>
          <w:color w:val="000000"/>
        </w:rPr>
        <w:t>Provide public service WIL opportunities and support public service graduate employment.</w:t>
      </w:r>
    </w:p>
    <w:p w14:paraId="329BF877" w14:textId="40B5C3AA" w:rsidR="007369EC" w:rsidRDefault="007369EC">
      <w:pPr>
        <w:pStyle w:val="ListParagraph"/>
        <w:numPr>
          <w:ilvl w:val="0"/>
          <w:numId w:val="39"/>
        </w:numPr>
        <w:spacing w:after="120" w:line="240" w:lineRule="auto"/>
        <w:ind w:left="360"/>
        <w:contextualSpacing w:val="0"/>
        <w:rPr>
          <w:color w:val="000000"/>
        </w:rPr>
      </w:pPr>
      <w:r>
        <w:rPr>
          <w:color w:val="000000"/>
        </w:rPr>
        <w:t xml:space="preserve">Government to fund innovation challenges (suggested by industry) or grants to solve wicked problems by specifically </w:t>
      </w:r>
      <w:r w:rsidR="00D45FA9">
        <w:rPr>
          <w:color w:val="000000"/>
        </w:rPr>
        <w:t xml:space="preserve">seek to utilise student talent. </w:t>
      </w:r>
    </w:p>
    <w:p w14:paraId="2497BED4" w14:textId="4CE319BD" w:rsidR="007369EC" w:rsidRDefault="0046416C">
      <w:pPr>
        <w:pStyle w:val="ListParagraph"/>
        <w:numPr>
          <w:ilvl w:val="0"/>
          <w:numId w:val="39"/>
        </w:numPr>
        <w:spacing w:after="120" w:line="240" w:lineRule="auto"/>
        <w:ind w:left="360"/>
        <w:contextualSpacing w:val="0"/>
        <w:rPr>
          <w:rFonts w:eastAsia="Times New Roman"/>
          <w:color w:val="000000"/>
        </w:rPr>
      </w:pPr>
      <w:r>
        <w:rPr>
          <w:color w:val="000000"/>
        </w:rPr>
        <w:t xml:space="preserve">Given learnings from COVID-19 and work-from-home, there would be benefits in </w:t>
      </w:r>
      <w:r w:rsidR="007369EC">
        <w:rPr>
          <w:color w:val="000000"/>
        </w:rPr>
        <w:t>develop</w:t>
      </w:r>
      <w:r>
        <w:rPr>
          <w:color w:val="000000"/>
        </w:rPr>
        <w:t>ing</w:t>
      </w:r>
      <w:r w:rsidR="007369EC">
        <w:rPr>
          <w:color w:val="000000"/>
        </w:rPr>
        <w:t xml:space="preserve"> open access resources for the sector to share</w:t>
      </w:r>
      <w:r>
        <w:rPr>
          <w:color w:val="000000"/>
        </w:rPr>
        <w:t xml:space="preserve"> on </w:t>
      </w:r>
      <w:r w:rsidR="007369EC">
        <w:rPr>
          <w:color w:val="000000"/>
        </w:rPr>
        <w:t>virtual placements</w:t>
      </w:r>
      <w:r w:rsidR="009B19A8">
        <w:rPr>
          <w:color w:val="000000"/>
        </w:rPr>
        <w:t>.</w:t>
      </w:r>
    </w:p>
    <w:p w14:paraId="2DFA7B64" w14:textId="43EF6F3B" w:rsidR="009160FC" w:rsidRPr="009B19A8" w:rsidRDefault="0046416C">
      <w:pPr>
        <w:pStyle w:val="ListParagraph"/>
        <w:numPr>
          <w:ilvl w:val="0"/>
          <w:numId w:val="39"/>
        </w:numPr>
        <w:spacing w:after="120" w:line="240" w:lineRule="auto"/>
        <w:ind w:left="360"/>
        <w:contextualSpacing w:val="0"/>
        <w:rPr>
          <w:color w:val="000000"/>
          <w:lang w:eastAsia="en-AU"/>
        </w:rPr>
      </w:pPr>
      <w:r>
        <w:t>Introduce a s</w:t>
      </w:r>
      <w:r w:rsidR="007369EC">
        <w:t>tandardise</w:t>
      </w:r>
      <w:r>
        <w:t>d</w:t>
      </w:r>
      <w:r w:rsidR="007369EC">
        <w:t xml:space="preserve"> a framework for WIL administration in universities, including funding committed to training and employing WIL administrative staff</w:t>
      </w:r>
      <w:r w:rsidR="009B19A8">
        <w:rPr>
          <w:color w:val="000000"/>
        </w:rPr>
        <w:t>.</w:t>
      </w:r>
    </w:p>
    <w:sectPr w:rsidR="009160FC" w:rsidRPr="009B19A8" w:rsidSect="007A67F6">
      <w:headerReference w:type="even" r:id="rId25"/>
      <w:headerReference w:type="default" r:id="rId26"/>
      <w:footerReference w:type="default" r:id="rId27"/>
      <w:headerReference w:type="first" r:id="rId28"/>
      <w:type w:val="continuous"/>
      <w:pgSz w:w="11906" w:h="16838"/>
      <w:pgMar w:top="2268" w:right="1440" w:bottom="1440" w:left="1440"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25F194" w14:textId="77777777" w:rsidR="002F4030" w:rsidRDefault="002F4030" w:rsidP="0051352E">
      <w:pPr>
        <w:spacing w:after="0" w:line="240" w:lineRule="auto"/>
      </w:pPr>
      <w:r>
        <w:separator/>
      </w:r>
    </w:p>
  </w:endnote>
  <w:endnote w:type="continuationSeparator" w:id="0">
    <w:p w14:paraId="0C73DD6F" w14:textId="77777777" w:rsidR="002F4030" w:rsidRDefault="002F4030"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B0A40" w14:textId="77777777" w:rsidR="002F4030" w:rsidRDefault="002F4030">
    <w:pPr>
      <w:pStyle w:val="Footer"/>
      <w:jc w:val="right"/>
    </w:pPr>
  </w:p>
  <w:p w14:paraId="7FC53CAC" w14:textId="77777777" w:rsidR="002F4030" w:rsidRDefault="002F40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D91991" w14:textId="4A643AB3" w:rsidR="002F4030" w:rsidRDefault="002F4030">
    <w:pPr>
      <w:pStyle w:val="Footer"/>
      <w:jc w:val="right"/>
    </w:pPr>
    <w:r>
      <w:t xml:space="preserve">NPILF Final Report | </w:t>
    </w:r>
    <w:sdt>
      <w:sdtPr>
        <w:id w:val="123012355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7</w:t>
        </w:r>
        <w:r>
          <w:rPr>
            <w:noProof/>
          </w:rPr>
          <w:fldChar w:fldCharType="end"/>
        </w:r>
      </w:sdtContent>
    </w:sdt>
  </w:p>
  <w:p w14:paraId="37B69150" w14:textId="77777777" w:rsidR="002F4030" w:rsidRDefault="002F4030">
    <w:pPr>
      <w:pStyle w:val="Footer"/>
    </w:pPr>
  </w:p>
  <w:p w14:paraId="71F18865" w14:textId="77777777" w:rsidR="002F4030" w:rsidRDefault="002F403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F56469" w14:textId="77777777" w:rsidR="002F4030" w:rsidRDefault="002F4030" w:rsidP="0051352E">
      <w:pPr>
        <w:spacing w:after="0" w:line="240" w:lineRule="auto"/>
      </w:pPr>
      <w:r>
        <w:separator/>
      </w:r>
    </w:p>
  </w:footnote>
  <w:footnote w:type="continuationSeparator" w:id="0">
    <w:p w14:paraId="3F6BB7A2" w14:textId="77777777" w:rsidR="002F4030" w:rsidRDefault="002F4030"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8A4809" w14:textId="6BF93444" w:rsidR="002F4030" w:rsidRDefault="002F40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A647BA" w14:textId="77777777" w:rsidR="002F4030" w:rsidRDefault="002F4030" w:rsidP="007A67F6">
    <w:pPr>
      <w:pStyle w:val="Header"/>
      <w:jc w:val="center"/>
      <w:rPr>
        <w:b/>
        <w:bCs/>
        <w:noProof/>
        <w:color w:val="FF0000"/>
        <w:sz w:val="32"/>
        <w:szCs w:val="32"/>
        <w:lang w:eastAsia="en-AU"/>
      </w:rPr>
    </w:pPr>
  </w:p>
  <w:p w14:paraId="6C8C45E2" w14:textId="77777777" w:rsidR="002F4030" w:rsidRDefault="002F4030" w:rsidP="007A67F6">
    <w:pPr>
      <w:pStyle w:val="Header"/>
      <w:jc w:val="center"/>
      <w:rPr>
        <w:b/>
        <w:bCs/>
        <w:noProof/>
        <w:color w:val="FF0000"/>
        <w:sz w:val="32"/>
        <w:szCs w:val="32"/>
        <w:lang w:eastAsia="en-AU"/>
      </w:rPr>
    </w:pPr>
  </w:p>
  <w:p w14:paraId="6A7ED611" w14:textId="066BD2E9" w:rsidR="002F4030" w:rsidRPr="007A67F6" w:rsidRDefault="002F4030" w:rsidP="00F0782A">
    <w:pPr>
      <w:pStyle w:val="Header"/>
      <w:rPr>
        <w:b/>
        <w:bCs/>
        <w:color w:val="FF0000"/>
        <w:sz w:val="32"/>
        <w:szCs w:val="32"/>
      </w:rPr>
    </w:pPr>
    <w:r w:rsidRPr="007A67F6">
      <w:rPr>
        <w:b/>
        <w:bCs/>
        <w:noProof/>
        <w:color w:val="FF0000"/>
        <w:sz w:val="32"/>
        <w:szCs w:val="32"/>
        <w:lang w:eastAsia="en-AU"/>
      </w:rPr>
      <w:drawing>
        <wp:anchor distT="0" distB="0" distL="114300" distR="114300" simplePos="0" relativeHeight="251657216" behindDoc="1" locked="1" layoutInCell="1" allowOverlap="1" wp14:anchorId="103ED306" wp14:editId="133D55EF">
          <wp:simplePos x="0" y="0"/>
          <wp:positionH relativeFrom="page">
            <wp:posOffset>-240665</wp:posOffset>
          </wp:positionH>
          <wp:positionV relativeFrom="page">
            <wp:posOffset>0</wp:posOffset>
          </wp:positionV>
          <wp:extent cx="7783195" cy="1393190"/>
          <wp:effectExtent l="0" t="0" r="8255" b="0"/>
          <wp:wrapNone/>
          <wp:docPr id="2" name="Picture 2" descr="Decorativ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port Template Follower.jpg"/>
                  <pic:cNvPicPr/>
                </pic:nvPicPr>
                <pic:blipFill>
                  <a:blip r:embed="rId1">
                    <a:extLst>
                      <a:ext uri="{28A0092B-C50C-407E-A947-70E740481C1C}">
                        <a14:useLocalDpi xmlns:a14="http://schemas.microsoft.com/office/drawing/2010/main" val="0"/>
                      </a:ext>
                    </a:extLst>
                  </a:blip>
                  <a:stretch>
                    <a:fillRect/>
                  </a:stretch>
                </pic:blipFill>
                <pic:spPr>
                  <a:xfrm>
                    <a:off x="0" y="0"/>
                    <a:ext cx="7783195" cy="139319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BA8983" w14:textId="592B44BF" w:rsidR="002F4030" w:rsidRDefault="002F40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3224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DCAB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3066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4BC30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08AB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8F8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EB8F3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667315"/>
    <w:multiLevelType w:val="hybridMultilevel"/>
    <w:tmpl w:val="75E6811C"/>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1" w15:restartNumberingAfterBreak="0">
    <w:nsid w:val="100D7A31"/>
    <w:multiLevelType w:val="hybridMultilevel"/>
    <w:tmpl w:val="274299DC"/>
    <w:lvl w:ilvl="0" w:tplc="4A0E6CCC">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5BF7782"/>
    <w:multiLevelType w:val="hybridMultilevel"/>
    <w:tmpl w:val="EF9CB6A4"/>
    <w:lvl w:ilvl="0" w:tplc="0C090001">
      <w:start w:val="1"/>
      <w:numFmt w:val="bullet"/>
      <w:lvlText w:val=""/>
      <w:lvlJc w:val="left"/>
      <w:pPr>
        <w:ind w:left="567" w:hanging="360"/>
      </w:pPr>
      <w:rPr>
        <w:rFonts w:ascii="Symbol" w:hAnsi="Symbol" w:hint="default"/>
      </w:rPr>
    </w:lvl>
    <w:lvl w:ilvl="1" w:tplc="0C090003" w:tentative="1">
      <w:start w:val="1"/>
      <w:numFmt w:val="bullet"/>
      <w:lvlText w:val="o"/>
      <w:lvlJc w:val="left"/>
      <w:pPr>
        <w:ind w:left="1287" w:hanging="360"/>
      </w:pPr>
      <w:rPr>
        <w:rFonts w:ascii="Courier New" w:hAnsi="Courier New" w:cs="Courier New" w:hint="default"/>
      </w:rPr>
    </w:lvl>
    <w:lvl w:ilvl="2" w:tplc="0C090005" w:tentative="1">
      <w:start w:val="1"/>
      <w:numFmt w:val="bullet"/>
      <w:lvlText w:val=""/>
      <w:lvlJc w:val="left"/>
      <w:pPr>
        <w:ind w:left="2007" w:hanging="360"/>
      </w:pPr>
      <w:rPr>
        <w:rFonts w:ascii="Wingdings" w:hAnsi="Wingdings" w:hint="default"/>
      </w:rPr>
    </w:lvl>
    <w:lvl w:ilvl="3" w:tplc="0C090001" w:tentative="1">
      <w:start w:val="1"/>
      <w:numFmt w:val="bullet"/>
      <w:lvlText w:val=""/>
      <w:lvlJc w:val="left"/>
      <w:pPr>
        <w:ind w:left="2727" w:hanging="360"/>
      </w:pPr>
      <w:rPr>
        <w:rFonts w:ascii="Symbol" w:hAnsi="Symbol" w:hint="default"/>
      </w:rPr>
    </w:lvl>
    <w:lvl w:ilvl="4" w:tplc="0C090003" w:tentative="1">
      <w:start w:val="1"/>
      <w:numFmt w:val="bullet"/>
      <w:lvlText w:val="o"/>
      <w:lvlJc w:val="left"/>
      <w:pPr>
        <w:ind w:left="3447" w:hanging="360"/>
      </w:pPr>
      <w:rPr>
        <w:rFonts w:ascii="Courier New" w:hAnsi="Courier New" w:cs="Courier New" w:hint="default"/>
      </w:rPr>
    </w:lvl>
    <w:lvl w:ilvl="5" w:tplc="0C090005" w:tentative="1">
      <w:start w:val="1"/>
      <w:numFmt w:val="bullet"/>
      <w:lvlText w:val=""/>
      <w:lvlJc w:val="left"/>
      <w:pPr>
        <w:ind w:left="4167" w:hanging="360"/>
      </w:pPr>
      <w:rPr>
        <w:rFonts w:ascii="Wingdings" w:hAnsi="Wingdings" w:hint="default"/>
      </w:rPr>
    </w:lvl>
    <w:lvl w:ilvl="6" w:tplc="0C090001" w:tentative="1">
      <w:start w:val="1"/>
      <w:numFmt w:val="bullet"/>
      <w:lvlText w:val=""/>
      <w:lvlJc w:val="left"/>
      <w:pPr>
        <w:ind w:left="4887" w:hanging="360"/>
      </w:pPr>
      <w:rPr>
        <w:rFonts w:ascii="Symbol" w:hAnsi="Symbol" w:hint="default"/>
      </w:rPr>
    </w:lvl>
    <w:lvl w:ilvl="7" w:tplc="0C090003" w:tentative="1">
      <w:start w:val="1"/>
      <w:numFmt w:val="bullet"/>
      <w:lvlText w:val="o"/>
      <w:lvlJc w:val="left"/>
      <w:pPr>
        <w:ind w:left="5607" w:hanging="360"/>
      </w:pPr>
      <w:rPr>
        <w:rFonts w:ascii="Courier New" w:hAnsi="Courier New" w:cs="Courier New" w:hint="default"/>
      </w:rPr>
    </w:lvl>
    <w:lvl w:ilvl="8" w:tplc="0C090005" w:tentative="1">
      <w:start w:val="1"/>
      <w:numFmt w:val="bullet"/>
      <w:lvlText w:val=""/>
      <w:lvlJc w:val="left"/>
      <w:pPr>
        <w:ind w:left="6327" w:hanging="360"/>
      </w:pPr>
      <w:rPr>
        <w:rFonts w:ascii="Wingdings" w:hAnsi="Wingdings" w:hint="default"/>
      </w:rPr>
    </w:lvl>
  </w:abstractNum>
  <w:abstractNum w:abstractNumId="14"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5" w15:restartNumberingAfterBreak="0">
    <w:nsid w:val="173B7452"/>
    <w:multiLevelType w:val="hybridMultilevel"/>
    <w:tmpl w:val="9E8CCE76"/>
    <w:lvl w:ilvl="0" w:tplc="0C090003">
      <w:start w:val="1"/>
      <w:numFmt w:val="bullet"/>
      <w:lvlText w:val="o"/>
      <w:lvlJc w:val="left"/>
      <w:pPr>
        <w:ind w:left="360" w:hanging="360"/>
      </w:pPr>
      <w:rPr>
        <w:rFonts w:ascii="Courier New" w:hAnsi="Courier New" w:cs="Courier New" w:hint="default"/>
      </w:rPr>
    </w:lvl>
    <w:lvl w:ilvl="1" w:tplc="0C09000F">
      <w:start w:val="1"/>
      <w:numFmt w:val="decimal"/>
      <w:lvlText w:val="%2."/>
      <w:lvlJc w:val="left"/>
      <w:pPr>
        <w:ind w:left="1080" w:hanging="360"/>
      </w:pPr>
      <w:rPr>
        <w:rFonts w:hint="default"/>
      </w:rPr>
    </w:lvl>
    <w:lvl w:ilvl="2" w:tplc="0C090005">
      <w:start w:val="1"/>
      <w:numFmt w:val="bullet"/>
      <w:lvlText w:val=""/>
      <w:lvlJc w:val="left"/>
      <w:pPr>
        <w:ind w:left="1800" w:hanging="360"/>
      </w:pPr>
      <w:rPr>
        <w:rFonts w:ascii="Wingdings" w:hAnsi="Wingdings" w:hint="default"/>
      </w:rPr>
    </w:lvl>
    <w:lvl w:ilvl="3" w:tplc="814A67F0">
      <w:numFmt w:val="bullet"/>
      <w:lvlText w:val="•"/>
      <w:lvlJc w:val="left"/>
      <w:pPr>
        <w:ind w:left="2880" w:hanging="720"/>
      </w:pPr>
      <w:rPr>
        <w:rFonts w:ascii="Calibri" w:eastAsiaTheme="minorHAnsi" w:hAnsi="Calibri" w:cs="Calibri"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1BFB1C40"/>
    <w:multiLevelType w:val="hybridMultilevel"/>
    <w:tmpl w:val="D2B02406"/>
    <w:lvl w:ilvl="0" w:tplc="0C090001">
      <w:start w:val="1"/>
      <w:numFmt w:val="bullet"/>
      <w:lvlText w:val=""/>
      <w:lvlJc w:val="left"/>
      <w:pPr>
        <w:ind w:left="792" w:hanging="360"/>
      </w:pPr>
      <w:rPr>
        <w:rFonts w:ascii="Symbol" w:hAnsi="Symbol" w:hint="default"/>
      </w:rPr>
    </w:lvl>
    <w:lvl w:ilvl="1" w:tplc="0C090003">
      <w:start w:val="1"/>
      <w:numFmt w:val="bullet"/>
      <w:lvlText w:val="o"/>
      <w:lvlJc w:val="left"/>
      <w:pPr>
        <w:ind w:left="1512" w:hanging="360"/>
      </w:pPr>
      <w:rPr>
        <w:rFonts w:ascii="Courier New" w:hAnsi="Courier New" w:cs="Courier New" w:hint="default"/>
      </w:rPr>
    </w:lvl>
    <w:lvl w:ilvl="2" w:tplc="0C090005">
      <w:start w:val="1"/>
      <w:numFmt w:val="bullet"/>
      <w:lvlText w:val=""/>
      <w:lvlJc w:val="left"/>
      <w:pPr>
        <w:ind w:left="2232" w:hanging="360"/>
      </w:pPr>
      <w:rPr>
        <w:rFonts w:ascii="Wingdings" w:hAnsi="Wingdings" w:hint="default"/>
      </w:rPr>
    </w:lvl>
    <w:lvl w:ilvl="3" w:tplc="0C090001">
      <w:start w:val="1"/>
      <w:numFmt w:val="bullet"/>
      <w:lvlText w:val=""/>
      <w:lvlJc w:val="left"/>
      <w:pPr>
        <w:ind w:left="2952" w:hanging="360"/>
      </w:pPr>
      <w:rPr>
        <w:rFonts w:ascii="Symbol" w:hAnsi="Symbol" w:hint="default"/>
      </w:rPr>
    </w:lvl>
    <w:lvl w:ilvl="4" w:tplc="0C090003">
      <w:start w:val="1"/>
      <w:numFmt w:val="bullet"/>
      <w:lvlText w:val="o"/>
      <w:lvlJc w:val="left"/>
      <w:pPr>
        <w:ind w:left="3672" w:hanging="360"/>
      </w:pPr>
      <w:rPr>
        <w:rFonts w:ascii="Courier New" w:hAnsi="Courier New" w:cs="Courier New" w:hint="default"/>
      </w:rPr>
    </w:lvl>
    <w:lvl w:ilvl="5" w:tplc="0C090005">
      <w:start w:val="1"/>
      <w:numFmt w:val="bullet"/>
      <w:lvlText w:val=""/>
      <w:lvlJc w:val="left"/>
      <w:pPr>
        <w:ind w:left="4392" w:hanging="360"/>
      </w:pPr>
      <w:rPr>
        <w:rFonts w:ascii="Wingdings" w:hAnsi="Wingdings" w:hint="default"/>
      </w:rPr>
    </w:lvl>
    <w:lvl w:ilvl="6" w:tplc="0C090001">
      <w:start w:val="1"/>
      <w:numFmt w:val="bullet"/>
      <w:lvlText w:val=""/>
      <w:lvlJc w:val="left"/>
      <w:pPr>
        <w:ind w:left="5112" w:hanging="360"/>
      </w:pPr>
      <w:rPr>
        <w:rFonts w:ascii="Symbol" w:hAnsi="Symbol" w:hint="default"/>
      </w:rPr>
    </w:lvl>
    <w:lvl w:ilvl="7" w:tplc="0C090003">
      <w:start w:val="1"/>
      <w:numFmt w:val="bullet"/>
      <w:lvlText w:val="o"/>
      <w:lvlJc w:val="left"/>
      <w:pPr>
        <w:ind w:left="5832" w:hanging="360"/>
      </w:pPr>
      <w:rPr>
        <w:rFonts w:ascii="Courier New" w:hAnsi="Courier New" w:cs="Courier New" w:hint="default"/>
      </w:rPr>
    </w:lvl>
    <w:lvl w:ilvl="8" w:tplc="0C090005">
      <w:start w:val="1"/>
      <w:numFmt w:val="bullet"/>
      <w:lvlText w:val=""/>
      <w:lvlJc w:val="left"/>
      <w:pPr>
        <w:ind w:left="6552" w:hanging="360"/>
      </w:pPr>
      <w:rPr>
        <w:rFonts w:ascii="Wingdings" w:hAnsi="Wingdings" w:hint="default"/>
      </w:rPr>
    </w:lvl>
  </w:abstractNum>
  <w:abstractNum w:abstractNumId="17" w15:restartNumberingAfterBreak="0">
    <w:nsid w:val="1E056536"/>
    <w:multiLevelType w:val="hybridMultilevel"/>
    <w:tmpl w:val="0AA266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E363988"/>
    <w:multiLevelType w:val="hybridMultilevel"/>
    <w:tmpl w:val="F31899F6"/>
    <w:lvl w:ilvl="0" w:tplc="179CFCFC">
      <w:start w:val="8"/>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5764A50"/>
    <w:multiLevelType w:val="hybridMultilevel"/>
    <w:tmpl w:val="46268DA2"/>
    <w:lvl w:ilvl="0" w:tplc="07D836B6">
      <w:start w:val="2015"/>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74B2109"/>
    <w:multiLevelType w:val="multilevel"/>
    <w:tmpl w:val="183E879E"/>
    <w:lvl w:ilvl="0">
      <w:start w:val="1"/>
      <w:numFmt w:val="bullet"/>
      <w:lvlText w:val=""/>
      <w:lvlJc w:val="left"/>
      <w:pPr>
        <w:ind w:left="357" w:hanging="357"/>
      </w:pPr>
      <w:rPr>
        <w:rFonts w:ascii="Symbol" w:hAnsi="Symbol"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2BE640BF"/>
    <w:multiLevelType w:val="hybridMultilevel"/>
    <w:tmpl w:val="625618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11243A1"/>
    <w:multiLevelType w:val="hybridMultilevel"/>
    <w:tmpl w:val="A55A145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15A05BC"/>
    <w:multiLevelType w:val="hybridMultilevel"/>
    <w:tmpl w:val="637021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4781898"/>
    <w:multiLevelType w:val="hybridMultilevel"/>
    <w:tmpl w:val="7F7C5E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BBC562C"/>
    <w:multiLevelType w:val="hybridMultilevel"/>
    <w:tmpl w:val="38E057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5A336F0"/>
    <w:multiLevelType w:val="hybridMultilevel"/>
    <w:tmpl w:val="9C9EE3D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4AEA3928"/>
    <w:multiLevelType w:val="hybridMultilevel"/>
    <w:tmpl w:val="C2F85EFE"/>
    <w:lvl w:ilvl="0" w:tplc="0C09001B">
      <w:start w:val="1"/>
      <w:numFmt w:val="lowerRoman"/>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73139BA"/>
    <w:multiLevelType w:val="multilevel"/>
    <w:tmpl w:val="AA2A8A2A"/>
    <w:lvl w:ilvl="0">
      <w:start w:val="1"/>
      <w:numFmt w:val="bullet"/>
      <w:lvlText w:val=""/>
      <w:lvlJc w:val="left"/>
      <w:pPr>
        <w:ind w:left="357" w:hanging="357"/>
      </w:pPr>
      <w:rPr>
        <w:rFonts w:ascii="Symbol" w:hAnsi="Symbol"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5E1B0463"/>
    <w:multiLevelType w:val="hybridMultilevel"/>
    <w:tmpl w:val="13CAA9D6"/>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32" w15:restartNumberingAfterBreak="0">
    <w:nsid w:val="61251A74"/>
    <w:multiLevelType w:val="hybridMultilevel"/>
    <w:tmpl w:val="22E06BA8"/>
    <w:lvl w:ilvl="0" w:tplc="ACC21F62">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32F4AF3"/>
    <w:multiLevelType w:val="hybridMultilevel"/>
    <w:tmpl w:val="1DE6878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4" w15:restartNumberingAfterBreak="0">
    <w:nsid w:val="6689558E"/>
    <w:multiLevelType w:val="hybridMultilevel"/>
    <w:tmpl w:val="1736C196"/>
    <w:lvl w:ilvl="0" w:tplc="128CF59C">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762744D"/>
    <w:multiLevelType w:val="hybridMultilevel"/>
    <w:tmpl w:val="DEAAD2A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6" w15:restartNumberingAfterBreak="0">
    <w:nsid w:val="6826544A"/>
    <w:multiLevelType w:val="hybridMultilevel"/>
    <w:tmpl w:val="ADD42F7C"/>
    <w:lvl w:ilvl="0" w:tplc="0C09001B">
      <w:start w:val="1"/>
      <w:numFmt w:val="lowerRoman"/>
      <w:lvlText w:val="%1."/>
      <w:lvlJc w:val="righ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0402921"/>
    <w:multiLevelType w:val="multilevel"/>
    <w:tmpl w:val="3AAC3846"/>
    <w:lvl w:ilvl="0">
      <w:start w:val="1"/>
      <w:numFmt w:val="lowerRoman"/>
      <w:lvlText w:val="%1."/>
      <w:lvlJc w:val="righ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9F32A22"/>
    <w:multiLevelType w:val="hybridMultilevel"/>
    <w:tmpl w:val="033ECBA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7AD92083"/>
    <w:multiLevelType w:val="hybridMultilevel"/>
    <w:tmpl w:val="166A3828"/>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40" w15:restartNumberingAfterBreak="0">
    <w:nsid w:val="7D102090"/>
    <w:multiLevelType w:val="hybridMultilevel"/>
    <w:tmpl w:val="F90A88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E277DB5"/>
    <w:multiLevelType w:val="hybridMultilevel"/>
    <w:tmpl w:val="B71E84A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42" w15:restartNumberingAfterBreak="0">
    <w:nsid w:val="7EA60158"/>
    <w:multiLevelType w:val="hybridMultilevel"/>
    <w:tmpl w:val="8CF8694C"/>
    <w:lvl w:ilvl="0" w:tplc="E9BA126E">
      <w:start w:val="1"/>
      <w:numFmt w:val="bullet"/>
      <w:lvlText w:val="•"/>
      <w:lvlJc w:val="left"/>
      <w:pPr>
        <w:tabs>
          <w:tab w:val="num" w:pos="720"/>
        </w:tabs>
        <w:ind w:left="720" w:hanging="360"/>
      </w:pPr>
      <w:rPr>
        <w:rFonts w:ascii="Times New Roman" w:hAnsi="Times New Roman" w:hint="default"/>
      </w:rPr>
    </w:lvl>
    <w:lvl w:ilvl="1" w:tplc="83ACC534" w:tentative="1">
      <w:start w:val="1"/>
      <w:numFmt w:val="bullet"/>
      <w:lvlText w:val="•"/>
      <w:lvlJc w:val="left"/>
      <w:pPr>
        <w:tabs>
          <w:tab w:val="num" w:pos="1440"/>
        </w:tabs>
        <w:ind w:left="1440" w:hanging="360"/>
      </w:pPr>
      <w:rPr>
        <w:rFonts w:ascii="Times New Roman" w:hAnsi="Times New Roman" w:hint="default"/>
      </w:rPr>
    </w:lvl>
    <w:lvl w:ilvl="2" w:tplc="F3B04FA4" w:tentative="1">
      <w:start w:val="1"/>
      <w:numFmt w:val="bullet"/>
      <w:lvlText w:val="•"/>
      <w:lvlJc w:val="left"/>
      <w:pPr>
        <w:tabs>
          <w:tab w:val="num" w:pos="2160"/>
        </w:tabs>
        <w:ind w:left="2160" w:hanging="360"/>
      </w:pPr>
      <w:rPr>
        <w:rFonts w:ascii="Times New Roman" w:hAnsi="Times New Roman" w:hint="default"/>
      </w:rPr>
    </w:lvl>
    <w:lvl w:ilvl="3" w:tplc="A03A4594" w:tentative="1">
      <w:start w:val="1"/>
      <w:numFmt w:val="bullet"/>
      <w:lvlText w:val="•"/>
      <w:lvlJc w:val="left"/>
      <w:pPr>
        <w:tabs>
          <w:tab w:val="num" w:pos="2880"/>
        </w:tabs>
        <w:ind w:left="2880" w:hanging="360"/>
      </w:pPr>
      <w:rPr>
        <w:rFonts w:ascii="Times New Roman" w:hAnsi="Times New Roman" w:hint="default"/>
      </w:rPr>
    </w:lvl>
    <w:lvl w:ilvl="4" w:tplc="95E0219C" w:tentative="1">
      <w:start w:val="1"/>
      <w:numFmt w:val="bullet"/>
      <w:lvlText w:val="•"/>
      <w:lvlJc w:val="left"/>
      <w:pPr>
        <w:tabs>
          <w:tab w:val="num" w:pos="3600"/>
        </w:tabs>
        <w:ind w:left="3600" w:hanging="360"/>
      </w:pPr>
      <w:rPr>
        <w:rFonts w:ascii="Times New Roman" w:hAnsi="Times New Roman" w:hint="default"/>
      </w:rPr>
    </w:lvl>
    <w:lvl w:ilvl="5" w:tplc="A6C08B9C" w:tentative="1">
      <w:start w:val="1"/>
      <w:numFmt w:val="bullet"/>
      <w:lvlText w:val="•"/>
      <w:lvlJc w:val="left"/>
      <w:pPr>
        <w:tabs>
          <w:tab w:val="num" w:pos="4320"/>
        </w:tabs>
        <w:ind w:left="4320" w:hanging="360"/>
      </w:pPr>
      <w:rPr>
        <w:rFonts w:ascii="Times New Roman" w:hAnsi="Times New Roman" w:hint="default"/>
      </w:rPr>
    </w:lvl>
    <w:lvl w:ilvl="6" w:tplc="4AC82B0E" w:tentative="1">
      <w:start w:val="1"/>
      <w:numFmt w:val="bullet"/>
      <w:lvlText w:val="•"/>
      <w:lvlJc w:val="left"/>
      <w:pPr>
        <w:tabs>
          <w:tab w:val="num" w:pos="5040"/>
        </w:tabs>
        <w:ind w:left="5040" w:hanging="360"/>
      </w:pPr>
      <w:rPr>
        <w:rFonts w:ascii="Times New Roman" w:hAnsi="Times New Roman" w:hint="default"/>
      </w:rPr>
    </w:lvl>
    <w:lvl w:ilvl="7" w:tplc="32B24608" w:tentative="1">
      <w:start w:val="1"/>
      <w:numFmt w:val="bullet"/>
      <w:lvlText w:val="•"/>
      <w:lvlJc w:val="left"/>
      <w:pPr>
        <w:tabs>
          <w:tab w:val="num" w:pos="5760"/>
        </w:tabs>
        <w:ind w:left="5760" w:hanging="360"/>
      </w:pPr>
      <w:rPr>
        <w:rFonts w:ascii="Times New Roman" w:hAnsi="Times New Roman" w:hint="default"/>
      </w:rPr>
    </w:lvl>
    <w:lvl w:ilvl="8" w:tplc="02DE4484" w:tentative="1">
      <w:start w:val="1"/>
      <w:numFmt w:val="bullet"/>
      <w:lvlText w:val="•"/>
      <w:lvlJc w:val="left"/>
      <w:pPr>
        <w:tabs>
          <w:tab w:val="num" w:pos="6480"/>
        </w:tabs>
        <w:ind w:left="6480" w:hanging="360"/>
      </w:pPr>
      <w:rPr>
        <w:rFonts w:ascii="Times New Roman" w:hAnsi="Times New Roman"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22"/>
  </w:num>
  <w:num w:numId="13">
    <w:abstractNumId w:val="26"/>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num>
  <w:num w:numId="16">
    <w:abstractNumId w:val="18"/>
  </w:num>
  <w:num w:numId="17">
    <w:abstractNumId w:val="33"/>
  </w:num>
  <w:num w:numId="18">
    <w:abstractNumId w:val="24"/>
  </w:num>
  <w:num w:numId="19">
    <w:abstractNumId w:val="21"/>
  </w:num>
  <w:num w:numId="20">
    <w:abstractNumId w:val="36"/>
  </w:num>
  <w:num w:numId="21">
    <w:abstractNumId w:val="13"/>
  </w:num>
  <w:num w:numId="22">
    <w:abstractNumId w:val="31"/>
  </w:num>
  <w:num w:numId="23">
    <w:abstractNumId w:val="14"/>
  </w:num>
  <w:num w:numId="24">
    <w:abstractNumId w:val="28"/>
  </w:num>
  <w:num w:numId="25">
    <w:abstractNumId w:val="23"/>
  </w:num>
  <w:num w:numId="26">
    <w:abstractNumId w:val="17"/>
  </w:num>
  <w:num w:numId="27">
    <w:abstractNumId w:val="40"/>
  </w:num>
  <w:num w:numId="28">
    <w:abstractNumId w:val="11"/>
  </w:num>
  <w:num w:numId="29">
    <w:abstractNumId w:val="19"/>
  </w:num>
  <w:num w:numId="30">
    <w:abstractNumId w:val="15"/>
  </w:num>
  <w:num w:numId="31">
    <w:abstractNumId w:val="32"/>
  </w:num>
  <w:num w:numId="32">
    <w:abstractNumId w:val="27"/>
  </w:num>
  <w:num w:numId="33">
    <w:abstractNumId w:val="35"/>
  </w:num>
  <w:num w:numId="34">
    <w:abstractNumId w:val="16"/>
  </w:num>
  <w:num w:numId="35">
    <w:abstractNumId w:val="25"/>
  </w:num>
  <w:num w:numId="36">
    <w:abstractNumId w:val="34"/>
  </w:num>
  <w:num w:numId="37">
    <w:abstractNumId w:val="38"/>
  </w:num>
  <w:num w:numId="38">
    <w:abstractNumId w:val="41"/>
  </w:num>
  <w:num w:numId="39">
    <w:abstractNumId w:val="27"/>
  </w:num>
  <w:num w:numId="40">
    <w:abstractNumId w:val="10"/>
  </w:num>
  <w:num w:numId="41">
    <w:abstractNumId w:val="39"/>
  </w:num>
  <w:num w:numId="42">
    <w:abstractNumId w:val="42"/>
  </w:num>
  <w:num w:numId="43">
    <w:abstractNumId w:val="37"/>
  </w:num>
  <w:num w:numId="44">
    <w:abstractNumId w:val="20"/>
  </w:num>
  <w:num w:numId="4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displayBackgroundShape/>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8673">
      <o:colormenu v:ext="edit" fillcolor="none [321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66C8"/>
    <w:rsid w:val="000132BE"/>
    <w:rsid w:val="00030605"/>
    <w:rsid w:val="000406B1"/>
    <w:rsid w:val="00052BBC"/>
    <w:rsid w:val="00053E09"/>
    <w:rsid w:val="00062663"/>
    <w:rsid w:val="0008357F"/>
    <w:rsid w:val="00087610"/>
    <w:rsid w:val="000877E6"/>
    <w:rsid w:val="000932B0"/>
    <w:rsid w:val="000A453D"/>
    <w:rsid w:val="000B5D0B"/>
    <w:rsid w:val="000C4441"/>
    <w:rsid w:val="000C6AF6"/>
    <w:rsid w:val="000C70B8"/>
    <w:rsid w:val="000D4878"/>
    <w:rsid w:val="000E3184"/>
    <w:rsid w:val="000E3D80"/>
    <w:rsid w:val="000F5E9E"/>
    <w:rsid w:val="000F77C1"/>
    <w:rsid w:val="00107DB6"/>
    <w:rsid w:val="0012455E"/>
    <w:rsid w:val="00140CFA"/>
    <w:rsid w:val="00145848"/>
    <w:rsid w:val="00157F35"/>
    <w:rsid w:val="001640AE"/>
    <w:rsid w:val="00174AC4"/>
    <w:rsid w:val="00190683"/>
    <w:rsid w:val="001A62E9"/>
    <w:rsid w:val="001B3CEA"/>
    <w:rsid w:val="001B76EB"/>
    <w:rsid w:val="001B770E"/>
    <w:rsid w:val="001C2965"/>
    <w:rsid w:val="001D6910"/>
    <w:rsid w:val="001D7DF0"/>
    <w:rsid w:val="001F411B"/>
    <w:rsid w:val="001F57E0"/>
    <w:rsid w:val="00211A67"/>
    <w:rsid w:val="00213266"/>
    <w:rsid w:val="00217EAB"/>
    <w:rsid w:val="00222529"/>
    <w:rsid w:val="0022498C"/>
    <w:rsid w:val="0023441F"/>
    <w:rsid w:val="00262D5A"/>
    <w:rsid w:val="002724D0"/>
    <w:rsid w:val="00284D41"/>
    <w:rsid w:val="002A6E49"/>
    <w:rsid w:val="002B1CE5"/>
    <w:rsid w:val="002B1E35"/>
    <w:rsid w:val="002C2F80"/>
    <w:rsid w:val="002C40B8"/>
    <w:rsid w:val="002E3FD5"/>
    <w:rsid w:val="002F20A0"/>
    <w:rsid w:val="002F4030"/>
    <w:rsid w:val="002F4DB3"/>
    <w:rsid w:val="002F5235"/>
    <w:rsid w:val="003006C2"/>
    <w:rsid w:val="00334AF1"/>
    <w:rsid w:val="003451EE"/>
    <w:rsid w:val="0034534C"/>
    <w:rsid w:val="00350FFA"/>
    <w:rsid w:val="00354FD0"/>
    <w:rsid w:val="003664C3"/>
    <w:rsid w:val="0037722D"/>
    <w:rsid w:val="00382F07"/>
    <w:rsid w:val="003962A1"/>
    <w:rsid w:val="003B192D"/>
    <w:rsid w:val="003B4507"/>
    <w:rsid w:val="003B77CA"/>
    <w:rsid w:val="003C16D3"/>
    <w:rsid w:val="003D660B"/>
    <w:rsid w:val="003F738F"/>
    <w:rsid w:val="00401901"/>
    <w:rsid w:val="00402793"/>
    <w:rsid w:val="004040F1"/>
    <w:rsid w:val="00416E5F"/>
    <w:rsid w:val="00420D16"/>
    <w:rsid w:val="00422050"/>
    <w:rsid w:val="00453C04"/>
    <w:rsid w:val="00463A57"/>
    <w:rsid w:val="0046416C"/>
    <w:rsid w:val="00466C77"/>
    <w:rsid w:val="0047664E"/>
    <w:rsid w:val="00476E19"/>
    <w:rsid w:val="004905A8"/>
    <w:rsid w:val="00497764"/>
    <w:rsid w:val="00497F00"/>
    <w:rsid w:val="004A494D"/>
    <w:rsid w:val="004A74BD"/>
    <w:rsid w:val="004F3C97"/>
    <w:rsid w:val="0050102C"/>
    <w:rsid w:val="00502EA1"/>
    <w:rsid w:val="0050491A"/>
    <w:rsid w:val="0051352E"/>
    <w:rsid w:val="00517DA7"/>
    <w:rsid w:val="00520A33"/>
    <w:rsid w:val="005214AE"/>
    <w:rsid w:val="00523D26"/>
    <w:rsid w:val="005242E0"/>
    <w:rsid w:val="00527AE4"/>
    <w:rsid w:val="00527D6A"/>
    <w:rsid w:val="00532EF0"/>
    <w:rsid w:val="0053425E"/>
    <w:rsid w:val="00546162"/>
    <w:rsid w:val="005525FD"/>
    <w:rsid w:val="0058535E"/>
    <w:rsid w:val="005C50EE"/>
    <w:rsid w:val="005C53F7"/>
    <w:rsid w:val="005D2047"/>
    <w:rsid w:val="005E2D34"/>
    <w:rsid w:val="00602AD4"/>
    <w:rsid w:val="00617610"/>
    <w:rsid w:val="006201DE"/>
    <w:rsid w:val="00630DDF"/>
    <w:rsid w:val="00636A47"/>
    <w:rsid w:val="0064007A"/>
    <w:rsid w:val="006529FA"/>
    <w:rsid w:val="00662F8A"/>
    <w:rsid w:val="0066762C"/>
    <w:rsid w:val="00673ECE"/>
    <w:rsid w:val="00677483"/>
    <w:rsid w:val="00685802"/>
    <w:rsid w:val="0068656A"/>
    <w:rsid w:val="00693986"/>
    <w:rsid w:val="006A3DBF"/>
    <w:rsid w:val="006C75A6"/>
    <w:rsid w:val="006D2493"/>
    <w:rsid w:val="006E5D6E"/>
    <w:rsid w:val="00713287"/>
    <w:rsid w:val="00721B03"/>
    <w:rsid w:val="007254B2"/>
    <w:rsid w:val="007369EC"/>
    <w:rsid w:val="00750FF8"/>
    <w:rsid w:val="00752DE5"/>
    <w:rsid w:val="00753554"/>
    <w:rsid w:val="00773857"/>
    <w:rsid w:val="00783C0D"/>
    <w:rsid w:val="007855CC"/>
    <w:rsid w:val="007A67F6"/>
    <w:rsid w:val="007B1ABA"/>
    <w:rsid w:val="007B74C5"/>
    <w:rsid w:val="007B7BC8"/>
    <w:rsid w:val="007C045D"/>
    <w:rsid w:val="007C0477"/>
    <w:rsid w:val="007C0931"/>
    <w:rsid w:val="007C21C6"/>
    <w:rsid w:val="007C336D"/>
    <w:rsid w:val="007E7835"/>
    <w:rsid w:val="007F0E65"/>
    <w:rsid w:val="007F2121"/>
    <w:rsid w:val="00814296"/>
    <w:rsid w:val="00837519"/>
    <w:rsid w:val="008507C1"/>
    <w:rsid w:val="00850B4E"/>
    <w:rsid w:val="00856178"/>
    <w:rsid w:val="00861934"/>
    <w:rsid w:val="008620FA"/>
    <w:rsid w:val="00891491"/>
    <w:rsid w:val="008B6ECE"/>
    <w:rsid w:val="008C3467"/>
    <w:rsid w:val="008C5649"/>
    <w:rsid w:val="008C7A95"/>
    <w:rsid w:val="008D08EB"/>
    <w:rsid w:val="008D0A4B"/>
    <w:rsid w:val="008E0F18"/>
    <w:rsid w:val="008E2249"/>
    <w:rsid w:val="008E2854"/>
    <w:rsid w:val="008E607C"/>
    <w:rsid w:val="008F0AC9"/>
    <w:rsid w:val="008F71A0"/>
    <w:rsid w:val="009077B1"/>
    <w:rsid w:val="00907E62"/>
    <w:rsid w:val="009160FC"/>
    <w:rsid w:val="00920BA5"/>
    <w:rsid w:val="00921034"/>
    <w:rsid w:val="00930CDA"/>
    <w:rsid w:val="0093473D"/>
    <w:rsid w:val="0095636C"/>
    <w:rsid w:val="009567BE"/>
    <w:rsid w:val="00965B46"/>
    <w:rsid w:val="00966440"/>
    <w:rsid w:val="009666C8"/>
    <w:rsid w:val="009715BE"/>
    <w:rsid w:val="00972F57"/>
    <w:rsid w:val="009813F9"/>
    <w:rsid w:val="009857B6"/>
    <w:rsid w:val="00994BBB"/>
    <w:rsid w:val="00995280"/>
    <w:rsid w:val="009975EF"/>
    <w:rsid w:val="009A4B0B"/>
    <w:rsid w:val="009B19A8"/>
    <w:rsid w:val="009B3F0E"/>
    <w:rsid w:val="009C1526"/>
    <w:rsid w:val="009D2E0B"/>
    <w:rsid w:val="009E68D0"/>
    <w:rsid w:val="009F0EB4"/>
    <w:rsid w:val="00A02299"/>
    <w:rsid w:val="00A070AD"/>
    <w:rsid w:val="00A07170"/>
    <w:rsid w:val="00A13341"/>
    <w:rsid w:val="00A21FE7"/>
    <w:rsid w:val="00A22849"/>
    <w:rsid w:val="00A24E6E"/>
    <w:rsid w:val="00A43694"/>
    <w:rsid w:val="00A56FC7"/>
    <w:rsid w:val="00A709C0"/>
    <w:rsid w:val="00A72575"/>
    <w:rsid w:val="00A73162"/>
    <w:rsid w:val="00A74071"/>
    <w:rsid w:val="00A94A7A"/>
    <w:rsid w:val="00AA0605"/>
    <w:rsid w:val="00AA124A"/>
    <w:rsid w:val="00AA2A96"/>
    <w:rsid w:val="00AB235E"/>
    <w:rsid w:val="00AB555F"/>
    <w:rsid w:val="00AC091D"/>
    <w:rsid w:val="00B100CC"/>
    <w:rsid w:val="00B1036F"/>
    <w:rsid w:val="00B14B2B"/>
    <w:rsid w:val="00B20A46"/>
    <w:rsid w:val="00B40B84"/>
    <w:rsid w:val="00B66384"/>
    <w:rsid w:val="00B6689D"/>
    <w:rsid w:val="00B72368"/>
    <w:rsid w:val="00B90733"/>
    <w:rsid w:val="00B91B45"/>
    <w:rsid w:val="00B91F09"/>
    <w:rsid w:val="00B94874"/>
    <w:rsid w:val="00BA7020"/>
    <w:rsid w:val="00BC4D03"/>
    <w:rsid w:val="00BD05A4"/>
    <w:rsid w:val="00BD3050"/>
    <w:rsid w:val="00BD5BCC"/>
    <w:rsid w:val="00BF61CA"/>
    <w:rsid w:val="00C014E6"/>
    <w:rsid w:val="00C0668D"/>
    <w:rsid w:val="00C177EA"/>
    <w:rsid w:val="00C264E2"/>
    <w:rsid w:val="00C264E3"/>
    <w:rsid w:val="00C26B30"/>
    <w:rsid w:val="00C30F35"/>
    <w:rsid w:val="00C33D8A"/>
    <w:rsid w:val="00C36D8E"/>
    <w:rsid w:val="00C43ACA"/>
    <w:rsid w:val="00C5021A"/>
    <w:rsid w:val="00C5151F"/>
    <w:rsid w:val="00C54D58"/>
    <w:rsid w:val="00C57220"/>
    <w:rsid w:val="00C573E1"/>
    <w:rsid w:val="00C62ABB"/>
    <w:rsid w:val="00C6766E"/>
    <w:rsid w:val="00C713A3"/>
    <w:rsid w:val="00C7152A"/>
    <w:rsid w:val="00C9020A"/>
    <w:rsid w:val="00C95DF6"/>
    <w:rsid w:val="00C96CA7"/>
    <w:rsid w:val="00CA66C8"/>
    <w:rsid w:val="00CB0EC5"/>
    <w:rsid w:val="00CB59E3"/>
    <w:rsid w:val="00CB7821"/>
    <w:rsid w:val="00CE3489"/>
    <w:rsid w:val="00CE5DEF"/>
    <w:rsid w:val="00CE7E91"/>
    <w:rsid w:val="00CF01D0"/>
    <w:rsid w:val="00CF1A53"/>
    <w:rsid w:val="00CF4271"/>
    <w:rsid w:val="00D313D8"/>
    <w:rsid w:val="00D45FA9"/>
    <w:rsid w:val="00D473EE"/>
    <w:rsid w:val="00D4795F"/>
    <w:rsid w:val="00D54A66"/>
    <w:rsid w:val="00D646C7"/>
    <w:rsid w:val="00D72F05"/>
    <w:rsid w:val="00D72FB2"/>
    <w:rsid w:val="00D84124"/>
    <w:rsid w:val="00DA0FB6"/>
    <w:rsid w:val="00DA1B7B"/>
    <w:rsid w:val="00DB79DF"/>
    <w:rsid w:val="00DB7B19"/>
    <w:rsid w:val="00DC0B5B"/>
    <w:rsid w:val="00DD1B1F"/>
    <w:rsid w:val="00DD3E36"/>
    <w:rsid w:val="00DD3EB4"/>
    <w:rsid w:val="00DE2B2A"/>
    <w:rsid w:val="00DE5131"/>
    <w:rsid w:val="00DF05D5"/>
    <w:rsid w:val="00DF153F"/>
    <w:rsid w:val="00DF4E65"/>
    <w:rsid w:val="00E06668"/>
    <w:rsid w:val="00E108DF"/>
    <w:rsid w:val="00E12979"/>
    <w:rsid w:val="00E20FA9"/>
    <w:rsid w:val="00E5162B"/>
    <w:rsid w:val="00E52CD9"/>
    <w:rsid w:val="00E76E92"/>
    <w:rsid w:val="00E866AC"/>
    <w:rsid w:val="00E943CD"/>
    <w:rsid w:val="00EA32F7"/>
    <w:rsid w:val="00EA67FC"/>
    <w:rsid w:val="00ED3309"/>
    <w:rsid w:val="00EE7294"/>
    <w:rsid w:val="00EF61E6"/>
    <w:rsid w:val="00F0150B"/>
    <w:rsid w:val="00F0782A"/>
    <w:rsid w:val="00F16296"/>
    <w:rsid w:val="00F230CD"/>
    <w:rsid w:val="00F3086C"/>
    <w:rsid w:val="00F34DB2"/>
    <w:rsid w:val="00F51C18"/>
    <w:rsid w:val="00F54D4F"/>
    <w:rsid w:val="00F62D21"/>
    <w:rsid w:val="00F63AA0"/>
    <w:rsid w:val="00F67C2A"/>
    <w:rsid w:val="00F72A47"/>
    <w:rsid w:val="00FA31E2"/>
    <w:rsid w:val="00FA6ADC"/>
    <w:rsid w:val="00FB340D"/>
    <w:rsid w:val="00FB4FEE"/>
    <w:rsid w:val="00FD0B37"/>
    <w:rsid w:val="00FD621A"/>
    <w:rsid w:val="00FE4F71"/>
    <w:rsid w:val="00FF5B70"/>
    <w:rsid w:val="00FF5BB9"/>
    <w:rsid w:val="00FF61B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8673">
      <o:colormenu v:ext="edit" fillcolor="none [3212]"/>
    </o:shapedefaults>
    <o:shapelayout v:ext="edit">
      <o:idmap v:ext="edit" data="1"/>
    </o:shapelayout>
  </w:shapeDefaults>
  <w:decimalSymbol w:val="."/>
  <w:listSeparator w:val=","/>
  <w14:docId w14:val="5175045C"/>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8E2854"/>
    <w:pPr>
      <w:keepNext/>
      <w:keepLines/>
      <w:spacing w:before="240" w:after="0"/>
      <w:outlineLvl w:val="1"/>
    </w:pPr>
    <w:rPr>
      <w:rFonts w:ascii="Calibri" w:eastAsiaTheme="majorEastAsia" w:hAnsi="Calibri" w:cstheme="majorBidi"/>
      <w:b/>
      <w:color w:val="287DB2" w:themeColor="accent6"/>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7855CC"/>
    <w:pPr>
      <w:spacing w:before="48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7855CC"/>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8"/>
    <w:qFormat/>
    <w:rsid w:val="007855CC"/>
    <w:pPr>
      <w:numPr>
        <w:ilvl w:val="1"/>
      </w:numPr>
      <w:spacing w:after="0"/>
    </w:pPr>
    <w:rPr>
      <w:rFonts w:ascii="Calibri" w:eastAsiaTheme="minorEastAsia" w:hAnsi="Calibri"/>
      <w:color w:val="E9A913" w:themeColor="accent5"/>
      <w:spacing w:val="15"/>
      <w:sz w:val="40"/>
    </w:rPr>
  </w:style>
  <w:style w:type="character" w:customStyle="1" w:styleId="SubtitleChar">
    <w:name w:val="Subtitle Char"/>
    <w:basedOn w:val="DefaultParagraphFont"/>
    <w:link w:val="Subtitle"/>
    <w:uiPriority w:val="8"/>
    <w:rsid w:val="007855CC"/>
    <w:rPr>
      <w:rFonts w:ascii="Calibri" w:eastAsiaTheme="minorEastAsia" w:hAnsi="Calibri"/>
      <w:color w:val="E9A913" w:themeColor="accent5"/>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8E2854"/>
    <w:rPr>
      <w:rFonts w:ascii="Calibri" w:eastAsiaTheme="majorEastAsia" w:hAnsi="Calibri" w:cstheme="majorBidi"/>
      <w:b/>
      <w:color w:val="287DB2" w:themeColor="accent6"/>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8C564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accent1"/>
      </w:tcPr>
    </w:tblStylePr>
    <w:tblStylePr w:type="firstCol">
      <w:rPr>
        <w:b w:val="0"/>
      </w:rPr>
    </w:tblStylePr>
    <w:tblStylePr w:type="nwCell">
      <w:rPr>
        <w:b w:val="0"/>
      </w:rPr>
    </w:tblStylePr>
  </w:style>
  <w:style w:type="paragraph" w:styleId="ListParagraph">
    <w:name w:val="List Paragraph"/>
    <w:aliases w:val="Bulleted Para,CV text,Dot pt,F5 List Paragraph,FooterText,L,List Paragraph1,List Paragraph11,List Paragraph111,List Paragraph2,Medium Grid 1 - Accent 21,NFP GP Bulleted List,Numbered Paragraph,Recommendation,Table text,b,bullet point list"/>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1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02D3F" w:themeColor="followedHyperlink"/>
      <w:u w:val="single"/>
    </w:rPr>
  </w:style>
  <w:style w:type="character" w:customStyle="1" w:styleId="ListParagraphChar">
    <w:name w:val="List Paragraph Char"/>
    <w:aliases w:val="Bulleted Para Char,CV text Char,Dot pt Char,F5 List Paragraph Char,FooterText Char,L Char,List Paragraph1 Char,List Paragraph11 Char,List Paragraph111 Char,List Paragraph2 Char,Medium Grid 1 - Accent 21 Char,NFP GP Bulleted List Char"/>
    <w:basedOn w:val="DefaultParagraphFont"/>
    <w:link w:val="ListParagraph"/>
    <w:uiPriority w:val="34"/>
    <w:qFormat/>
    <w:locked/>
    <w:rsid w:val="00DC0B5B"/>
  </w:style>
  <w:style w:type="character" w:styleId="CommentReference">
    <w:name w:val="annotation reference"/>
    <w:basedOn w:val="DefaultParagraphFont"/>
    <w:uiPriority w:val="99"/>
    <w:semiHidden/>
    <w:unhideWhenUsed/>
    <w:rsid w:val="0050491A"/>
    <w:rPr>
      <w:sz w:val="16"/>
      <w:szCs w:val="16"/>
    </w:rPr>
  </w:style>
  <w:style w:type="paragraph" w:styleId="CommentText">
    <w:name w:val="annotation text"/>
    <w:basedOn w:val="Normal"/>
    <w:link w:val="CommentTextChar"/>
    <w:uiPriority w:val="99"/>
    <w:semiHidden/>
    <w:unhideWhenUsed/>
    <w:rsid w:val="0050491A"/>
    <w:pPr>
      <w:spacing w:line="240" w:lineRule="auto"/>
    </w:pPr>
    <w:rPr>
      <w:sz w:val="20"/>
      <w:szCs w:val="20"/>
    </w:rPr>
  </w:style>
  <w:style w:type="character" w:customStyle="1" w:styleId="CommentTextChar">
    <w:name w:val="Comment Text Char"/>
    <w:basedOn w:val="DefaultParagraphFont"/>
    <w:link w:val="CommentText"/>
    <w:uiPriority w:val="99"/>
    <w:semiHidden/>
    <w:rsid w:val="0050491A"/>
    <w:rPr>
      <w:sz w:val="20"/>
      <w:szCs w:val="20"/>
    </w:rPr>
  </w:style>
  <w:style w:type="paragraph" w:styleId="CommentSubject">
    <w:name w:val="annotation subject"/>
    <w:basedOn w:val="CommentText"/>
    <w:next w:val="CommentText"/>
    <w:link w:val="CommentSubjectChar"/>
    <w:uiPriority w:val="99"/>
    <w:semiHidden/>
    <w:unhideWhenUsed/>
    <w:rsid w:val="0050491A"/>
    <w:rPr>
      <w:b/>
      <w:bCs/>
    </w:rPr>
  </w:style>
  <w:style w:type="character" w:customStyle="1" w:styleId="CommentSubjectChar">
    <w:name w:val="Comment Subject Char"/>
    <w:basedOn w:val="CommentTextChar"/>
    <w:link w:val="CommentSubject"/>
    <w:uiPriority w:val="99"/>
    <w:semiHidden/>
    <w:rsid w:val="0050491A"/>
    <w:rPr>
      <w:b/>
      <w:bCs/>
      <w:sz w:val="20"/>
      <w:szCs w:val="20"/>
    </w:rPr>
  </w:style>
  <w:style w:type="paragraph" w:styleId="NormalWeb">
    <w:name w:val="Normal (Web)"/>
    <w:basedOn w:val="Normal"/>
    <w:uiPriority w:val="99"/>
    <w:semiHidden/>
    <w:unhideWhenUsed/>
    <w:rsid w:val="00F62D21"/>
    <w:pPr>
      <w:spacing w:before="100" w:beforeAutospacing="1" w:after="100" w:afterAutospacing="1" w:line="240" w:lineRule="auto"/>
    </w:pPr>
    <w:rPr>
      <w:rFonts w:ascii="Times New Roman" w:eastAsiaTheme="minorEastAsia" w:hAnsi="Times New Roman" w:cs="Times New Roman"/>
      <w:sz w:val="24"/>
      <w:szCs w:val="24"/>
      <w:lang w:eastAsia="en-AU"/>
    </w:rPr>
  </w:style>
  <w:style w:type="paragraph" w:customStyle="1" w:styleId="Text">
    <w:name w:val="Text"/>
    <w:link w:val="TextChar"/>
    <w:qFormat/>
    <w:rsid w:val="00FB340D"/>
    <w:pPr>
      <w:spacing w:before="160" w:after="0" w:line="300" w:lineRule="exact"/>
    </w:pPr>
    <w:rPr>
      <w:rFonts w:ascii="Trebuchet MS" w:eastAsia="Times New Roman" w:hAnsi="Trebuchet MS" w:cs="Times New Roman"/>
      <w:sz w:val="19"/>
      <w:szCs w:val="20"/>
    </w:rPr>
  </w:style>
  <w:style w:type="character" w:customStyle="1" w:styleId="TextChar">
    <w:name w:val="Text Char"/>
    <w:basedOn w:val="DefaultParagraphFont"/>
    <w:link w:val="Text"/>
    <w:rsid w:val="00FB340D"/>
    <w:rPr>
      <w:rFonts w:ascii="Trebuchet MS" w:eastAsia="Times New Roman" w:hAnsi="Trebuchet MS" w:cs="Times New Roman"/>
      <w:sz w:val="19"/>
      <w:szCs w:val="20"/>
    </w:rPr>
  </w:style>
  <w:style w:type="paragraph" w:styleId="ListBullet2">
    <w:name w:val="List Bullet 2"/>
    <w:basedOn w:val="Normal"/>
    <w:uiPriority w:val="99"/>
    <w:semiHidden/>
    <w:unhideWhenUsed/>
    <w:rsid w:val="00DD3EB4"/>
    <w:pPr>
      <w:tabs>
        <w:tab w:val="num" w:pos="643"/>
      </w:tabs>
      <w:ind w:left="643" w:hanging="36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244112">
      <w:bodyDiv w:val="1"/>
      <w:marLeft w:val="0"/>
      <w:marRight w:val="0"/>
      <w:marTop w:val="0"/>
      <w:marBottom w:val="0"/>
      <w:divBdr>
        <w:top w:val="none" w:sz="0" w:space="0" w:color="auto"/>
        <w:left w:val="none" w:sz="0" w:space="0" w:color="auto"/>
        <w:bottom w:val="none" w:sz="0" w:space="0" w:color="auto"/>
        <w:right w:val="none" w:sz="0" w:space="0" w:color="auto"/>
      </w:divBdr>
    </w:div>
    <w:div w:id="133912059">
      <w:bodyDiv w:val="1"/>
      <w:marLeft w:val="0"/>
      <w:marRight w:val="0"/>
      <w:marTop w:val="0"/>
      <w:marBottom w:val="0"/>
      <w:divBdr>
        <w:top w:val="none" w:sz="0" w:space="0" w:color="auto"/>
        <w:left w:val="none" w:sz="0" w:space="0" w:color="auto"/>
        <w:bottom w:val="none" w:sz="0" w:space="0" w:color="auto"/>
        <w:right w:val="none" w:sz="0" w:space="0" w:color="auto"/>
      </w:divBdr>
    </w:div>
    <w:div w:id="665401876">
      <w:bodyDiv w:val="1"/>
      <w:marLeft w:val="0"/>
      <w:marRight w:val="0"/>
      <w:marTop w:val="0"/>
      <w:marBottom w:val="0"/>
      <w:divBdr>
        <w:top w:val="none" w:sz="0" w:space="0" w:color="auto"/>
        <w:left w:val="none" w:sz="0" w:space="0" w:color="auto"/>
        <w:bottom w:val="none" w:sz="0" w:space="0" w:color="auto"/>
        <w:right w:val="none" w:sz="0" w:space="0" w:color="auto"/>
      </w:divBdr>
    </w:div>
    <w:div w:id="908535024">
      <w:bodyDiv w:val="1"/>
      <w:marLeft w:val="0"/>
      <w:marRight w:val="0"/>
      <w:marTop w:val="0"/>
      <w:marBottom w:val="0"/>
      <w:divBdr>
        <w:top w:val="none" w:sz="0" w:space="0" w:color="auto"/>
        <w:left w:val="none" w:sz="0" w:space="0" w:color="auto"/>
        <w:bottom w:val="none" w:sz="0" w:space="0" w:color="auto"/>
        <w:right w:val="none" w:sz="0" w:space="0" w:color="auto"/>
      </w:divBdr>
    </w:div>
    <w:div w:id="1972444455">
      <w:bodyDiv w:val="1"/>
      <w:marLeft w:val="0"/>
      <w:marRight w:val="0"/>
      <w:marTop w:val="0"/>
      <w:marBottom w:val="0"/>
      <w:divBdr>
        <w:top w:val="none" w:sz="0" w:space="0" w:color="auto"/>
        <w:left w:val="none" w:sz="0" w:space="0" w:color="auto"/>
        <w:bottom w:val="none" w:sz="0" w:space="0" w:color="auto"/>
        <w:right w:val="none" w:sz="0" w:space="0" w:color="auto"/>
      </w:divBdr>
      <w:divsChild>
        <w:div w:id="120162437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07/relationships/diagramDrawing" Target="diagrams/drawing1.xm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diagramQuickStyle" Target="diagrams/quickStyle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diagramColors" Target="diagrams/colors1.xm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diagramLayout" Target="diagrams/layout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diagramLayout" Target="diagrams/layout1.xml"/><Relationship Id="rId23" Type="http://schemas.microsoft.com/office/2007/relationships/diagramDrawing" Target="diagrams/drawing2.xm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diagramData" Target="diagrams/data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Data" Target="diagrams/data1.xml"/><Relationship Id="rId22" Type="http://schemas.openxmlformats.org/officeDocument/2006/relationships/diagramColors" Target="diagrams/colors2.xml"/><Relationship Id="rId27" Type="http://schemas.openxmlformats.org/officeDocument/2006/relationships/footer" Target="footer2.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prodapp.application.enet\OfficeTemplates\DESE\Report%20Template.dotx" TargetMode="External"/></Relationships>
</file>

<file path=word/diagrams/colors1.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C0ABE4A-AEA0-4320-B5CE-6A41FF74A66E}" type="doc">
      <dgm:prSet loTypeId="urn:microsoft.com/office/officeart/2005/8/layout/chevron2" loCatId="process" qsTypeId="urn:microsoft.com/office/officeart/2005/8/quickstyle/simple1" qsCatId="simple" csTypeId="urn:microsoft.com/office/officeart/2005/8/colors/accent6_2" csCatId="accent6" phldr="1"/>
      <dgm:spPr/>
      <dgm:t>
        <a:bodyPr/>
        <a:lstStyle/>
        <a:p>
          <a:endParaRPr lang="en-US"/>
        </a:p>
      </dgm:t>
    </dgm:pt>
    <dgm:pt modelId="{EAF7A41E-AAA9-4627-9CC0-2E1BC3D27BD3}">
      <dgm:prSet phldrT="[Text]" custT="1"/>
      <dgm:spPr>
        <a:solidFill>
          <a:schemeClr val="accent6"/>
        </a:solidFill>
      </dgm:spPr>
      <dgm:t>
        <a:bodyPr/>
        <a:lstStyle/>
        <a:p>
          <a:r>
            <a:rPr lang="en-US" sz="1100" dirty="0"/>
            <a:t>August 2020</a:t>
          </a:r>
        </a:p>
      </dgm:t>
    </dgm:pt>
    <dgm:pt modelId="{7D2819E0-E988-4DA5-BDA9-D8EB69E1CE34}" type="parTrans" cxnId="{BBE2D060-7C8D-4B3C-AC07-A4AB3D4F1B91}">
      <dgm:prSet/>
      <dgm:spPr/>
      <dgm:t>
        <a:bodyPr/>
        <a:lstStyle/>
        <a:p>
          <a:endParaRPr lang="en-US" sz="1100"/>
        </a:p>
      </dgm:t>
    </dgm:pt>
    <dgm:pt modelId="{C644D03B-E126-4E75-8376-802D8576CFC2}" type="sibTrans" cxnId="{BBE2D060-7C8D-4B3C-AC07-A4AB3D4F1B91}">
      <dgm:prSet/>
      <dgm:spPr/>
      <dgm:t>
        <a:bodyPr/>
        <a:lstStyle/>
        <a:p>
          <a:endParaRPr lang="en-US" sz="1100"/>
        </a:p>
      </dgm:t>
    </dgm:pt>
    <dgm:pt modelId="{CFA467CD-12E0-4DF1-A3DB-8EA49DF5FF0E}">
      <dgm:prSet phldrT="[Text]" custT="1"/>
      <dgm:spPr/>
      <dgm:t>
        <a:bodyPr/>
        <a:lstStyle/>
        <a:p>
          <a:r>
            <a:rPr lang="en-US" sz="1100" dirty="0"/>
            <a:t>NPILF announced in Job-ready Graduates package and working group appointed</a:t>
          </a:r>
        </a:p>
      </dgm:t>
    </dgm:pt>
    <dgm:pt modelId="{A961BB6B-B923-4893-A884-951D59C066E4}" type="parTrans" cxnId="{D783029C-5FCD-4840-BE57-815B6E3A41BF}">
      <dgm:prSet/>
      <dgm:spPr/>
      <dgm:t>
        <a:bodyPr/>
        <a:lstStyle/>
        <a:p>
          <a:endParaRPr lang="en-US" sz="1100"/>
        </a:p>
      </dgm:t>
    </dgm:pt>
    <dgm:pt modelId="{BC443B8A-6F79-402F-832A-F1D166D4F116}" type="sibTrans" cxnId="{D783029C-5FCD-4840-BE57-815B6E3A41BF}">
      <dgm:prSet/>
      <dgm:spPr/>
      <dgm:t>
        <a:bodyPr/>
        <a:lstStyle/>
        <a:p>
          <a:endParaRPr lang="en-US" sz="1100"/>
        </a:p>
      </dgm:t>
    </dgm:pt>
    <dgm:pt modelId="{8FE775F9-44F3-4286-B1D0-723BC2E1B4E0}">
      <dgm:prSet phldrT="[Text]" custT="1"/>
      <dgm:spPr/>
      <dgm:t>
        <a:bodyPr/>
        <a:lstStyle/>
        <a:p>
          <a:r>
            <a:rPr lang="en-US" sz="1100" dirty="0"/>
            <a:t>Sept-Oct 2020</a:t>
          </a:r>
        </a:p>
      </dgm:t>
    </dgm:pt>
    <dgm:pt modelId="{0E2C838D-F8C9-4FA9-AD4E-737DB9B14D71}" type="parTrans" cxnId="{E6A594F5-8221-4610-B71B-6845B0D7A3C8}">
      <dgm:prSet/>
      <dgm:spPr/>
      <dgm:t>
        <a:bodyPr/>
        <a:lstStyle/>
        <a:p>
          <a:endParaRPr lang="en-US" sz="1100"/>
        </a:p>
      </dgm:t>
    </dgm:pt>
    <dgm:pt modelId="{81DFDC2E-79A7-4B96-BDEC-FC6AA9AFC2A0}" type="sibTrans" cxnId="{E6A594F5-8221-4610-B71B-6845B0D7A3C8}">
      <dgm:prSet/>
      <dgm:spPr/>
      <dgm:t>
        <a:bodyPr/>
        <a:lstStyle/>
        <a:p>
          <a:endParaRPr lang="en-US" sz="1100"/>
        </a:p>
      </dgm:t>
    </dgm:pt>
    <dgm:pt modelId="{BFC9724A-3F30-403E-A589-F60FC133D380}">
      <dgm:prSet phldrT="[Text]" custT="1"/>
      <dgm:spPr/>
      <dgm:t>
        <a:bodyPr/>
        <a:lstStyle/>
        <a:p>
          <a:r>
            <a:rPr lang="en-US" sz="1100" dirty="0"/>
            <a:t>November 2020</a:t>
          </a:r>
        </a:p>
      </dgm:t>
    </dgm:pt>
    <dgm:pt modelId="{8A46C421-4164-49DF-9231-F29BF86AC3D1}" type="parTrans" cxnId="{10A7828C-992F-4503-AD00-0E64CA73A9FE}">
      <dgm:prSet/>
      <dgm:spPr/>
      <dgm:t>
        <a:bodyPr/>
        <a:lstStyle/>
        <a:p>
          <a:endParaRPr lang="en-US" sz="1100"/>
        </a:p>
      </dgm:t>
    </dgm:pt>
    <dgm:pt modelId="{0D490CE9-F2E2-4888-B2F4-D7A7ED67BCA7}" type="sibTrans" cxnId="{10A7828C-992F-4503-AD00-0E64CA73A9FE}">
      <dgm:prSet/>
      <dgm:spPr/>
      <dgm:t>
        <a:bodyPr/>
        <a:lstStyle/>
        <a:p>
          <a:endParaRPr lang="en-US" sz="1100"/>
        </a:p>
      </dgm:t>
    </dgm:pt>
    <dgm:pt modelId="{4233A411-0C7E-475B-9A70-865126649E1E}">
      <dgm:prSet phldrT="[Text]" custT="1"/>
      <dgm:spPr/>
      <dgm:t>
        <a:bodyPr/>
        <a:lstStyle/>
        <a:p>
          <a:r>
            <a:rPr lang="en-US" sz="1100" dirty="0"/>
            <a:t>December 2020</a:t>
          </a:r>
        </a:p>
      </dgm:t>
    </dgm:pt>
    <dgm:pt modelId="{9EF00196-B19E-4604-9514-CA6539EE881A}" type="parTrans" cxnId="{8EF6262F-34A9-4E17-9128-964E97A60AD1}">
      <dgm:prSet/>
      <dgm:spPr/>
      <dgm:t>
        <a:bodyPr/>
        <a:lstStyle/>
        <a:p>
          <a:endParaRPr lang="en-US" sz="1100"/>
        </a:p>
      </dgm:t>
    </dgm:pt>
    <dgm:pt modelId="{0E8CEB5E-9A41-4252-AF1B-F30289CE0779}" type="sibTrans" cxnId="{8EF6262F-34A9-4E17-9128-964E97A60AD1}">
      <dgm:prSet/>
      <dgm:spPr/>
      <dgm:t>
        <a:bodyPr/>
        <a:lstStyle/>
        <a:p>
          <a:endParaRPr lang="en-US" sz="1100"/>
        </a:p>
      </dgm:t>
    </dgm:pt>
    <dgm:pt modelId="{CF730360-490F-4826-8DCF-5A36B100BA76}">
      <dgm:prSet phldrT="[Text]" custT="1"/>
      <dgm:spPr/>
      <dgm:t>
        <a:bodyPr/>
        <a:lstStyle/>
        <a:p>
          <a:r>
            <a:rPr lang="en-US" sz="1100" dirty="0"/>
            <a:t>Online consultations with all Vice-Chancellors outlining the changes</a:t>
          </a:r>
        </a:p>
      </dgm:t>
    </dgm:pt>
    <dgm:pt modelId="{94EB4AFB-A421-4942-B4FC-E350267C2764}" type="parTrans" cxnId="{7B607B1C-DF20-4787-B67D-9A8BB9067003}">
      <dgm:prSet/>
      <dgm:spPr/>
      <dgm:t>
        <a:bodyPr/>
        <a:lstStyle/>
        <a:p>
          <a:endParaRPr lang="en-US" sz="1100"/>
        </a:p>
      </dgm:t>
    </dgm:pt>
    <dgm:pt modelId="{D5990440-A03E-4E7E-9CCA-049B02B4F043}" type="sibTrans" cxnId="{7B607B1C-DF20-4787-B67D-9A8BB9067003}">
      <dgm:prSet/>
      <dgm:spPr/>
      <dgm:t>
        <a:bodyPr/>
        <a:lstStyle/>
        <a:p>
          <a:endParaRPr lang="en-US" sz="1100"/>
        </a:p>
      </dgm:t>
    </dgm:pt>
    <dgm:pt modelId="{D5324A21-3A09-4E52-BD98-B3E9EEE2BCF6}">
      <dgm:prSet phldrT="[Text]" custT="1"/>
      <dgm:spPr/>
      <dgm:t>
        <a:bodyPr/>
        <a:lstStyle/>
        <a:p>
          <a:r>
            <a:rPr lang="en-US" sz="1100" dirty="0"/>
            <a:t>Working group provides final advice to Minister</a:t>
          </a:r>
        </a:p>
      </dgm:t>
    </dgm:pt>
    <dgm:pt modelId="{27D353E2-039B-4D2A-B2BB-57B5AAC8A022}" type="parTrans" cxnId="{51B96E2D-DFC3-4141-83E3-741FA1E6E6EB}">
      <dgm:prSet/>
      <dgm:spPr/>
      <dgm:t>
        <a:bodyPr/>
        <a:lstStyle/>
        <a:p>
          <a:endParaRPr lang="en-US" sz="1100"/>
        </a:p>
      </dgm:t>
    </dgm:pt>
    <dgm:pt modelId="{089E04F6-721E-43DC-A5CB-E27A1FA97EEE}" type="sibTrans" cxnId="{51B96E2D-DFC3-4141-83E3-741FA1E6E6EB}">
      <dgm:prSet/>
      <dgm:spPr/>
      <dgm:t>
        <a:bodyPr/>
        <a:lstStyle/>
        <a:p>
          <a:endParaRPr lang="en-US" sz="1100"/>
        </a:p>
      </dgm:t>
    </dgm:pt>
    <dgm:pt modelId="{EE5AE3CB-C910-4A85-B96B-F8D4570AD547}">
      <dgm:prSet phldrT="[Text]" custT="1"/>
      <dgm:spPr/>
      <dgm:t>
        <a:bodyPr/>
        <a:lstStyle/>
        <a:p>
          <a:r>
            <a:rPr lang="en-US" sz="1100" dirty="0"/>
            <a:t>2021 and beyond</a:t>
          </a:r>
        </a:p>
      </dgm:t>
    </dgm:pt>
    <dgm:pt modelId="{724B008F-4870-4E8D-9F7F-C95689104FED}" type="parTrans" cxnId="{07B2B1B9-0D44-4E89-A7D9-49B390C8AF7D}">
      <dgm:prSet/>
      <dgm:spPr/>
      <dgm:t>
        <a:bodyPr/>
        <a:lstStyle/>
        <a:p>
          <a:endParaRPr lang="en-US" sz="1100"/>
        </a:p>
      </dgm:t>
    </dgm:pt>
    <dgm:pt modelId="{6FDCA661-B009-4B91-9C92-FFD82F238909}" type="sibTrans" cxnId="{07B2B1B9-0D44-4E89-A7D9-49B390C8AF7D}">
      <dgm:prSet/>
      <dgm:spPr/>
      <dgm:t>
        <a:bodyPr/>
        <a:lstStyle/>
        <a:p>
          <a:endParaRPr lang="en-US" sz="1100"/>
        </a:p>
      </dgm:t>
    </dgm:pt>
    <dgm:pt modelId="{EECC04DD-8209-4939-9713-7939224F6AB6}">
      <dgm:prSet phldrT="[Text]" custT="1"/>
      <dgm:spPr/>
      <dgm:t>
        <a:bodyPr/>
        <a:lstStyle/>
        <a:p>
          <a:r>
            <a:rPr lang="en-AU" sz="1100"/>
            <a:t>Working group advise that 2021 will be a learning year, and that the NPILF pilot will commence in 2022.</a:t>
          </a:r>
          <a:endParaRPr lang="en-US" sz="1100" dirty="0"/>
        </a:p>
      </dgm:t>
    </dgm:pt>
    <dgm:pt modelId="{AFDB03D6-BC5C-4863-8971-4D4372CA3B24}" type="parTrans" cxnId="{ED2F9B06-9077-454D-BAD4-F12DD0884177}">
      <dgm:prSet/>
      <dgm:spPr/>
      <dgm:t>
        <a:bodyPr/>
        <a:lstStyle/>
        <a:p>
          <a:endParaRPr lang="en-US" sz="1100"/>
        </a:p>
      </dgm:t>
    </dgm:pt>
    <dgm:pt modelId="{B1CD389B-40DA-4750-8A1E-5B82B42B741B}" type="sibTrans" cxnId="{ED2F9B06-9077-454D-BAD4-F12DD0884177}">
      <dgm:prSet/>
      <dgm:spPr/>
      <dgm:t>
        <a:bodyPr/>
        <a:lstStyle/>
        <a:p>
          <a:endParaRPr lang="en-US" sz="1100"/>
        </a:p>
      </dgm:t>
    </dgm:pt>
    <dgm:pt modelId="{B27A07C2-51C7-46A4-BFEB-A9ADBE7605BD}">
      <dgm:prSet phldrT="[Text]" custT="1"/>
      <dgm:spPr/>
      <dgm:t>
        <a:bodyPr/>
        <a:lstStyle/>
        <a:p>
          <a:r>
            <a:rPr lang="en-US" sz="1100" b="1" dirty="0"/>
            <a:t>Consultations</a:t>
          </a:r>
        </a:p>
      </dgm:t>
    </dgm:pt>
    <dgm:pt modelId="{4131E926-9A34-429E-92D7-B0A9CC4F7A8E}" type="parTrans" cxnId="{A0AD69E6-7946-4920-A2C1-E49F7920327C}">
      <dgm:prSet/>
      <dgm:spPr/>
      <dgm:t>
        <a:bodyPr/>
        <a:lstStyle/>
        <a:p>
          <a:endParaRPr lang="en-US" sz="1100"/>
        </a:p>
      </dgm:t>
    </dgm:pt>
    <dgm:pt modelId="{45175885-8BC8-46EB-9B12-102605F02E03}" type="sibTrans" cxnId="{A0AD69E6-7946-4920-A2C1-E49F7920327C}">
      <dgm:prSet/>
      <dgm:spPr/>
      <dgm:t>
        <a:bodyPr/>
        <a:lstStyle/>
        <a:p>
          <a:endParaRPr lang="en-US" sz="1100"/>
        </a:p>
      </dgm:t>
    </dgm:pt>
    <dgm:pt modelId="{F4430808-778D-4FF3-92DD-FE3A848226D9}">
      <dgm:prSet phldrT="[Text]" custT="1"/>
      <dgm:spPr/>
      <dgm:t>
        <a:bodyPr/>
        <a:lstStyle/>
        <a:p>
          <a:r>
            <a:rPr lang="en-US" sz="1100" dirty="0"/>
            <a:t>Online consultations with higher education and industry peaks, large graduate employers, </a:t>
          </a:r>
          <a:r>
            <a:rPr lang="en-US" sz="1100" b="0" dirty="0"/>
            <a:t>SMEs and state-based industry groups</a:t>
          </a:r>
          <a:endParaRPr lang="en-US" sz="1100" b="1" dirty="0"/>
        </a:p>
      </dgm:t>
    </dgm:pt>
    <dgm:pt modelId="{82553B6D-AA3C-407A-858C-158362754D92}" type="parTrans" cxnId="{0DE1ACC2-5C00-4881-8136-577F1F6A9124}">
      <dgm:prSet/>
      <dgm:spPr/>
      <dgm:t>
        <a:bodyPr/>
        <a:lstStyle/>
        <a:p>
          <a:endParaRPr lang="en-US" sz="1100"/>
        </a:p>
      </dgm:t>
    </dgm:pt>
    <dgm:pt modelId="{A7BF0D01-78E4-4AD3-AD74-29B437FBB66C}" type="sibTrans" cxnId="{0DE1ACC2-5C00-4881-8136-577F1F6A9124}">
      <dgm:prSet/>
      <dgm:spPr/>
      <dgm:t>
        <a:bodyPr/>
        <a:lstStyle/>
        <a:p>
          <a:endParaRPr lang="en-US" sz="1100"/>
        </a:p>
      </dgm:t>
    </dgm:pt>
    <dgm:pt modelId="{670BC21C-4D16-4463-8495-62CB38F58885}">
      <dgm:prSet phldrT="[Text]" custT="1"/>
      <dgm:spPr/>
      <dgm:t>
        <a:bodyPr/>
        <a:lstStyle/>
        <a:p>
          <a:r>
            <a:rPr lang="en-US" sz="1100" dirty="0"/>
            <a:t>Design of the model proposed</a:t>
          </a:r>
        </a:p>
      </dgm:t>
    </dgm:pt>
    <dgm:pt modelId="{A54DA90D-924C-4E61-8FBB-03C891F95B28}" type="parTrans" cxnId="{32B98F48-FF42-4FD2-9318-B9E29C493E6C}">
      <dgm:prSet/>
      <dgm:spPr/>
      <dgm:t>
        <a:bodyPr/>
        <a:lstStyle/>
        <a:p>
          <a:endParaRPr lang="en-US" sz="1100"/>
        </a:p>
      </dgm:t>
    </dgm:pt>
    <dgm:pt modelId="{27DE6A7F-7B1E-41D6-8DBA-79AFF507285F}" type="sibTrans" cxnId="{32B98F48-FF42-4FD2-9318-B9E29C493E6C}">
      <dgm:prSet/>
      <dgm:spPr/>
      <dgm:t>
        <a:bodyPr/>
        <a:lstStyle/>
        <a:p>
          <a:endParaRPr lang="en-US" sz="1100"/>
        </a:p>
      </dgm:t>
    </dgm:pt>
    <dgm:pt modelId="{91910B7A-C06C-4C6C-A448-E3184E35B280}">
      <dgm:prSet phldrT="[Text]" custT="1"/>
      <dgm:spPr/>
      <dgm:t>
        <a:bodyPr/>
        <a:lstStyle/>
        <a:p>
          <a:r>
            <a:rPr lang="en-US" sz="1100" dirty="0"/>
            <a:t>Workshops with</a:t>
          </a:r>
          <a:r>
            <a:rPr lang="en-US" sz="1100" b="0" dirty="0"/>
            <a:t> u</a:t>
          </a:r>
          <a:r>
            <a:rPr lang="en-AU" sz="1100" b="0" dirty="0"/>
            <a:t>niversity planners on implementation and data collection</a:t>
          </a:r>
          <a:endParaRPr lang="en-US" sz="1100" dirty="0"/>
        </a:p>
      </dgm:t>
    </dgm:pt>
    <dgm:pt modelId="{5B6CAF98-4573-4615-8877-DD7510908580}" type="parTrans" cxnId="{19E6DCC0-833F-4F8B-99D7-DDB1FCD86819}">
      <dgm:prSet/>
      <dgm:spPr/>
      <dgm:t>
        <a:bodyPr/>
        <a:lstStyle/>
        <a:p>
          <a:endParaRPr lang="en-US" sz="1100"/>
        </a:p>
      </dgm:t>
    </dgm:pt>
    <dgm:pt modelId="{2A06C6E8-45BD-437B-802B-50E5FE870C56}" type="sibTrans" cxnId="{19E6DCC0-833F-4F8B-99D7-DDB1FCD86819}">
      <dgm:prSet/>
      <dgm:spPr/>
      <dgm:t>
        <a:bodyPr/>
        <a:lstStyle/>
        <a:p>
          <a:endParaRPr lang="en-US" sz="1100"/>
        </a:p>
      </dgm:t>
    </dgm:pt>
    <dgm:pt modelId="{CD26CC88-694A-4C3B-B21C-4F6ACD8DBA06}">
      <dgm:prSet phldrT="[Text]" custT="1"/>
      <dgm:spPr/>
      <dgm:t>
        <a:bodyPr/>
        <a:lstStyle/>
        <a:p>
          <a:r>
            <a:rPr lang="en-US" sz="1100" b="0" dirty="0"/>
            <a:t>Written consultation process,</a:t>
          </a:r>
          <a:r>
            <a:rPr lang="en-US" sz="1100" dirty="0"/>
            <a:t> 68 submissions received</a:t>
          </a:r>
          <a:endParaRPr lang="en-US" sz="1100" b="1" dirty="0"/>
        </a:p>
      </dgm:t>
    </dgm:pt>
    <dgm:pt modelId="{7CA90802-CA53-4F90-B1A5-15D68A27A87D}" type="parTrans" cxnId="{7C035744-3676-4EF4-8FCA-CF9C07C41187}">
      <dgm:prSet/>
      <dgm:spPr/>
      <dgm:t>
        <a:bodyPr/>
        <a:lstStyle/>
        <a:p>
          <a:endParaRPr lang="en-US" sz="1100"/>
        </a:p>
      </dgm:t>
    </dgm:pt>
    <dgm:pt modelId="{4F2203BB-7928-42AC-9370-22E4A4DD8998}" type="sibTrans" cxnId="{7C035744-3676-4EF4-8FCA-CF9C07C41187}">
      <dgm:prSet/>
      <dgm:spPr/>
      <dgm:t>
        <a:bodyPr/>
        <a:lstStyle/>
        <a:p>
          <a:endParaRPr lang="en-US" sz="1100"/>
        </a:p>
      </dgm:t>
    </dgm:pt>
    <dgm:pt modelId="{938AA119-0BB5-4A6E-BF53-A4120B0707E7}" type="pres">
      <dgm:prSet presAssocID="{FC0ABE4A-AEA0-4320-B5CE-6A41FF74A66E}" presName="linearFlow" presStyleCnt="0">
        <dgm:presLayoutVars>
          <dgm:dir/>
          <dgm:animLvl val="lvl"/>
          <dgm:resizeHandles val="exact"/>
        </dgm:presLayoutVars>
      </dgm:prSet>
      <dgm:spPr/>
    </dgm:pt>
    <dgm:pt modelId="{F409A48E-45CB-4B02-BC24-A9BE1715798F}" type="pres">
      <dgm:prSet presAssocID="{EAF7A41E-AAA9-4627-9CC0-2E1BC3D27BD3}" presName="composite" presStyleCnt="0"/>
      <dgm:spPr/>
    </dgm:pt>
    <dgm:pt modelId="{CDF19FF3-42B9-4FD0-99D6-3E90FDD5509F}" type="pres">
      <dgm:prSet presAssocID="{EAF7A41E-AAA9-4627-9CC0-2E1BC3D27BD3}" presName="parentText" presStyleLbl="alignNode1" presStyleIdx="0" presStyleCnt="5">
        <dgm:presLayoutVars>
          <dgm:chMax val="1"/>
          <dgm:bulletEnabled val="1"/>
        </dgm:presLayoutVars>
      </dgm:prSet>
      <dgm:spPr/>
    </dgm:pt>
    <dgm:pt modelId="{54340B82-AE6F-4901-87EF-3B3310A9161A}" type="pres">
      <dgm:prSet presAssocID="{EAF7A41E-AAA9-4627-9CC0-2E1BC3D27BD3}" presName="descendantText" presStyleLbl="alignAcc1" presStyleIdx="0" presStyleCnt="5">
        <dgm:presLayoutVars>
          <dgm:bulletEnabled val="1"/>
        </dgm:presLayoutVars>
      </dgm:prSet>
      <dgm:spPr/>
    </dgm:pt>
    <dgm:pt modelId="{79266DB8-4DC4-49AE-9EF4-840D6C5C3D01}" type="pres">
      <dgm:prSet presAssocID="{C644D03B-E126-4E75-8376-802D8576CFC2}" presName="sp" presStyleCnt="0"/>
      <dgm:spPr/>
    </dgm:pt>
    <dgm:pt modelId="{26887EE5-F61A-4BE5-BAB4-4ABDCCE14F52}" type="pres">
      <dgm:prSet presAssocID="{8FE775F9-44F3-4286-B1D0-723BC2E1B4E0}" presName="composite" presStyleCnt="0"/>
      <dgm:spPr/>
    </dgm:pt>
    <dgm:pt modelId="{EF13EACB-35FB-4328-9175-5382C317712A}" type="pres">
      <dgm:prSet presAssocID="{8FE775F9-44F3-4286-B1D0-723BC2E1B4E0}" presName="parentText" presStyleLbl="alignNode1" presStyleIdx="1" presStyleCnt="5">
        <dgm:presLayoutVars>
          <dgm:chMax val="1"/>
          <dgm:bulletEnabled val="1"/>
        </dgm:presLayoutVars>
      </dgm:prSet>
      <dgm:spPr/>
    </dgm:pt>
    <dgm:pt modelId="{C6670FDF-52C3-4114-BD26-6600614291AD}" type="pres">
      <dgm:prSet presAssocID="{8FE775F9-44F3-4286-B1D0-723BC2E1B4E0}" presName="descendantText" presStyleLbl="alignAcc1" presStyleIdx="1" presStyleCnt="5">
        <dgm:presLayoutVars>
          <dgm:bulletEnabled val="1"/>
        </dgm:presLayoutVars>
      </dgm:prSet>
      <dgm:spPr/>
    </dgm:pt>
    <dgm:pt modelId="{5A358017-B672-4F2B-B9CE-5F1BAD97020B}" type="pres">
      <dgm:prSet presAssocID="{81DFDC2E-79A7-4B96-BDEC-FC6AA9AFC2A0}" presName="sp" presStyleCnt="0"/>
      <dgm:spPr/>
    </dgm:pt>
    <dgm:pt modelId="{67AA75AF-3B3C-4B27-996E-9F65FF0B2EEF}" type="pres">
      <dgm:prSet presAssocID="{BFC9724A-3F30-403E-A589-F60FC133D380}" presName="composite" presStyleCnt="0"/>
      <dgm:spPr/>
    </dgm:pt>
    <dgm:pt modelId="{6503DD31-DA45-414B-8305-7A08631377E8}" type="pres">
      <dgm:prSet presAssocID="{BFC9724A-3F30-403E-A589-F60FC133D380}" presName="parentText" presStyleLbl="alignNode1" presStyleIdx="2" presStyleCnt="5">
        <dgm:presLayoutVars>
          <dgm:chMax val="1"/>
          <dgm:bulletEnabled val="1"/>
        </dgm:presLayoutVars>
      </dgm:prSet>
      <dgm:spPr/>
    </dgm:pt>
    <dgm:pt modelId="{C13F5E0D-FBBA-4966-9E60-45FCF350ACC4}" type="pres">
      <dgm:prSet presAssocID="{BFC9724A-3F30-403E-A589-F60FC133D380}" presName="descendantText" presStyleLbl="alignAcc1" presStyleIdx="2" presStyleCnt="5" custLinFactNeighborX="6459" custLinFactNeighborY="2158">
        <dgm:presLayoutVars>
          <dgm:bulletEnabled val="1"/>
        </dgm:presLayoutVars>
      </dgm:prSet>
      <dgm:spPr/>
    </dgm:pt>
    <dgm:pt modelId="{3D72C295-BA80-49BB-A7EF-3A64C6954E4F}" type="pres">
      <dgm:prSet presAssocID="{0D490CE9-F2E2-4888-B2F4-D7A7ED67BCA7}" presName="sp" presStyleCnt="0"/>
      <dgm:spPr/>
    </dgm:pt>
    <dgm:pt modelId="{4B636B16-922C-4D3A-AB1A-7FB2A7B7804D}" type="pres">
      <dgm:prSet presAssocID="{4233A411-0C7E-475B-9A70-865126649E1E}" presName="composite" presStyleCnt="0"/>
      <dgm:spPr/>
    </dgm:pt>
    <dgm:pt modelId="{171076FC-978C-48E5-B1E3-51A1BD4E1BA3}" type="pres">
      <dgm:prSet presAssocID="{4233A411-0C7E-475B-9A70-865126649E1E}" presName="parentText" presStyleLbl="alignNode1" presStyleIdx="3" presStyleCnt="5">
        <dgm:presLayoutVars>
          <dgm:chMax val="1"/>
          <dgm:bulletEnabled val="1"/>
        </dgm:presLayoutVars>
      </dgm:prSet>
      <dgm:spPr/>
    </dgm:pt>
    <dgm:pt modelId="{F54E3DF2-BF2F-40D6-89E3-7CBC519527C6}" type="pres">
      <dgm:prSet presAssocID="{4233A411-0C7E-475B-9A70-865126649E1E}" presName="descendantText" presStyleLbl="alignAcc1" presStyleIdx="3" presStyleCnt="5">
        <dgm:presLayoutVars>
          <dgm:bulletEnabled val="1"/>
        </dgm:presLayoutVars>
      </dgm:prSet>
      <dgm:spPr/>
    </dgm:pt>
    <dgm:pt modelId="{6C18594E-B8F7-48D0-B5CD-0D3789DAE833}" type="pres">
      <dgm:prSet presAssocID="{0E8CEB5E-9A41-4252-AF1B-F30289CE0779}" presName="sp" presStyleCnt="0"/>
      <dgm:spPr/>
    </dgm:pt>
    <dgm:pt modelId="{8BF9D305-7147-477B-9DA2-4FE4A6E3AE87}" type="pres">
      <dgm:prSet presAssocID="{EE5AE3CB-C910-4A85-B96B-F8D4570AD547}" presName="composite" presStyleCnt="0"/>
      <dgm:spPr/>
    </dgm:pt>
    <dgm:pt modelId="{BCF07F95-2F61-438E-9DC1-1E173B18A99A}" type="pres">
      <dgm:prSet presAssocID="{EE5AE3CB-C910-4A85-B96B-F8D4570AD547}" presName="parentText" presStyleLbl="alignNode1" presStyleIdx="4" presStyleCnt="5">
        <dgm:presLayoutVars>
          <dgm:chMax val="1"/>
          <dgm:bulletEnabled val="1"/>
        </dgm:presLayoutVars>
      </dgm:prSet>
      <dgm:spPr/>
    </dgm:pt>
    <dgm:pt modelId="{66F92E35-7780-4050-8646-EED6B902B9DF}" type="pres">
      <dgm:prSet presAssocID="{EE5AE3CB-C910-4A85-B96B-F8D4570AD547}" presName="descendantText" presStyleLbl="alignAcc1" presStyleIdx="4" presStyleCnt="5">
        <dgm:presLayoutVars>
          <dgm:bulletEnabled val="1"/>
        </dgm:presLayoutVars>
      </dgm:prSet>
      <dgm:spPr/>
    </dgm:pt>
  </dgm:ptLst>
  <dgm:cxnLst>
    <dgm:cxn modelId="{4F677205-1E54-4152-98F2-C498EC3045FF}" type="presOf" srcId="{670BC21C-4D16-4463-8495-62CB38F58885}" destId="{54340B82-AE6F-4901-87EF-3B3310A9161A}" srcOrd="0" destOrd="1" presId="urn:microsoft.com/office/officeart/2005/8/layout/chevron2"/>
    <dgm:cxn modelId="{ED2F9B06-9077-454D-BAD4-F12DD0884177}" srcId="{EE5AE3CB-C910-4A85-B96B-F8D4570AD547}" destId="{EECC04DD-8209-4939-9713-7939224F6AB6}" srcOrd="0" destOrd="0" parTransId="{AFDB03D6-BC5C-4863-8971-4D4372CA3B24}" sibTransId="{B1CD389B-40DA-4750-8A1E-5B82B42B741B}"/>
    <dgm:cxn modelId="{7B607B1C-DF20-4787-B67D-9A8BB9067003}" srcId="{BFC9724A-3F30-403E-A589-F60FC133D380}" destId="{CF730360-490F-4826-8DCF-5A36B100BA76}" srcOrd="0" destOrd="0" parTransId="{94EB4AFB-A421-4942-B4FC-E350267C2764}" sibTransId="{D5990440-A03E-4E7E-9CCA-049B02B4F043}"/>
    <dgm:cxn modelId="{01F69A2B-7CE1-4896-8244-9A43A28997BA}" type="presOf" srcId="{D5324A21-3A09-4E52-BD98-B3E9EEE2BCF6}" destId="{F54E3DF2-BF2F-40D6-89E3-7CBC519527C6}" srcOrd="0" destOrd="0" presId="urn:microsoft.com/office/officeart/2005/8/layout/chevron2"/>
    <dgm:cxn modelId="{51B96E2D-DFC3-4141-83E3-741FA1E6E6EB}" srcId="{4233A411-0C7E-475B-9A70-865126649E1E}" destId="{D5324A21-3A09-4E52-BD98-B3E9EEE2BCF6}" srcOrd="0" destOrd="0" parTransId="{27D353E2-039B-4D2A-B2BB-57B5AAC8A022}" sibTransId="{089E04F6-721E-43DC-A5CB-E27A1FA97EEE}"/>
    <dgm:cxn modelId="{8EF6262F-34A9-4E17-9128-964E97A60AD1}" srcId="{FC0ABE4A-AEA0-4320-B5CE-6A41FF74A66E}" destId="{4233A411-0C7E-475B-9A70-865126649E1E}" srcOrd="3" destOrd="0" parTransId="{9EF00196-B19E-4604-9514-CA6539EE881A}" sibTransId="{0E8CEB5E-9A41-4252-AF1B-F30289CE0779}"/>
    <dgm:cxn modelId="{CAD6E034-F649-4FD8-8DDC-B6471F99F482}" type="presOf" srcId="{8FE775F9-44F3-4286-B1D0-723BC2E1B4E0}" destId="{EF13EACB-35FB-4328-9175-5382C317712A}" srcOrd="0" destOrd="0" presId="urn:microsoft.com/office/officeart/2005/8/layout/chevron2"/>
    <dgm:cxn modelId="{F646ED5F-9F4C-450C-A2EA-4D56EBF51305}" type="presOf" srcId="{BFC9724A-3F30-403E-A589-F60FC133D380}" destId="{6503DD31-DA45-414B-8305-7A08631377E8}" srcOrd="0" destOrd="0" presId="urn:microsoft.com/office/officeart/2005/8/layout/chevron2"/>
    <dgm:cxn modelId="{BBE2D060-7C8D-4B3C-AC07-A4AB3D4F1B91}" srcId="{FC0ABE4A-AEA0-4320-B5CE-6A41FF74A66E}" destId="{EAF7A41E-AAA9-4627-9CC0-2E1BC3D27BD3}" srcOrd="0" destOrd="0" parTransId="{7D2819E0-E988-4DA5-BDA9-D8EB69E1CE34}" sibTransId="{C644D03B-E126-4E75-8376-802D8576CFC2}"/>
    <dgm:cxn modelId="{A6100541-1086-47CC-80D1-C55B960D8315}" type="presOf" srcId="{EECC04DD-8209-4939-9713-7939224F6AB6}" destId="{66F92E35-7780-4050-8646-EED6B902B9DF}" srcOrd="0" destOrd="0" presId="urn:microsoft.com/office/officeart/2005/8/layout/chevron2"/>
    <dgm:cxn modelId="{7C035744-3676-4EF4-8FCA-CF9C07C41187}" srcId="{B27A07C2-51C7-46A4-BFEB-A9ADBE7605BD}" destId="{CD26CC88-694A-4C3B-B21C-4F6ACD8DBA06}" srcOrd="0" destOrd="0" parTransId="{7CA90802-CA53-4F90-B1A5-15D68A27A87D}" sibTransId="{4F2203BB-7928-42AC-9370-22E4A4DD8998}"/>
    <dgm:cxn modelId="{CDE6EB66-A9EC-447F-858F-A2E02FA7BD9E}" type="presOf" srcId="{CF730360-490F-4826-8DCF-5A36B100BA76}" destId="{C13F5E0D-FBBA-4966-9E60-45FCF350ACC4}" srcOrd="0" destOrd="0" presId="urn:microsoft.com/office/officeart/2005/8/layout/chevron2"/>
    <dgm:cxn modelId="{32B98F48-FF42-4FD2-9318-B9E29C493E6C}" srcId="{EAF7A41E-AAA9-4627-9CC0-2E1BC3D27BD3}" destId="{670BC21C-4D16-4463-8495-62CB38F58885}" srcOrd="1" destOrd="0" parTransId="{A54DA90D-924C-4E61-8FBB-03C891F95B28}" sibTransId="{27DE6A7F-7B1E-41D6-8DBA-79AFF507285F}"/>
    <dgm:cxn modelId="{5D3EBC69-2F3F-4726-88E4-F8211331540A}" type="presOf" srcId="{FC0ABE4A-AEA0-4320-B5CE-6A41FF74A66E}" destId="{938AA119-0BB5-4A6E-BF53-A4120B0707E7}" srcOrd="0" destOrd="0" presId="urn:microsoft.com/office/officeart/2005/8/layout/chevron2"/>
    <dgm:cxn modelId="{8EB17C4F-A590-4513-88D4-53698FEDDC80}" type="presOf" srcId="{EAF7A41E-AAA9-4627-9CC0-2E1BC3D27BD3}" destId="{CDF19FF3-42B9-4FD0-99D6-3E90FDD5509F}" srcOrd="0" destOrd="0" presId="urn:microsoft.com/office/officeart/2005/8/layout/chevron2"/>
    <dgm:cxn modelId="{2EF53288-216D-4603-8949-5502748049ED}" type="presOf" srcId="{CD26CC88-694A-4C3B-B21C-4F6ACD8DBA06}" destId="{C6670FDF-52C3-4114-BD26-6600614291AD}" srcOrd="0" destOrd="1" presId="urn:microsoft.com/office/officeart/2005/8/layout/chevron2"/>
    <dgm:cxn modelId="{10A7828C-992F-4503-AD00-0E64CA73A9FE}" srcId="{FC0ABE4A-AEA0-4320-B5CE-6A41FF74A66E}" destId="{BFC9724A-3F30-403E-A589-F60FC133D380}" srcOrd="2" destOrd="0" parTransId="{8A46C421-4164-49DF-9231-F29BF86AC3D1}" sibTransId="{0D490CE9-F2E2-4888-B2F4-D7A7ED67BCA7}"/>
    <dgm:cxn modelId="{D783029C-5FCD-4840-BE57-815B6E3A41BF}" srcId="{EAF7A41E-AAA9-4627-9CC0-2E1BC3D27BD3}" destId="{CFA467CD-12E0-4DF1-A3DB-8EA49DF5FF0E}" srcOrd="0" destOrd="0" parTransId="{A961BB6B-B923-4893-A884-951D59C066E4}" sibTransId="{BC443B8A-6F79-402F-832A-F1D166D4F116}"/>
    <dgm:cxn modelId="{297929A1-ECE1-4E9F-BD7E-AB9F791217AA}" type="presOf" srcId="{EE5AE3CB-C910-4A85-B96B-F8D4570AD547}" destId="{BCF07F95-2F61-438E-9DC1-1E173B18A99A}" srcOrd="0" destOrd="0" presId="urn:microsoft.com/office/officeart/2005/8/layout/chevron2"/>
    <dgm:cxn modelId="{771D20A5-2943-4AFD-B39E-8F59735D222A}" type="presOf" srcId="{4233A411-0C7E-475B-9A70-865126649E1E}" destId="{171076FC-978C-48E5-B1E3-51A1BD4E1BA3}" srcOrd="0" destOrd="0" presId="urn:microsoft.com/office/officeart/2005/8/layout/chevron2"/>
    <dgm:cxn modelId="{07B2B1B9-0D44-4E89-A7D9-49B390C8AF7D}" srcId="{FC0ABE4A-AEA0-4320-B5CE-6A41FF74A66E}" destId="{EE5AE3CB-C910-4A85-B96B-F8D4570AD547}" srcOrd="4" destOrd="0" parTransId="{724B008F-4870-4E8D-9F7F-C95689104FED}" sibTransId="{6FDCA661-B009-4B91-9C92-FFD82F238909}"/>
    <dgm:cxn modelId="{19E6DCC0-833F-4F8B-99D7-DDB1FCD86819}" srcId="{BFC9724A-3F30-403E-A589-F60FC133D380}" destId="{91910B7A-C06C-4C6C-A448-E3184E35B280}" srcOrd="1" destOrd="0" parTransId="{5B6CAF98-4573-4615-8877-DD7510908580}" sibTransId="{2A06C6E8-45BD-437B-802B-50E5FE870C56}"/>
    <dgm:cxn modelId="{0DE1ACC2-5C00-4881-8136-577F1F6A9124}" srcId="{B27A07C2-51C7-46A4-BFEB-A9ADBE7605BD}" destId="{F4430808-778D-4FF3-92DD-FE3A848226D9}" srcOrd="1" destOrd="0" parTransId="{82553B6D-AA3C-407A-858C-158362754D92}" sibTransId="{A7BF0D01-78E4-4AD3-AD74-29B437FBB66C}"/>
    <dgm:cxn modelId="{123BC8CA-22E0-4CEA-84AA-F2632CE27BCB}" type="presOf" srcId="{91910B7A-C06C-4C6C-A448-E3184E35B280}" destId="{C13F5E0D-FBBA-4966-9E60-45FCF350ACC4}" srcOrd="0" destOrd="1" presId="urn:microsoft.com/office/officeart/2005/8/layout/chevron2"/>
    <dgm:cxn modelId="{42D468D6-2556-40C5-A901-0DC7FC5AD24B}" type="presOf" srcId="{CFA467CD-12E0-4DF1-A3DB-8EA49DF5FF0E}" destId="{54340B82-AE6F-4901-87EF-3B3310A9161A}" srcOrd="0" destOrd="0" presId="urn:microsoft.com/office/officeart/2005/8/layout/chevron2"/>
    <dgm:cxn modelId="{A0AD69E6-7946-4920-A2C1-E49F7920327C}" srcId="{8FE775F9-44F3-4286-B1D0-723BC2E1B4E0}" destId="{B27A07C2-51C7-46A4-BFEB-A9ADBE7605BD}" srcOrd="0" destOrd="0" parTransId="{4131E926-9A34-429E-92D7-B0A9CC4F7A8E}" sibTransId="{45175885-8BC8-46EB-9B12-102605F02E03}"/>
    <dgm:cxn modelId="{E6F814E7-7437-47C1-A727-9D75D3B23A6C}" type="presOf" srcId="{F4430808-778D-4FF3-92DD-FE3A848226D9}" destId="{C6670FDF-52C3-4114-BD26-6600614291AD}" srcOrd="0" destOrd="2" presId="urn:microsoft.com/office/officeart/2005/8/layout/chevron2"/>
    <dgm:cxn modelId="{E37356EB-6A07-4EC1-8003-BC0EC5ED45A8}" type="presOf" srcId="{B27A07C2-51C7-46A4-BFEB-A9ADBE7605BD}" destId="{C6670FDF-52C3-4114-BD26-6600614291AD}" srcOrd="0" destOrd="0" presId="urn:microsoft.com/office/officeart/2005/8/layout/chevron2"/>
    <dgm:cxn modelId="{E6A594F5-8221-4610-B71B-6845B0D7A3C8}" srcId="{FC0ABE4A-AEA0-4320-B5CE-6A41FF74A66E}" destId="{8FE775F9-44F3-4286-B1D0-723BC2E1B4E0}" srcOrd="1" destOrd="0" parTransId="{0E2C838D-F8C9-4FA9-AD4E-737DB9B14D71}" sibTransId="{81DFDC2E-79A7-4B96-BDEC-FC6AA9AFC2A0}"/>
    <dgm:cxn modelId="{1C1E878B-B5C5-4992-AA67-F43C7497C954}" type="presParOf" srcId="{938AA119-0BB5-4A6E-BF53-A4120B0707E7}" destId="{F409A48E-45CB-4B02-BC24-A9BE1715798F}" srcOrd="0" destOrd="0" presId="urn:microsoft.com/office/officeart/2005/8/layout/chevron2"/>
    <dgm:cxn modelId="{EFBD0AA2-DC7C-4A70-B22E-C12CB4954278}" type="presParOf" srcId="{F409A48E-45CB-4B02-BC24-A9BE1715798F}" destId="{CDF19FF3-42B9-4FD0-99D6-3E90FDD5509F}" srcOrd="0" destOrd="0" presId="urn:microsoft.com/office/officeart/2005/8/layout/chevron2"/>
    <dgm:cxn modelId="{B4804083-3FEE-4B68-9982-A620B1AC9F20}" type="presParOf" srcId="{F409A48E-45CB-4B02-BC24-A9BE1715798F}" destId="{54340B82-AE6F-4901-87EF-3B3310A9161A}" srcOrd="1" destOrd="0" presId="urn:microsoft.com/office/officeart/2005/8/layout/chevron2"/>
    <dgm:cxn modelId="{01F2E4E8-2946-4915-8B9F-36ACD2C062AF}" type="presParOf" srcId="{938AA119-0BB5-4A6E-BF53-A4120B0707E7}" destId="{79266DB8-4DC4-49AE-9EF4-840D6C5C3D01}" srcOrd="1" destOrd="0" presId="urn:microsoft.com/office/officeart/2005/8/layout/chevron2"/>
    <dgm:cxn modelId="{3CB069DC-CFC6-435E-BF5C-DC9E2732F8CF}" type="presParOf" srcId="{938AA119-0BB5-4A6E-BF53-A4120B0707E7}" destId="{26887EE5-F61A-4BE5-BAB4-4ABDCCE14F52}" srcOrd="2" destOrd="0" presId="urn:microsoft.com/office/officeart/2005/8/layout/chevron2"/>
    <dgm:cxn modelId="{0F6F5B29-27E0-48A2-A0C7-3EE16981B99E}" type="presParOf" srcId="{26887EE5-F61A-4BE5-BAB4-4ABDCCE14F52}" destId="{EF13EACB-35FB-4328-9175-5382C317712A}" srcOrd="0" destOrd="0" presId="urn:microsoft.com/office/officeart/2005/8/layout/chevron2"/>
    <dgm:cxn modelId="{2EE2C9A9-2655-40DC-ACB5-2BCFC5E7EE70}" type="presParOf" srcId="{26887EE5-F61A-4BE5-BAB4-4ABDCCE14F52}" destId="{C6670FDF-52C3-4114-BD26-6600614291AD}" srcOrd="1" destOrd="0" presId="urn:microsoft.com/office/officeart/2005/8/layout/chevron2"/>
    <dgm:cxn modelId="{0E4BCD3C-389D-46F9-B959-B5248245154C}" type="presParOf" srcId="{938AA119-0BB5-4A6E-BF53-A4120B0707E7}" destId="{5A358017-B672-4F2B-B9CE-5F1BAD97020B}" srcOrd="3" destOrd="0" presId="urn:microsoft.com/office/officeart/2005/8/layout/chevron2"/>
    <dgm:cxn modelId="{AE06E0A4-38C1-484B-834D-BD691B245443}" type="presParOf" srcId="{938AA119-0BB5-4A6E-BF53-A4120B0707E7}" destId="{67AA75AF-3B3C-4B27-996E-9F65FF0B2EEF}" srcOrd="4" destOrd="0" presId="urn:microsoft.com/office/officeart/2005/8/layout/chevron2"/>
    <dgm:cxn modelId="{7A3F5208-42C4-4461-81C8-0591CBC70179}" type="presParOf" srcId="{67AA75AF-3B3C-4B27-996E-9F65FF0B2EEF}" destId="{6503DD31-DA45-414B-8305-7A08631377E8}" srcOrd="0" destOrd="0" presId="urn:microsoft.com/office/officeart/2005/8/layout/chevron2"/>
    <dgm:cxn modelId="{D041886F-FD99-41C6-9591-CFDF69E8F0E2}" type="presParOf" srcId="{67AA75AF-3B3C-4B27-996E-9F65FF0B2EEF}" destId="{C13F5E0D-FBBA-4966-9E60-45FCF350ACC4}" srcOrd="1" destOrd="0" presId="urn:microsoft.com/office/officeart/2005/8/layout/chevron2"/>
    <dgm:cxn modelId="{65C2ABFD-021D-4EFA-B4FD-535849742C15}" type="presParOf" srcId="{938AA119-0BB5-4A6E-BF53-A4120B0707E7}" destId="{3D72C295-BA80-49BB-A7EF-3A64C6954E4F}" srcOrd="5" destOrd="0" presId="urn:microsoft.com/office/officeart/2005/8/layout/chevron2"/>
    <dgm:cxn modelId="{B67D0961-C1F1-41F2-A052-8153189CEB43}" type="presParOf" srcId="{938AA119-0BB5-4A6E-BF53-A4120B0707E7}" destId="{4B636B16-922C-4D3A-AB1A-7FB2A7B7804D}" srcOrd="6" destOrd="0" presId="urn:microsoft.com/office/officeart/2005/8/layout/chevron2"/>
    <dgm:cxn modelId="{03C27E8A-1B66-403A-BD61-ED16122D88D5}" type="presParOf" srcId="{4B636B16-922C-4D3A-AB1A-7FB2A7B7804D}" destId="{171076FC-978C-48E5-B1E3-51A1BD4E1BA3}" srcOrd="0" destOrd="0" presId="urn:microsoft.com/office/officeart/2005/8/layout/chevron2"/>
    <dgm:cxn modelId="{CAE45840-63DE-4A68-983C-78619AC0826B}" type="presParOf" srcId="{4B636B16-922C-4D3A-AB1A-7FB2A7B7804D}" destId="{F54E3DF2-BF2F-40D6-89E3-7CBC519527C6}" srcOrd="1" destOrd="0" presId="urn:microsoft.com/office/officeart/2005/8/layout/chevron2"/>
    <dgm:cxn modelId="{83320950-7C0A-4DF2-A591-938F20D342A6}" type="presParOf" srcId="{938AA119-0BB5-4A6E-BF53-A4120B0707E7}" destId="{6C18594E-B8F7-48D0-B5CD-0D3789DAE833}" srcOrd="7" destOrd="0" presId="urn:microsoft.com/office/officeart/2005/8/layout/chevron2"/>
    <dgm:cxn modelId="{9FA9456F-6843-4A3B-BD13-F50784D415D5}" type="presParOf" srcId="{938AA119-0BB5-4A6E-BF53-A4120B0707E7}" destId="{8BF9D305-7147-477B-9DA2-4FE4A6E3AE87}" srcOrd="8" destOrd="0" presId="urn:microsoft.com/office/officeart/2005/8/layout/chevron2"/>
    <dgm:cxn modelId="{53219FE7-CD68-4396-AB8B-E5DB998CEB0F}" type="presParOf" srcId="{8BF9D305-7147-477B-9DA2-4FE4A6E3AE87}" destId="{BCF07F95-2F61-438E-9DC1-1E173B18A99A}" srcOrd="0" destOrd="0" presId="urn:microsoft.com/office/officeart/2005/8/layout/chevron2"/>
    <dgm:cxn modelId="{FF040A5B-6269-49DE-93A1-8DB26578356E}" type="presParOf" srcId="{8BF9D305-7147-477B-9DA2-4FE4A6E3AE87}" destId="{66F92E35-7780-4050-8646-EED6B902B9DF}" srcOrd="1" destOrd="0" presId="urn:microsoft.com/office/officeart/2005/8/layout/chevron2"/>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B31B998-E6AE-496F-AEB7-7619541C4B90}" type="doc">
      <dgm:prSet loTypeId="urn:microsoft.com/office/officeart/2005/8/layout/hList1" loCatId="list" qsTypeId="urn:microsoft.com/office/officeart/2005/8/quickstyle/simple1" qsCatId="simple" csTypeId="urn:microsoft.com/office/officeart/2005/8/colors/accent1_2" csCatId="accent1" phldr="1"/>
      <dgm:spPr/>
      <dgm:t>
        <a:bodyPr/>
        <a:lstStyle/>
        <a:p>
          <a:endParaRPr lang="en-US"/>
        </a:p>
      </dgm:t>
    </dgm:pt>
    <dgm:pt modelId="{68627FE7-220C-4C58-9171-B232F4DF881D}">
      <dgm:prSet phldrT="[Text]"/>
      <dgm:spPr>
        <a:solidFill>
          <a:schemeClr val="accent4"/>
        </a:solidFill>
        <a:ln>
          <a:solidFill>
            <a:schemeClr val="accent4"/>
          </a:solidFill>
        </a:ln>
      </dgm:spPr>
      <dgm:t>
        <a:bodyPr/>
        <a:lstStyle/>
        <a:p>
          <a:r>
            <a:rPr lang="en-US" b="1"/>
            <a:t>Impact</a:t>
          </a:r>
        </a:p>
      </dgm:t>
    </dgm:pt>
    <dgm:pt modelId="{48C2CF9A-8C8B-4CA8-B9A7-DC5976A8AE27}" type="parTrans" cxnId="{E056FADD-B527-4EE8-92D3-7FA023932775}">
      <dgm:prSet/>
      <dgm:spPr/>
      <dgm:t>
        <a:bodyPr/>
        <a:lstStyle/>
        <a:p>
          <a:endParaRPr lang="en-US"/>
        </a:p>
      </dgm:t>
    </dgm:pt>
    <dgm:pt modelId="{FDC17652-196F-49C8-BD7F-5A351CC6FD7E}" type="sibTrans" cxnId="{E056FADD-B527-4EE8-92D3-7FA023932775}">
      <dgm:prSet/>
      <dgm:spPr/>
      <dgm:t>
        <a:bodyPr/>
        <a:lstStyle/>
        <a:p>
          <a:endParaRPr lang="en-US"/>
        </a:p>
      </dgm:t>
    </dgm:pt>
    <dgm:pt modelId="{48C3E88B-4A93-47FD-884A-5FEFD11C45E4}">
      <dgm:prSet phldrT="[Text]"/>
      <dgm:spPr/>
      <dgm:t>
        <a:bodyPr/>
        <a:lstStyle/>
        <a:p>
          <a:r>
            <a:rPr lang="en-AU" i="1"/>
            <a:t>Improve </a:t>
          </a:r>
          <a:r>
            <a:rPr lang="x-none" i="1"/>
            <a:t>student</a:t>
          </a:r>
          <a:r>
            <a:rPr lang="en-AU" i="1"/>
            <a:t> outcome</a:t>
          </a:r>
          <a:r>
            <a:rPr lang="x-none" i="1"/>
            <a:t>s</a:t>
          </a:r>
          <a:endParaRPr lang="en-US"/>
        </a:p>
      </dgm:t>
    </dgm:pt>
    <dgm:pt modelId="{95F37148-40C9-4175-9F7A-FCA0695B2BCC}" type="parTrans" cxnId="{97142A9B-8CB7-47BB-885D-992A0D423D49}">
      <dgm:prSet/>
      <dgm:spPr/>
      <dgm:t>
        <a:bodyPr/>
        <a:lstStyle/>
        <a:p>
          <a:endParaRPr lang="en-US"/>
        </a:p>
      </dgm:t>
    </dgm:pt>
    <dgm:pt modelId="{3AC07B0D-8060-4357-BCF2-584ED62ACF3A}" type="sibTrans" cxnId="{97142A9B-8CB7-47BB-885D-992A0D423D49}">
      <dgm:prSet/>
      <dgm:spPr/>
      <dgm:t>
        <a:bodyPr/>
        <a:lstStyle/>
        <a:p>
          <a:endParaRPr lang="en-US"/>
        </a:p>
      </dgm:t>
    </dgm:pt>
    <dgm:pt modelId="{C6E1B7C9-625D-4E26-A9AA-8EB9EC5597CA}">
      <dgm:prSet phldrT="[Text]"/>
      <dgm:spPr>
        <a:solidFill>
          <a:schemeClr val="accent3"/>
        </a:solidFill>
        <a:ln>
          <a:solidFill>
            <a:schemeClr val="accent3"/>
          </a:solidFill>
        </a:ln>
      </dgm:spPr>
      <dgm:t>
        <a:bodyPr/>
        <a:lstStyle/>
        <a:p>
          <a:r>
            <a:rPr lang="en-US" b="1"/>
            <a:t>Transparent and Collaborative</a:t>
          </a:r>
        </a:p>
      </dgm:t>
    </dgm:pt>
    <dgm:pt modelId="{BE7E0B4E-A9B8-4047-8921-8A667A93CAA3}" type="parTrans" cxnId="{E4EC14A7-CAA5-4A19-A734-8E5CE9B3CA65}">
      <dgm:prSet/>
      <dgm:spPr/>
      <dgm:t>
        <a:bodyPr/>
        <a:lstStyle/>
        <a:p>
          <a:endParaRPr lang="en-US"/>
        </a:p>
      </dgm:t>
    </dgm:pt>
    <dgm:pt modelId="{C2D1E775-727D-472C-AFB0-5180DC397BBC}" type="sibTrans" cxnId="{E4EC14A7-CAA5-4A19-A734-8E5CE9B3CA65}">
      <dgm:prSet/>
      <dgm:spPr/>
      <dgm:t>
        <a:bodyPr/>
        <a:lstStyle/>
        <a:p>
          <a:endParaRPr lang="en-US"/>
        </a:p>
      </dgm:t>
    </dgm:pt>
    <dgm:pt modelId="{80A852BD-9833-4F4A-A89D-2E0438863B57}">
      <dgm:prSet phldrT="[Text]"/>
      <dgm:spPr/>
      <dgm:t>
        <a:bodyPr/>
        <a:lstStyle/>
        <a:p>
          <a:r>
            <a:rPr lang="en-AU" i="1"/>
            <a:t>Share best practice and lessons learned across the sector</a:t>
          </a:r>
          <a:endParaRPr lang="en-US"/>
        </a:p>
      </dgm:t>
    </dgm:pt>
    <dgm:pt modelId="{BB5DF39F-8053-4ACD-87EA-D111255B0A23}" type="parTrans" cxnId="{8FBD1D16-A28A-43F3-97A8-F281B0938900}">
      <dgm:prSet/>
      <dgm:spPr/>
      <dgm:t>
        <a:bodyPr/>
        <a:lstStyle/>
        <a:p>
          <a:endParaRPr lang="en-US"/>
        </a:p>
      </dgm:t>
    </dgm:pt>
    <dgm:pt modelId="{4A23775A-778B-447D-B093-54DBB22C57E5}" type="sibTrans" cxnId="{8FBD1D16-A28A-43F3-97A8-F281B0938900}">
      <dgm:prSet/>
      <dgm:spPr/>
      <dgm:t>
        <a:bodyPr/>
        <a:lstStyle/>
        <a:p>
          <a:endParaRPr lang="en-US"/>
        </a:p>
      </dgm:t>
    </dgm:pt>
    <dgm:pt modelId="{F0B1973A-5F8F-410E-ABAD-E4FA2A9E4AC1}">
      <dgm:prSet phldrT="[Text]"/>
      <dgm:spPr>
        <a:solidFill>
          <a:schemeClr val="accent6"/>
        </a:solidFill>
        <a:ln>
          <a:solidFill>
            <a:schemeClr val="accent6"/>
          </a:solidFill>
        </a:ln>
      </dgm:spPr>
      <dgm:t>
        <a:bodyPr/>
        <a:lstStyle/>
        <a:p>
          <a:r>
            <a:rPr lang="en-US" b="1"/>
            <a:t>Flexible</a:t>
          </a:r>
        </a:p>
      </dgm:t>
    </dgm:pt>
    <dgm:pt modelId="{FFB243F2-09A1-4A9B-97CE-334F56B8B5A9}" type="parTrans" cxnId="{9A19CDCE-8A8A-4B4B-96DD-5F60B5E76DDC}">
      <dgm:prSet/>
      <dgm:spPr/>
      <dgm:t>
        <a:bodyPr/>
        <a:lstStyle/>
        <a:p>
          <a:endParaRPr lang="en-US"/>
        </a:p>
      </dgm:t>
    </dgm:pt>
    <dgm:pt modelId="{5639FAAA-6BF0-412F-9287-EDBE3D05B46C}" type="sibTrans" cxnId="{9A19CDCE-8A8A-4B4B-96DD-5F60B5E76DDC}">
      <dgm:prSet/>
      <dgm:spPr/>
      <dgm:t>
        <a:bodyPr/>
        <a:lstStyle/>
        <a:p>
          <a:endParaRPr lang="en-US"/>
        </a:p>
      </dgm:t>
    </dgm:pt>
    <dgm:pt modelId="{AFB1BEC3-73BC-44B1-93D2-8CD9165D6697}">
      <dgm:prSet phldrT="[Text]"/>
      <dgm:spPr/>
      <dgm:t>
        <a:bodyPr/>
        <a:lstStyle/>
        <a:p>
          <a:r>
            <a:rPr lang="en-AU" i="1"/>
            <a:t>Account for university missions and diversity</a:t>
          </a:r>
          <a:endParaRPr lang="en-US"/>
        </a:p>
      </dgm:t>
    </dgm:pt>
    <dgm:pt modelId="{47656C8E-2AD8-460C-96BE-C2653195DC8D}" type="parTrans" cxnId="{435BFEA5-50E4-4CC4-8E46-3FB648D4FD38}">
      <dgm:prSet/>
      <dgm:spPr/>
      <dgm:t>
        <a:bodyPr/>
        <a:lstStyle/>
        <a:p>
          <a:endParaRPr lang="en-US"/>
        </a:p>
      </dgm:t>
    </dgm:pt>
    <dgm:pt modelId="{DB90871D-E13E-487C-A9B5-D63A1B6550E2}" type="sibTrans" cxnId="{435BFEA5-50E4-4CC4-8E46-3FB648D4FD38}">
      <dgm:prSet/>
      <dgm:spPr/>
      <dgm:t>
        <a:bodyPr/>
        <a:lstStyle/>
        <a:p>
          <a:endParaRPr lang="en-US"/>
        </a:p>
      </dgm:t>
    </dgm:pt>
    <dgm:pt modelId="{3D363C20-2E88-4BD5-AE1B-44B39237B17B}">
      <dgm:prSet phldrT="[Text]"/>
      <dgm:spPr/>
      <dgm:t>
        <a:bodyPr/>
        <a:lstStyle/>
        <a:p>
          <a:r>
            <a:rPr lang="en-US" b="1"/>
            <a:t>Measureable</a:t>
          </a:r>
        </a:p>
      </dgm:t>
    </dgm:pt>
    <dgm:pt modelId="{C197222F-40C8-4A3E-9261-BC3F3F34B48D}" type="parTrans" cxnId="{CED69A2D-E519-4601-B758-86652E62B2BA}">
      <dgm:prSet/>
      <dgm:spPr/>
      <dgm:t>
        <a:bodyPr/>
        <a:lstStyle/>
        <a:p>
          <a:endParaRPr lang="en-US"/>
        </a:p>
      </dgm:t>
    </dgm:pt>
    <dgm:pt modelId="{1BCEB7B2-E901-402A-B892-5BED75B3A51D}" type="sibTrans" cxnId="{CED69A2D-E519-4601-B758-86652E62B2BA}">
      <dgm:prSet/>
      <dgm:spPr/>
      <dgm:t>
        <a:bodyPr/>
        <a:lstStyle/>
        <a:p>
          <a:endParaRPr lang="en-US"/>
        </a:p>
      </dgm:t>
    </dgm:pt>
    <dgm:pt modelId="{D917A279-5273-4836-B595-5CFA8AA77292}">
      <dgm:prSet phldrT="[Text]"/>
      <dgm:spPr/>
      <dgm:t>
        <a:bodyPr/>
        <a:lstStyle/>
        <a:p>
          <a:r>
            <a:rPr lang="en-AU" i="1"/>
            <a:t>D</a:t>
          </a:r>
          <a:r>
            <a:rPr lang="x-none" i="1"/>
            <a:t>emonstrate improvement or</a:t>
          </a:r>
          <a:r>
            <a:rPr lang="en-AU" i="1"/>
            <a:t> behaviour</a:t>
          </a:r>
          <a:r>
            <a:rPr lang="x-none" i="1"/>
            <a:t> change</a:t>
          </a:r>
          <a:r>
            <a:rPr lang="en-AU" i="1"/>
            <a:t> internally</a:t>
          </a:r>
          <a:endParaRPr lang="en-US"/>
        </a:p>
      </dgm:t>
    </dgm:pt>
    <dgm:pt modelId="{2BEC5EF2-2B67-48E9-AF68-6564D2B7407F}" type="parTrans" cxnId="{5D3A50B6-867A-4BC3-98C9-F6FDEDAAA0CF}">
      <dgm:prSet/>
      <dgm:spPr/>
      <dgm:t>
        <a:bodyPr/>
        <a:lstStyle/>
        <a:p>
          <a:endParaRPr lang="en-US"/>
        </a:p>
      </dgm:t>
    </dgm:pt>
    <dgm:pt modelId="{769E90CD-1B94-4A14-AD14-6C5ADB5BF64C}" type="sibTrans" cxnId="{5D3A50B6-867A-4BC3-98C9-F6FDEDAAA0CF}">
      <dgm:prSet/>
      <dgm:spPr/>
      <dgm:t>
        <a:bodyPr/>
        <a:lstStyle/>
        <a:p>
          <a:endParaRPr lang="en-US"/>
        </a:p>
      </dgm:t>
    </dgm:pt>
    <dgm:pt modelId="{BE7EABCC-3E26-4D52-BE52-A67182E28389}">
      <dgm:prSet/>
      <dgm:spPr/>
      <dgm:t>
        <a:bodyPr/>
        <a:lstStyle/>
        <a:p>
          <a:r>
            <a:rPr lang="en-AU" i="1"/>
            <a:t>Develop</a:t>
          </a:r>
          <a:r>
            <a:rPr lang="x-none" i="1"/>
            <a:t> a</a:t>
          </a:r>
          <a:r>
            <a:rPr lang="en-AU" i="1"/>
            <a:t> mature</a:t>
          </a:r>
          <a:r>
            <a:rPr lang="x-none" i="1"/>
            <a:t> </a:t>
          </a:r>
          <a:br>
            <a:rPr lang="x-none" i="1"/>
          </a:br>
          <a:r>
            <a:rPr lang="x-none" i="1"/>
            <a:t>data</a:t>
          </a:r>
          <a:r>
            <a:rPr lang="en-AU" i="1"/>
            <a:t>-</a:t>
          </a:r>
          <a:r>
            <a:rPr lang="x-none" i="1"/>
            <a:t>base across the sector</a:t>
          </a:r>
          <a:endParaRPr lang="en-US"/>
        </a:p>
      </dgm:t>
    </dgm:pt>
    <dgm:pt modelId="{315CFA76-4B95-43C3-A921-B82CAAEA2579}" type="parTrans" cxnId="{AD436F02-A991-49D0-8867-6893E5C40105}">
      <dgm:prSet/>
      <dgm:spPr/>
      <dgm:t>
        <a:bodyPr/>
        <a:lstStyle/>
        <a:p>
          <a:endParaRPr lang="en-US"/>
        </a:p>
      </dgm:t>
    </dgm:pt>
    <dgm:pt modelId="{54E73742-2DF7-42C8-B79B-7B37DA27CDC4}" type="sibTrans" cxnId="{AD436F02-A991-49D0-8867-6893E5C40105}">
      <dgm:prSet/>
      <dgm:spPr/>
      <dgm:t>
        <a:bodyPr/>
        <a:lstStyle/>
        <a:p>
          <a:endParaRPr lang="en-US"/>
        </a:p>
      </dgm:t>
    </dgm:pt>
    <dgm:pt modelId="{E60B56CC-D0E3-401A-8E98-1115CBE15420}">
      <dgm:prSet/>
      <dgm:spPr/>
      <dgm:t>
        <a:bodyPr/>
        <a:lstStyle/>
        <a:p>
          <a:r>
            <a:rPr lang="en-AU" i="1"/>
            <a:t>Embed evaluation of activities and the fund into practice</a:t>
          </a:r>
          <a:endParaRPr lang="en-US"/>
        </a:p>
      </dgm:t>
    </dgm:pt>
    <dgm:pt modelId="{21F9C4E6-AC77-470B-9D2A-2FCD65E69A59}" type="parTrans" cxnId="{31C758A2-712C-499B-929A-517F9EFB9C0D}">
      <dgm:prSet/>
      <dgm:spPr/>
      <dgm:t>
        <a:bodyPr/>
        <a:lstStyle/>
        <a:p>
          <a:endParaRPr lang="en-US"/>
        </a:p>
      </dgm:t>
    </dgm:pt>
    <dgm:pt modelId="{E08BAA5B-74A1-47F8-876B-45B02CAF092D}" type="sibTrans" cxnId="{31C758A2-712C-499B-929A-517F9EFB9C0D}">
      <dgm:prSet/>
      <dgm:spPr/>
      <dgm:t>
        <a:bodyPr/>
        <a:lstStyle/>
        <a:p>
          <a:endParaRPr lang="en-US"/>
        </a:p>
      </dgm:t>
    </dgm:pt>
    <dgm:pt modelId="{4306761F-644C-4BC2-BE14-69C2A5C190E2}">
      <dgm:prSet/>
      <dgm:spPr/>
      <dgm:t>
        <a:bodyPr/>
        <a:lstStyle/>
        <a:p>
          <a:r>
            <a:rPr lang="en-AU" i="1"/>
            <a:t>Encourage use of local expertise and influence to respond to local circumstances and the needs of community</a:t>
          </a:r>
          <a:endParaRPr lang="en-US"/>
        </a:p>
      </dgm:t>
    </dgm:pt>
    <dgm:pt modelId="{AAD5266E-4373-42B9-A0AD-1CF1330F805C}" type="parTrans" cxnId="{A173A0F2-C0EE-4952-9ACB-5568B45914B9}">
      <dgm:prSet/>
      <dgm:spPr/>
      <dgm:t>
        <a:bodyPr/>
        <a:lstStyle/>
        <a:p>
          <a:endParaRPr lang="en-US"/>
        </a:p>
      </dgm:t>
    </dgm:pt>
    <dgm:pt modelId="{ED2EEE15-3E20-4DDF-9B03-96BD741C8B68}" type="sibTrans" cxnId="{A173A0F2-C0EE-4952-9ACB-5568B45914B9}">
      <dgm:prSet/>
      <dgm:spPr/>
      <dgm:t>
        <a:bodyPr/>
        <a:lstStyle/>
        <a:p>
          <a:endParaRPr lang="en-US"/>
        </a:p>
      </dgm:t>
    </dgm:pt>
    <dgm:pt modelId="{719F7301-A746-49C4-BFAE-A48A0D752A29}">
      <dgm:prSet/>
      <dgm:spPr/>
      <dgm:t>
        <a:bodyPr/>
        <a:lstStyle/>
        <a:p>
          <a:r>
            <a:rPr lang="en-AU" i="1"/>
            <a:t>Provide mutual benefits to university, industry and community</a:t>
          </a:r>
          <a:endParaRPr lang="en-US"/>
        </a:p>
      </dgm:t>
    </dgm:pt>
    <dgm:pt modelId="{47C16308-ECF4-4C0D-9C6D-76EADCF3438E}" type="parTrans" cxnId="{19723D9F-AE32-4ACD-898A-0A17750F2269}">
      <dgm:prSet/>
      <dgm:spPr/>
      <dgm:t>
        <a:bodyPr/>
        <a:lstStyle/>
        <a:p>
          <a:endParaRPr lang="en-US"/>
        </a:p>
      </dgm:t>
    </dgm:pt>
    <dgm:pt modelId="{889FF03C-8B70-4C7A-B1C1-6B9DD0178D34}" type="sibTrans" cxnId="{19723D9F-AE32-4ACD-898A-0A17750F2269}">
      <dgm:prSet/>
      <dgm:spPr/>
      <dgm:t>
        <a:bodyPr/>
        <a:lstStyle/>
        <a:p>
          <a:endParaRPr lang="en-US"/>
        </a:p>
      </dgm:t>
    </dgm:pt>
    <dgm:pt modelId="{852099EF-6F55-41C1-A1DD-F9242BBAB01A}">
      <dgm:prSet/>
      <dgm:spPr/>
      <dgm:t>
        <a:bodyPr/>
        <a:lstStyle/>
        <a:p>
          <a:r>
            <a:rPr lang="en-AU" i="1"/>
            <a:t>Use best available reporting</a:t>
          </a:r>
          <a:endParaRPr lang="en-US"/>
        </a:p>
      </dgm:t>
    </dgm:pt>
    <dgm:pt modelId="{1CD69FA9-697E-4C2A-B3B8-6CBBAB8E90C1}" type="parTrans" cxnId="{F8F504AD-BC08-4702-BE48-08E678D09918}">
      <dgm:prSet/>
      <dgm:spPr/>
      <dgm:t>
        <a:bodyPr/>
        <a:lstStyle/>
        <a:p>
          <a:endParaRPr lang="en-US"/>
        </a:p>
      </dgm:t>
    </dgm:pt>
    <dgm:pt modelId="{668BAE89-1930-4006-8480-32EB0F68DAD3}" type="sibTrans" cxnId="{F8F504AD-BC08-4702-BE48-08E678D09918}">
      <dgm:prSet/>
      <dgm:spPr/>
      <dgm:t>
        <a:bodyPr/>
        <a:lstStyle/>
        <a:p>
          <a:endParaRPr lang="en-US"/>
        </a:p>
      </dgm:t>
    </dgm:pt>
    <dgm:pt modelId="{45902B40-9587-43D2-B3D7-103FDC07F725}">
      <dgm:prSet/>
      <dgm:spPr/>
      <dgm:t>
        <a:bodyPr/>
        <a:lstStyle/>
        <a:p>
          <a:r>
            <a:rPr lang="en-AU" i="1"/>
            <a:t>Promote</a:t>
          </a:r>
          <a:r>
            <a:rPr lang="x-none" i="1"/>
            <a:t> institutional behaviour change</a:t>
          </a:r>
          <a:endParaRPr lang="en-US"/>
        </a:p>
      </dgm:t>
    </dgm:pt>
    <dgm:pt modelId="{2337BB87-C423-4B98-AF2F-11E098FC5CCE}" type="parTrans" cxnId="{6BAA7985-830F-4281-9B5B-CEEE2698A1BB}">
      <dgm:prSet/>
      <dgm:spPr/>
      <dgm:t>
        <a:bodyPr/>
        <a:lstStyle/>
        <a:p>
          <a:endParaRPr lang="en-US"/>
        </a:p>
      </dgm:t>
    </dgm:pt>
    <dgm:pt modelId="{A5D72CE4-5E8B-4144-B619-BB19D255C72F}" type="sibTrans" cxnId="{6BAA7985-830F-4281-9B5B-CEEE2698A1BB}">
      <dgm:prSet/>
      <dgm:spPr/>
      <dgm:t>
        <a:bodyPr/>
        <a:lstStyle/>
        <a:p>
          <a:endParaRPr lang="en-US"/>
        </a:p>
      </dgm:t>
    </dgm:pt>
    <dgm:pt modelId="{F8396BF5-5DC9-41EF-8EB4-27FCF893E465}">
      <dgm:prSet/>
      <dgm:spPr/>
      <dgm:t>
        <a:bodyPr/>
        <a:lstStyle/>
        <a:p>
          <a:r>
            <a:rPr lang="en-AU" i="1"/>
            <a:t>Encourage innovative practice with a tolerance of failure</a:t>
          </a:r>
          <a:endParaRPr lang="en-US"/>
        </a:p>
      </dgm:t>
    </dgm:pt>
    <dgm:pt modelId="{C54360E2-896B-412D-89A0-98048A5D5536}" type="parTrans" cxnId="{BA04B79B-2666-43D5-BBD6-00D9EBD637BE}">
      <dgm:prSet/>
      <dgm:spPr/>
      <dgm:t>
        <a:bodyPr/>
        <a:lstStyle/>
        <a:p>
          <a:endParaRPr lang="en-US"/>
        </a:p>
      </dgm:t>
    </dgm:pt>
    <dgm:pt modelId="{B7BE5580-CF53-427E-8B49-1C1E9846076E}" type="sibTrans" cxnId="{BA04B79B-2666-43D5-BBD6-00D9EBD637BE}">
      <dgm:prSet/>
      <dgm:spPr/>
      <dgm:t>
        <a:bodyPr/>
        <a:lstStyle/>
        <a:p>
          <a:endParaRPr lang="en-US"/>
        </a:p>
      </dgm:t>
    </dgm:pt>
    <dgm:pt modelId="{7888AF2C-08C1-47C5-A80B-F7F1EB78A0A0}" type="pres">
      <dgm:prSet presAssocID="{7B31B998-E6AE-496F-AEB7-7619541C4B90}" presName="Name0" presStyleCnt="0">
        <dgm:presLayoutVars>
          <dgm:dir/>
          <dgm:animLvl val="lvl"/>
          <dgm:resizeHandles val="exact"/>
        </dgm:presLayoutVars>
      </dgm:prSet>
      <dgm:spPr/>
    </dgm:pt>
    <dgm:pt modelId="{9EEB2243-763F-49A0-A8FA-2DFE2A85C5C4}" type="pres">
      <dgm:prSet presAssocID="{68627FE7-220C-4C58-9171-B232F4DF881D}" presName="composite" presStyleCnt="0"/>
      <dgm:spPr/>
    </dgm:pt>
    <dgm:pt modelId="{B27E5D4B-4CF1-4C72-8085-BD214F281557}" type="pres">
      <dgm:prSet presAssocID="{68627FE7-220C-4C58-9171-B232F4DF881D}" presName="parTx" presStyleLbl="alignNode1" presStyleIdx="0" presStyleCnt="4">
        <dgm:presLayoutVars>
          <dgm:chMax val="0"/>
          <dgm:chPref val="0"/>
          <dgm:bulletEnabled val="1"/>
        </dgm:presLayoutVars>
      </dgm:prSet>
      <dgm:spPr/>
    </dgm:pt>
    <dgm:pt modelId="{96DF5FD4-D8A5-4157-822F-B6478A30CC50}" type="pres">
      <dgm:prSet presAssocID="{68627FE7-220C-4C58-9171-B232F4DF881D}" presName="desTx" presStyleLbl="alignAccFollowNode1" presStyleIdx="0" presStyleCnt="4">
        <dgm:presLayoutVars>
          <dgm:bulletEnabled val="1"/>
        </dgm:presLayoutVars>
      </dgm:prSet>
      <dgm:spPr/>
    </dgm:pt>
    <dgm:pt modelId="{568028EF-ECB9-495E-B368-16DD48D62788}" type="pres">
      <dgm:prSet presAssocID="{FDC17652-196F-49C8-BD7F-5A351CC6FD7E}" presName="space" presStyleCnt="0"/>
      <dgm:spPr/>
    </dgm:pt>
    <dgm:pt modelId="{D51EED5C-FBBA-484B-9CD3-470074E919BC}" type="pres">
      <dgm:prSet presAssocID="{C6E1B7C9-625D-4E26-A9AA-8EB9EC5597CA}" presName="composite" presStyleCnt="0"/>
      <dgm:spPr/>
    </dgm:pt>
    <dgm:pt modelId="{235BC1CA-0821-45F1-B15F-9FEDB4BE762D}" type="pres">
      <dgm:prSet presAssocID="{C6E1B7C9-625D-4E26-A9AA-8EB9EC5597CA}" presName="parTx" presStyleLbl="alignNode1" presStyleIdx="1" presStyleCnt="4">
        <dgm:presLayoutVars>
          <dgm:chMax val="0"/>
          <dgm:chPref val="0"/>
          <dgm:bulletEnabled val="1"/>
        </dgm:presLayoutVars>
      </dgm:prSet>
      <dgm:spPr/>
    </dgm:pt>
    <dgm:pt modelId="{1328CAD4-E6E7-4583-B12A-6E6666A7B21C}" type="pres">
      <dgm:prSet presAssocID="{C6E1B7C9-625D-4E26-A9AA-8EB9EC5597CA}" presName="desTx" presStyleLbl="alignAccFollowNode1" presStyleIdx="1" presStyleCnt="4">
        <dgm:presLayoutVars>
          <dgm:bulletEnabled val="1"/>
        </dgm:presLayoutVars>
      </dgm:prSet>
      <dgm:spPr/>
    </dgm:pt>
    <dgm:pt modelId="{7EBCA100-4B22-43DE-945C-4C414F12E1AF}" type="pres">
      <dgm:prSet presAssocID="{C2D1E775-727D-472C-AFB0-5180DC397BBC}" presName="space" presStyleCnt="0"/>
      <dgm:spPr/>
    </dgm:pt>
    <dgm:pt modelId="{57E7D8FB-9744-40F7-B9B6-1438626B88E6}" type="pres">
      <dgm:prSet presAssocID="{F0B1973A-5F8F-410E-ABAD-E4FA2A9E4AC1}" presName="composite" presStyleCnt="0"/>
      <dgm:spPr/>
    </dgm:pt>
    <dgm:pt modelId="{09C6E7C8-3B85-421B-A6F4-6DC08CE4D302}" type="pres">
      <dgm:prSet presAssocID="{F0B1973A-5F8F-410E-ABAD-E4FA2A9E4AC1}" presName="parTx" presStyleLbl="alignNode1" presStyleIdx="2" presStyleCnt="4">
        <dgm:presLayoutVars>
          <dgm:chMax val="0"/>
          <dgm:chPref val="0"/>
          <dgm:bulletEnabled val="1"/>
        </dgm:presLayoutVars>
      </dgm:prSet>
      <dgm:spPr/>
    </dgm:pt>
    <dgm:pt modelId="{F906E511-44FA-4A9F-8F3A-334A8A3B5202}" type="pres">
      <dgm:prSet presAssocID="{F0B1973A-5F8F-410E-ABAD-E4FA2A9E4AC1}" presName="desTx" presStyleLbl="alignAccFollowNode1" presStyleIdx="2" presStyleCnt="4">
        <dgm:presLayoutVars>
          <dgm:bulletEnabled val="1"/>
        </dgm:presLayoutVars>
      </dgm:prSet>
      <dgm:spPr/>
    </dgm:pt>
    <dgm:pt modelId="{8189D6E5-E9A2-4AB0-8C6C-09B8B8099B92}" type="pres">
      <dgm:prSet presAssocID="{5639FAAA-6BF0-412F-9287-EDBE3D05B46C}" presName="space" presStyleCnt="0"/>
      <dgm:spPr/>
    </dgm:pt>
    <dgm:pt modelId="{B8EE5C91-999A-4A37-9A26-C8A5EFB4064C}" type="pres">
      <dgm:prSet presAssocID="{3D363C20-2E88-4BD5-AE1B-44B39237B17B}" presName="composite" presStyleCnt="0"/>
      <dgm:spPr/>
    </dgm:pt>
    <dgm:pt modelId="{14FC2CA5-B1FD-47EF-A452-46629C8800AF}" type="pres">
      <dgm:prSet presAssocID="{3D363C20-2E88-4BD5-AE1B-44B39237B17B}" presName="parTx" presStyleLbl="alignNode1" presStyleIdx="3" presStyleCnt="4">
        <dgm:presLayoutVars>
          <dgm:chMax val="0"/>
          <dgm:chPref val="0"/>
          <dgm:bulletEnabled val="1"/>
        </dgm:presLayoutVars>
      </dgm:prSet>
      <dgm:spPr/>
    </dgm:pt>
    <dgm:pt modelId="{89F3188F-F1AC-4343-A419-EDF46648BBF0}" type="pres">
      <dgm:prSet presAssocID="{3D363C20-2E88-4BD5-AE1B-44B39237B17B}" presName="desTx" presStyleLbl="alignAccFollowNode1" presStyleIdx="3" presStyleCnt="4">
        <dgm:presLayoutVars>
          <dgm:bulletEnabled val="1"/>
        </dgm:presLayoutVars>
      </dgm:prSet>
      <dgm:spPr/>
    </dgm:pt>
  </dgm:ptLst>
  <dgm:cxnLst>
    <dgm:cxn modelId="{B731E001-195B-42F3-A3E7-93A8C80E80CB}" type="presOf" srcId="{45902B40-9587-43D2-B3D7-103FDC07F725}" destId="{96DF5FD4-D8A5-4157-822F-B6478A30CC50}" srcOrd="0" destOrd="1" presId="urn:microsoft.com/office/officeart/2005/8/layout/hList1"/>
    <dgm:cxn modelId="{AD436F02-A991-49D0-8867-6893E5C40105}" srcId="{3D363C20-2E88-4BD5-AE1B-44B39237B17B}" destId="{BE7EABCC-3E26-4D52-BE52-A67182E28389}" srcOrd="1" destOrd="0" parTransId="{315CFA76-4B95-43C3-A921-B82CAAEA2579}" sibTransId="{54E73742-2DF7-42C8-B79B-7B37DA27CDC4}"/>
    <dgm:cxn modelId="{042F9906-1130-45AC-A31F-03A34594DE09}" type="presOf" srcId="{48C3E88B-4A93-47FD-884A-5FEFD11C45E4}" destId="{96DF5FD4-D8A5-4157-822F-B6478A30CC50}" srcOrd="0" destOrd="0" presId="urn:microsoft.com/office/officeart/2005/8/layout/hList1"/>
    <dgm:cxn modelId="{6167D00F-2EBD-43C0-AECA-9E2358439EDA}" type="presOf" srcId="{68627FE7-220C-4C58-9171-B232F4DF881D}" destId="{B27E5D4B-4CF1-4C72-8085-BD214F281557}" srcOrd="0" destOrd="0" presId="urn:microsoft.com/office/officeart/2005/8/layout/hList1"/>
    <dgm:cxn modelId="{8FBD1D16-A28A-43F3-97A8-F281B0938900}" srcId="{C6E1B7C9-625D-4E26-A9AA-8EB9EC5597CA}" destId="{80A852BD-9833-4F4A-A89D-2E0438863B57}" srcOrd="0" destOrd="0" parTransId="{BB5DF39F-8053-4ACD-87EA-D111255B0A23}" sibTransId="{4A23775A-778B-447D-B093-54DBB22C57E5}"/>
    <dgm:cxn modelId="{CED69A2D-E519-4601-B758-86652E62B2BA}" srcId="{7B31B998-E6AE-496F-AEB7-7619541C4B90}" destId="{3D363C20-2E88-4BD5-AE1B-44B39237B17B}" srcOrd="3" destOrd="0" parTransId="{C197222F-40C8-4A3E-9261-BC3F3F34B48D}" sibTransId="{1BCEB7B2-E901-402A-B892-5BED75B3A51D}"/>
    <dgm:cxn modelId="{AFD9AF5E-FC81-4A00-ADD8-EF7F0150C760}" type="presOf" srcId="{7B31B998-E6AE-496F-AEB7-7619541C4B90}" destId="{7888AF2C-08C1-47C5-A80B-F7F1EB78A0A0}" srcOrd="0" destOrd="0" presId="urn:microsoft.com/office/officeart/2005/8/layout/hList1"/>
    <dgm:cxn modelId="{910E825F-FD87-4983-B393-0A231CAC5662}" type="presOf" srcId="{F0B1973A-5F8F-410E-ABAD-E4FA2A9E4AC1}" destId="{09C6E7C8-3B85-421B-A6F4-6DC08CE4D302}" srcOrd="0" destOrd="0" presId="urn:microsoft.com/office/officeart/2005/8/layout/hList1"/>
    <dgm:cxn modelId="{BE2D0F51-9AA4-4495-9A70-53CCFDE65A7B}" type="presOf" srcId="{D917A279-5273-4836-B595-5CFA8AA77292}" destId="{89F3188F-F1AC-4343-A419-EDF46648BBF0}" srcOrd="0" destOrd="0" presId="urn:microsoft.com/office/officeart/2005/8/layout/hList1"/>
    <dgm:cxn modelId="{6BAA7985-830F-4281-9B5B-CEEE2698A1BB}" srcId="{68627FE7-220C-4C58-9171-B232F4DF881D}" destId="{45902B40-9587-43D2-B3D7-103FDC07F725}" srcOrd="1" destOrd="0" parTransId="{2337BB87-C423-4B98-AF2F-11E098FC5CCE}" sibTransId="{A5D72CE4-5E8B-4144-B619-BB19D255C72F}"/>
    <dgm:cxn modelId="{97142A9B-8CB7-47BB-885D-992A0D423D49}" srcId="{68627FE7-220C-4C58-9171-B232F4DF881D}" destId="{48C3E88B-4A93-47FD-884A-5FEFD11C45E4}" srcOrd="0" destOrd="0" parTransId="{95F37148-40C9-4175-9F7A-FCA0695B2BCC}" sibTransId="{3AC07B0D-8060-4357-BCF2-584ED62ACF3A}"/>
    <dgm:cxn modelId="{BA04B79B-2666-43D5-BBD6-00D9EBD637BE}" srcId="{68627FE7-220C-4C58-9171-B232F4DF881D}" destId="{F8396BF5-5DC9-41EF-8EB4-27FCF893E465}" srcOrd="2" destOrd="0" parTransId="{C54360E2-896B-412D-89A0-98048A5D5536}" sibTransId="{B7BE5580-CF53-427E-8B49-1C1E9846076E}"/>
    <dgm:cxn modelId="{19723D9F-AE32-4ACD-898A-0A17750F2269}" srcId="{C6E1B7C9-625D-4E26-A9AA-8EB9EC5597CA}" destId="{719F7301-A746-49C4-BFAE-A48A0D752A29}" srcOrd="1" destOrd="0" parTransId="{47C16308-ECF4-4C0D-9C6D-76EADCF3438E}" sibTransId="{889FF03C-8B70-4C7A-B1C1-6B9DD0178D34}"/>
    <dgm:cxn modelId="{83F00AA1-8236-4BE6-8E57-99CA6516FA0C}" type="presOf" srcId="{719F7301-A746-49C4-BFAE-A48A0D752A29}" destId="{1328CAD4-E6E7-4583-B12A-6E6666A7B21C}" srcOrd="0" destOrd="1" presId="urn:microsoft.com/office/officeart/2005/8/layout/hList1"/>
    <dgm:cxn modelId="{31C758A2-712C-499B-929A-517F9EFB9C0D}" srcId="{3D363C20-2E88-4BD5-AE1B-44B39237B17B}" destId="{E60B56CC-D0E3-401A-8E98-1115CBE15420}" srcOrd="2" destOrd="0" parTransId="{21F9C4E6-AC77-470B-9D2A-2FCD65E69A59}" sibTransId="{E08BAA5B-74A1-47F8-876B-45B02CAF092D}"/>
    <dgm:cxn modelId="{4DD1E1A3-E131-458A-BAD2-9680E4AC42D9}" type="presOf" srcId="{852099EF-6F55-41C1-A1DD-F9242BBAB01A}" destId="{1328CAD4-E6E7-4583-B12A-6E6666A7B21C}" srcOrd="0" destOrd="2" presId="urn:microsoft.com/office/officeart/2005/8/layout/hList1"/>
    <dgm:cxn modelId="{435BFEA5-50E4-4CC4-8E46-3FB648D4FD38}" srcId="{F0B1973A-5F8F-410E-ABAD-E4FA2A9E4AC1}" destId="{AFB1BEC3-73BC-44B1-93D2-8CD9165D6697}" srcOrd="0" destOrd="0" parTransId="{47656C8E-2AD8-460C-96BE-C2653195DC8D}" sibTransId="{DB90871D-E13E-487C-A9B5-D63A1B6550E2}"/>
    <dgm:cxn modelId="{E4EC14A7-CAA5-4A19-A734-8E5CE9B3CA65}" srcId="{7B31B998-E6AE-496F-AEB7-7619541C4B90}" destId="{C6E1B7C9-625D-4E26-A9AA-8EB9EC5597CA}" srcOrd="1" destOrd="0" parTransId="{BE7E0B4E-A9B8-4047-8921-8A667A93CAA3}" sibTransId="{C2D1E775-727D-472C-AFB0-5180DC397BBC}"/>
    <dgm:cxn modelId="{F8F504AD-BC08-4702-BE48-08E678D09918}" srcId="{C6E1B7C9-625D-4E26-A9AA-8EB9EC5597CA}" destId="{852099EF-6F55-41C1-A1DD-F9242BBAB01A}" srcOrd="2" destOrd="0" parTransId="{1CD69FA9-697E-4C2A-B3B8-6CBBAB8E90C1}" sibTransId="{668BAE89-1930-4006-8480-32EB0F68DAD3}"/>
    <dgm:cxn modelId="{ED9AAFAE-A789-40FC-A8C1-079DC51AF49C}" type="presOf" srcId="{3D363C20-2E88-4BD5-AE1B-44B39237B17B}" destId="{14FC2CA5-B1FD-47EF-A452-46629C8800AF}" srcOrd="0" destOrd="0" presId="urn:microsoft.com/office/officeart/2005/8/layout/hList1"/>
    <dgm:cxn modelId="{5D3A50B6-867A-4BC3-98C9-F6FDEDAAA0CF}" srcId="{3D363C20-2E88-4BD5-AE1B-44B39237B17B}" destId="{D917A279-5273-4836-B595-5CFA8AA77292}" srcOrd="0" destOrd="0" parTransId="{2BEC5EF2-2B67-48E9-AF68-6564D2B7407F}" sibTransId="{769E90CD-1B94-4A14-AD14-6C5ADB5BF64C}"/>
    <dgm:cxn modelId="{BF48DCB6-2BA8-4725-ADEA-949D650D571A}" type="presOf" srcId="{F8396BF5-5DC9-41EF-8EB4-27FCF893E465}" destId="{96DF5FD4-D8A5-4157-822F-B6478A30CC50}" srcOrd="0" destOrd="2" presId="urn:microsoft.com/office/officeart/2005/8/layout/hList1"/>
    <dgm:cxn modelId="{977225BA-1A45-4F4D-AD43-C7B40589C4C7}" type="presOf" srcId="{C6E1B7C9-625D-4E26-A9AA-8EB9EC5597CA}" destId="{235BC1CA-0821-45F1-B15F-9FEDB4BE762D}" srcOrd="0" destOrd="0" presId="urn:microsoft.com/office/officeart/2005/8/layout/hList1"/>
    <dgm:cxn modelId="{5CADAFCE-C20F-4F05-907B-CA8F9B6702CC}" type="presOf" srcId="{BE7EABCC-3E26-4D52-BE52-A67182E28389}" destId="{89F3188F-F1AC-4343-A419-EDF46648BBF0}" srcOrd="0" destOrd="1" presId="urn:microsoft.com/office/officeart/2005/8/layout/hList1"/>
    <dgm:cxn modelId="{9A19CDCE-8A8A-4B4B-96DD-5F60B5E76DDC}" srcId="{7B31B998-E6AE-496F-AEB7-7619541C4B90}" destId="{F0B1973A-5F8F-410E-ABAD-E4FA2A9E4AC1}" srcOrd="2" destOrd="0" parTransId="{FFB243F2-09A1-4A9B-97CE-334F56B8B5A9}" sibTransId="{5639FAAA-6BF0-412F-9287-EDBE3D05B46C}"/>
    <dgm:cxn modelId="{6C27AFDA-69F7-464C-95C8-7FFF77ED47A0}" type="presOf" srcId="{AFB1BEC3-73BC-44B1-93D2-8CD9165D6697}" destId="{F906E511-44FA-4A9F-8F3A-334A8A3B5202}" srcOrd="0" destOrd="0" presId="urn:microsoft.com/office/officeart/2005/8/layout/hList1"/>
    <dgm:cxn modelId="{FC04C7DC-B931-48AE-99B0-1C2559643462}" type="presOf" srcId="{80A852BD-9833-4F4A-A89D-2E0438863B57}" destId="{1328CAD4-E6E7-4583-B12A-6E6666A7B21C}" srcOrd="0" destOrd="0" presId="urn:microsoft.com/office/officeart/2005/8/layout/hList1"/>
    <dgm:cxn modelId="{E056FADD-B527-4EE8-92D3-7FA023932775}" srcId="{7B31B998-E6AE-496F-AEB7-7619541C4B90}" destId="{68627FE7-220C-4C58-9171-B232F4DF881D}" srcOrd="0" destOrd="0" parTransId="{48C2CF9A-8C8B-4CA8-B9A7-DC5976A8AE27}" sibTransId="{FDC17652-196F-49C8-BD7F-5A351CC6FD7E}"/>
    <dgm:cxn modelId="{A173A0F2-C0EE-4952-9ACB-5568B45914B9}" srcId="{F0B1973A-5F8F-410E-ABAD-E4FA2A9E4AC1}" destId="{4306761F-644C-4BC2-BE14-69C2A5C190E2}" srcOrd="1" destOrd="0" parTransId="{AAD5266E-4373-42B9-A0AD-1CF1330F805C}" sibTransId="{ED2EEE15-3E20-4DDF-9B03-96BD741C8B68}"/>
    <dgm:cxn modelId="{88219CF4-B0B9-4CD0-8B0E-A1149AED4662}" type="presOf" srcId="{E60B56CC-D0E3-401A-8E98-1115CBE15420}" destId="{89F3188F-F1AC-4343-A419-EDF46648BBF0}" srcOrd="0" destOrd="2" presId="urn:microsoft.com/office/officeart/2005/8/layout/hList1"/>
    <dgm:cxn modelId="{2ADE8AF5-2F9B-4329-B8A8-DD0306C99FBC}" type="presOf" srcId="{4306761F-644C-4BC2-BE14-69C2A5C190E2}" destId="{F906E511-44FA-4A9F-8F3A-334A8A3B5202}" srcOrd="0" destOrd="1" presId="urn:microsoft.com/office/officeart/2005/8/layout/hList1"/>
    <dgm:cxn modelId="{D9A44560-A6CC-4D05-A4AF-B3B571A6D9B4}" type="presParOf" srcId="{7888AF2C-08C1-47C5-A80B-F7F1EB78A0A0}" destId="{9EEB2243-763F-49A0-A8FA-2DFE2A85C5C4}" srcOrd="0" destOrd="0" presId="urn:microsoft.com/office/officeart/2005/8/layout/hList1"/>
    <dgm:cxn modelId="{38F8794E-457E-4DE2-839E-7A5EFF3CC88C}" type="presParOf" srcId="{9EEB2243-763F-49A0-A8FA-2DFE2A85C5C4}" destId="{B27E5D4B-4CF1-4C72-8085-BD214F281557}" srcOrd="0" destOrd="0" presId="urn:microsoft.com/office/officeart/2005/8/layout/hList1"/>
    <dgm:cxn modelId="{E9471316-85A3-4631-9801-D781C3460190}" type="presParOf" srcId="{9EEB2243-763F-49A0-A8FA-2DFE2A85C5C4}" destId="{96DF5FD4-D8A5-4157-822F-B6478A30CC50}" srcOrd="1" destOrd="0" presId="urn:microsoft.com/office/officeart/2005/8/layout/hList1"/>
    <dgm:cxn modelId="{7A2D841D-3F3D-442C-9B05-71CAC135F408}" type="presParOf" srcId="{7888AF2C-08C1-47C5-A80B-F7F1EB78A0A0}" destId="{568028EF-ECB9-495E-B368-16DD48D62788}" srcOrd="1" destOrd="0" presId="urn:microsoft.com/office/officeart/2005/8/layout/hList1"/>
    <dgm:cxn modelId="{7446699F-18EB-41DB-A097-47D13405A2AB}" type="presParOf" srcId="{7888AF2C-08C1-47C5-A80B-F7F1EB78A0A0}" destId="{D51EED5C-FBBA-484B-9CD3-470074E919BC}" srcOrd="2" destOrd="0" presId="urn:microsoft.com/office/officeart/2005/8/layout/hList1"/>
    <dgm:cxn modelId="{BB0037AB-F097-48B9-AB4E-8D9494681A32}" type="presParOf" srcId="{D51EED5C-FBBA-484B-9CD3-470074E919BC}" destId="{235BC1CA-0821-45F1-B15F-9FEDB4BE762D}" srcOrd="0" destOrd="0" presId="urn:microsoft.com/office/officeart/2005/8/layout/hList1"/>
    <dgm:cxn modelId="{067A9B10-3B34-48AF-8BA7-B3D58EB4151F}" type="presParOf" srcId="{D51EED5C-FBBA-484B-9CD3-470074E919BC}" destId="{1328CAD4-E6E7-4583-B12A-6E6666A7B21C}" srcOrd="1" destOrd="0" presId="urn:microsoft.com/office/officeart/2005/8/layout/hList1"/>
    <dgm:cxn modelId="{8B84B488-2CB6-4F36-9BF6-B3BD4259A4B6}" type="presParOf" srcId="{7888AF2C-08C1-47C5-A80B-F7F1EB78A0A0}" destId="{7EBCA100-4B22-43DE-945C-4C414F12E1AF}" srcOrd="3" destOrd="0" presId="urn:microsoft.com/office/officeart/2005/8/layout/hList1"/>
    <dgm:cxn modelId="{CE3C7910-47D6-476D-91A8-0D6EA16E7BE2}" type="presParOf" srcId="{7888AF2C-08C1-47C5-A80B-F7F1EB78A0A0}" destId="{57E7D8FB-9744-40F7-B9B6-1438626B88E6}" srcOrd="4" destOrd="0" presId="urn:microsoft.com/office/officeart/2005/8/layout/hList1"/>
    <dgm:cxn modelId="{E2468CC7-E732-47B9-898B-3D3D699D8E08}" type="presParOf" srcId="{57E7D8FB-9744-40F7-B9B6-1438626B88E6}" destId="{09C6E7C8-3B85-421B-A6F4-6DC08CE4D302}" srcOrd="0" destOrd="0" presId="urn:microsoft.com/office/officeart/2005/8/layout/hList1"/>
    <dgm:cxn modelId="{87B84059-5ACB-4C5C-AEBE-B2C5CC609646}" type="presParOf" srcId="{57E7D8FB-9744-40F7-B9B6-1438626B88E6}" destId="{F906E511-44FA-4A9F-8F3A-334A8A3B5202}" srcOrd="1" destOrd="0" presId="urn:microsoft.com/office/officeart/2005/8/layout/hList1"/>
    <dgm:cxn modelId="{1D208B70-FC65-4595-BEA8-C9FF6CAF9C96}" type="presParOf" srcId="{7888AF2C-08C1-47C5-A80B-F7F1EB78A0A0}" destId="{8189D6E5-E9A2-4AB0-8C6C-09B8B8099B92}" srcOrd="5" destOrd="0" presId="urn:microsoft.com/office/officeart/2005/8/layout/hList1"/>
    <dgm:cxn modelId="{8FB8B2A2-4A51-4571-81C6-36A7028AB210}" type="presParOf" srcId="{7888AF2C-08C1-47C5-A80B-F7F1EB78A0A0}" destId="{B8EE5C91-999A-4A37-9A26-C8A5EFB4064C}" srcOrd="6" destOrd="0" presId="urn:microsoft.com/office/officeart/2005/8/layout/hList1"/>
    <dgm:cxn modelId="{BE746243-0AED-4365-8CD3-E28D4ACB47F2}" type="presParOf" srcId="{B8EE5C91-999A-4A37-9A26-C8A5EFB4064C}" destId="{14FC2CA5-B1FD-47EF-A452-46629C8800AF}" srcOrd="0" destOrd="0" presId="urn:microsoft.com/office/officeart/2005/8/layout/hList1"/>
    <dgm:cxn modelId="{59A659F8-9CE2-4A56-AD83-079F8BBDC2A8}" type="presParOf" srcId="{B8EE5C91-999A-4A37-9A26-C8A5EFB4064C}" destId="{89F3188F-F1AC-4343-A419-EDF46648BBF0}" srcOrd="1" destOrd="0" presId="urn:microsoft.com/office/officeart/2005/8/layout/hList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DF19FF3-42B9-4FD0-99D6-3E90FDD5509F}">
      <dsp:nvSpPr>
        <dsp:cNvPr id="0" name=""/>
        <dsp:cNvSpPr/>
      </dsp:nvSpPr>
      <dsp:spPr>
        <a:xfrm rot="5400000">
          <a:off x="-176234" y="178145"/>
          <a:ext cx="1174896" cy="822427"/>
        </a:xfrm>
        <a:prstGeom prst="chevron">
          <a:avLst/>
        </a:prstGeom>
        <a:solidFill>
          <a:schemeClr val="accent6"/>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dirty="0"/>
            <a:t>August 2020</a:t>
          </a:r>
        </a:p>
      </dsp:txBody>
      <dsp:txXfrm rot="-5400000">
        <a:off x="1" y="413125"/>
        <a:ext cx="822427" cy="352469"/>
      </dsp:txXfrm>
    </dsp:sp>
    <dsp:sp modelId="{54340B82-AE6F-4901-87EF-3B3310A9161A}">
      <dsp:nvSpPr>
        <dsp:cNvPr id="0" name=""/>
        <dsp:cNvSpPr/>
      </dsp:nvSpPr>
      <dsp:spPr>
        <a:xfrm rot="5400000">
          <a:off x="2844327" y="-2019988"/>
          <a:ext cx="763682" cy="4807482"/>
        </a:xfrm>
        <a:prstGeom prst="round2SameRect">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US" sz="1100" kern="1200" dirty="0"/>
            <a:t>NPILF announced in Job-ready Graduates package and working group appointed</a:t>
          </a:r>
        </a:p>
        <a:p>
          <a:pPr marL="57150" lvl="1" indent="-57150" algn="l" defTabSz="488950">
            <a:lnSpc>
              <a:spcPct val="90000"/>
            </a:lnSpc>
            <a:spcBef>
              <a:spcPct val="0"/>
            </a:spcBef>
            <a:spcAft>
              <a:spcPct val="15000"/>
            </a:spcAft>
            <a:buChar char="•"/>
          </a:pPr>
          <a:r>
            <a:rPr lang="en-US" sz="1100" kern="1200" dirty="0"/>
            <a:t>Design of the model proposed</a:t>
          </a:r>
        </a:p>
      </dsp:txBody>
      <dsp:txXfrm rot="-5400000">
        <a:off x="822427" y="39192"/>
        <a:ext cx="4770202" cy="689122"/>
      </dsp:txXfrm>
    </dsp:sp>
    <dsp:sp modelId="{EF13EACB-35FB-4328-9175-5382C317712A}">
      <dsp:nvSpPr>
        <dsp:cNvPr id="0" name=""/>
        <dsp:cNvSpPr/>
      </dsp:nvSpPr>
      <dsp:spPr>
        <a:xfrm rot="5400000">
          <a:off x="-176234" y="1236777"/>
          <a:ext cx="1174896" cy="822427"/>
        </a:xfrm>
        <a:prstGeom prst="chevron">
          <a:avLst/>
        </a:prstGeom>
        <a:solidFill>
          <a:schemeClr val="accent6">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dirty="0"/>
            <a:t>Sept-Oct 2020</a:t>
          </a:r>
        </a:p>
      </dsp:txBody>
      <dsp:txXfrm rot="-5400000">
        <a:off x="1" y="1471757"/>
        <a:ext cx="822427" cy="352469"/>
      </dsp:txXfrm>
    </dsp:sp>
    <dsp:sp modelId="{C6670FDF-52C3-4114-BD26-6600614291AD}">
      <dsp:nvSpPr>
        <dsp:cNvPr id="0" name=""/>
        <dsp:cNvSpPr/>
      </dsp:nvSpPr>
      <dsp:spPr>
        <a:xfrm rot="5400000">
          <a:off x="2844327" y="-961356"/>
          <a:ext cx="763682" cy="4807482"/>
        </a:xfrm>
        <a:prstGeom prst="round2SameRect">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US" sz="1100" b="1" kern="1200" dirty="0"/>
            <a:t>Consultations</a:t>
          </a:r>
        </a:p>
        <a:p>
          <a:pPr marL="114300" lvl="2" indent="-57150" algn="l" defTabSz="488950">
            <a:lnSpc>
              <a:spcPct val="90000"/>
            </a:lnSpc>
            <a:spcBef>
              <a:spcPct val="0"/>
            </a:spcBef>
            <a:spcAft>
              <a:spcPct val="15000"/>
            </a:spcAft>
            <a:buChar char="•"/>
          </a:pPr>
          <a:r>
            <a:rPr lang="en-US" sz="1100" b="0" kern="1200" dirty="0"/>
            <a:t>Written consultation process,</a:t>
          </a:r>
          <a:r>
            <a:rPr lang="en-US" sz="1100" kern="1200" dirty="0"/>
            <a:t> 68 submissions received</a:t>
          </a:r>
          <a:endParaRPr lang="en-US" sz="1100" b="1" kern="1200" dirty="0"/>
        </a:p>
        <a:p>
          <a:pPr marL="114300" lvl="2" indent="-57150" algn="l" defTabSz="488950">
            <a:lnSpc>
              <a:spcPct val="90000"/>
            </a:lnSpc>
            <a:spcBef>
              <a:spcPct val="0"/>
            </a:spcBef>
            <a:spcAft>
              <a:spcPct val="15000"/>
            </a:spcAft>
            <a:buChar char="•"/>
          </a:pPr>
          <a:r>
            <a:rPr lang="en-US" sz="1100" kern="1200" dirty="0"/>
            <a:t>Online consultations with higher education and industry peaks, large graduate employers, </a:t>
          </a:r>
          <a:r>
            <a:rPr lang="en-US" sz="1100" b="0" kern="1200" dirty="0"/>
            <a:t>SMEs and state-based industry groups</a:t>
          </a:r>
          <a:endParaRPr lang="en-US" sz="1100" b="1" kern="1200" dirty="0"/>
        </a:p>
      </dsp:txBody>
      <dsp:txXfrm rot="-5400000">
        <a:off x="822427" y="1097824"/>
        <a:ext cx="4770202" cy="689122"/>
      </dsp:txXfrm>
    </dsp:sp>
    <dsp:sp modelId="{6503DD31-DA45-414B-8305-7A08631377E8}">
      <dsp:nvSpPr>
        <dsp:cNvPr id="0" name=""/>
        <dsp:cNvSpPr/>
      </dsp:nvSpPr>
      <dsp:spPr>
        <a:xfrm rot="5400000">
          <a:off x="-176234" y="2295410"/>
          <a:ext cx="1174896" cy="822427"/>
        </a:xfrm>
        <a:prstGeom prst="chevron">
          <a:avLst/>
        </a:prstGeom>
        <a:solidFill>
          <a:schemeClr val="accent6">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dirty="0"/>
            <a:t>November 2020</a:t>
          </a:r>
        </a:p>
      </dsp:txBody>
      <dsp:txXfrm rot="-5400000">
        <a:off x="1" y="2530390"/>
        <a:ext cx="822427" cy="352469"/>
      </dsp:txXfrm>
    </dsp:sp>
    <dsp:sp modelId="{C13F5E0D-FBBA-4966-9E60-45FCF350ACC4}">
      <dsp:nvSpPr>
        <dsp:cNvPr id="0" name=""/>
        <dsp:cNvSpPr/>
      </dsp:nvSpPr>
      <dsp:spPr>
        <a:xfrm rot="5400000">
          <a:off x="2844327" y="113756"/>
          <a:ext cx="763682" cy="4807482"/>
        </a:xfrm>
        <a:prstGeom prst="round2SameRect">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US" sz="1100" kern="1200" dirty="0"/>
            <a:t>Online consultations with all Vice-Chancellors outlining the changes</a:t>
          </a:r>
        </a:p>
        <a:p>
          <a:pPr marL="57150" lvl="1" indent="-57150" algn="l" defTabSz="488950">
            <a:lnSpc>
              <a:spcPct val="90000"/>
            </a:lnSpc>
            <a:spcBef>
              <a:spcPct val="0"/>
            </a:spcBef>
            <a:spcAft>
              <a:spcPct val="15000"/>
            </a:spcAft>
            <a:buChar char="•"/>
          </a:pPr>
          <a:r>
            <a:rPr lang="en-US" sz="1100" kern="1200" dirty="0"/>
            <a:t>Workshops with</a:t>
          </a:r>
          <a:r>
            <a:rPr lang="en-US" sz="1100" b="0" kern="1200" dirty="0"/>
            <a:t> u</a:t>
          </a:r>
          <a:r>
            <a:rPr lang="en-AU" sz="1100" b="0" kern="1200" dirty="0"/>
            <a:t>niversity planners on implementation and data collection</a:t>
          </a:r>
          <a:endParaRPr lang="en-US" sz="1100" kern="1200" dirty="0"/>
        </a:p>
      </dsp:txBody>
      <dsp:txXfrm rot="-5400000">
        <a:off x="822427" y="2172936"/>
        <a:ext cx="4770202" cy="689122"/>
      </dsp:txXfrm>
    </dsp:sp>
    <dsp:sp modelId="{171076FC-978C-48E5-B1E3-51A1BD4E1BA3}">
      <dsp:nvSpPr>
        <dsp:cNvPr id="0" name=""/>
        <dsp:cNvSpPr/>
      </dsp:nvSpPr>
      <dsp:spPr>
        <a:xfrm rot="5400000">
          <a:off x="-176234" y="3354042"/>
          <a:ext cx="1174896" cy="822427"/>
        </a:xfrm>
        <a:prstGeom prst="chevron">
          <a:avLst/>
        </a:prstGeom>
        <a:solidFill>
          <a:schemeClr val="accent6">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dirty="0"/>
            <a:t>December 2020</a:t>
          </a:r>
        </a:p>
      </dsp:txBody>
      <dsp:txXfrm rot="-5400000">
        <a:off x="1" y="3589022"/>
        <a:ext cx="822427" cy="352469"/>
      </dsp:txXfrm>
    </dsp:sp>
    <dsp:sp modelId="{F54E3DF2-BF2F-40D6-89E3-7CBC519527C6}">
      <dsp:nvSpPr>
        <dsp:cNvPr id="0" name=""/>
        <dsp:cNvSpPr/>
      </dsp:nvSpPr>
      <dsp:spPr>
        <a:xfrm rot="5400000">
          <a:off x="2844327" y="1155908"/>
          <a:ext cx="763682" cy="4807482"/>
        </a:xfrm>
        <a:prstGeom prst="round2SameRect">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US" sz="1100" kern="1200" dirty="0"/>
            <a:t>Working group provides final advice to Minister</a:t>
          </a:r>
        </a:p>
      </dsp:txBody>
      <dsp:txXfrm rot="-5400000">
        <a:off x="822427" y="3215088"/>
        <a:ext cx="4770202" cy="689122"/>
      </dsp:txXfrm>
    </dsp:sp>
    <dsp:sp modelId="{BCF07F95-2F61-438E-9DC1-1E173B18A99A}">
      <dsp:nvSpPr>
        <dsp:cNvPr id="0" name=""/>
        <dsp:cNvSpPr/>
      </dsp:nvSpPr>
      <dsp:spPr>
        <a:xfrm rot="5400000">
          <a:off x="-176234" y="4412674"/>
          <a:ext cx="1174896" cy="822427"/>
        </a:xfrm>
        <a:prstGeom prst="chevron">
          <a:avLst/>
        </a:prstGeom>
        <a:solidFill>
          <a:schemeClr val="accent6">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dirty="0"/>
            <a:t>2021 and beyond</a:t>
          </a:r>
        </a:p>
      </dsp:txBody>
      <dsp:txXfrm rot="-5400000">
        <a:off x="1" y="4647654"/>
        <a:ext cx="822427" cy="352469"/>
      </dsp:txXfrm>
    </dsp:sp>
    <dsp:sp modelId="{66F92E35-7780-4050-8646-EED6B902B9DF}">
      <dsp:nvSpPr>
        <dsp:cNvPr id="0" name=""/>
        <dsp:cNvSpPr/>
      </dsp:nvSpPr>
      <dsp:spPr>
        <a:xfrm rot="5400000">
          <a:off x="2844327" y="2214540"/>
          <a:ext cx="763682" cy="4807482"/>
        </a:xfrm>
        <a:prstGeom prst="round2SameRect">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AU" sz="1100" kern="1200"/>
            <a:t>Working group advise that 2021 will be a learning year, and that the NPILF pilot will commence in 2022.</a:t>
          </a:r>
          <a:endParaRPr lang="en-US" sz="1100" kern="1200" dirty="0"/>
        </a:p>
      </dsp:txBody>
      <dsp:txXfrm rot="-5400000">
        <a:off x="822427" y="4273720"/>
        <a:ext cx="4770202" cy="68912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27E5D4B-4CF1-4C72-8085-BD214F281557}">
      <dsp:nvSpPr>
        <dsp:cNvPr id="0" name=""/>
        <dsp:cNvSpPr/>
      </dsp:nvSpPr>
      <dsp:spPr>
        <a:xfrm>
          <a:off x="2094" y="102777"/>
          <a:ext cx="1259713" cy="434635"/>
        </a:xfrm>
        <a:prstGeom prst="rect">
          <a:avLst/>
        </a:prstGeom>
        <a:solidFill>
          <a:schemeClr val="accent4"/>
        </a:solidFill>
        <a:ln w="12700" cap="flat" cmpd="sng" algn="ctr">
          <a:solidFill>
            <a:schemeClr val="accent4"/>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marL="0" lvl="0" indent="0" algn="ctr" defTabSz="533400">
            <a:lnSpc>
              <a:spcPct val="90000"/>
            </a:lnSpc>
            <a:spcBef>
              <a:spcPct val="0"/>
            </a:spcBef>
            <a:spcAft>
              <a:spcPct val="35000"/>
            </a:spcAft>
            <a:buNone/>
          </a:pPr>
          <a:r>
            <a:rPr lang="en-US" sz="1200" b="1" kern="1200"/>
            <a:t>Impact</a:t>
          </a:r>
        </a:p>
      </dsp:txBody>
      <dsp:txXfrm>
        <a:off x="2094" y="102777"/>
        <a:ext cx="1259713" cy="434635"/>
      </dsp:txXfrm>
    </dsp:sp>
    <dsp:sp modelId="{96DF5FD4-D8A5-4157-822F-B6478A30CC50}">
      <dsp:nvSpPr>
        <dsp:cNvPr id="0" name=""/>
        <dsp:cNvSpPr/>
      </dsp:nvSpPr>
      <dsp:spPr>
        <a:xfrm>
          <a:off x="2094" y="537413"/>
          <a:ext cx="1259713" cy="2756151"/>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en-AU" sz="1200" i="1" kern="1200"/>
            <a:t>Improve </a:t>
          </a:r>
          <a:r>
            <a:rPr lang="x-none" sz="1200" i="1" kern="1200"/>
            <a:t>student</a:t>
          </a:r>
          <a:r>
            <a:rPr lang="en-AU" sz="1200" i="1" kern="1200"/>
            <a:t> outcome</a:t>
          </a:r>
          <a:r>
            <a:rPr lang="x-none" sz="1200" i="1" kern="1200"/>
            <a:t>s</a:t>
          </a:r>
          <a:endParaRPr lang="en-US" sz="1200" kern="1200"/>
        </a:p>
        <a:p>
          <a:pPr marL="114300" lvl="1" indent="-114300" algn="l" defTabSz="533400">
            <a:lnSpc>
              <a:spcPct val="90000"/>
            </a:lnSpc>
            <a:spcBef>
              <a:spcPct val="0"/>
            </a:spcBef>
            <a:spcAft>
              <a:spcPct val="15000"/>
            </a:spcAft>
            <a:buChar char="•"/>
          </a:pPr>
          <a:r>
            <a:rPr lang="en-AU" sz="1200" i="1" kern="1200"/>
            <a:t>Promote</a:t>
          </a:r>
          <a:r>
            <a:rPr lang="x-none" sz="1200" i="1" kern="1200"/>
            <a:t> institutional behaviour change</a:t>
          </a:r>
          <a:endParaRPr lang="en-US" sz="1200" kern="1200"/>
        </a:p>
        <a:p>
          <a:pPr marL="114300" lvl="1" indent="-114300" algn="l" defTabSz="533400">
            <a:lnSpc>
              <a:spcPct val="90000"/>
            </a:lnSpc>
            <a:spcBef>
              <a:spcPct val="0"/>
            </a:spcBef>
            <a:spcAft>
              <a:spcPct val="15000"/>
            </a:spcAft>
            <a:buChar char="•"/>
          </a:pPr>
          <a:r>
            <a:rPr lang="en-AU" sz="1200" i="1" kern="1200"/>
            <a:t>Encourage innovative practice with a tolerance of failure</a:t>
          </a:r>
          <a:endParaRPr lang="en-US" sz="1200" kern="1200"/>
        </a:p>
      </dsp:txBody>
      <dsp:txXfrm>
        <a:off x="2094" y="537413"/>
        <a:ext cx="1259713" cy="2756151"/>
      </dsp:txXfrm>
    </dsp:sp>
    <dsp:sp modelId="{235BC1CA-0821-45F1-B15F-9FEDB4BE762D}">
      <dsp:nvSpPr>
        <dsp:cNvPr id="0" name=""/>
        <dsp:cNvSpPr/>
      </dsp:nvSpPr>
      <dsp:spPr>
        <a:xfrm>
          <a:off x="1438168" y="102777"/>
          <a:ext cx="1259713" cy="434635"/>
        </a:xfrm>
        <a:prstGeom prst="rect">
          <a:avLst/>
        </a:prstGeom>
        <a:solidFill>
          <a:schemeClr val="accent3"/>
        </a:solidFill>
        <a:ln w="12700" cap="flat" cmpd="sng" algn="ctr">
          <a:solidFill>
            <a:schemeClr val="accent3"/>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marL="0" lvl="0" indent="0" algn="ctr" defTabSz="533400">
            <a:lnSpc>
              <a:spcPct val="90000"/>
            </a:lnSpc>
            <a:spcBef>
              <a:spcPct val="0"/>
            </a:spcBef>
            <a:spcAft>
              <a:spcPct val="35000"/>
            </a:spcAft>
            <a:buNone/>
          </a:pPr>
          <a:r>
            <a:rPr lang="en-US" sz="1200" b="1" kern="1200"/>
            <a:t>Transparent and Collaborative</a:t>
          </a:r>
        </a:p>
      </dsp:txBody>
      <dsp:txXfrm>
        <a:off x="1438168" y="102777"/>
        <a:ext cx="1259713" cy="434635"/>
      </dsp:txXfrm>
    </dsp:sp>
    <dsp:sp modelId="{1328CAD4-E6E7-4583-B12A-6E6666A7B21C}">
      <dsp:nvSpPr>
        <dsp:cNvPr id="0" name=""/>
        <dsp:cNvSpPr/>
      </dsp:nvSpPr>
      <dsp:spPr>
        <a:xfrm>
          <a:off x="1438168" y="537413"/>
          <a:ext cx="1259713" cy="2756151"/>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en-AU" sz="1200" i="1" kern="1200"/>
            <a:t>Share best practice and lessons learned across the sector</a:t>
          </a:r>
          <a:endParaRPr lang="en-US" sz="1200" kern="1200"/>
        </a:p>
        <a:p>
          <a:pPr marL="114300" lvl="1" indent="-114300" algn="l" defTabSz="533400">
            <a:lnSpc>
              <a:spcPct val="90000"/>
            </a:lnSpc>
            <a:spcBef>
              <a:spcPct val="0"/>
            </a:spcBef>
            <a:spcAft>
              <a:spcPct val="15000"/>
            </a:spcAft>
            <a:buChar char="•"/>
          </a:pPr>
          <a:r>
            <a:rPr lang="en-AU" sz="1200" i="1" kern="1200"/>
            <a:t>Provide mutual benefits to university, industry and community</a:t>
          </a:r>
          <a:endParaRPr lang="en-US" sz="1200" kern="1200"/>
        </a:p>
        <a:p>
          <a:pPr marL="114300" lvl="1" indent="-114300" algn="l" defTabSz="533400">
            <a:lnSpc>
              <a:spcPct val="90000"/>
            </a:lnSpc>
            <a:spcBef>
              <a:spcPct val="0"/>
            </a:spcBef>
            <a:spcAft>
              <a:spcPct val="15000"/>
            </a:spcAft>
            <a:buChar char="•"/>
          </a:pPr>
          <a:r>
            <a:rPr lang="en-AU" sz="1200" i="1" kern="1200"/>
            <a:t>Use best available reporting</a:t>
          </a:r>
          <a:endParaRPr lang="en-US" sz="1200" kern="1200"/>
        </a:p>
      </dsp:txBody>
      <dsp:txXfrm>
        <a:off x="1438168" y="537413"/>
        <a:ext cx="1259713" cy="2756151"/>
      </dsp:txXfrm>
    </dsp:sp>
    <dsp:sp modelId="{09C6E7C8-3B85-421B-A6F4-6DC08CE4D302}">
      <dsp:nvSpPr>
        <dsp:cNvPr id="0" name=""/>
        <dsp:cNvSpPr/>
      </dsp:nvSpPr>
      <dsp:spPr>
        <a:xfrm>
          <a:off x="2874242" y="102777"/>
          <a:ext cx="1259713" cy="434635"/>
        </a:xfrm>
        <a:prstGeom prst="rect">
          <a:avLst/>
        </a:prstGeom>
        <a:solidFill>
          <a:schemeClr val="accent6"/>
        </a:solidFill>
        <a:ln w="12700" cap="flat" cmpd="sng" algn="ctr">
          <a:solidFill>
            <a:schemeClr val="accent6"/>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marL="0" lvl="0" indent="0" algn="ctr" defTabSz="533400">
            <a:lnSpc>
              <a:spcPct val="90000"/>
            </a:lnSpc>
            <a:spcBef>
              <a:spcPct val="0"/>
            </a:spcBef>
            <a:spcAft>
              <a:spcPct val="35000"/>
            </a:spcAft>
            <a:buNone/>
          </a:pPr>
          <a:r>
            <a:rPr lang="en-US" sz="1200" b="1" kern="1200"/>
            <a:t>Flexible</a:t>
          </a:r>
        </a:p>
      </dsp:txBody>
      <dsp:txXfrm>
        <a:off x="2874242" y="102777"/>
        <a:ext cx="1259713" cy="434635"/>
      </dsp:txXfrm>
    </dsp:sp>
    <dsp:sp modelId="{F906E511-44FA-4A9F-8F3A-334A8A3B5202}">
      <dsp:nvSpPr>
        <dsp:cNvPr id="0" name=""/>
        <dsp:cNvSpPr/>
      </dsp:nvSpPr>
      <dsp:spPr>
        <a:xfrm>
          <a:off x="2874242" y="537413"/>
          <a:ext cx="1259713" cy="2756151"/>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en-AU" sz="1200" i="1" kern="1200"/>
            <a:t>Account for university missions and diversity</a:t>
          </a:r>
          <a:endParaRPr lang="en-US" sz="1200" kern="1200"/>
        </a:p>
        <a:p>
          <a:pPr marL="114300" lvl="1" indent="-114300" algn="l" defTabSz="533400">
            <a:lnSpc>
              <a:spcPct val="90000"/>
            </a:lnSpc>
            <a:spcBef>
              <a:spcPct val="0"/>
            </a:spcBef>
            <a:spcAft>
              <a:spcPct val="15000"/>
            </a:spcAft>
            <a:buChar char="•"/>
          </a:pPr>
          <a:r>
            <a:rPr lang="en-AU" sz="1200" i="1" kern="1200"/>
            <a:t>Encourage use of local expertise and influence to respond to local circumstances and the needs of community</a:t>
          </a:r>
          <a:endParaRPr lang="en-US" sz="1200" kern="1200"/>
        </a:p>
      </dsp:txBody>
      <dsp:txXfrm>
        <a:off x="2874242" y="537413"/>
        <a:ext cx="1259713" cy="2756151"/>
      </dsp:txXfrm>
    </dsp:sp>
    <dsp:sp modelId="{14FC2CA5-B1FD-47EF-A452-46629C8800AF}">
      <dsp:nvSpPr>
        <dsp:cNvPr id="0" name=""/>
        <dsp:cNvSpPr/>
      </dsp:nvSpPr>
      <dsp:spPr>
        <a:xfrm>
          <a:off x="4310316" y="102777"/>
          <a:ext cx="1259713" cy="434635"/>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marL="0" lvl="0" indent="0" algn="ctr" defTabSz="533400">
            <a:lnSpc>
              <a:spcPct val="90000"/>
            </a:lnSpc>
            <a:spcBef>
              <a:spcPct val="0"/>
            </a:spcBef>
            <a:spcAft>
              <a:spcPct val="35000"/>
            </a:spcAft>
            <a:buNone/>
          </a:pPr>
          <a:r>
            <a:rPr lang="en-US" sz="1200" b="1" kern="1200"/>
            <a:t>Measureable</a:t>
          </a:r>
        </a:p>
      </dsp:txBody>
      <dsp:txXfrm>
        <a:off x="4310316" y="102777"/>
        <a:ext cx="1259713" cy="434635"/>
      </dsp:txXfrm>
    </dsp:sp>
    <dsp:sp modelId="{89F3188F-F1AC-4343-A419-EDF46648BBF0}">
      <dsp:nvSpPr>
        <dsp:cNvPr id="0" name=""/>
        <dsp:cNvSpPr/>
      </dsp:nvSpPr>
      <dsp:spPr>
        <a:xfrm>
          <a:off x="4310316" y="537413"/>
          <a:ext cx="1259713" cy="2756151"/>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en-AU" sz="1200" i="1" kern="1200"/>
            <a:t>D</a:t>
          </a:r>
          <a:r>
            <a:rPr lang="x-none" sz="1200" i="1" kern="1200"/>
            <a:t>emonstrate improvement or</a:t>
          </a:r>
          <a:r>
            <a:rPr lang="en-AU" sz="1200" i="1" kern="1200"/>
            <a:t> behaviour</a:t>
          </a:r>
          <a:r>
            <a:rPr lang="x-none" sz="1200" i="1" kern="1200"/>
            <a:t> change</a:t>
          </a:r>
          <a:r>
            <a:rPr lang="en-AU" sz="1200" i="1" kern="1200"/>
            <a:t> internally</a:t>
          </a:r>
          <a:endParaRPr lang="en-US" sz="1200" kern="1200"/>
        </a:p>
        <a:p>
          <a:pPr marL="114300" lvl="1" indent="-114300" algn="l" defTabSz="533400">
            <a:lnSpc>
              <a:spcPct val="90000"/>
            </a:lnSpc>
            <a:spcBef>
              <a:spcPct val="0"/>
            </a:spcBef>
            <a:spcAft>
              <a:spcPct val="15000"/>
            </a:spcAft>
            <a:buChar char="•"/>
          </a:pPr>
          <a:r>
            <a:rPr lang="en-AU" sz="1200" i="1" kern="1200"/>
            <a:t>Develop</a:t>
          </a:r>
          <a:r>
            <a:rPr lang="x-none" sz="1200" i="1" kern="1200"/>
            <a:t> a</a:t>
          </a:r>
          <a:r>
            <a:rPr lang="en-AU" sz="1200" i="1" kern="1200"/>
            <a:t> mature</a:t>
          </a:r>
          <a:r>
            <a:rPr lang="x-none" sz="1200" i="1" kern="1200"/>
            <a:t> </a:t>
          </a:r>
          <a:br>
            <a:rPr lang="x-none" sz="1200" i="1" kern="1200"/>
          </a:br>
          <a:r>
            <a:rPr lang="x-none" sz="1200" i="1" kern="1200"/>
            <a:t>data</a:t>
          </a:r>
          <a:r>
            <a:rPr lang="en-AU" sz="1200" i="1" kern="1200"/>
            <a:t>-</a:t>
          </a:r>
          <a:r>
            <a:rPr lang="x-none" sz="1200" i="1" kern="1200"/>
            <a:t>base across the sector</a:t>
          </a:r>
          <a:endParaRPr lang="en-US" sz="1200" kern="1200"/>
        </a:p>
        <a:p>
          <a:pPr marL="114300" lvl="1" indent="-114300" algn="l" defTabSz="533400">
            <a:lnSpc>
              <a:spcPct val="90000"/>
            </a:lnSpc>
            <a:spcBef>
              <a:spcPct val="0"/>
            </a:spcBef>
            <a:spcAft>
              <a:spcPct val="15000"/>
            </a:spcAft>
            <a:buChar char="•"/>
          </a:pPr>
          <a:r>
            <a:rPr lang="en-AU" sz="1200" i="1" kern="1200"/>
            <a:t>Embed evaluation of activities and the fund into practice</a:t>
          </a:r>
          <a:endParaRPr lang="en-US" sz="1200" kern="1200"/>
        </a:p>
      </dsp:txBody>
      <dsp:txXfrm>
        <a:off x="4310316" y="537413"/>
        <a:ext cx="1259713" cy="2756151"/>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F095AB11619224FBD5717FB31733AAC" ma:contentTypeVersion="13" ma:contentTypeDescription="Create a new document." ma:contentTypeScope="" ma:versionID="05d11476a30919c325634a2ad5e80857">
  <xsd:schema xmlns:xsd="http://www.w3.org/2001/XMLSchema" xmlns:xs="http://www.w3.org/2001/XMLSchema" xmlns:p="http://schemas.microsoft.com/office/2006/metadata/properties" xmlns:ns3="5fb768c7-2ea3-4cc2-86d7-af86dacafc4c" xmlns:ns4="d3717848-712e-47d8-aac7-ea0f1de9a2fb" targetNamespace="http://schemas.microsoft.com/office/2006/metadata/properties" ma:root="true" ma:fieldsID="d498e196e32e44aeaa5fddf85493ace3" ns3:_="" ns4:_="">
    <xsd:import namespace="5fb768c7-2ea3-4cc2-86d7-af86dacafc4c"/>
    <xsd:import namespace="d3717848-712e-47d8-aac7-ea0f1de9a2f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b768c7-2ea3-4cc2-86d7-af86dacafc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717848-712e-47d8-aac7-ea0f1de9a2f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D6226-3EAF-46C5-B0F2-A2410F074527}">
  <ds:schemaRefs>
    <ds:schemaRef ds:uri="d3717848-712e-47d8-aac7-ea0f1de9a2fb"/>
    <ds:schemaRef ds:uri="http://purl.org/dc/elements/1.1/"/>
    <ds:schemaRef ds:uri="http://purl.org/dc/dcmitype/"/>
    <ds:schemaRef ds:uri="http://schemas.microsoft.com/office/2006/documentManagement/types"/>
    <ds:schemaRef ds:uri="http://purl.org/dc/terms/"/>
    <ds:schemaRef ds:uri="http://schemas.microsoft.com/office/infopath/2007/PartnerControls"/>
    <ds:schemaRef ds:uri="http://www.w3.org/XML/1998/namespace"/>
    <ds:schemaRef ds:uri="http://schemas.microsoft.com/office/2006/metadata/properties"/>
    <ds:schemaRef ds:uri="http://schemas.openxmlformats.org/package/2006/metadata/core-properties"/>
    <ds:schemaRef ds:uri="5fb768c7-2ea3-4cc2-86d7-af86dacafc4c"/>
  </ds:schemaRefs>
</ds:datastoreItem>
</file>

<file path=customXml/itemProps2.xml><?xml version="1.0" encoding="utf-8"?>
<ds:datastoreItem xmlns:ds="http://schemas.openxmlformats.org/officeDocument/2006/customXml" ds:itemID="{0309584C-8C66-4BC8-99A1-74BAFF0DCA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b768c7-2ea3-4cc2-86d7-af86dacafc4c"/>
    <ds:schemaRef ds:uri="d3717848-712e-47d8-aac7-ea0f1de9a2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4.xml><?xml version="1.0" encoding="utf-8"?>
<ds:datastoreItem xmlns:ds="http://schemas.openxmlformats.org/officeDocument/2006/customXml" ds:itemID="{8787422A-65A2-436A-8417-C3D795576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 Template.dotx</Template>
  <TotalTime>0</TotalTime>
  <Pages>19</Pages>
  <Words>5023</Words>
  <Characters>28632</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Report Template</vt:lpstr>
    </vt:vector>
  </TitlesOfParts>
  <Company/>
  <LinksUpToDate>false</LinksUpToDate>
  <CharactersWithSpaces>33588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Template</dc:title>
  <dc:subject/>
  <dc:creator/>
  <cp:keywords/>
  <dc:description/>
  <cp:lastModifiedBy/>
  <cp:revision>1</cp:revision>
  <dcterms:created xsi:type="dcterms:W3CDTF">2021-01-18T04:53:00Z</dcterms:created>
  <dcterms:modified xsi:type="dcterms:W3CDTF">2021-01-19T02:08:00Z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0x0101004F095AB11619224FBD5717FB31733AAC</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ies>
</file>