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38EB3" w14:textId="77777777" w:rsidR="00346B6A" w:rsidRPr="007014C2" w:rsidRDefault="00346B6A" w:rsidP="00346B6A">
      <w:pPr>
        <w:pStyle w:val="Heading1"/>
        <w:spacing w:before="120"/>
        <w:rPr>
          <w:b w:val="0"/>
          <w:bCs w:val="0"/>
          <w:sz w:val="32"/>
          <w:szCs w:val="32"/>
        </w:rPr>
      </w:pPr>
      <w:r w:rsidRPr="007014C2">
        <w:rPr>
          <w:bCs w:val="0"/>
          <w:sz w:val="32"/>
          <w:szCs w:val="32"/>
        </w:rPr>
        <w:t>2005 Eğitimi için Engellilik Standartları 2020 Değerlendirme Özeti</w:t>
      </w:r>
    </w:p>
    <w:p w14:paraId="78F66182" w14:textId="77777777" w:rsidR="00346B6A" w:rsidRPr="00F24A0A" w:rsidRDefault="00346B6A" w:rsidP="00346B6A">
      <w:pPr>
        <w:rPr>
          <w:rFonts w:cs="Calibri"/>
          <w:sz w:val="20"/>
          <w:szCs w:val="20"/>
          <w:lang w:val="tr-TR"/>
        </w:rPr>
      </w:pPr>
      <w:r w:rsidRPr="00F24A0A">
        <w:rPr>
          <w:rFonts w:cs="Calibri"/>
          <w:sz w:val="20"/>
          <w:szCs w:val="20"/>
          <w:lang w:val="tr-TR"/>
        </w:rPr>
        <w:t>2020 de Avustralya Hükümeti 2005 Engellilik Standartları Değer</w:t>
      </w:r>
      <w:r>
        <w:rPr>
          <w:rFonts w:cs="Calibri"/>
          <w:sz w:val="20"/>
          <w:szCs w:val="20"/>
          <w:lang w:val="tr-TR"/>
        </w:rPr>
        <w:t>lendirmesini gözden geçirmiştir</w:t>
      </w:r>
      <w:r w:rsidRPr="00F24A0A">
        <w:rPr>
          <w:rFonts w:cs="Calibri"/>
          <w:sz w:val="20"/>
          <w:szCs w:val="20"/>
          <w:lang w:val="tr-TR"/>
        </w:rPr>
        <w:t xml:space="preserve"> (Standartlar). Standartlar engelli olan öğrecilerin </w:t>
      </w:r>
      <w:r w:rsidRPr="00F24A0A">
        <w:rPr>
          <w:rFonts w:cs="Calibri"/>
          <w:bCs/>
          <w:sz w:val="20"/>
          <w:szCs w:val="20"/>
          <w:lang w:val="tr-TR"/>
        </w:rPr>
        <w:t>eğitime tıpkı Engelli olmayan öğrenciler gibi giriş ve katılım yapabilmesini sağlamaktadır. Buna,</w:t>
      </w:r>
      <w:r w:rsidRPr="00F24A0A">
        <w:rPr>
          <w:rFonts w:cs="Calibri"/>
          <w:sz w:val="20"/>
          <w:szCs w:val="20"/>
          <w:lang w:val="tr-TR"/>
        </w:rPr>
        <w:t xml:space="preserve"> okul önces</w:t>
      </w:r>
      <w:r>
        <w:rPr>
          <w:rFonts w:cs="Calibri"/>
          <w:sz w:val="20"/>
          <w:szCs w:val="20"/>
          <w:lang w:val="tr-TR"/>
        </w:rPr>
        <w:t>i, okul</w:t>
      </w:r>
      <w:r w:rsidRPr="00F24A0A">
        <w:rPr>
          <w:rFonts w:cs="Calibri"/>
          <w:sz w:val="20"/>
          <w:szCs w:val="20"/>
          <w:lang w:val="tr-TR"/>
        </w:rPr>
        <w:t xml:space="preserve"> ve anaokulu, hükümet okulları ve özel okullar, Teknik ve İleri Eğitim (TAFE) görevlileri ve yüksek</w:t>
      </w:r>
      <w:r>
        <w:rPr>
          <w:rFonts w:cs="Calibri"/>
          <w:sz w:val="20"/>
          <w:szCs w:val="20"/>
          <w:lang w:val="tr-TR"/>
        </w:rPr>
        <w:t xml:space="preserve"> eğitim kurumlarıda dahildir.</w:t>
      </w:r>
      <w:r w:rsidRPr="00F24A0A">
        <w:rPr>
          <w:rFonts w:cs="Calibri"/>
          <w:sz w:val="20"/>
          <w:szCs w:val="20"/>
          <w:lang w:val="tr-TR"/>
        </w:rPr>
        <w:t xml:space="preserve"> Standartlar </w:t>
      </w:r>
      <w:r w:rsidRPr="00F24A0A">
        <w:rPr>
          <w:rFonts w:cs="Calibri"/>
          <w:i/>
          <w:iCs/>
          <w:sz w:val="20"/>
          <w:szCs w:val="20"/>
          <w:lang w:val="tr-TR"/>
        </w:rPr>
        <w:t>Engellilik Ayrımcılık 1992 Yasası</w:t>
      </w:r>
      <w:r w:rsidRPr="00F24A0A">
        <w:rPr>
          <w:rFonts w:cs="Calibri"/>
          <w:sz w:val="20"/>
          <w:szCs w:val="20"/>
          <w:lang w:val="tr-TR"/>
        </w:rPr>
        <w:t xml:space="preserve"> altındaki sorumlulukları eğitim görevlilerine açıklamaktadır.</w:t>
      </w:r>
    </w:p>
    <w:p w14:paraId="1F07BB6E" w14:textId="77777777" w:rsidR="00346B6A" w:rsidRPr="00F24A0A" w:rsidRDefault="00346B6A" w:rsidP="00346B6A">
      <w:pPr>
        <w:rPr>
          <w:rFonts w:cs="Calibri"/>
          <w:sz w:val="20"/>
          <w:szCs w:val="20"/>
          <w:lang w:val="tr-TR"/>
        </w:rPr>
      </w:pPr>
      <w:r w:rsidRPr="00F24A0A">
        <w:rPr>
          <w:rFonts w:cs="Calibri"/>
          <w:sz w:val="20"/>
          <w:szCs w:val="20"/>
          <w:lang w:val="tr-TR"/>
        </w:rPr>
        <w:t>Standarların 2020 değerlendirmesi esnasında engelli öğrencilerden, ailelerinden, bakıcılarından ve engelli taraftarı gruplardan haberler aldık. Ayrıca eğitimcilerden, eğitim görevlilerinden haberler aldık. Değerlendirme Aborjin ve Torres Strait Adalı öğren</w:t>
      </w:r>
      <w:r>
        <w:rPr>
          <w:rFonts w:cs="Calibri"/>
          <w:sz w:val="20"/>
          <w:szCs w:val="20"/>
          <w:lang w:val="tr-TR"/>
        </w:rPr>
        <w:t>cilerin</w:t>
      </w:r>
      <w:r w:rsidRPr="00F24A0A">
        <w:rPr>
          <w:rFonts w:cs="Calibri"/>
          <w:sz w:val="20"/>
          <w:szCs w:val="20"/>
          <w:lang w:val="tr-TR"/>
        </w:rPr>
        <w:t xml:space="preserve"> ve ailelerinin deneyimleri üzerine odaklıydı.</w:t>
      </w:r>
    </w:p>
    <w:p w14:paraId="06AE208A" w14:textId="77777777" w:rsidR="00346B6A" w:rsidRPr="00F24A0A" w:rsidRDefault="00346B6A" w:rsidP="00346B6A">
      <w:pPr>
        <w:spacing w:line="240" w:lineRule="auto"/>
        <w:rPr>
          <w:rFonts w:cs="Calibri"/>
          <w:sz w:val="20"/>
          <w:szCs w:val="20"/>
          <w:lang w:val="tr-TR"/>
        </w:rPr>
      </w:pPr>
      <w:r w:rsidRPr="00F24A0A">
        <w:rPr>
          <w:rFonts w:cs="Calibri"/>
          <w:sz w:val="20"/>
          <w:szCs w:val="20"/>
          <w:lang w:val="tr-TR"/>
        </w:rPr>
        <w:t>Standartların bazı bölümlerinin değişmesi gerektiğini ve daha fazla insanın Standartları anlaması ve bilmesi gerektiğini öğrendik. Standartlara uygun davranılmasını sağlamamız gerektiğini de öğrendik. Değişim yapılacak olan dört alan aşağıda açıklanmıştır.</w:t>
      </w:r>
    </w:p>
    <w:p w14:paraId="6122FCBD" w14:textId="77777777" w:rsidR="00346B6A" w:rsidRPr="007014C2" w:rsidRDefault="00346B6A" w:rsidP="00346B6A">
      <w:pPr>
        <w:pStyle w:val="Heading2"/>
        <w:spacing w:before="120"/>
      </w:pPr>
      <w:r w:rsidRPr="007014C2">
        <w:t>Engelli öğrencilere ve ailelerine destek ve yetki verme</w:t>
      </w:r>
    </w:p>
    <w:p w14:paraId="6D65363B" w14:textId="7637B412" w:rsidR="00A947DF" w:rsidRDefault="00346B6A" w:rsidP="00346B6A">
      <w:pPr>
        <w:pStyle w:val="ListBullet"/>
        <w:numPr>
          <w:ilvl w:val="0"/>
          <w:numId w:val="0"/>
        </w:numPr>
        <w:spacing w:before="0" w:after="0" w:line="240" w:lineRule="auto"/>
        <w:rPr>
          <w:sz w:val="20"/>
          <w:szCs w:val="20"/>
          <w:lang w:val="tr-TR"/>
        </w:rPr>
      </w:pPr>
      <w:r w:rsidRPr="00F24A0A">
        <w:rPr>
          <w:sz w:val="20"/>
          <w:szCs w:val="20"/>
          <w:lang w:val="tr-TR"/>
        </w:rPr>
        <w:t>Engelli öğrencilerin aileleri ve bakıcıları bize, kendileri ve eğitim görevlileriyle aralarında güç dengesizliği olduğunu söylediler. Makul düzenlemeler taraftarı olabilmek için kanunları ve eğitim sistemini anlamak kendilerinin görevi olduğunu düşünüyorlardı.</w:t>
      </w:r>
    </w:p>
    <w:p w14:paraId="52040582" w14:textId="77777777" w:rsidR="00346B6A" w:rsidRPr="00BE3FAA" w:rsidRDefault="00346B6A" w:rsidP="00346B6A">
      <w:pPr>
        <w:pStyle w:val="ListBullet"/>
        <w:numPr>
          <w:ilvl w:val="0"/>
          <w:numId w:val="0"/>
        </w:numPr>
        <w:spacing w:before="0" w:after="0" w:line="240" w:lineRule="auto"/>
        <w:rPr>
          <w:rFonts w:cstheme="minorHAnsi"/>
          <w:b/>
          <w:sz w:val="12"/>
          <w:szCs w:val="12"/>
        </w:rPr>
      </w:pPr>
    </w:p>
    <w:tbl>
      <w:tblPr>
        <w:tblStyle w:val="TableGridLight"/>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835"/>
        <w:gridCol w:w="7371"/>
      </w:tblGrid>
      <w:tr w:rsidR="00780837" w:rsidRPr="00BE3FAA" w14:paraId="14B8838E" w14:textId="77777777" w:rsidTr="00425896">
        <w:tc>
          <w:tcPr>
            <w:tcW w:w="2835"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2E74B5" w:themeFill="accent5" w:themeFillShade="BF"/>
          </w:tcPr>
          <w:p w14:paraId="3A05E9A3" w14:textId="79BD45CA" w:rsidR="00780837" w:rsidRPr="00BE3FAA" w:rsidRDefault="00346B6A">
            <w:pPr>
              <w:pStyle w:val="ListBullet"/>
              <w:numPr>
                <w:ilvl w:val="0"/>
                <w:numId w:val="0"/>
              </w:numPr>
              <w:spacing w:before="0" w:after="0" w:line="240" w:lineRule="auto"/>
              <w:jc w:val="center"/>
              <w:rPr>
                <w:b/>
                <w:bCs/>
                <w:color w:val="FFFFFF" w:themeColor="background1"/>
                <w:sz w:val="24"/>
                <w:szCs w:val="24"/>
              </w:rPr>
            </w:pPr>
            <w:r w:rsidRPr="007014C2">
              <w:rPr>
                <w:b/>
                <w:bCs/>
                <w:color w:val="FFFFFF" w:themeColor="background1"/>
                <w:sz w:val="24"/>
                <w:szCs w:val="24"/>
              </w:rPr>
              <w:t>Neler değişecekdeğişecek</w:t>
            </w:r>
          </w:p>
        </w:tc>
        <w:tc>
          <w:tcPr>
            <w:tcW w:w="7371"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8479"/>
          </w:tcPr>
          <w:p w14:paraId="496A7933" w14:textId="25E1710D" w:rsidR="00780837" w:rsidRPr="00BE3FAA" w:rsidRDefault="00346B6A">
            <w:pPr>
              <w:pStyle w:val="ListBullet"/>
              <w:numPr>
                <w:ilvl w:val="0"/>
                <w:numId w:val="0"/>
              </w:numPr>
              <w:spacing w:before="0" w:after="0" w:line="240" w:lineRule="auto"/>
              <w:jc w:val="center"/>
              <w:rPr>
                <w:b/>
                <w:bCs/>
                <w:color w:val="FFFFFF" w:themeColor="background1"/>
                <w:sz w:val="24"/>
                <w:szCs w:val="24"/>
              </w:rPr>
            </w:pPr>
            <w:r w:rsidRPr="007014C2">
              <w:rPr>
                <w:b/>
                <w:bCs/>
                <w:color w:val="FFFFFF" w:themeColor="background1"/>
                <w:sz w:val="24"/>
                <w:szCs w:val="24"/>
              </w:rPr>
              <w:t>Ne şekilde yapacağız</w:t>
            </w:r>
          </w:p>
        </w:tc>
      </w:tr>
      <w:tr w:rsidR="00124DFF" w:rsidRPr="00BE3FAA" w14:paraId="622099E4" w14:textId="77777777" w:rsidTr="00EB1B13">
        <w:tc>
          <w:tcPr>
            <w:tcW w:w="2835" w:type="dxa"/>
            <w:tcBorders>
              <w:left w:val="single" w:sz="4" w:space="0" w:color="808080" w:themeColor="background1" w:themeShade="80"/>
              <w:bottom w:val="single" w:sz="4" w:space="0" w:color="808080" w:themeColor="background1" w:themeShade="80"/>
            </w:tcBorders>
            <w:shd w:val="clear" w:color="auto" w:fill="F2F2F2" w:themeFill="background1" w:themeFillShade="F2"/>
          </w:tcPr>
          <w:p w14:paraId="2882A040" w14:textId="6E212BA4" w:rsidR="00766DE5" w:rsidRPr="00BE3FAA" w:rsidRDefault="00346B6A" w:rsidP="00804CB6">
            <w:pPr>
              <w:pStyle w:val="ListBullet"/>
              <w:numPr>
                <w:ilvl w:val="0"/>
                <w:numId w:val="0"/>
              </w:numPr>
              <w:spacing w:before="0" w:after="0" w:line="240" w:lineRule="auto"/>
              <w:rPr>
                <w:rFonts w:cstheme="minorHAnsi"/>
                <w:b/>
              </w:rPr>
            </w:pPr>
            <w:r w:rsidRPr="007014C2">
              <w:rPr>
                <w:b/>
                <w:bCs/>
                <w:color w:val="2F5496" w:themeColor="accent1" w:themeShade="BF"/>
              </w:rPr>
              <w:t>Engelli</w:t>
            </w:r>
            <w:r w:rsidRPr="00547ED7">
              <w:rPr>
                <w:color w:val="5B9BD5" w:themeColor="accent5"/>
                <w:lang w:val="tr-TR"/>
              </w:rPr>
              <w:t xml:space="preserve"> </w:t>
            </w:r>
            <w:r w:rsidRPr="007014C2">
              <w:rPr>
                <w:b/>
                <w:bCs/>
                <w:color w:val="2F5496" w:themeColor="accent1" w:themeShade="BF"/>
              </w:rPr>
              <w:t>öğrencilere ve ailelerine bilgi</w:t>
            </w:r>
          </w:p>
        </w:tc>
        <w:tc>
          <w:tcPr>
            <w:tcW w:w="7371" w:type="dxa"/>
            <w:tcBorders>
              <w:bottom w:val="single" w:sz="4" w:space="0" w:color="808080" w:themeColor="background1" w:themeShade="80"/>
              <w:right w:val="single" w:sz="4" w:space="0" w:color="808080" w:themeColor="background1" w:themeShade="80"/>
            </w:tcBorders>
          </w:tcPr>
          <w:p w14:paraId="18B13AB6" w14:textId="77777777" w:rsidR="00346B6A" w:rsidRDefault="00346B6A" w:rsidP="00346B6A">
            <w:pPr>
              <w:pStyle w:val="ListParagraph"/>
              <w:numPr>
                <w:ilvl w:val="0"/>
                <w:numId w:val="2"/>
              </w:numPr>
              <w:spacing w:before="0" w:after="0" w:line="240" w:lineRule="auto"/>
              <w:ind w:left="447"/>
              <w:rPr>
                <w:lang w:val="tr-TR"/>
              </w:rPr>
            </w:pPr>
            <w:r>
              <w:rPr>
                <w:lang w:val="tr-TR"/>
              </w:rPr>
              <w:t>Engelli öğrencilerin haklarını anlatan standartların bilgi ürünlerini geliştirebilmek için engelli insanlarla çalışmak</w:t>
            </w:r>
          </w:p>
          <w:p w14:paraId="364A796A" w14:textId="62262045" w:rsidR="00A947DF" w:rsidRPr="00BE3FAA" w:rsidRDefault="00346B6A" w:rsidP="00346B6A">
            <w:pPr>
              <w:pStyle w:val="ListBullet"/>
              <w:numPr>
                <w:ilvl w:val="0"/>
                <w:numId w:val="2"/>
              </w:numPr>
              <w:spacing w:before="0" w:after="0" w:line="240" w:lineRule="auto"/>
              <w:ind w:left="447"/>
              <w:rPr>
                <w:rFonts w:cstheme="minorHAnsi"/>
                <w:b/>
              </w:rPr>
            </w:pPr>
            <w:r>
              <w:rPr>
                <w:lang w:val="tr-TR"/>
              </w:rPr>
              <w:t>Bu bilgilerin öğrencilerin hayatlarının geçerli noktasında, öğrencilere ve ailelerine iletilmiş olduğundan emin olmak.</w:t>
            </w:r>
          </w:p>
        </w:tc>
      </w:tr>
      <w:tr w:rsidR="00141E61" w:rsidRPr="00BE3FAA" w14:paraId="1B6B2AE0" w14:textId="77777777" w:rsidTr="00EB1B13">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17BCBD7C" w14:textId="4AC2360B" w:rsidR="00766DE5" w:rsidRPr="00BE3FAA" w:rsidRDefault="00346B6A" w:rsidP="00804CB6">
            <w:pPr>
              <w:pStyle w:val="ListBullet"/>
              <w:numPr>
                <w:ilvl w:val="0"/>
                <w:numId w:val="0"/>
              </w:numPr>
              <w:spacing w:before="0" w:after="0" w:line="240" w:lineRule="auto"/>
              <w:rPr>
                <w:rFonts w:cstheme="minorHAnsi"/>
                <w:b/>
              </w:rPr>
            </w:pPr>
            <w:r w:rsidRPr="007014C2">
              <w:rPr>
                <w:b/>
                <w:bCs/>
                <w:color w:val="2F5496" w:themeColor="accent1" w:themeShade="BF"/>
              </w:rPr>
              <w:t>Engelli öğrencilerle ve aileleriyle, sorunları ve şikayetleri idare edebilmek için belirgin danışma kuralları</w:t>
            </w:r>
          </w:p>
        </w:tc>
        <w:tc>
          <w:tcPr>
            <w:tcW w:w="7371"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4DA7F48" w14:textId="77777777" w:rsidR="00346B6A" w:rsidRDefault="00346B6A" w:rsidP="00346B6A">
            <w:pPr>
              <w:pStyle w:val="ListParagraph"/>
              <w:numPr>
                <w:ilvl w:val="0"/>
                <w:numId w:val="20"/>
              </w:numPr>
              <w:spacing w:before="0" w:after="0" w:line="240" w:lineRule="auto"/>
              <w:ind w:left="447"/>
              <w:rPr>
                <w:lang w:val="tr-TR"/>
              </w:rPr>
            </w:pPr>
            <w:r>
              <w:rPr>
                <w:lang w:val="tr-TR"/>
              </w:rPr>
              <w:t>Eğitim görevlilerinin aşağıdakileri açıklayabilmeleri için standartları değiştirme:</w:t>
            </w:r>
          </w:p>
          <w:p w14:paraId="0D51B3BE" w14:textId="77777777" w:rsidR="00346B6A" w:rsidRDefault="00346B6A" w:rsidP="00346B6A">
            <w:pPr>
              <w:pStyle w:val="ListParagraph"/>
              <w:numPr>
                <w:ilvl w:val="0"/>
                <w:numId w:val="21"/>
              </w:numPr>
              <w:spacing w:before="0" w:after="0" w:line="240" w:lineRule="auto"/>
              <w:ind w:left="873"/>
              <w:rPr>
                <w:lang w:val="tr-TR"/>
              </w:rPr>
            </w:pPr>
            <w:r>
              <w:rPr>
                <w:lang w:val="tr-TR"/>
              </w:rPr>
              <w:t>Engelli öğrenciler ve aileleriyle ihtiyaçları olan desteği ve düzenlemeleri danışma</w:t>
            </w:r>
          </w:p>
          <w:p w14:paraId="3EBE08FA" w14:textId="1269378C" w:rsidR="00A947DF" w:rsidRPr="00BE3FAA" w:rsidRDefault="00346B6A" w:rsidP="00346B6A">
            <w:pPr>
              <w:pStyle w:val="ListBullet"/>
              <w:numPr>
                <w:ilvl w:val="0"/>
                <w:numId w:val="10"/>
              </w:numPr>
              <w:spacing w:before="0" w:after="0" w:line="240" w:lineRule="auto"/>
              <w:ind w:left="873"/>
              <w:rPr>
                <w:rFonts w:cstheme="minorHAnsi"/>
                <w:b/>
              </w:rPr>
            </w:pPr>
            <w:r>
              <w:rPr>
                <w:lang w:val="tr-TR"/>
              </w:rPr>
              <w:t>Engelli öğrencilere ait şikayetleri ve sorunları idare.</w:t>
            </w:r>
          </w:p>
        </w:tc>
      </w:tr>
      <w:tr w:rsidR="00766DE5" w:rsidRPr="00BE3FAA" w14:paraId="63FAB9AA" w14:textId="77777777" w:rsidTr="00EB1B13">
        <w:trPr>
          <w:trHeight w:val="25"/>
        </w:trPr>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795894DC" w14:textId="168BF5EC" w:rsidR="00766DE5" w:rsidRPr="00BE3FAA" w:rsidRDefault="00346B6A" w:rsidP="00804CB6">
            <w:pPr>
              <w:pStyle w:val="ListBullet"/>
              <w:numPr>
                <w:ilvl w:val="0"/>
                <w:numId w:val="0"/>
              </w:numPr>
              <w:spacing w:before="0" w:after="0" w:line="240" w:lineRule="auto"/>
              <w:rPr>
                <w:rFonts w:cstheme="minorHAnsi"/>
                <w:b/>
              </w:rPr>
            </w:pPr>
            <w:r w:rsidRPr="007014C2">
              <w:rPr>
                <w:b/>
                <w:bCs/>
                <w:color w:val="2F5496" w:themeColor="accent1" w:themeShade="BF"/>
              </w:rPr>
              <w:t>Öğrenciler okul değiştiğinde bilgi paylaşımı</w:t>
            </w:r>
          </w:p>
        </w:tc>
        <w:tc>
          <w:tcPr>
            <w:tcW w:w="7371"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653B2AF" w14:textId="7B0C6B88" w:rsidR="00766DE5" w:rsidRPr="00BE3FAA" w:rsidRDefault="00346B6A" w:rsidP="00804CB6">
            <w:pPr>
              <w:pStyle w:val="ListBullet"/>
              <w:numPr>
                <w:ilvl w:val="0"/>
                <w:numId w:val="4"/>
              </w:numPr>
              <w:spacing w:before="0" w:after="0" w:line="240" w:lineRule="auto"/>
              <w:ind w:left="319" w:hanging="284"/>
              <w:rPr>
                <w:rFonts w:cstheme="minorHAnsi"/>
                <w:b/>
              </w:rPr>
            </w:pPr>
            <w:r>
              <w:rPr>
                <w:lang w:val="tr-TR"/>
              </w:rPr>
              <w:t>Bir okuldan diğer bir okula veya yüksek okula yada eğitime başladığında, öğrencinin ihtiyaçlarıyla ilgili geçerli bilgilerin nasıl transfer edilebileceğini araştırmak.</w:t>
            </w:r>
          </w:p>
        </w:tc>
      </w:tr>
    </w:tbl>
    <w:p w14:paraId="66E815AC" w14:textId="77777777" w:rsidR="00346B6A" w:rsidRPr="007014C2" w:rsidRDefault="00346B6A" w:rsidP="00346B6A">
      <w:pPr>
        <w:spacing w:line="240" w:lineRule="auto"/>
        <w:rPr>
          <w:rFonts w:asciiTheme="majorHAnsi" w:eastAsiaTheme="majorEastAsia" w:hAnsiTheme="majorHAnsi" w:cstheme="majorBidi"/>
          <w:b/>
          <w:bCs/>
          <w:color w:val="29608C"/>
          <w:sz w:val="28"/>
          <w:szCs w:val="28"/>
        </w:rPr>
      </w:pPr>
      <w:r w:rsidRPr="007014C2">
        <w:rPr>
          <w:rFonts w:asciiTheme="majorHAnsi" w:eastAsiaTheme="majorEastAsia" w:hAnsiTheme="majorHAnsi" w:cstheme="majorBidi"/>
          <w:b/>
          <w:bCs/>
          <w:color w:val="29608C"/>
          <w:sz w:val="28"/>
          <w:szCs w:val="28"/>
        </w:rPr>
        <w:t>Eğitimcilerin ve eğitım görevlilerinin bilgilerini ve yeteneklerini güçlendirmesi</w:t>
      </w:r>
    </w:p>
    <w:p w14:paraId="4D379A9A" w14:textId="70944AE9" w:rsidR="003602B3" w:rsidRPr="00BE3FAA" w:rsidRDefault="00346B6A" w:rsidP="00346B6A">
      <w:pPr>
        <w:pStyle w:val="ListBullet"/>
        <w:numPr>
          <w:ilvl w:val="0"/>
          <w:numId w:val="0"/>
        </w:numPr>
        <w:spacing w:before="0" w:line="240" w:lineRule="auto"/>
        <w:rPr>
          <w:rFonts w:cstheme="minorHAnsi"/>
          <w:bCs/>
        </w:rPr>
      </w:pPr>
      <w:r>
        <w:rPr>
          <w:lang w:val="tr-TR"/>
        </w:rPr>
        <w:t>İnsanlar bize birçok eğitimcinin Standartlar altındaki sorumluluklarından haberleri olmadığını veya bunların uygulamaya geçirilmesi için ihtiyaç olan bilgiden yoksun oldukarını söylediler. Engelli öğrencilerin eğitimcileri ve eğitim görevlilerinin Standartlar konusunda bilgileri olduğu ve bu bilgileri uygulamayı bildiklerinde engelli öğrencilerin daha iyi deneyimleri olduğu görüldü.</w:t>
      </w:r>
    </w:p>
    <w:p w14:paraId="593A006D" w14:textId="77777777" w:rsidR="009578FF" w:rsidRPr="00BE3FAA" w:rsidRDefault="009578FF" w:rsidP="001973A7">
      <w:pPr>
        <w:pStyle w:val="ListBullet"/>
        <w:numPr>
          <w:ilvl w:val="0"/>
          <w:numId w:val="0"/>
        </w:numPr>
        <w:spacing w:before="0" w:line="240" w:lineRule="auto"/>
        <w:rPr>
          <w:rFonts w:cstheme="minorHAnsi"/>
          <w:bCs/>
          <w:sz w:val="12"/>
          <w:szCs w:val="12"/>
        </w:rPr>
      </w:pPr>
    </w:p>
    <w:tbl>
      <w:tblPr>
        <w:tblStyle w:val="TableGridLight"/>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835"/>
        <w:gridCol w:w="7371"/>
      </w:tblGrid>
      <w:tr w:rsidR="00780837" w:rsidRPr="00BE3FAA" w14:paraId="373BAC4B" w14:textId="77777777" w:rsidTr="00425896">
        <w:tc>
          <w:tcPr>
            <w:tcW w:w="2835"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2E74B5" w:themeFill="accent5" w:themeFillShade="BF"/>
          </w:tcPr>
          <w:p w14:paraId="02789E91" w14:textId="2C8295D4" w:rsidR="00780837" w:rsidRPr="00BE3FAA" w:rsidRDefault="00346B6A" w:rsidP="00A024B3">
            <w:pPr>
              <w:pStyle w:val="ListBullet"/>
              <w:numPr>
                <w:ilvl w:val="0"/>
                <w:numId w:val="0"/>
              </w:numPr>
              <w:spacing w:before="0" w:after="0" w:line="240" w:lineRule="auto"/>
              <w:ind w:left="284" w:hanging="284"/>
              <w:jc w:val="center"/>
              <w:rPr>
                <w:b/>
                <w:bCs/>
                <w:color w:val="FFFFFF" w:themeColor="background1"/>
                <w:sz w:val="24"/>
                <w:szCs w:val="24"/>
              </w:rPr>
            </w:pPr>
            <w:r w:rsidRPr="007014C2">
              <w:rPr>
                <w:b/>
                <w:bCs/>
                <w:color w:val="FFFFFF" w:themeColor="background1"/>
                <w:sz w:val="24"/>
                <w:szCs w:val="24"/>
              </w:rPr>
              <w:t>Neler</w:t>
            </w:r>
            <w:r w:rsidRPr="00F64931">
              <w:rPr>
                <w:lang w:val="tr-TR"/>
              </w:rPr>
              <w:t xml:space="preserve"> </w:t>
            </w:r>
            <w:r w:rsidRPr="007014C2">
              <w:rPr>
                <w:b/>
                <w:bCs/>
                <w:color w:val="FFFFFF" w:themeColor="background1"/>
                <w:sz w:val="24"/>
                <w:szCs w:val="24"/>
              </w:rPr>
              <w:t>değişecek</w:t>
            </w:r>
          </w:p>
        </w:tc>
        <w:tc>
          <w:tcPr>
            <w:tcW w:w="7371"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8479"/>
          </w:tcPr>
          <w:p w14:paraId="0D98BA9C" w14:textId="45C965FA" w:rsidR="00780837" w:rsidRPr="00BE3FAA" w:rsidRDefault="00346B6A" w:rsidP="00A024B3">
            <w:pPr>
              <w:pStyle w:val="ListBullet"/>
              <w:numPr>
                <w:ilvl w:val="0"/>
                <w:numId w:val="0"/>
              </w:numPr>
              <w:spacing w:before="0" w:after="0" w:line="240" w:lineRule="auto"/>
              <w:ind w:left="284" w:hanging="284"/>
              <w:jc w:val="center"/>
              <w:rPr>
                <w:b/>
                <w:bCs/>
                <w:color w:val="FFFFFF" w:themeColor="background1"/>
                <w:sz w:val="24"/>
                <w:szCs w:val="24"/>
              </w:rPr>
            </w:pPr>
            <w:r w:rsidRPr="007014C2">
              <w:rPr>
                <w:b/>
                <w:bCs/>
                <w:color w:val="FFFFFF" w:themeColor="background1"/>
                <w:sz w:val="24"/>
                <w:szCs w:val="24"/>
              </w:rPr>
              <w:t>Ne şekilde yapacağız</w:t>
            </w:r>
          </w:p>
        </w:tc>
      </w:tr>
      <w:tr w:rsidR="00346B6A" w:rsidRPr="00BE3FAA" w14:paraId="3F2539FB" w14:textId="77777777" w:rsidTr="00EB3F5D">
        <w:tc>
          <w:tcPr>
            <w:tcW w:w="2835" w:type="dxa"/>
            <w:tcBorders>
              <w:left w:val="single" w:sz="4" w:space="0" w:color="808080" w:themeColor="background1" w:themeShade="80"/>
              <w:bottom w:val="single" w:sz="4" w:space="0" w:color="808080" w:themeColor="background1" w:themeShade="80"/>
            </w:tcBorders>
            <w:shd w:val="clear" w:color="auto" w:fill="F2F2F2" w:themeFill="background1" w:themeFillShade="F2"/>
          </w:tcPr>
          <w:p w14:paraId="074D86E0" w14:textId="0AA4F458" w:rsidR="00346B6A" w:rsidRPr="00BE3FAA" w:rsidRDefault="00346B6A" w:rsidP="00346B6A">
            <w:pPr>
              <w:pStyle w:val="ListBullet"/>
              <w:numPr>
                <w:ilvl w:val="0"/>
                <w:numId w:val="0"/>
              </w:numPr>
              <w:spacing w:before="0" w:after="0" w:line="240" w:lineRule="auto"/>
              <w:rPr>
                <w:rFonts w:cstheme="minorHAnsi"/>
                <w:b/>
              </w:rPr>
            </w:pPr>
            <w:r w:rsidRPr="007014C2">
              <w:rPr>
                <w:b/>
                <w:bCs/>
                <w:color w:val="2F5496" w:themeColor="accent1" w:themeShade="BF"/>
              </w:rPr>
              <w:t>Eğitim görevlileri için bilgi</w:t>
            </w:r>
          </w:p>
        </w:tc>
        <w:tc>
          <w:tcPr>
            <w:tcW w:w="7371" w:type="dxa"/>
            <w:tcBorders>
              <w:bottom w:val="single" w:sz="4" w:space="0" w:color="808080" w:themeColor="background1" w:themeShade="80"/>
              <w:right w:val="single" w:sz="4" w:space="0" w:color="808080" w:themeColor="background1" w:themeShade="80"/>
            </w:tcBorders>
          </w:tcPr>
          <w:p w14:paraId="53B016FD" w14:textId="77777777" w:rsidR="00346B6A" w:rsidRDefault="00346B6A" w:rsidP="00007050">
            <w:pPr>
              <w:pStyle w:val="ListParagraph"/>
              <w:numPr>
                <w:ilvl w:val="0"/>
                <w:numId w:val="19"/>
              </w:numPr>
              <w:spacing w:before="0" w:after="0" w:line="240" w:lineRule="auto"/>
              <w:ind w:left="321" w:hanging="284"/>
              <w:rPr>
                <w:lang w:val="tr-TR"/>
              </w:rPr>
            </w:pPr>
            <w:r>
              <w:rPr>
                <w:lang w:val="tr-TR"/>
              </w:rPr>
              <w:t>Standartlar üzerinde eğitim görevlilerinin sorumluluklarını anlatan bilgi ürünlerini geliştirmek.</w:t>
            </w:r>
          </w:p>
          <w:p w14:paraId="4BE8DAF8" w14:textId="256ED2C3" w:rsidR="00346B6A" w:rsidRPr="00BE3FAA" w:rsidRDefault="00346B6A" w:rsidP="00007050">
            <w:pPr>
              <w:pStyle w:val="ListBullet"/>
              <w:numPr>
                <w:ilvl w:val="0"/>
                <w:numId w:val="2"/>
              </w:numPr>
              <w:spacing w:before="0" w:after="0" w:line="240" w:lineRule="auto"/>
              <w:ind w:left="321" w:hanging="284"/>
              <w:rPr>
                <w:rFonts w:cstheme="minorHAnsi"/>
                <w:b/>
              </w:rPr>
            </w:pPr>
            <w:r>
              <w:rPr>
                <w:lang w:val="tr-TR"/>
              </w:rPr>
              <w:t>Engelli öğrencileri destekleme konusunda güzel tatbikat örnekleri sunmak.</w:t>
            </w:r>
          </w:p>
        </w:tc>
      </w:tr>
      <w:tr w:rsidR="00346B6A" w:rsidRPr="00BE3FAA" w14:paraId="29B5EDBF" w14:textId="77777777" w:rsidTr="00EB3F5D">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122E1C84" w14:textId="7943E494" w:rsidR="00346B6A" w:rsidRPr="00BE3FAA" w:rsidRDefault="00346B6A" w:rsidP="00346B6A">
            <w:pPr>
              <w:pStyle w:val="ListBullet"/>
              <w:numPr>
                <w:ilvl w:val="0"/>
                <w:numId w:val="0"/>
              </w:numPr>
              <w:spacing w:before="0" w:after="0" w:line="240" w:lineRule="auto"/>
              <w:rPr>
                <w:rFonts w:cstheme="minorHAnsi"/>
                <w:b/>
              </w:rPr>
            </w:pPr>
            <w:r w:rsidRPr="007014C2">
              <w:rPr>
                <w:b/>
                <w:bCs/>
                <w:color w:val="2F5496" w:themeColor="accent1" w:themeShade="BF"/>
              </w:rPr>
              <w:t>Okul öğretmenleri ve liderler için Standartlar üzerine eğitim</w:t>
            </w:r>
          </w:p>
        </w:tc>
        <w:tc>
          <w:tcPr>
            <w:tcW w:w="7371"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E1FEC37" w14:textId="158551CF" w:rsidR="00346B6A" w:rsidRPr="003937D7" w:rsidRDefault="00346B6A" w:rsidP="00346B6A">
            <w:pPr>
              <w:pStyle w:val="ListBullet"/>
              <w:numPr>
                <w:ilvl w:val="0"/>
                <w:numId w:val="2"/>
              </w:numPr>
              <w:spacing w:before="0" w:after="0" w:line="240" w:lineRule="auto"/>
              <w:ind w:left="319" w:hanging="284"/>
            </w:pPr>
            <w:r>
              <w:rPr>
                <w:lang w:val="tr-TR"/>
              </w:rPr>
              <w:t>Eyalet ve bölge hükümetlerinden işe başlamadan önceside dahil olmak üzere, okul öğretmenlerinin ve liderlerin uygun eğitimi almalarını sağlamasını istemek.</w:t>
            </w:r>
          </w:p>
        </w:tc>
      </w:tr>
      <w:tr w:rsidR="00346B6A" w:rsidRPr="00BE3FAA" w14:paraId="0DAF7176" w14:textId="77777777" w:rsidTr="00EB3F5D">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167C2A30" w14:textId="1D8F03C7" w:rsidR="00346B6A" w:rsidRPr="00BE3FAA" w:rsidRDefault="00346B6A" w:rsidP="00346B6A">
            <w:pPr>
              <w:pStyle w:val="ListBullet"/>
              <w:numPr>
                <w:ilvl w:val="0"/>
                <w:numId w:val="0"/>
              </w:numPr>
              <w:spacing w:before="0" w:after="0" w:line="240" w:lineRule="auto"/>
              <w:rPr>
                <w:b/>
                <w:bCs/>
                <w:color w:val="2F5496" w:themeColor="accent1" w:themeShade="BF"/>
              </w:rPr>
            </w:pPr>
            <w:r w:rsidRPr="007014C2">
              <w:rPr>
                <w:b/>
                <w:bCs/>
                <w:color w:val="2F5496" w:themeColor="accent1" w:themeShade="BF"/>
              </w:rPr>
              <w:t>Standartları yüksek eğitim ilkelerine ve tatbikatlarına dahil etmek</w:t>
            </w:r>
          </w:p>
        </w:tc>
        <w:tc>
          <w:tcPr>
            <w:tcW w:w="7371"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46B2677" w14:textId="3853B536" w:rsidR="00346B6A" w:rsidRPr="00BE3FAA" w:rsidRDefault="00346B6A" w:rsidP="00346B6A">
            <w:pPr>
              <w:pStyle w:val="ListBullet"/>
              <w:numPr>
                <w:ilvl w:val="0"/>
                <w:numId w:val="3"/>
              </w:numPr>
              <w:spacing w:line="240" w:lineRule="auto"/>
              <w:ind w:left="309" w:hanging="284"/>
            </w:pPr>
            <w:r>
              <w:rPr>
                <w:lang w:val="tr-TR"/>
              </w:rPr>
              <w:t>Yüksek eğitim görevlilerinin ilke ve tatbikatlarına, standartların dahil olmasını sağlamak.</w:t>
            </w:r>
          </w:p>
        </w:tc>
      </w:tr>
    </w:tbl>
    <w:p w14:paraId="60A034E2" w14:textId="77777777" w:rsidR="002F2A0C" w:rsidRPr="00BE3FAA" w:rsidRDefault="002F2A0C" w:rsidP="00E201C2">
      <w:pPr>
        <w:spacing w:before="0" w:after="0" w:line="240" w:lineRule="auto"/>
        <w:sectPr w:rsidR="002F2A0C" w:rsidRPr="00BE3FAA" w:rsidSect="0076389F">
          <w:headerReference w:type="default" r:id="rId11"/>
          <w:type w:val="continuous"/>
          <w:pgSz w:w="11900" w:h="16840"/>
          <w:pgMar w:top="1933" w:right="679" w:bottom="386" w:left="872" w:header="13" w:footer="708" w:gutter="0"/>
          <w:cols w:space="708"/>
          <w:docGrid w:linePitch="360"/>
        </w:sectPr>
      </w:pPr>
    </w:p>
    <w:p w14:paraId="21E59B64" w14:textId="77777777" w:rsidR="00007050" w:rsidRPr="00007050" w:rsidRDefault="00007050" w:rsidP="00007050">
      <w:pPr>
        <w:pStyle w:val="Heading1"/>
        <w:rPr>
          <w:color w:val="29608C"/>
        </w:rPr>
      </w:pPr>
      <w:r w:rsidRPr="00007050">
        <w:rPr>
          <w:color w:val="29608C"/>
        </w:rPr>
        <w:lastRenderedPageBreak/>
        <w:t>Eğitim süresince Standartlar için daha fazla sorumluluk</w:t>
      </w:r>
    </w:p>
    <w:tbl>
      <w:tblPr>
        <w:tblStyle w:val="TableGridLight"/>
        <w:tblpPr w:leftFromText="180" w:rightFromText="180" w:vertAnchor="page" w:horzAnchor="margin" w:tblpY="2322"/>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835"/>
        <w:gridCol w:w="7371"/>
      </w:tblGrid>
      <w:tr w:rsidR="00780837" w:rsidRPr="00BE3FAA" w14:paraId="29229ECC" w14:textId="77777777" w:rsidTr="002B004F">
        <w:tc>
          <w:tcPr>
            <w:tcW w:w="2835"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2E74B5" w:themeFill="accent5" w:themeFillShade="BF"/>
          </w:tcPr>
          <w:p w14:paraId="649811B5" w14:textId="3ECC0C38" w:rsidR="00780837" w:rsidRPr="00BE3FAA" w:rsidRDefault="00007050" w:rsidP="002B004F">
            <w:pPr>
              <w:pStyle w:val="ListBullet"/>
              <w:numPr>
                <w:ilvl w:val="0"/>
                <w:numId w:val="0"/>
              </w:numPr>
              <w:spacing w:before="0" w:after="0" w:line="240" w:lineRule="auto"/>
              <w:ind w:left="284" w:hanging="284"/>
              <w:jc w:val="center"/>
              <w:rPr>
                <w:b/>
                <w:bCs/>
                <w:color w:val="FFFFFF" w:themeColor="background1"/>
                <w:sz w:val="24"/>
                <w:szCs w:val="24"/>
              </w:rPr>
            </w:pPr>
            <w:r w:rsidRPr="007014C2">
              <w:rPr>
                <w:b/>
                <w:bCs/>
                <w:color w:val="FFFFFF" w:themeColor="background1"/>
                <w:sz w:val="24"/>
                <w:szCs w:val="24"/>
              </w:rPr>
              <w:t>Neler değişecek</w:t>
            </w:r>
          </w:p>
        </w:tc>
        <w:tc>
          <w:tcPr>
            <w:tcW w:w="7371"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8479"/>
          </w:tcPr>
          <w:p w14:paraId="615F8949" w14:textId="37E94AD6" w:rsidR="00780837" w:rsidRPr="00BE3FAA" w:rsidRDefault="00007050" w:rsidP="002B004F">
            <w:pPr>
              <w:pStyle w:val="ListBullet"/>
              <w:numPr>
                <w:ilvl w:val="0"/>
                <w:numId w:val="0"/>
              </w:numPr>
              <w:spacing w:before="0" w:after="0" w:line="240" w:lineRule="auto"/>
              <w:ind w:left="284" w:hanging="284"/>
              <w:jc w:val="center"/>
              <w:rPr>
                <w:b/>
                <w:bCs/>
                <w:color w:val="FFFFFF" w:themeColor="background1"/>
                <w:sz w:val="24"/>
                <w:szCs w:val="24"/>
              </w:rPr>
            </w:pPr>
            <w:r w:rsidRPr="007014C2">
              <w:rPr>
                <w:b/>
                <w:bCs/>
                <w:color w:val="FFFFFF" w:themeColor="background1"/>
                <w:sz w:val="24"/>
                <w:szCs w:val="24"/>
              </w:rPr>
              <w:t>Ne şekilde yapacağız</w:t>
            </w:r>
          </w:p>
        </w:tc>
      </w:tr>
      <w:tr w:rsidR="00007050" w:rsidRPr="00BE3FAA" w14:paraId="4416722B" w14:textId="77777777" w:rsidTr="002B004F">
        <w:tc>
          <w:tcPr>
            <w:tcW w:w="2835" w:type="dxa"/>
            <w:tcBorders>
              <w:left w:val="single" w:sz="4" w:space="0" w:color="808080" w:themeColor="background1" w:themeShade="80"/>
              <w:bottom w:val="single" w:sz="4" w:space="0" w:color="808080" w:themeColor="background1" w:themeShade="80"/>
            </w:tcBorders>
            <w:shd w:val="clear" w:color="auto" w:fill="F2F2F2" w:themeFill="background1" w:themeFillShade="F2"/>
          </w:tcPr>
          <w:p w14:paraId="3032B374" w14:textId="42B339E6" w:rsidR="00007050" w:rsidRPr="00BE3FAA" w:rsidRDefault="00007050" w:rsidP="00007050">
            <w:pPr>
              <w:pStyle w:val="ListBullet"/>
              <w:numPr>
                <w:ilvl w:val="0"/>
                <w:numId w:val="0"/>
              </w:numPr>
              <w:spacing w:before="0" w:after="0" w:line="240" w:lineRule="auto"/>
              <w:rPr>
                <w:rFonts w:cstheme="minorHAnsi"/>
                <w:b/>
              </w:rPr>
            </w:pPr>
            <w:r w:rsidRPr="007014C2">
              <w:rPr>
                <w:b/>
                <w:bCs/>
                <w:color w:val="2F5496" w:themeColor="accent1" w:themeShade="BF"/>
              </w:rPr>
              <w:t>Eğitim ilkelerinin Standartlara uygun olması</w:t>
            </w:r>
          </w:p>
        </w:tc>
        <w:tc>
          <w:tcPr>
            <w:tcW w:w="7371" w:type="dxa"/>
            <w:tcBorders>
              <w:bottom w:val="single" w:sz="4" w:space="0" w:color="808080" w:themeColor="background1" w:themeShade="80"/>
              <w:right w:val="single" w:sz="4" w:space="0" w:color="808080" w:themeColor="background1" w:themeShade="80"/>
            </w:tcBorders>
          </w:tcPr>
          <w:p w14:paraId="241B3D96" w14:textId="50EDF95B" w:rsidR="00007050" w:rsidRPr="00BE3FAA" w:rsidRDefault="00007050" w:rsidP="00007050">
            <w:pPr>
              <w:pStyle w:val="ListBullet"/>
              <w:numPr>
                <w:ilvl w:val="0"/>
                <w:numId w:val="2"/>
              </w:numPr>
              <w:spacing w:before="0" w:after="0" w:line="240" w:lineRule="auto"/>
              <w:ind w:left="319" w:hanging="284"/>
              <w:rPr>
                <w:rFonts w:cstheme="minorHAnsi"/>
                <w:b/>
              </w:rPr>
            </w:pPr>
            <w:r>
              <w:rPr>
                <w:lang w:val="tr-TR"/>
              </w:rPr>
              <w:t>Eğitim görevlilerine uygulanan ilkelerin ve kuralların Standartlarla aynı düzeyde olması.</w:t>
            </w:r>
          </w:p>
        </w:tc>
      </w:tr>
      <w:tr w:rsidR="00007050" w:rsidRPr="00BE3FAA" w14:paraId="15672E36" w14:textId="77777777" w:rsidTr="002B004F">
        <w:tc>
          <w:tcPr>
            <w:tcW w:w="2835" w:type="dxa"/>
            <w:tcBorders>
              <w:left w:val="single" w:sz="4" w:space="0" w:color="808080" w:themeColor="background1" w:themeShade="80"/>
              <w:bottom w:val="single" w:sz="4" w:space="0" w:color="808080" w:themeColor="background1" w:themeShade="80"/>
            </w:tcBorders>
            <w:shd w:val="clear" w:color="auto" w:fill="F2F2F2" w:themeFill="background1" w:themeFillShade="F2"/>
          </w:tcPr>
          <w:p w14:paraId="0C7F0C1F" w14:textId="354DA2D3" w:rsidR="00007050" w:rsidRPr="00BE3FAA" w:rsidRDefault="00007050" w:rsidP="00007050">
            <w:pPr>
              <w:pStyle w:val="ListBullet"/>
              <w:numPr>
                <w:ilvl w:val="0"/>
                <w:numId w:val="0"/>
              </w:numPr>
              <w:spacing w:before="0" w:after="0" w:line="240" w:lineRule="auto"/>
              <w:rPr>
                <w:b/>
                <w:color w:val="2F5496" w:themeColor="accent1" w:themeShade="BF"/>
              </w:rPr>
            </w:pPr>
            <w:r w:rsidRPr="007014C2">
              <w:rPr>
                <w:b/>
                <w:bCs/>
                <w:color w:val="2F5496" w:themeColor="accent1" w:themeShade="BF"/>
              </w:rPr>
              <w:t>Mesleki eğitim ve öğretimi Engelli öğrenciler için daha fazla geliştirmek</w:t>
            </w:r>
          </w:p>
        </w:tc>
        <w:tc>
          <w:tcPr>
            <w:tcW w:w="7371" w:type="dxa"/>
            <w:tcBorders>
              <w:bottom w:val="single" w:sz="4" w:space="0" w:color="808080" w:themeColor="background1" w:themeShade="80"/>
              <w:right w:val="single" w:sz="4" w:space="0" w:color="808080" w:themeColor="background1" w:themeShade="80"/>
            </w:tcBorders>
          </w:tcPr>
          <w:p w14:paraId="0100C3E1" w14:textId="68A10B29" w:rsidR="00007050" w:rsidRPr="00BE3FAA" w:rsidRDefault="00007050" w:rsidP="00007050">
            <w:pPr>
              <w:pStyle w:val="ListBullet"/>
              <w:numPr>
                <w:ilvl w:val="0"/>
                <w:numId w:val="2"/>
              </w:numPr>
              <w:spacing w:before="0" w:after="0" w:line="240" w:lineRule="auto"/>
              <w:ind w:left="319" w:hanging="284"/>
            </w:pPr>
            <w:r>
              <w:rPr>
                <w:lang w:val="tr-TR"/>
              </w:rPr>
              <w:t>Mesleki eğitim ve öğretime yapılacak diğer değişikliklerin bir parçası olarak, engelli öğrencilere öğretim ve mesleki eğitimin güçlenmesinin teslimi için eyalet ve bölge hükümetleriyle çalışmak.</w:t>
            </w:r>
          </w:p>
        </w:tc>
      </w:tr>
      <w:tr w:rsidR="00007050" w:rsidRPr="00BE3FAA" w14:paraId="4876D6B9" w14:textId="77777777" w:rsidTr="002B004F">
        <w:tc>
          <w:tcPr>
            <w:tcW w:w="2835" w:type="dxa"/>
            <w:tcBorders>
              <w:left w:val="single" w:sz="4" w:space="0" w:color="808080" w:themeColor="background1" w:themeShade="80"/>
              <w:bottom w:val="single" w:sz="4" w:space="0" w:color="808080" w:themeColor="background1" w:themeShade="80"/>
            </w:tcBorders>
            <w:shd w:val="clear" w:color="auto" w:fill="F2F2F2" w:themeFill="background1" w:themeFillShade="F2"/>
          </w:tcPr>
          <w:p w14:paraId="72B71BCA" w14:textId="1C60808D" w:rsidR="00007050" w:rsidRPr="00BE3FAA" w:rsidDel="00DD3A66" w:rsidRDefault="00007050" w:rsidP="00007050">
            <w:pPr>
              <w:pStyle w:val="ListBullet"/>
              <w:numPr>
                <w:ilvl w:val="0"/>
                <w:numId w:val="0"/>
              </w:numPr>
              <w:spacing w:before="0" w:after="0" w:line="240" w:lineRule="auto"/>
              <w:rPr>
                <w:rFonts w:cstheme="minorHAnsi"/>
                <w:b/>
                <w:color w:val="2F5496" w:themeColor="accent1" w:themeShade="BF"/>
              </w:rPr>
            </w:pPr>
            <w:r w:rsidRPr="007014C2">
              <w:rPr>
                <w:b/>
                <w:bCs/>
                <w:color w:val="2F5496" w:themeColor="accent1" w:themeShade="BF"/>
              </w:rPr>
              <w:t>Okulların engelli öğrencileri desteklemesi ile ilgili daha fazla genel bilgi</w:t>
            </w:r>
          </w:p>
        </w:tc>
        <w:tc>
          <w:tcPr>
            <w:tcW w:w="7371" w:type="dxa"/>
            <w:tcBorders>
              <w:bottom w:val="single" w:sz="4" w:space="0" w:color="808080" w:themeColor="background1" w:themeShade="80"/>
              <w:right w:val="single" w:sz="4" w:space="0" w:color="808080" w:themeColor="background1" w:themeShade="80"/>
            </w:tcBorders>
          </w:tcPr>
          <w:p w14:paraId="75B1FE54" w14:textId="0492F89E" w:rsidR="00007050" w:rsidRPr="00BE3FAA" w:rsidDel="00DD3A66" w:rsidRDefault="00007050" w:rsidP="00007050">
            <w:pPr>
              <w:pStyle w:val="ListBullet"/>
              <w:numPr>
                <w:ilvl w:val="0"/>
                <w:numId w:val="2"/>
              </w:numPr>
              <w:spacing w:before="0" w:after="0" w:line="240" w:lineRule="auto"/>
              <w:ind w:left="319" w:hanging="284"/>
            </w:pPr>
            <w:r>
              <w:rPr>
                <w:lang w:val="tr-TR"/>
              </w:rPr>
              <w:t>Okul eğitim yetkilileri, web sitelerine, okullarının engelli öğrencilere sağladığı desteği açıklayan bilgileri eklemek zorunda olacaklar.</w:t>
            </w:r>
          </w:p>
        </w:tc>
      </w:tr>
      <w:tr w:rsidR="00007050" w:rsidRPr="00BE3FAA" w14:paraId="01269DC6" w14:textId="77777777" w:rsidTr="002B004F">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1DE67E70" w14:textId="057582F1" w:rsidR="00007050" w:rsidRPr="00BE3FAA" w:rsidRDefault="00007050" w:rsidP="00007050">
            <w:pPr>
              <w:pStyle w:val="ListBullet"/>
              <w:numPr>
                <w:ilvl w:val="0"/>
                <w:numId w:val="0"/>
              </w:numPr>
              <w:spacing w:before="0" w:after="0" w:line="240" w:lineRule="auto"/>
              <w:rPr>
                <w:b/>
                <w:color w:val="2F5496" w:themeColor="accent1" w:themeShade="BF"/>
              </w:rPr>
            </w:pPr>
            <w:r w:rsidRPr="007014C2">
              <w:rPr>
                <w:b/>
                <w:bCs/>
                <w:color w:val="2F5496" w:themeColor="accent1" w:themeShade="BF"/>
              </w:rPr>
              <w:t>Engelli öğrencilerle ilgili veri ve raporlama</w:t>
            </w:r>
          </w:p>
        </w:tc>
        <w:tc>
          <w:tcPr>
            <w:tcW w:w="7371"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E8D6348" w14:textId="7E80D6C7" w:rsidR="00007050" w:rsidRPr="00BE3FAA" w:rsidRDefault="00007050" w:rsidP="00007050">
            <w:pPr>
              <w:pStyle w:val="ListBullet"/>
              <w:numPr>
                <w:ilvl w:val="0"/>
                <w:numId w:val="3"/>
              </w:numPr>
              <w:spacing w:before="0" w:after="0" w:line="240" w:lineRule="auto"/>
              <w:ind w:left="309" w:hanging="284"/>
            </w:pPr>
            <w:r>
              <w:rPr>
                <w:lang w:val="tr-TR"/>
              </w:rPr>
              <w:t>Engelli öğrencilerin okul eğitiminde nasıl yer aldığı ile ilgili veri raporlama ve toplama tatbikatlarını ve milli ilkelerini geliştirmek için eyalet ve bölge hükümetleriyle çalışmak.</w:t>
            </w:r>
          </w:p>
        </w:tc>
      </w:tr>
      <w:tr w:rsidR="00007050" w:rsidRPr="00BE3FAA" w14:paraId="34A07A1D" w14:textId="77777777" w:rsidTr="002B004F">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2C26AAD2" w14:textId="40DF364E" w:rsidR="00007050" w:rsidRPr="00BE3FAA" w:rsidRDefault="00007050" w:rsidP="00007050">
            <w:pPr>
              <w:pStyle w:val="ListBullet"/>
              <w:numPr>
                <w:ilvl w:val="0"/>
                <w:numId w:val="0"/>
              </w:numPr>
              <w:spacing w:before="0" w:after="0" w:line="240" w:lineRule="auto"/>
              <w:rPr>
                <w:rFonts w:cstheme="minorHAnsi"/>
                <w:b/>
              </w:rPr>
            </w:pPr>
            <w:r w:rsidRPr="007014C2">
              <w:rPr>
                <w:b/>
                <w:bCs/>
                <w:color w:val="2F5496" w:themeColor="accent1" w:themeShade="BF"/>
              </w:rPr>
              <w:t>Standartlara ne kadar iyi uyum sağlandığı ile ilgili denetim</w:t>
            </w:r>
          </w:p>
        </w:tc>
        <w:tc>
          <w:tcPr>
            <w:tcW w:w="7371"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A2C680D" w14:textId="6CCCEED0" w:rsidR="00007050" w:rsidRPr="00BE3FAA" w:rsidRDefault="00007050" w:rsidP="00007050">
            <w:pPr>
              <w:pStyle w:val="ListBullet"/>
              <w:numPr>
                <w:ilvl w:val="0"/>
                <w:numId w:val="3"/>
              </w:numPr>
              <w:spacing w:before="0" w:after="0" w:line="240" w:lineRule="auto"/>
              <w:ind w:left="309" w:hanging="284"/>
              <w:rPr>
                <w:rFonts w:cstheme="minorHAnsi"/>
              </w:rPr>
            </w:pPr>
            <w:r>
              <w:rPr>
                <w:lang w:val="tr-TR"/>
              </w:rPr>
              <w:t>Standartlara ne kadar iyi uyum sağlandığı ile ilgili olarak eyalet ve bölge hükümetlerinden denetim yapmaları istemek.</w:t>
            </w:r>
          </w:p>
        </w:tc>
      </w:tr>
    </w:tbl>
    <w:p w14:paraId="57B1F8AF" w14:textId="55644D1F" w:rsidR="00301926" w:rsidRPr="00BE3FAA" w:rsidRDefault="00007050" w:rsidP="005C4D2D">
      <w:pPr>
        <w:pStyle w:val="ListBullet"/>
        <w:numPr>
          <w:ilvl w:val="0"/>
          <w:numId w:val="0"/>
        </w:numPr>
        <w:spacing w:before="0" w:line="240" w:lineRule="auto"/>
        <w:rPr>
          <w:rFonts w:cstheme="minorHAnsi"/>
          <w:bCs/>
        </w:rPr>
      </w:pPr>
      <w:r w:rsidRPr="00887DB1">
        <w:rPr>
          <w:sz w:val="20"/>
          <w:szCs w:val="20"/>
          <w:lang w:val="tr-TR"/>
        </w:rPr>
        <w:t>İnsanlar Standartlara uygun davranıldığı ile ilgili sorumluluğun gelişmesi gerektiğini söylediler. Eğitim görevlilerinin Standartlara nasıl uyum gösterdiği ile ilgili daha fazla bilgi istediler.</w:t>
      </w:r>
    </w:p>
    <w:p w14:paraId="5457FB5D" w14:textId="77777777" w:rsidR="00007050" w:rsidRPr="007014C2" w:rsidRDefault="00007050" w:rsidP="00007050">
      <w:pPr>
        <w:rPr>
          <w:rFonts w:asciiTheme="majorHAnsi" w:eastAsiaTheme="majorEastAsia" w:hAnsiTheme="majorHAnsi" w:cstheme="majorBidi"/>
          <w:b/>
          <w:bCs/>
          <w:color w:val="29608C"/>
          <w:sz w:val="28"/>
          <w:szCs w:val="28"/>
        </w:rPr>
      </w:pPr>
      <w:r w:rsidRPr="007014C2">
        <w:rPr>
          <w:rFonts w:asciiTheme="majorHAnsi" w:eastAsiaTheme="majorEastAsia" w:hAnsiTheme="majorHAnsi" w:cstheme="majorBidi"/>
          <w:b/>
          <w:bCs/>
          <w:color w:val="29608C"/>
          <w:sz w:val="28"/>
          <w:szCs w:val="28"/>
        </w:rPr>
        <w:t>Erken Çocukluk Eğitim ve Bakımı (ECEC) sektöründe yetenek ve farkındalık geliştirmek</w:t>
      </w:r>
    </w:p>
    <w:p w14:paraId="1A184949" w14:textId="66B06C17" w:rsidR="00E620DA" w:rsidRPr="00887DB1" w:rsidRDefault="00007050" w:rsidP="00007050">
      <w:pPr>
        <w:rPr>
          <w:sz w:val="20"/>
          <w:szCs w:val="20"/>
          <w:lang w:val="tr-TR"/>
        </w:rPr>
      </w:pPr>
      <w:r w:rsidRPr="00887DB1">
        <w:rPr>
          <w:sz w:val="20"/>
          <w:szCs w:val="20"/>
          <w:lang w:val="tr-TR"/>
        </w:rPr>
        <w:t xml:space="preserve">Standartlar bakım görevlilerine uygulanmıyor ama bu görevliler </w:t>
      </w:r>
      <w:r w:rsidRPr="00887DB1">
        <w:rPr>
          <w:i/>
          <w:sz w:val="20"/>
          <w:szCs w:val="20"/>
          <w:lang w:val="tr-TR"/>
        </w:rPr>
        <w:t>Engelli Ayrımcılık Yasasına 1992</w:t>
      </w:r>
      <w:r w:rsidRPr="00887DB1">
        <w:rPr>
          <w:sz w:val="20"/>
          <w:szCs w:val="20"/>
          <w:lang w:val="tr-TR"/>
        </w:rPr>
        <w:t xml:space="preserve"> </w:t>
      </w:r>
      <w:r w:rsidRPr="00F64931">
        <w:rPr>
          <w:sz w:val="20"/>
          <w:szCs w:val="20"/>
          <w:lang w:val="tr-TR"/>
        </w:rPr>
        <w:t>(DDA) uymak zorundalar. Erken Çocukluk Eğitimi Bakıcılarının Engelli Ayrımcılık Yasasının sorumluluklarını daha iyi anlamalarının sağlanması gerektiği konusunda çok güçlü bir destek var. Ayrıca ailelerin ve bakıcıların Engelli Ayrımcılık Yasası hakkında daha çok bilgiye ihtiyaçları olduğunu öğrendik.</w:t>
      </w:r>
    </w:p>
    <w:p w14:paraId="17739EBB" w14:textId="77777777" w:rsidR="00862A82" w:rsidRPr="00BE3FAA" w:rsidRDefault="00862A82" w:rsidP="00944A94">
      <w:pPr>
        <w:pStyle w:val="ListBullet"/>
        <w:numPr>
          <w:ilvl w:val="0"/>
          <w:numId w:val="0"/>
        </w:numPr>
        <w:spacing w:before="0" w:after="0" w:line="240" w:lineRule="auto"/>
        <w:rPr>
          <w:rFonts w:cstheme="minorHAnsi"/>
          <w:bCs/>
          <w:sz w:val="8"/>
          <w:szCs w:val="8"/>
        </w:rPr>
      </w:pPr>
    </w:p>
    <w:tbl>
      <w:tblPr>
        <w:tblStyle w:val="TableGridLight"/>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835"/>
        <w:gridCol w:w="7371"/>
      </w:tblGrid>
      <w:tr w:rsidR="00007050" w:rsidRPr="00BE3FAA" w14:paraId="1DA63E0D" w14:textId="77777777" w:rsidTr="00425896">
        <w:tc>
          <w:tcPr>
            <w:tcW w:w="2835"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2E74B5" w:themeFill="accent5" w:themeFillShade="BF"/>
          </w:tcPr>
          <w:p w14:paraId="35C1E5B1" w14:textId="3904A5A2" w:rsidR="00007050" w:rsidRPr="00BE3FAA" w:rsidRDefault="00007050" w:rsidP="00007050">
            <w:pPr>
              <w:pStyle w:val="ListBullet"/>
              <w:numPr>
                <w:ilvl w:val="0"/>
                <w:numId w:val="0"/>
              </w:numPr>
              <w:spacing w:before="0" w:after="0" w:line="240" w:lineRule="auto"/>
              <w:ind w:left="284" w:hanging="284"/>
              <w:jc w:val="center"/>
              <w:rPr>
                <w:b/>
                <w:bCs/>
                <w:color w:val="FFFFFF" w:themeColor="background1"/>
                <w:sz w:val="24"/>
                <w:szCs w:val="24"/>
              </w:rPr>
            </w:pPr>
            <w:r w:rsidRPr="007014C2">
              <w:rPr>
                <w:b/>
                <w:bCs/>
                <w:color w:val="FFFFFF" w:themeColor="background1"/>
                <w:sz w:val="24"/>
                <w:szCs w:val="24"/>
              </w:rPr>
              <w:t>Neler değişecek</w:t>
            </w:r>
          </w:p>
        </w:tc>
        <w:tc>
          <w:tcPr>
            <w:tcW w:w="7371"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8479"/>
          </w:tcPr>
          <w:p w14:paraId="78D850F2" w14:textId="40E31782" w:rsidR="00007050" w:rsidRPr="00BE3FAA" w:rsidRDefault="00007050" w:rsidP="00007050">
            <w:pPr>
              <w:pStyle w:val="ListBullet"/>
              <w:numPr>
                <w:ilvl w:val="0"/>
                <w:numId w:val="0"/>
              </w:numPr>
              <w:spacing w:before="0" w:after="0" w:line="240" w:lineRule="auto"/>
              <w:ind w:left="284" w:hanging="284"/>
              <w:jc w:val="center"/>
              <w:rPr>
                <w:b/>
                <w:bCs/>
                <w:color w:val="FFFFFF" w:themeColor="background1"/>
                <w:sz w:val="24"/>
                <w:szCs w:val="24"/>
              </w:rPr>
            </w:pPr>
            <w:r w:rsidRPr="007014C2">
              <w:rPr>
                <w:b/>
                <w:bCs/>
                <w:color w:val="FFFFFF" w:themeColor="background1"/>
                <w:sz w:val="24"/>
                <w:szCs w:val="24"/>
              </w:rPr>
              <w:t>Ne şekilde yapacağız</w:t>
            </w:r>
          </w:p>
        </w:tc>
      </w:tr>
      <w:tr w:rsidR="00007050" w:rsidRPr="00BE3FAA" w14:paraId="48A1C353" w14:textId="77777777" w:rsidTr="00C614F7">
        <w:tc>
          <w:tcPr>
            <w:tcW w:w="2835" w:type="dxa"/>
            <w:tcBorders>
              <w:left w:val="single" w:sz="4" w:space="0" w:color="808080" w:themeColor="background1" w:themeShade="80"/>
              <w:bottom w:val="single" w:sz="4" w:space="0" w:color="808080" w:themeColor="background1" w:themeShade="80"/>
            </w:tcBorders>
            <w:shd w:val="clear" w:color="auto" w:fill="F2F2F2" w:themeFill="background1" w:themeFillShade="F2"/>
          </w:tcPr>
          <w:p w14:paraId="0DA74AC6" w14:textId="527A274C" w:rsidR="00007050" w:rsidRPr="00BE3FAA" w:rsidRDefault="00007050" w:rsidP="00007050">
            <w:pPr>
              <w:pStyle w:val="ListBullet"/>
              <w:numPr>
                <w:ilvl w:val="0"/>
                <w:numId w:val="0"/>
              </w:numPr>
              <w:spacing w:before="0" w:after="0" w:line="240" w:lineRule="auto"/>
              <w:rPr>
                <w:rFonts w:cstheme="minorHAnsi"/>
                <w:b/>
              </w:rPr>
            </w:pPr>
            <w:r w:rsidRPr="007014C2">
              <w:rPr>
                <w:b/>
                <w:bCs/>
                <w:color w:val="2F5496" w:themeColor="accent1" w:themeShade="BF"/>
              </w:rPr>
              <w:t>Ailelere ve bakıcılara çocuklarının hakları ile ilgili bilgi</w:t>
            </w:r>
          </w:p>
        </w:tc>
        <w:tc>
          <w:tcPr>
            <w:tcW w:w="7371" w:type="dxa"/>
            <w:tcBorders>
              <w:bottom w:val="single" w:sz="4" w:space="0" w:color="808080" w:themeColor="background1" w:themeShade="80"/>
              <w:right w:val="single" w:sz="4" w:space="0" w:color="808080" w:themeColor="background1" w:themeShade="80"/>
            </w:tcBorders>
          </w:tcPr>
          <w:p w14:paraId="32FDAB4F" w14:textId="367183F5" w:rsidR="00007050" w:rsidRPr="00BE3FAA" w:rsidRDefault="00007050" w:rsidP="00007050">
            <w:pPr>
              <w:pStyle w:val="ListBullet"/>
              <w:numPr>
                <w:ilvl w:val="0"/>
                <w:numId w:val="2"/>
              </w:numPr>
              <w:spacing w:before="0" w:after="0" w:line="240" w:lineRule="auto"/>
              <w:ind w:left="319" w:hanging="284"/>
              <w:rPr>
                <w:rFonts w:cstheme="minorHAnsi"/>
                <w:b/>
              </w:rPr>
            </w:pPr>
            <w:r>
              <w:rPr>
                <w:lang w:val="tr-TR"/>
              </w:rPr>
              <w:t>Erken Çocukluk Eğitim ve Öğretimde engelli çocukların ailelerine ve bakıcılarına ürün geliştirmek.</w:t>
            </w:r>
          </w:p>
        </w:tc>
      </w:tr>
      <w:tr w:rsidR="00007050" w:rsidRPr="00BE3FAA" w14:paraId="74C62EB7" w14:textId="77777777" w:rsidTr="00C614F7">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00CF27E4" w14:textId="18F24FD1" w:rsidR="00007050" w:rsidRPr="00BE3FAA" w:rsidRDefault="00007050" w:rsidP="00007050">
            <w:pPr>
              <w:pStyle w:val="ListBullet"/>
              <w:numPr>
                <w:ilvl w:val="0"/>
                <w:numId w:val="0"/>
              </w:numPr>
              <w:spacing w:before="0" w:after="0" w:line="240" w:lineRule="auto"/>
              <w:rPr>
                <w:rFonts w:cstheme="minorHAnsi"/>
                <w:b/>
              </w:rPr>
            </w:pPr>
            <w:r w:rsidRPr="007014C2">
              <w:rPr>
                <w:b/>
                <w:bCs/>
                <w:color w:val="2F5496" w:themeColor="accent1" w:themeShade="BF"/>
              </w:rPr>
              <w:t>Erken Çocukluk Eğitimi ve Bakım görevlilerine Bilgi</w:t>
            </w:r>
          </w:p>
        </w:tc>
        <w:tc>
          <w:tcPr>
            <w:tcW w:w="7371"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8A10840" w14:textId="212BDDBB" w:rsidR="00007050" w:rsidRPr="00BE3FAA" w:rsidRDefault="00007050" w:rsidP="00007050">
            <w:pPr>
              <w:pStyle w:val="ListBullet"/>
              <w:numPr>
                <w:ilvl w:val="0"/>
                <w:numId w:val="3"/>
              </w:numPr>
              <w:spacing w:before="0" w:after="0" w:line="240" w:lineRule="auto"/>
              <w:ind w:left="309" w:hanging="284"/>
              <w:rPr>
                <w:rFonts w:cstheme="minorHAnsi"/>
                <w:b/>
              </w:rPr>
            </w:pPr>
            <w:r>
              <w:rPr>
                <w:lang w:val="tr-TR"/>
              </w:rPr>
              <w:t>Erken Çocukluk Eğitim ve Bakım görevlilerinin Engelli Ayrımcılık Yasasını bilmeleri ve anlamaları için kaynakları geliştirmek üzere eyalet ve bölge hükümetleriyle çalışmak.</w:t>
            </w:r>
          </w:p>
        </w:tc>
      </w:tr>
      <w:tr w:rsidR="00007050" w:rsidRPr="00BE3FAA" w14:paraId="0C8D1645" w14:textId="77777777" w:rsidTr="00C614F7">
        <w:trPr>
          <w:trHeight w:val="25"/>
        </w:trPr>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71FB1229" w14:textId="729B48D9" w:rsidR="00007050" w:rsidRPr="00BE3FAA" w:rsidRDefault="00007050" w:rsidP="00007050">
            <w:pPr>
              <w:pStyle w:val="ListBullet"/>
              <w:numPr>
                <w:ilvl w:val="0"/>
                <w:numId w:val="0"/>
              </w:numPr>
              <w:spacing w:before="0" w:after="0" w:line="240" w:lineRule="auto"/>
              <w:rPr>
                <w:rFonts w:cstheme="minorHAnsi"/>
                <w:b/>
                <w:color w:val="2F5496" w:themeColor="accent1" w:themeShade="BF"/>
              </w:rPr>
            </w:pPr>
            <w:r w:rsidRPr="007014C2">
              <w:rPr>
                <w:b/>
                <w:bCs/>
                <w:color w:val="2F5496" w:themeColor="accent1" w:themeShade="BF"/>
              </w:rPr>
              <w:t>Erken Çocukluk Eğitimi ve Bakım ilkelerinin Engellilik Ayrımcılığı Yasasına uyması konusunda farkındalık</w:t>
            </w:r>
          </w:p>
        </w:tc>
        <w:tc>
          <w:tcPr>
            <w:tcW w:w="7371"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7F491E0" w14:textId="55C07EC3" w:rsidR="00007050" w:rsidRPr="00BE3FAA" w:rsidRDefault="00007050" w:rsidP="00007050">
            <w:pPr>
              <w:pStyle w:val="ListBullet"/>
              <w:numPr>
                <w:ilvl w:val="0"/>
                <w:numId w:val="4"/>
              </w:numPr>
              <w:spacing w:before="0" w:after="0" w:line="240" w:lineRule="auto"/>
              <w:ind w:left="319" w:hanging="284"/>
              <w:rPr>
                <w:rFonts w:cstheme="minorHAnsi"/>
                <w:bCs/>
              </w:rPr>
            </w:pPr>
            <w:r>
              <w:rPr>
                <w:lang w:val="tr-TR"/>
              </w:rPr>
              <w:t>Erken Çocukluk Eğitim ve Bakım görevlilerine uygulanan bütün kuralların ve ilkelerin Engelli Ayrımcılık Yasası ile aynı düzeyde olmasını sağlamak için eyalet ve bölge hükümetleriyle çalışmak.</w:t>
            </w:r>
          </w:p>
        </w:tc>
      </w:tr>
      <w:tr w:rsidR="00007050" w:rsidRPr="00BE3FAA" w14:paraId="2FC60F92" w14:textId="77777777" w:rsidTr="00C614F7">
        <w:trPr>
          <w:trHeight w:val="25"/>
        </w:trPr>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5E0C2EE7" w14:textId="13F32966" w:rsidR="00007050" w:rsidRPr="00BE3FAA" w:rsidRDefault="00007050" w:rsidP="00007050">
            <w:pPr>
              <w:pStyle w:val="ListBullet"/>
              <w:numPr>
                <w:ilvl w:val="0"/>
                <w:numId w:val="0"/>
              </w:numPr>
              <w:spacing w:before="0" w:after="0" w:line="240" w:lineRule="auto"/>
              <w:rPr>
                <w:b/>
                <w:bCs/>
                <w:color w:val="2F5496" w:themeColor="accent1" w:themeShade="BF"/>
              </w:rPr>
            </w:pPr>
            <w:r w:rsidRPr="007014C2">
              <w:rPr>
                <w:b/>
                <w:bCs/>
                <w:color w:val="2F5496" w:themeColor="accent1" w:themeShade="BF"/>
              </w:rPr>
              <w:t>Standartları, Erken Çocukluk Eğitimi ve Bakımınıda kapsayacak şekilde değiştirmek</w:t>
            </w:r>
          </w:p>
        </w:tc>
        <w:tc>
          <w:tcPr>
            <w:tcW w:w="7371"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47035A1" w14:textId="2DF63DD9" w:rsidR="00007050" w:rsidRPr="00BE3FAA" w:rsidRDefault="00007050" w:rsidP="00007050">
            <w:pPr>
              <w:pStyle w:val="ListBullet"/>
              <w:numPr>
                <w:ilvl w:val="0"/>
                <w:numId w:val="4"/>
              </w:numPr>
              <w:spacing w:before="0" w:after="0" w:line="240" w:lineRule="auto"/>
              <w:ind w:left="319" w:hanging="284"/>
              <w:rPr>
                <w:rFonts w:cstheme="minorHAnsi"/>
              </w:rPr>
            </w:pPr>
            <w:r>
              <w:rPr>
                <w:lang w:val="tr-TR"/>
              </w:rPr>
              <w:t>Erken Çocukluk Eğitim ve Bakımınıda dahil etmek için Standartları değiştirmek ve değişikliklerle ilgili Erken Çocukluk Eğitimi ve Bakımı sektörüne danışmak.</w:t>
            </w:r>
          </w:p>
        </w:tc>
      </w:tr>
    </w:tbl>
    <w:p w14:paraId="64ECBDA2" w14:textId="4C2602BA" w:rsidR="00E620DA" w:rsidRDefault="00E620DA" w:rsidP="00E620DA">
      <w:pPr>
        <w:rPr>
          <w:sz w:val="20"/>
          <w:szCs w:val="20"/>
          <w:lang w:val="tr-TR"/>
        </w:rPr>
      </w:pPr>
      <w:bookmarkStart w:id="0" w:name="_Hlk62717475"/>
      <w:bookmarkStart w:id="1" w:name="_Hlk62717264"/>
    </w:p>
    <w:p w14:paraId="6943786D" w14:textId="5C6FEC26" w:rsidR="00E620DA" w:rsidRDefault="00E620DA" w:rsidP="00E620DA">
      <w:pPr>
        <w:rPr>
          <w:sz w:val="20"/>
          <w:szCs w:val="20"/>
          <w:lang w:val="tr-TR"/>
        </w:rPr>
      </w:pPr>
    </w:p>
    <w:p w14:paraId="4CC365FD" w14:textId="192FA798" w:rsidR="00E620DA" w:rsidRDefault="00E620DA" w:rsidP="00E620DA">
      <w:pPr>
        <w:rPr>
          <w:sz w:val="20"/>
          <w:szCs w:val="20"/>
          <w:lang w:val="tr-TR"/>
        </w:rPr>
      </w:pPr>
    </w:p>
    <w:p w14:paraId="543D21A6" w14:textId="77777777" w:rsidR="00E620DA" w:rsidRPr="00E620DA" w:rsidRDefault="00E620DA" w:rsidP="00E620DA">
      <w:pPr>
        <w:rPr>
          <w:sz w:val="20"/>
          <w:szCs w:val="20"/>
          <w:lang w:val="tr-TR"/>
        </w:rPr>
      </w:pPr>
    </w:p>
    <w:p w14:paraId="07090C38" w14:textId="77777777" w:rsidR="00E620DA" w:rsidRPr="00E620DA" w:rsidRDefault="00E620DA" w:rsidP="00E620DA">
      <w:pPr>
        <w:rPr>
          <w:sz w:val="20"/>
          <w:szCs w:val="20"/>
          <w:lang w:val="tr-TR"/>
        </w:rPr>
      </w:pPr>
    </w:p>
    <w:p w14:paraId="3E079080" w14:textId="77777777" w:rsidR="00E620DA" w:rsidRPr="00E620DA" w:rsidRDefault="00E620DA" w:rsidP="00E620DA">
      <w:pPr>
        <w:rPr>
          <w:sz w:val="20"/>
          <w:szCs w:val="20"/>
          <w:lang w:val="tr-TR"/>
        </w:rPr>
      </w:pPr>
    </w:p>
    <w:p w14:paraId="70523D0F" w14:textId="77777777" w:rsidR="00E620DA" w:rsidRPr="00E620DA" w:rsidRDefault="00E620DA" w:rsidP="00E620DA">
      <w:pPr>
        <w:rPr>
          <w:sz w:val="20"/>
          <w:szCs w:val="20"/>
          <w:lang w:val="tr-TR"/>
        </w:rPr>
      </w:pPr>
    </w:p>
    <w:p w14:paraId="6C80C807" w14:textId="433F5950" w:rsidR="00E620DA" w:rsidRPr="007014C2" w:rsidRDefault="00E620DA" w:rsidP="00E620DA">
      <w:pPr>
        <w:pBdr>
          <w:top w:val="single" w:sz="4" w:space="1" w:color="auto"/>
          <w:left w:val="single" w:sz="4" w:space="4" w:color="auto"/>
          <w:bottom w:val="single" w:sz="4" w:space="0" w:color="auto"/>
          <w:right w:val="single" w:sz="4" w:space="4" w:color="auto"/>
        </w:pBdr>
        <w:shd w:val="clear" w:color="auto" w:fill="002D3E"/>
        <w:spacing w:before="240" w:after="80"/>
        <w:ind w:left="142" w:right="284"/>
        <w:rPr>
          <w:rFonts w:asciiTheme="majorHAnsi" w:hAnsiTheme="majorHAnsi" w:cstheme="majorHAnsi"/>
          <w:b/>
          <w:bCs/>
          <w:sz w:val="28"/>
          <w:szCs w:val="28"/>
        </w:rPr>
      </w:pPr>
      <w:r w:rsidRPr="007014C2">
        <w:rPr>
          <w:rFonts w:asciiTheme="majorHAnsi" w:hAnsiTheme="majorHAnsi" w:cstheme="majorHAnsi"/>
          <w:b/>
          <w:bCs/>
          <w:sz w:val="28"/>
          <w:szCs w:val="28"/>
        </w:rPr>
        <w:lastRenderedPageBreak/>
        <w:t>Değişiklikleri yapmak</w:t>
      </w:r>
    </w:p>
    <w:bookmarkEnd w:id="0"/>
    <w:p w14:paraId="2386B87E" w14:textId="77777777" w:rsidR="00E620DA" w:rsidRPr="00D12387" w:rsidRDefault="00E620DA" w:rsidP="00E620DA">
      <w:pPr>
        <w:pBdr>
          <w:top w:val="single" w:sz="4" w:space="1" w:color="auto"/>
          <w:left w:val="single" w:sz="4" w:space="4" w:color="auto"/>
          <w:bottom w:val="single" w:sz="4" w:space="0" w:color="auto"/>
          <w:right w:val="single" w:sz="4" w:space="4" w:color="auto"/>
        </w:pBdr>
        <w:shd w:val="clear" w:color="auto" w:fill="002D3E"/>
        <w:spacing w:before="240" w:after="80"/>
        <w:ind w:left="142" w:right="284"/>
        <w:rPr>
          <w:rFonts w:asciiTheme="majorHAnsi" w:hAnsiTheme="majorHAnsi" w:cstheme="majorHAnsi"/>
          <w:b/>
          <w:bCs/>
        </w:rPr>
      </w:pPr>
      <w:r w:rsidRPr="00D12387">
        <w:rPr>
          <w:rFonts w:asciiTheme="majorHAnsi" w:hAnsiTheme="majorHAnsi" w:cstheme="majorHAnsi"/>
          <w:b/>
          <w:bCs/>
        </w:rPr>
        <w:t xml:space="preserve">Buradaki bazı değişiklikleri Avustralya hükümeti kendi başına yapabilir, fakat çoğu değişikliklerin yapılabilmesi için eyalet ve bölge hükümetlerininde rızasının olması ve değişiklikler üzerinde Avustralya hükümetiyle beraber çalışılması gerekiyor. Bazı değişiklikler eyalet ve bölge hükümetlerinin ve okulu yöneten eğitim yetkililerinin değişikliği yapmasını veya yeni birşeyler yapmasını gerektirir. </w:t>
      </w:r>
    </w:p>
    <w:p w14:paraId="02608EAC" w14:textId="77777777" w:rsidR="00E620DA" w:rsidRPr="00D12387" w:rsidRDefault="00E620DA" w:rsidP="00E620DA">
      <w:pPr>
        <w:pBdr>
          <w:top w:val="single" w:sz="4" w:space="1" w:color="auto"/>
          <w:left w:val="single" w:sz="4" w:space="4" w:color="auto"/>
          <w:bottom w:val="single" w:sz="4" w:space="0" w:color="auto"/>
          <w:right w:val="single" w:sz="4" w:space="4" w:color="auto"/>
        </w:pBdr>
        <w:shd w:val="clear" w:color="auto" w:fill="002D3E"/>
        <w:spacing w:before="240" w:after="80"/>
        <w:ind w:left="142" w:right="284"/>
        <w:rPr>
          <w:rFonts w:asciiTheme="majorHAnsi" w:hAnsiTheme="majorHAnsi" w:cstheme="majorHAnsi"/>
          <w:b/>
          <w:bCs/>
        </w:rPr>
      </w:pPr>
      <w:r w:rsidRPr="00D12387">
        <w:rPr>
          <w:rFonts w:asciiTheme="majorHAnsi" w:hAnsiTheme="majorHAnsi" w:cstheme="majorHAnsi"/>
          <w:b/>
          <w:bCs/>
        </w:rPr>
        <w:t>Değişiklikler engelli insanların yardımları ve önerileriyle yapılacak. Bu Aborjin ve Torres Strait Adalı insanlarla çalışmayıda kapsıyor.</w:t>
      </w:r>
    </w:p>
    <w:p w14:paraId="4D4E083E" w14:textId="77777777" w:rsidR="00E620DA" w:rsidRPr="00D12387" w:rsidRDefault="00E620DA" w:rsidP="00E620DA">
      <w:pPr>
        <w:pBdr>
          <w:top w:val="single" w:sz="4" w:space="1" w:color="auto"/>
          <w:left w:val="single" w:sz="4" w:space="4" w:color="auto"/>
          <w:bottom w:val="single" w:sz="4" w:space="0" w:color="auto"/>
          <w:right w:val="single" w:sz="4" w:space="4" w:color="auto"/>
        </w:pBdr>
        <w:shd w:val="clear" w:color="auto" w:fill="002D3E"/>
        <w:spacing w:before="240" w:after="80"/>
        <w:ind w:left="142" w:right="284"/>
        <w:rPr>
          <w:rFonts w:asciiTheme="majorHAnsi" w:hAnsiTheme="majorHAnsi" w:cstheme="majorHAnsi"/>
          <w:b/>
          <w:bCs/>
        </w:rPr>
      </w:pPr>
      <w:r w:rsidRPr="00D12387">
        <w:rPr>
          <w:rFonts w:asciiTheme="majorHAnsi" w:hAnsiTheme="majorHAnsi" w:cstheme="majorHAnsi"/>
          <w:b/>
          <w:bCs/>
        </w:rPr>
        <w:t>Topluma değişikliklerle ilgili gelişim hakkında güncelleme yaparız.</w:t>
      </w:r>
    </w:p>
    <w:p w14:paraId="459F0F5D" w14:textId="4AFC3B43" w:rsidR="00E620DA" w:rsidRPr="00DC22DC" w:rsidRDefault="00E620DA" w:rsidP="00E620DA">
      <w:pPr>
        <w:pBdr>
          <w:top w:val="single" w:sz="4" w:space="1" w:color="auto"/>
          <w:left w:val="single" w:sz="4" w:space="4" w:color="auto"/>
          <w:bottom w:val="single" w:sz="4" w:space="0" w:color="auto"/>
          <w:right w:val="single" w:sz="4" w:space="4" w:color="auto"/>
        </w:pBdr>
        <w:shd w:val="clear" w:color="auto" w:fill="002D3E"/>
        <w:spacing w:before="240" w:after="80"/>
        <w:ind w:left="142" w:right="284"/>
        <w:rPr>
          <w:rFonts w:asciiTheme="majorHAnsi" w:hAnsiTheme="majorHAnsi" w:cstheme="majorHAnsi"/>
          <w:b/>
          <w:bCs/>
          <w:color w:val="FFFFFF" w:themeColor="background1"/>
        </w:rPr>
      </w:pPr>
      <w:r w:rsidRPr="00D12387">
        <w:rPr>
          <w:rFonts w:asciiTheme="majorHAnsi" w:hAnsiTheme="majorHAnsi" w:cstheme="majorHAnsi"/>
          <w:b/>
          <w:bCs/>
        </w:rPr>
        <w:t xml:space="preserve">Daha fazla bilgi </w:t>
      </w:r>
      <w:r w:rsidRPr="00DC22DC">
        <w:rPr>
          <w:rFonts w:asciiTheme="majorHAnsi" w:hAnsiTheme="majorHAnsi" w:cstheme="majorHAnsi"/>
          <w:b/>
          <w:bCs/>
          <w:color w:val="FFFFFF" w:themeColor="background1"/>
        </w:rPr>
        <w:t xml:space="preserve">için: </w:t>
      </w:r>
      <w:bookmarkEnd w:id="1"/>
      <w:r w:rsidR="00DC22DC" w:rsidRPr="00DC22DC">
        <w:rPr>
          <w:rFonts w:asciiTheme="majorHAnsi" w:hAnsiTheme="majorHAnsi" w:cstheme="majorHAnsi"/>
          <w:b/>
          <w:bCs/>
          <w:color w:val="FFFFFF" w:themeColor="background1"/>
        </w:rPr>
        <w:fldChar w:fldCharType="begin"/>
      </w:r>
      <w:r w:rsidR="00DC22DC" w:rsidRPr="00DC22DC">
        <w:rPr>
          <w:rFonts w:asciiTheme="majorHAnsi" w:hAnsiTheme="majorHAnsi" w:cstheme="majorHAnsi"/>
          <w:b/>
          <w:bCs/>
          <w:color w:val="FFFFFF" w:themeColor="background1"/>
        </w:rPr>
        <w:instrText xml:space="preserve"> HYPERLINK "http://www.dese.gov.au/disability-standards-education-2005/2020-review-disability-standards-education-2005" </w:instrText>
      </w:r>
      <w:r w:rsidR="00DC22DC" w:rsidRPr="00DC22DC">
        <w:rPr>
          <w:rFonts w:asciiTheme="majorHAnsi" w:hAnsiTheme="majorHAnsi" w:cstheme="majorHAnsi"/>
          <w:b/>
          <w:bCs/>
          <w:color w:val="FFFFFF" w:themeColor="background1"/>
        </w:rPr>
      </w:r>
      <w:r w:rsidR="00DC22DC" w:rsidRPr="00DC22DC">
        <w:rPr>
          <w:rFonts w:asciiTheme="majorHAnsi" w:hAnsiTheme="majorHAnsi" w:cstheme="majorHAnsi"/>
          <w:b/>
          <w:bCs/>
          <w:color w:val="FFFFFF" w:themeColor="background1"/>
        </w:rPr>
        <w:fldChar w:fldCharType="separate"/>
      </w:r>
      <w:r w:rsidRPr="00DC22DC">
        <w:rPr>
          <w:rStyle w:val="Hyperlink"/>
          <w:rFonts w:asciiTheme="majorHAnsi" w:hAnsiTheme="majorHAnsi" w:cstheme="majorHAnsi"/>
          <w:b/>
          <w:bCs/>
          <w:color w:val="FFFFFF" w:themeColor="background1"/>
        </w:rPr>
        <w:t>www.dese.gov.au/disability-standards-education-2005/2020-review-disability-standards-education-2005</w:t>
      </w:r>
      <w:r w:rsidR="00DC22DC" w:rsidRPr="00DC22DC">
        <w:rPr>
          <w:rFonts w:asciiTheme="majorHAnsi" w:hAnsiTheme="majorHAnsi" w:cstheme="majorHAnsi"/>
          <w:b/>
          <w:bCs/>
          <w:color w:val="FFFFFF" w:themeColor="background1"/>
        </w:rPr>
        <w:fldChar w:fldCharType="end"/>
      </w:r>
      <w:r w:rsidRPr="00DC22DC">
        <w:rPr>
          <w:rFonts w:asciiTheme="majorHAnsi" w:hAnsiTheme="majorHAnsi" w:cstheme="majorHAnsi"/>
          <w:b/>
          <w:bCs/>
          <w:color w:val="FFFFFF" w:themeColor="background1"/>
        </w:rPr>
        <w:t>.</w:t>
      </w:r>
    </w:p>
    <w:sectPr w:rsidR="00E620DA" w:rsidRPr="00DC22DC" w:rsidSect="00E620DA">
      <w:headerReference w:type="default" r:id="rId12"/>
      <w:pgSz w:w="11900" w:h="16840"/>
      <w:pgMar w:top="426" w:right="679" w:bottom="248" w:left="87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DCEF1" w14:textId="77777777" w:rsidR="00156814" w:rsidRDefault="00156814" w:rsidP="003C5B95">
      <w:pPr>
        <w:spacing w:before="0" w:after="0" w:line="240" w:lineRule="auto"/>
      </w:pPr>
      <w:r>
        <w:separator/>
      </w:r>
    </w:p>
  </w:endnote>
  <w:endnote w:type="continuationSeparator" w:id="0">
    <w:p w14:paraId="57D1631A" w14:textId="77777777" w:rsidR="00156814" w:rsidRDefault="00156814" w:rsidP="003C5B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6C375" w14:textId="77777777" w:rsidR="00156814" w:rsidRDefault="00156814" w:rsidP="003C5B95">
      <w:pPr>
        <w:spacing w:before="0" w:after="0" w:line="240" w:lineRule="auto"/>
      </w:pPr>
      <w:r>
        <w:separator/>
      </w:r>
    </w:p>
  </w:footnote>
  <w:footnote w:type="continuationSeparator" w:id="0">
    <w:p w14:paraId="2B91A81A" w14:textId="77777777" w:rsidR="00156814" w:rsidRDefault="00156814" w:rsidP="003C5B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4ACDD" w14:textId="7B8A33D4" w:rsidR="00B358A8" w:rsidRDefault="00B358A8" w:rsidP="0076389F">
    <w:pPr>
      <w:pStyle w:val="Header"/>
      <w:ind w:left="-872"/>
    </w:pPr>
    <w:r>
      <w:rPr>
        <w:noProof/>
      </w:rPr>
      <w:drawing>
        <wp:inline distT="0" distB="0" distL="0" distR="0" wp14:anchorId="7FF3538A" wp14:editId="15FAD2F0">
          <wp:extent cx="7568156" cy="1148862"/>
          <wp:effectExtent l="0" t="0" r="1270" b="0"/>
          <wp:docPr id="1" name="Picture 1" descr="Australian Government, department of education, skills and employment. Disability Standards for Education 2005, 2020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education, skills and employment. Disability Standards for Education 2005, 2020 review."/>
                  <pic:cNvPicPr/>
                </pic:nvPicPr>
                <pic:blipFill>
                  <a:blip r:embed="rId1">
                    <a:extLst>
                      <a:ext uri="{28A0092B-C50C-407E-A947-70E740481C1C}">
                        <a14:useLocalDpi xmlns:a14="http://schemas.microsoft.com/office/drawing/2010/main" val="0"/>
                      </a:ext>
                    </a:extLst>
                  </a:blip>
                  <a:stretch>
                    <a:fillRect/>
                  </a:stretch>
                </pic:blipFill>
                <pic:spPr>
                  <a:xfrm>
                    <a:off x="0" y="0"/>
                    <a:ext cx="7568156" cy="114886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AF998" w14:textId="1E017310" w:rsidR="002F2A0C" w:rsidRPr="00E620DA" w:rsidRDefault="002F2A0C" w:rsidP="00E62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878D31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0A52EC"/>
    <w:multiLevelType w:val="hybridMultilevel"/>
    <w:tmpl w:val="FE0E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6C348E74"/>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FE00CB"/>
    <w:multiLevelType w:val="hybridMultilevel"/>
    <w:tmpl w:val="5900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06CC0"/>
    <w:multiLevelType w:val="hybridMultilevel"/>
    <w:tmpl w:val="BED44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032E68"/>
    <w:multiLevelType w:val="hybridMultilevel"/>
    <w:tmpl w:val="0FBE4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9267B1"/>
    <w:multiLevelType w:val="hybridMultilevel"/>
    <w:tmpl w:val="832E1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22A29"/>
    <w:multiLevelType w:val="hybridMultilevel"/>
    <w:tmpl w:val="2ED4F05A"/>
    <w:lvl w:ilvl="0" w:tplc="0C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CC15F7"/>
    <w:multiLevelType w:val="hybridMultilevel"/>
    <w:tmpl w:val="BE80C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5D0BB0"/>
    <w:multiLevelType w:val="hybridMultilevel"/>
    <w:tmpl w:val="C4A22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3B3022"/>
    <w:multiLevelType w:val="hybridMultilevel"/>
    <w:tmpl w:val="7E9224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7A5B51E6"/>
    <w:multiLevelType w:val="hybridMultilevel"/>
    <w:tmpl w:val="59A2F7A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9"/>
  </w:num>
  <w:num w:numId="3">
    <w:abstractNumId w:val="5"/>
  </w:num>
  <w:num w:numId="4">
    <w:abstractNumId w:val="3"/>
  </w:num>
  <w:num w:numId="5">
    <w:abstractNumId w:val="6"/>
  </w:num>
  <w:num w:numId="6">
    <w:abstractNumId w:val="0"/>
  </w:num>
  <w:num w:numId="7">
    <w:abstractNumId w:val="1"/>
  </w:num>
  <w:num w:numId="8">
    <w:abstractNumId w:val="10"/>
  </w:num>
  <w:num w:numId="9">
    <w:abstractNumId w:val="2"/>
  </w:num>
  <w:num w:numId="10">
    <w:abstractNumId w:val="7"/>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4"/>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ED"/>
    <w:rsid w:val="0000671D"/>
    <w:rsid w:val="00007050"/>
    <w:rsid w:val="000232A0"/>
    <w:rsid w:val="000249CD"/>
    <w:rsid w:val="00027603"/>
    <w:rsid w:val="00030D45"/>
    <w:rsid w:val="00041026"/>
    <w:rsid w:val="0004580F"/>
    <w:rsid w:val="000525D2"/>
    <w:rsid w:val="000548ED"/>
    <w:rsid w:val="00061D27"/>
    <w:rsid w:val="000660B0"/>
    <w:rsid w:val="000716BA"/>
    <w:rsid w:val="00083286"/>
    <w:rsid w:val="00086C3F"/>
    <w:rsid w:val="00087C2A"/>
    <w:rsid w:val="000A58D3"/>
    <w:rsid w:val="000A7D04"/>
    <w:rsid w:val="000B73DE"/>
    <w:rsid w:val="000C3454"/>
    <w:rsid w:val="000C4F6F"/>
    <w:rsid w:val="000C55AB"/>
    <w:rsid w:val="000D3F78"/>
    <w:rsid w:val="000E0C82"/>
    <w:rsid w:val="000E502C"/>
    <w:rsid w:val="000F5D36"/>
    <w:rsid w:val="001002F3"/>
    <w:rsid w:val="00110417"/>
    <w:rsid w:val="00110C7F"/>
    <w:rsid w:val="00110EC7"/>
    <w:rsid w:val="00123690"/>
    <w:rsid w:val="00124DFF"/>
    <w:rsid w:val="00140C7E"/>
    <w:rsid w:val="00141E61"/>
    <w:rsid w:val="00147545"/>
    <w:rsid w:val="001516BF"/>
    <w:rsid w:val="00151A9B"/>
    <w:rsid w:val="00156814"/>
    <w:rsid w:val="00162322"/>
    <w:rsid w:val="001745EA"/>
    <w:rsid w:val="001755D9"/>
    <w:rsid w:val="001842A9"/>
    <w:rsid w:val="001973A7"/>
    <w:rsid w:val="001A528B"/>
    <w:rsid w:val="001A6BF3"/>
    <w:rsid w:val="001B5BC0"/>
    <w:rsid w:val="001C3A1B"/>
    <w:rsid w:val="001D1C5C"/>
    <w:rsid w:val="001D2328"/>
    <w:rsid w:val="001D27E6"/>
    <w:rsid w:val="001D6251"/>
    <w:rsid w:val="001E0629"/>
    <w:rsid w:val="001E4F40"/>
    <w:rsid w:val="001F169A"/>
    <w:rsid w:val="001F5CC3"/>
    <w:rsid w:val="001F6931"/>
    <w:rsid w:val="00201F0E"/>
    <w:rsid w:val="00214DE9"/>
    <w:rsid w:val="00217796"/>
    <w:rsid w:val="002211E3"/>
    <w:rsid w:val="002550FA"/>
    <w:rsid w:val="0025779D"/>
    <w:rsid w:val="0026129F"/>
    <w:rsid w:val="00261E43"/>
    <w:rsid w:val="0027697D"/>
    <w:rsid w:val="00291B30"/>
    <w:rsid w:val="00294EAA"/>
    <w:rsid w:val="002A04DD"/>
    <w:rsid w:val="002A195F"/>
    <w:rsid w:val="002B004F"/>
    <w:rsid w:val="002B0AA7"/>
    <w:rsid w:val="002B0FD8"/>
    <w:rsid w:val="002B2D17"/>
    <w:rsid w:val="002B3998"/>
    <w:rsid w:val="002B782E"/>
    <w:rsid w:val="002C128E"/>
    <w:rsid w:val="002C6272"/>
    <w:rsid w:val="002C760C"/>
    <w:rsid w:val="002D0550"/>
    <w:rsid w:val="002D2AAD"/>
    <w:rsid w:val="002D553F"/>
    <w:rsid w:val="002D597C"/>
    <w:rsid w:val="002D79C2"/>
    <w:rsid w:val="002D7DB6"/>
    <w:rsid w:val="002D7F29"/>
    <w:rsid w:val="002E08E2"/>
    <w:rsid w:val="002E1FA2"/>
    <w:rsid w:val="002E305C"/>
    <w:rsid w:val="002F2A0C"/>
    <w:rsid w:val="00300AF2"/>
    <w:rsid w:val="00301926"/>
    <w:rsid w:val="003123EA"/>
    <w:rsid w:val="00314036"/>
    <w:rsid w:val="00317CDA"/>
    <w:rsid w:val="00333A5B"/>
    <w:rsid w:val="00346B6A"/>
    <w:rsid w:val="00347BE8"/>
    <w:rsid w:val="003602B3"/>
    <w:rsid w:val="00366D7A"/>
    <w:rsid w:val="00367B94"/>
    <w:rsid w:val="003725C1"/>
    <w:rsid w:val="00375462"/>
    <w:rsid w:val="0038035A"/>
    <w:rsid w:val="00380C37"/>
    <w:rsid w:val="003937D7"/>
    <w:rsid w:val="003951C7"/>
    <w:rsid w:val="003A0897"/>
    <w:rsid w:val="003A6AA5"/>
    <w:rsid w:val="003B019C"/>
    <w:rsid w:val="003C03A7"/>
    <w:rsid w:val="003C10D3"/>
    <w:rsid w:val="003C196C"/>
    <w:rsid w:val="003C5B95"/>
    <w:rsid w:val="003C74EF"/>
    <w:rsid w:val="003D229B"/>
    <w:rsid w:val="003E5E03"/>
    <w:rsid w:val="003E5FC8"/>
    <w:rsid w:val="0041205B"/>
    <w:rsid w:val="00417161"/>
    <w:rsid w:val="0042475F"/>
    <w:rsid w:val="00425896"/>
    <w:rsid w:val="004377E3"/>
    <w:rsid w:val="00441680"/>
    <w:rsid w:val="00441EFD"/>
    <w:rsid w:val="004504ED"/>
    <w:rsid w:val="00463B79"/>
    <w:rsid w:val="00464D96"/>
    <w:rsid w:val="00466584"/>
    <w:rsid w:val="004732AD"/>
    <w:rsid w:val="0047347A"/>
    <w:rsid w:val="00475E0F"/>
    <w:rsid w:val="004764A0"/>
    <w:rsid w:val="00483076"/>
    <w:rsid w:val="00496D2D"/>
    <w:rsid w:val="004A272F"/>
    <w:rsid w:val="004A4C06"/>
    <w:rsid w:val="004B10A9"/>
    <w:rsid w:val="004C4C9D"/>
    <w:rsid w:val="004D6A34"/>
    <w:rsid w:val="004E2027"/>
    <w:rsid w:val="004E2341"/>
    <w:rsid w:val="004E3F1C"/>
    <w:rsid w:val="004F3C77"/>
    <w:rsid w:val="004F5195"/>
    <w:rsid w:val="0051547C"/>
    <w:rsid w:val="0053074B"/>
    <w:rsid w:val="00537E0E"/>
    <w:rsid w:val="0054174F"/>
    <w:rsid w:val="005554B4"/>
    <w:rsid w:val="00566284"/>
    <w:rsid w:val="00580DF5"/>
    <w:rsid w:val="00596024"/>
    <w:rsid w:val="00596B37"/>
    <w:rsid w:val="005972D4"/>
    <w:rsid w:val="005A0189"/>
    <w:rsid w:val="005A55B4"/>
    <w:rsid w:val="005A7773"/>
    <w:rsid w:val="005B5592"/>
    <w:rsid w:val="005C4D2D"/>
    <w:rsid w:val="005D0B23"/>
    <w:rsid w:val="005D5FD6"/>
    <w:rsid w:val="005D744F"/>
    <w:rsid w:val="005E2B39"/>
    <w:rsid w:val="0060381D"/>
    <w:rsid w:val="006062AD"/>
    <w:rsid w:val="0061622A"/>
    <w:rsid w:val="0062525F"/>
    <w:rsid w:val="006428FE"/>
    <w:rsid w:val="006456D1"/>
    <w:rsid w:val="00647C9C"/>
    <w:rsid w:val="0065213F"/>
    <w:rsid w:val="00652E9C"/>
    <w:rsid w:val="0065592D"/>
    <w:rsid w:val="00655D3F"/>
    <w:rsid w:val="0066717F"/>
    <w:rsid w:val="00670B01"/>
    <w:rsid w:val="00672424"/>
    <w:rsid w:val="0069245D"/>
    <w:rsid w:val="006A00D5"/>
    <w:rsid w:val="006A1168"/>
    <w:rsid w:val="006C1670"/>
    <w:rsid w:val="006C3177"/>
    <w:rsid w:val="006C553B"/>
    <w:rsid w:val="006D482E"/>
    <w:rsid w:val="006E1838"/>
    <w:rsid w:val="006E3B4B"/>
    <w:rsid w:val="006E52A5"/>
    <w:rsid w:val="00710A0B"/>
    <w:rsid w:val="0071477D"/>
    <w:rsid w:val="0071484B"/>
    <w:rsid w:val="00715435"/>
    <w:rsid w:val="00731712"/>
    <w:rsid w:val="00741A30"/>
    <w:rsid w:val="00756FCC"/>
    <w:rsid w:val="0076389F"/>
    <w:rsid w:val="00764574"/>
    <w:rsid w:val="00764710"/>
    <w:rsid w:val="00765CB3"/>
    <w:rsid w:val="00766DE5"/>
    <w:rsid w:val="00770C5A"/>
    <w:rsid w:val="00773F3C"/>
    <w:rsid w:val="007771AA"/>
    <w:rsid w:val="00780837"/>
    <w:rsid w:val="007820B0"/>
    <w:rsid w:val="0078239A"/>
    <w:rsid w:val="0078523A"/>
    <w:rsid w:val="007875AE"/>
    <w:rsid w:val="00794063"/>
    <w:rsid w:val="0079474A"/>
    <w:rsid w:val="007A3DB8"/>
    <w:rsid w:val="007A5D60"/>
    <w:rsid w:val="007B1D29"/>
    <w:rsid w:val="007B7A1D"/>
    <w:rsid w:val="007C3B2B"/>
    <w:rsid w:val="007C622A"/>
    <w:rsid w:val="007C657A"/>
    <w:rsid w:val="007D60E7"/>
    <w:rsid w:val="007D7316"/>
    <w:rsid w:val="007E0071"/>
    <w:rsid w:val="007E0306"/>
    <w:rsid w:val="007F3A88"/>
    <w:rsid w:val="007F4E9F"/>
    <w:rsid w:val="007F4ED8"/>
    <w:rsid w:val="00803E24"/>
    <w:rsid w:val="00804CB6"/>
    <w:rsid w:val="0080765A"/>
    <w:rsid w:val="008140CB"/>
    <w:rsid w:val="00816CCF"/>
    <w:rsid w:val="0083419E"/>
    <w:rsid w:val="0084119B"/>
    <w:rsid w:val="008471EC"/>
    <w:rsid w:val="0084738D"/>
    <w:rsid w:val="00853DC0"/>
    <w:rsid w:val="008547A9"/>
    <w:rsid w:val="00857C3E"/>
    <w:rsid w:val="00860ABA"/>
    <w:rsid w:val="00862A82"/>
    <w:rsid w:val="00864977"/>
    <w:rsid w:val="0086595F"/>
    <w:rsid w:val="00867C22"/>
    <w:rsid w:val="00875147"/>
    <w:rsid w:val="00877BE7"/>
    <w:rsid w:val="00883E1A"/>
    <w:rsid w:val="00886326"/>
    <w:rsid w:val="008876FF"/>
    <w:rsid w:val="00890B90"/>
    <w:rsid w:val="00896DF4"/>
    <w:rsid w:val="008A4F1B"/>
    <w:rsid w:val="008A6F79"/>
    <w:rsid w:val="008B2F55"/>
    <w:rsid w:val="008B392F"/>
    <w:rsid w:val="008B665D"/>
    <w:rsid w:val="008B66F0"/>
    <w:rsid w:val="008B7DAC"/>
    <w:rsid w:val="008C3E38"/>
    <w:rsid w:val="008D0CDC"/>
    <w:rsid w:val="008D4762"/>
    <w:rsid w:val="008D5DDB"/>
    <w:rsid w:val="008D6D12"/>
    <w:rsid w:val="008D6E5D"/>
    <w:rsid w:val="008E27A8"/>
    <w:rsid w:val="008F00C5"/>
    <w:rsid w:val="008F34E4"/>
    <w:rsid w:val="008F64DF"/>
    <w:rsid w:val="008F72DC"/>
    <w:rsid w:val="00904381"/>
    <w:rsid w:val="009057AC"/>
    <w:rsid w:val="00913EB3"/>
    <w:rsid w:val="00941A43"/>
    <w:rsid w:val="00943F51"/>
    <w:rsid w:val="00944A94"/>
    <w:rsid w:val="00952D08"/>
    <w:rsid w:val="009535CF"/>
    <w:rsid w:val="009578FF"/>
    <w:rsid w:val="00960D44"/>
    <w:rsid w:val="009642D2"/>
    <w:rsid w:val="00965C31"/>
    <w:rsid w:val="00970025"/>
    <w:rsid w:val="00974108"/>
    <w:rsid w:val="00974668"/>
    <w:rsid w:val="00974B6D"/>
    <w:rsid w:val="00975C50"/>
    <w:rsid w:val="009869D2"/>
    <w:rsid w:val="00991ADB"/>
    <w:rsid w:val="009964F6"/>
    <w:rsid w:val="009A237B"/>
    <w:rsid w:val="009A7F4C"/>
    <w:rsid w:val="009B2100"/>
    <w:rsid w:val="009B6790"/>
    <w:rsid w:val="009C556A"/>
    <w:rsid w:val="009D5B09"/>
    <w:rsid w:val="00A11BF2"/>
    <w:rsid w:val="00A26C42"/>
    <w:rsid w:val="00A3476D"/>
    <w:rsid w:val="00A355B5"/>
    <w:rsid w:val="00A378EF"/>
    <w:rsid w:val="00A51FE5"/>
    <w:rsid w:val="00A64FAF"/>
    <w:rsid w:val="00A81C68"/>
    <w:rsid w:val="00A84E19"/>
    <w:rsid w:val="00A947DF"/>
    <w:rsid w:val="00A969EE"/>
    <w:rsid w:val="00AA3544"/>
    <w:rsid w:val="00AA4EB8"/>
    <w:rsid w:val="00AB174B"/>
    <w:rsid w:val="00AC1C58"/>
    <w:rsid w:val="00AC6140"/>
    <w:rsid w:val="00AD1618"/>
    <w:rsid w:val="00AD3719"/>
    <w:rsid w:val="00AE0588"/>
    <w:rsid w:val="00AF2DA4"/>
    <w:rsid w:val="00B03C85"/>
    <w:rsid w:val="00B03FF2"/>
    <w:rsid w:val="00B066CA"/>
    <w:rsid w:val="00B06C1D"/>
    <w:rsid w:val="00B10B47"/>
    <w:rsid w:val="00B13685"/>
    <w:rsid w:val="00B1438E"/>
    <w:rsid w:val="00B35665"/>
    <w:rsid w:val="00B358A8"/>
    <w:rsid w:val="00B35CA1"/>
    <w:rsid w:val="00B41E56"/>
    <w:rsid w:val="00B43AE9"/>
    <w:rsid w:val="00B632B7"/>
    <w:rsid w:val="00B67BE1"/>
    <w:rsid w:val="00B811FA"/>
    <w:rsid w:val="00B841C7"/>
    <w:rsid w:val="00B9002B"/>
    <w:rsid w:val="00B902A1"/>
    <w:rsid w:val="00B95EBF"/>
    <w:rsid w:val="00BA09EA"/>
    <w:rsid w:val="00BA22A9"/>
    <w:rsid w:val="00BA3386"/>
    <w:rsid w:val="00BA3D22"/>
    <w:rsid w:val="00BA4284"/>
    <w:rsid w:val="00BA66B9"/>
    <w:rsid w:val="00BC0EAD"/>
    <w:rsid w:val="00BC4D52"/>
    <w:rsid w:val="00BC65D5"/>
    <w:rsid w:val="00BD1590"/>
    <w:rsid w:val="00BD2D6D"/>
    <w:rsid w:val="00BD4DED"/>
    <w:rsid w:val="00BE1DA5"/>
    <w:rsid w:val="00BE3CA5"/>
    <w:rsid w:val="00BE3FAA"/>
    <w:rsid w:val="00BE425D"/>
    <w:rsid w:val="00BE4668"/>
    <w:rsid w:val="00C04951"/>
    <w:rsid w:val="00C066F4"/>
    <w:rsid w:val="00C17122"/>
    <w:rsid w:val="00C269B4"/>
    <w:rsid w:val="00C30227"/>
    <w:rsid w:val="00C310CF"/>
    <w:rsid w:val="00C360D7"/>
    <w:rsid w:val="00C45EE4"/>
    <w:rsid w:val="00C47ACC"/>
    <w:rsid w:val="00C57619"/>
    <w:rsid w:val="00C614F7"/>
    <w:rsid w:val="00C814DC"/>
    <w:rsid w:val="00C901A2"/>
    <w:rsid w:val="00C93C9F"/>
    <w:rsid w:val="00C943C3"/>
    <w:rsid w:val="00C961D1"/>
    <w:rsid w:val="00CA06F7"/>
    <w:rsid w:val="00CB0EA1"/>
    <w:rsid w:val="00CB2C03"/>
    <w:rsid w:val="00CB302F"/>
    <w:rsid w:val="00CC2C47"/>
    <w:rsid w:val="00CE53B3"/>
    <w:rsid w:val="00CF0D59"/>
    <w:rsid w:val="00CF3596"/>
    <w:rsid w:val="00D01726"/>
    <w:rsid w:val="00D05264"/>
    <w:rsid w:val="00D06C81"/>
    <w:rsid w:val="00D10268"/>
    <w:rsid w:val="00D16828"/>
    <w:rsid w:val="00D20109"/>
    <w:rsid w:val="00D26671"/>
    <w:rsid w:val="00D27759"/>
    <w:rsid w:val="00D30CC2"/>
    <w:rsid w:val="00D52670"/>
    <w:rsid w:val="00D54171"/>
    <w:rsid w:val="00D60160"/>
    <w:rsid w:val="00D60B26"/>
    <w:rsid w:val="00D64172"/>
    <w:rsid w:val="00D70306"/>
    <w:rsid w:val="00D75FA8"/>
    <w:rsid w:val="00D76743"/>
    <w:rsid w:val="00D82A37"/>
    <w:rsid w:val="00D855C9"/>
    <w:rsid w:val="00D8564A"/>
    <w:rsid w:val="00D92768"/>
    <w:rsid w:val="00DA0A8C"/>
    <w:rsid w:val="00DA1CDE"/>
    <w:rsid w:val="00DA56B4"/>
    <w:rsid w:val="00DC22DC"/>
    <w:rsid w:val="00DC74D0"/>
    <w:rsid w:val="00DD3A66"/>
    <w:rsid w:val="00DD5E0B"/>
    <w:rsid w:val="00DD6C8D"/>
    <w:rsid w:val="00DE021E"/>
    <w:rsid w:val="00DE4068"/>
    <w:rsid w:val="00DE41D8"/>
    <w:rsid w:val="00E00E44"/>
    <w:rsid w:val="00E01186"/>
    <w:rsid w:val="00E01604"/>
    <w:rsid w:val="00E04AAE"/>
    <w:rsid w:val="00E12B98"/>
    <w:rsid w:val="00E16FAF"/>
    <w:rsid w:val="00E201C2"/>
    <w:rsid w:val="00E20632"/>
    <w:rsid w:val="00E235EB"/>
    <w:rsid w:val="00E44C39"/>
    <w:rsid w:val="00E51766"/>
    <w:rsid w:val="00E5725D"/>
    <w:rsid w:val="00E620DA"/>
    <w:rsid w:val="00E651D0"/>
    <w:rsid w:val="00E814DB"/>
    <w:rsid w:val="00E81A50"/>
    <w:rsid w:val="00E83B0A"/>
    <w:rsid w:val="00E901E9"/>
    <w:rsid w:val="00E930CF"/>
    <w:rsid w:val="00E93CF3"/>
    <w:rsid w:val="00EA286C"/>
    <w:rsid w:val="00EB023E"/>
    <w:rsid w:val="00EB1B13"/>
    <w:rsid w:val="00EB3F5D"/>
    <w:rsid w:val="00ED3BE8"/>
    <w:rsid w:val="00ED7770"/>
    <w:rsid w:val="00EE5136"/>
    <w:rsid w:val="00EF1810"/>
    <w:rsid w:val="00EF4DDE"/>
    <w:rsid w:val="00EF6499"/>
    <w:rsid w:val="00F01B29"/>
    <w:rsid w:val="00F01CB4"/>
    <w:rsid w:val="00F301D7"/>
    <w:rsid w:val="00F303D6"/>
    <w:rsid w:val="00F54581"/>
    <w:rsid w:val="00F62159"/>
    <w:rsid w:val="00F65DFF"/>
    <w:rsid w:val="00F67D08"/>
    <w:rsid w:val="00F73651"/>
    <w:rsid w:val="00F84A76"/>
    <w:rsid w:val="00F94C6A"/>
    <w:rsid w:val="00FA249D"/>
    <w:rsid w:val="00FB0773"/>
    <w:rsid w:val="00FB2942"/>
    <w:rsid w:val="00FB349C"/>
    <w:rsid w:val="00FC08FF"/>
    <w:rsid w:val="00FC1786"/>
    <w:rsid w:val="00FC412E"/>
    <w:rsid w:val="00FD0A81"/>
    <w:rsid w:val="00FD1637"/>
    <w:rsid w:val="00FD1A51"/>
    <w:rsid w:val="00FD26D5"/>
    <w:rsid w:val="00FD422E"/>
    <w:rsid w:val="00FD4988"/>
    <w:rsid w:val="00FE557A"/>
    <w:rsid w:val="00FF1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104B9F"/>
  <w14:defaultImageDpi w14:val="32767"/>
  <w15:chartTrackingRefBased/>
  <w15:docId w15:val="{EC70DCA2-3F38-F04D-8505-46FF8DD5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3AE9"/>
    <w:pPr>
      <w:spacing w:before="120" w:after="120" w:line="259" w:lineRule="auto"/>
    </w:pPr>
    <w:rPr>
      <w:rFonts w:ascii="Calibri" w:hAnsi="Calibri"/>
      <w:sz w:val="22"/>
      <w:szCs w:val="22"/>
      <w:lang w:val="en-AU"/>
    </w:rPr>
  </w:style>
  <w:style w:type="paragraph" w:styleId="Heading1">
    <w:name w:val="heading 1"/>
    <w:basedOn w:val="Heading2"/>
    <w:next w:val="Normal"/>
    <w:link w:val="Heading1Char"/>
    <w:uiPriority w:val="9"/>
    <w:qFormat/>
    <w:rsid w:val="008D6D12"/>
    <w:pPr>
      <w:outlineLvl w:val="0"/>
    </w:pPr>
    <w:rPr>
      <w:color w:val="062B3E"/>
    </w:rPr>
  </w:style>
  <w:style w:type="paragraph" w:styleId="Heading2">
    <w:name w:val="heading 2"/>
    <w:basedOn w:val="Heading3"/>
    <w:next w:val="Normal"/>
    <w:link w:val="Heading2Char"/>
    <w:uiPriority w:val="9"/>
    <w:unhideWhenUsed/>
    <w:qFormat/>
    <w:rsid w:val="002B004F"/>
    <w:pPr>
      <w:spacing w:after="120"/>
      <w:outlineLvl w:val="1"/>
    </w:pPr>
    <w:rPr>
      <w:color w:val="29608C"/>
    </w:rPr>
  </w:style>
  <w:style w:type="paragraph" w:styleId="Heading3">
    <w:name w:val="heading 3"/>
    <w:basedOn w:val="Normal"/>
    <w:next w:val="Normal"/>
    <w:link w:val="Heading3Char"/>
    <w:uiPriority w:val="9"/>
    <w:unhideWhenUsed/>
    <w:qFormat/>
    <w:rsid w:val="002D7DB6"/>
    <w:pPr>
      <w:keepNext/>
      <w:keepLines/>
      <w:spacing w:before="0" w:after="0"/>
      <w:outlineLvl w:val="2"/>
    </w:pPr>
    <w:rPr>
      <w:rFonts w:asciiTheme="majorHAnsi" w:eastAsiaTheme="majorEastAsia" w:hAnsiTheme="majorHAnsi" w:cstheme="majorBidi"/>
      <w:b/>
      <w:bCs/>
      <w:color w:val="1F3763" w:themeColor="accent1" w:themeShade="7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D12"/>
    <w:rPr>
      <w:rFonts w:asciiTheme="majorHAnsi" w:eastAsiaTheme="majorEastAsia" w:hAnsiTheme="majorHAnsi" w:cstheme="majorBidi"/>
      <w:b/>
      <w:bCs/>
      <w:color w:val="062B3E"/>
      <w:sz w:val="32"/>
      <w:szCs w:val="32"/>
      <w:lang w:val="en-AU"/>
    </w:rPr>
  </w:style>
  <w:style w:type="table" w:styleId="TableGrid">
    <w:name w:val="Table Grid"/>
    <w:aliases w:val="NRSB Table"/>
    <w:basedOn w:val="TableNormal"/>
    <w:rsid w:val="00B43AE9"/>
    <w:pPr>
      <w:spacing w:after="40"/>
    </w:pPr>
    <w:rPr>
      <w:sz w:val="22"/>
      <w:szCs w:val="22"/>
      <w:lang w:val="en-AU"/>
    </w:rPr>
    <w:tblPr>
      <w:tblStyleRowBandSize w:val="1"/>
      <w:tblCellMar>
        <w:top w:w="45" w:type="dxa"/>
      </w:tblCellMar>
    </w:tblPr>
    <w:tcPr>
      <w:vAlign w:val="center"/>
    </w:tcPr>
    <w:tblStylePr w:type="firstRow">
      <w:pPr>
        <w:jc w:val="left"/>
      </w:pPr>
      <w:rPr>
        <w:rFonts w:ascii="Calibri" w:hAnsi="Calibri"/>
        <w:b/>
        <w:color w:val="FFFFFF" w:themeColor="background1"/>
        <w:sz w:val="24"/>
      </w:rPr>
      <w:tblPr/>
      <w:tcPr>
        <w:shd w:val="clear" w:color="auto" w:fill="0F294C"/>
      </w:tcPr>
    </w:tblStylePr>
    <w:tblStylePr w:type="lastRow">
      <w:tblPr/>
      <w:tcPr>
        <w:tcBorders>
          <w:bottom w:val="single" w:sz="4" w:space="0" w:color="0F294C"/>
        </w:tcBorders>
      </w:tcPr>
    </w:tblStylePr>
    <w:tblStylePr w:type="band1Horz">
      <w:tblPr/>
      <w:tcPr>
        <w:shd w:val="clear" w:color="auto" w:fill="D7E0F1"/>
      </w:tcPr>
    </w:tblStylePr>
  </w:style>
  <w:style w:type="character" w:customStyle="1" w:styleId="Heading2Char">
    <w:name w:val="Heading 2 Char"/>
    <w:basedOn w:val="DefaultParagraphFont"/>
    <w:link w:val="Heading2"/>
    <w:uiPriority w:val="9"/>
    <w:rsid w:val="002B004F"/>
    <w:rPr>
      <w:rFonts w:asciiTheme="majorHAnsi" w:eastAsiaTheme="majorEastAsia" w:hAnsiTheme="majorHAnsi" w:cstheme="majorBidi"/>
      <w:b/>
      <w:bCs/>
      <w:color w:val="29608C"/>
      <w:sz w:val="28"/>
      <w:szCs w:val="28"/>
      <w:lang w:val="en-AU"/>
    </w:rPr>
  </w:style>
  <w:style w:type="paragraph" w:styleId="BalloonText">
    <w:name w:val="Balloon Text"/>
    <w:basedOn w:val="Normal"/>
    <w:link w:val="BalloonTextChar"/>
    <w:uiPriority w:val="99"/>
    <w:semiHidden/>
    <w:unhideWhenUsed/>
    <w:rsid w:val="00D10268"/>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0268"/>
    <w:rPr>
      <w:rFonts w:ascii="Times New Roman" w:hAnsi="Times New Roman" w:cs="Times New Roman"/>
      <w:sz w:val="18"/>
      <w:szCs w:val="18"/>
      <w:lang w:val="en-AU"/>
    </w:rPr>
  </w:style>
  <w:style w:type="paragraph" w:styleId="ListBullet">
    <w:name w:val="List Bullet"/>
    <w:basedOn w:val="Normal"/>
    <w:uiPriority w:val="99"/>
    <w:qFormat/>
    <w:rsid w:val="00D10268"/>
    <w:pPr>
      <w:numPr>
        <w:numId w:val="1"/>
      </w:numPr>
      <w:contextualSpacing/>
    </w:pPr>
  </w:style>
  <w:style w:type="paragraph" w:styleId="ListBullet3">
    <w:name w:val="List Bullet 3"/>
    <w:basedOn w:val="Normal"/>
    <w:uiPriority w:val="99"/>
    <w:qFormat/>
    <w:rsid w:val="00D10268"/>
    <w:pPr>
      <w:numPr>
        <w:ilvl w:val="2"/>
        <w:numId w:val="1"/>
      </w:numPr>
      <w:tabs>
        <w:tab w:val="left" w:pos="851"/>
      </w:tabs>
      <w:spacing w:before="0" w:after="0"/>
      <w:contextualSpacing/>
    </w:pPr>
  </w:style>
  <w:style w:type="paragraph" w:styleId="ListBullet4">
    <w:name w:val="List Bullet 4"/>
    <w:basedOn w:val="Normal"/>
    <w:uiPriority w:val="99"/>
    <w:qFormat/>
    <w:rsid w:val="00D10268"/>
    <w:pPr>
      <w:numPr>
        <w:ilvl w:val="3"/>
        <w:numId w:val="1"/>
      </w:numPr>
      <w:tabs>
        <w:tab w:val="left" w:pos="1134"/>
      </w:tabs>
      <w:contextualSpacing/>
    </w:pPr>
  </w:style>
  <w:style w:type="table" w:styleId="TableGridLight">
    <w:name w:val="Grid Table Light"/>
    <w:basedOn w:val="TableNormal"/>
    <w:uiPriority w:val="40"/>
    <w:rsid w:val="00766DE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5">
    <w:name w:val="Grid Table 5 Dark Accent 5"/>
    <w:basedOn w:val="TableNormal"/>
    <w:uiPriority w:val="50"/>
    <w:rsid w:val="00FD49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urfulAccent5">
    <w:name w:val="Grid Table 6 Colorful Accent 5"/>
    <w:basedOn w:val="TableNormal"/>
    <w:uiPriority w:val="51"/>
    <w:rsid w:val="00FD4988"/>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
    <w:name w:val="Grid Table 1 Light"/>
    <w:basedOn w:val="TableNormal"/>
    <w:uiPriority w:val="46"/>
    <w:rsid w:val="00FD498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FD498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FD49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Bullets,List Paragraph11,Recommendation,List Paragraph1,Bullet point,CV text,Dot pt,F5 List Paragraph,FooterText,L,List Paragraph111,List Paragraph2,Medium Grid 1 - Accent 21,NFP GP Bulleted List,Numbered Paragraph,numbered,列出段,列出段落,列"/>
    <w:basedOn w:val="Normal"/>
    <w:link w:val="ListParagraphChar"/>
    <w:uiPriority w:val="34"/>
    <w:qFormat/>
    <w:rsid w:val="00E5725D"/>
    <w:pPr>
      <w:ind w:left="720"/>
      <w:contextualSpacing/>
    </w:pPr>
  </w:style>
  <w:style w:type="character" w:customStyle="1" w:styleId="ListParagraphChar">
    <w:name w:val="List Paragraph Char"/>
    <w:aliases w:val="Bullets Char,List Paragraph11 Char,Recommendation Char,List Paragraph1 Char,Bullet point Char,CV text Char,Dot pt Char,F5 List Paragraph Char,FooterText Char,L Char,List Paragraph111 Char,List Paragraph2 Char,Numbered Paragraph Char"/>
    <w:link w:val="ListParagraph"/>
    <w:uiPriority w:val="34"/>
    <w:qFormat/>
    <w:locked/>
    <w:rsid w:val="009D5B09"/>
    <w:rPr>
      <w:rFonts w:ascii="Calibri" w:hAnsi="Calibri"/>
      <w:sz w:val="22"/>
      <w:szCs w:val="22"/>
      <w:lang w:val="en-AU"/>
    </w:rPr>
  </w:style>
  <w:style w:type="character" w:styleId="CommentReference">
    <w:name w:val="annotation reference"/>
    <w:basedOn w:val="DefaultParagraphFont"/>
    <w:uiPriority w:val="99"/>
    <w:semiHidden/>
    <w:unhideWhenUsed/>
    <w:rsid w:val="002550FA"/>
    <w:rPr>
      <w:sz w:val="16"/>
      <w:szCs w:val="16"/>
    </w:rPr>
  </w:style>
  <w:style w:type="paragraph" w:styleId="CommentText">
    <w:name w:val="annotation text"/>
    <w:basedOn w:val="Normal"/>
    <w:link w:val="CommentTextChar"/>
    <w:uiPriority w:val="99"/>
    <w:semiHidden/>
    <w:unhideWhenUsed/>
    <w:rsid w:val="002550FA"/>
    <w:pPr>
      <w:spacing w:line="240" w:lineRule="auto"/>
    </w:pPr>
    <w:rPr>
      <w:sz w:val="20"/>
      <w:szCs w:val="20"/>
    </w:rPr>
  </w:style>
  <w:style w:type="character" w:customStyle="1" w:styleId="CommentTextChar">
    <w:name w:val="Comment Text Char"/>
    <w:basedOn w:val="DefaultParagraphFont"/>
    <w:link w:val="CommentText"/>
    <w:uiPriority w:val="99"/>
    <w:semiHidden/>
    <w:rsid w:val="002550FA"/>
    <w:rPr>
      <w:rFonts w:ascii="Calibri" w:hAnsi="Calibri"/>
      <w:sz w:val="20"/>
      <w:szCs w:val="20"/>
      <w:lang w:val="en-AU"/>
    </w:rPr>
  </w:style>
  <w:style w:type="paragraph" w:styleId="CommentSubject">
    <w:name w:val="annotation subject"/>
    <w:basedOn w:val="CommentText"/>
    <w:next w:val="CommentText"/>
    <w:link w:val="CommentSubjectChar"/>
    <w:uiPriority w:val="99"/>
    <w:semiHidden/>
    <w:unhideWhenUsed/>
    <w:rsid w:val="002550FA"/>
    <w:rPr>
      <w:b/>
      <w:bCs/>
    </w:rPr>
  </w:style>
  <w:style w:type="character" w:customStyle="1" w:styleId="CommentSubjectChar">
    <w:name w:val="Comment Subject Char"/>
    <w:basedOn w:val="CommentTextChar"/>
    <w:link w:val="CommentSubject"/>
    <w:uiPriority w:val="99"/>
    <w:semiHidden/>
    <w:rsid w:val="002550FA"/>
    <w:rPr>
      <w:rFonts w:ascii="Calibri" w:hAnsi="Calibri"/>
      <w:b/>
      <w:bCs/>
      <w:sz w:val="20"/>
      <w:szCs w:val="20"/>
      <w:lang w:val="en-AU"/>
    </w:rPr>
  </w:style>
  <w:style w:type="paragraph" w:styleId="Header">
    <w:name w:val="header"/>
    <w:basedOn w:val="Normal"/>
    <w:link w:val="HeaderChar"/>
    <w:uiPriority w:val="99"/>
    <w:unhideWhenUsed/>
    <w:rsid w:val="003C5B9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C5B95"/>
    <w:rPr>
      <w:rFonts w:ascii="Calibri" w:hAnsi="Calibri"/>
      <w:sz w:val="22"/>
      <w:szCs w:val="22"/>
      <w:lang w:val="en-AU"/>
    </w:rPr>
  </w:style>
  <w:style w:type="paragraph" w:styleId="Footer">
    <w:name w:val="footer"/>
    <w:basedOn w:val="Normal"/>
    <w:link w:val="FooterChar"/>
    <w:uiPriority w:val="99"/>
    <w:unhideWhenUsed/>
    <w:rsid w:val="003C5B9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C5B95"/>
    <w:rPr>
      <w:rFonts w:ascii="Calibri" w:hAnsi="Calibri"/>
      <w:sz w:val="22"/>
      <w:szCs w:val="22"/>
      <w:lang w:val="en-AU"/>
    </w:rPr>
  </w:style>
  <w:style w:type="character" w:customStyle="1" w:styleId="Heading3Char">
    <w:name w:val="Heading 3 Char"/>
    <w:basedOn w:val="DefaultParagraphFont"/>
    <w:link w:val="Heading3"/>
    <w:uiPriority w:val="9"/>
    <w:rsid w:val="002D7DB6"/>
    <w:rPr>
      <w:rFonts w:asciiTheme="majorHAnsi" w:eastAsiaTheme="majorEastAsia" w:hAnsiTheme="majorHAnsi" w:cstheme="majorBidi"/>
      <w:b/>
      <w:bCs/>
      <w:color w:val="1F3763" w:themeColor="accent1" w:themeShade="7F"/>
      <w:sz w:val="28"/>
      <w:szCs w:val="28"/>
      <w:lang w:val="en-AU"/>
    </w:rPr>
  </w:style>
  <w:style w:type="paragraph" w:styleId="Revision">
    <w:name w:val="Revision"/>
    <w:hidden/>
    <w:uiPriority w:val="99"/>
    <w:semiHidden/>
    <w:rsid w:val="00E04AAE"/>
    <w:rPr>
      <w:rFonts w:ascii="Calibri" w:hAnsi="Calibri"/>
      <w:sz w:val="22"/>
      <w:szCs w:val="22"/>
      <w:lang w:val="en-AU"/>
    </w:rPr>
  </w:style>
  <w:style w:type="character" w:styleId="Hyperlink">
    <w:name w:val="Hyperlink"/>
    <w:basedOn w:val="DefaultParagraphFont"/>
    <w:uiPriority w:val="99"/>
    <w:unhideWhenUsed/>
    <w:rsid w:val="003937D7"/>
    <w:rPr>
      <w:color w:val="0563C1"/>
      <w:u w:val="single"/>
    </w:rPr>
  </w:style>
  <w:style w:type="character" w:styleId="UnresolvedMention">
    <w:name w:val="Unresolved Mention"/>
    <w:basedOn w:val="DefaultParagraphFont"/>
    <w:uiPriority w:val="99"/>
    <w:rsid w:val="003937D7"/>
    <w:rPr>
      <w:color w:val="605E5C"/>
      <w:shd w:val="clear" w:color="auto" w:fill="E1DFDD"/>
    </w:rPr>
  </w:style>
  <w:style w:type="character" w:styleId="FollowedHyperlink">
    <w:name w:val="FollowedHyperlink"/>
    <w:basedOn w:val="DefaultParagraphFont"/>
    <w:uiPriority w:val="99"/>
    <w:semiHidden/>
    <w:unhideWhenUsed/>
    <w:rsid w:val="004A27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71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12" ma:contentTypeDescription="Create a new document." ma:contentTypeScope="" ma:versionID="8111937955b005cc2043bbafdd10d1f7">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00d82e706e1cd45af56d0269888927f6"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42C95-86EC-4C98-804A-6FBE463A13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A0B53E-6B09-4D93-8ED8-322982368B83}">
  <ds:schemaRefs>
    <ds:schemaRef ds:uri="http://schemas.openxmlformats.org/officeDocument/2006/bibliography"/>
  </ds:schemaRefs>
</ds:datastoreItem>
</file>

<file path=customXml/itemProps3.xml><?xml version="1.0" encoding="utf-8"?>
<ds:datastoreItem xmlns:ds="http://schemas.openxmlformats.org/officeDocument/2006/customXml" ds:itemID="{CE9C04FC-7FEA-4CEA-A8BE-4094EFDFA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29ACB7-DEB1-4FD5-BA9C-6A2C342796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1055</Words>
  <Characters>6017</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2021-01-12T05:54:00Z</cp:lastPrinted>
  <dcterms:created xsi:type="dcterms:W3CDTF">2021-01-27T21:53:00Z</dcterms:created>
  <dcterms:modified xsi:type="dcterms:W3CDTF">2021-02-01T04:11:00Z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0x0101007D4D5C3B0EA0474E84C80AEC9CD4A232</vt:lpwstr>
  </property>
</Properties>
</file>