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1B64A0" w:rsidRPr="001B64A0" w14:paraId="67EB4462" w14:textId="77777777" w:rsidTr="008050F3">
        <w:trPr>
          <w:cantSplit/>
        </w:trPr>
        <w:tc>
          <w:tcPr>
            <w:tcW w:w="5000" w:type="pct"/>
            <w:tcBorders>
              <w:bottom w:val="single" w:sz="4" w:space="0" w:color="auto"/>
            </w:tcBorders>
          </w:tcPr>
          <w:p w14:paraId="4FF43D94" w14:textId="309EC5A5" w:rsidR="006C77D9" w:rsidRPr="001B64A0" w:rsidRDefault="00E45690" w:rsidP="000B1075">
            <w:pPr>
              <w:pStyle w:val="Heading1"/>
              <w:rPr>
                <w:highlight w:val="lightGray"/>
              </w:rPr>
            </w:pPr>
            <w:bookmarkStart w:id="0" w:name="_GoBack"/>
            <w:bookmarkEnd w:id="0"/>
            <w:r w:rsidRPr="001B64A0">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B64A0" w:rsidRPr="001B64A0" w14:paraId="13A258B6" w14:textId="77777777" w:rsidTr="008050F3">
        <w:trPr>
          <w:cantSplit/>
        </w:trPr>
        <w:tc>
          <w:tcPr>
            <w:tcW w:w="5000" w:type="pct"/>
            <w:tcBorders>
              <w:bottom w:val="single" w:sz="4" w:space="0" w:color="auto"/>
            </w:tcBorders>
          </w:tcPr>
          <w:p w14:paraId="47AB59D7" w14:textId="19FF698C" w:rsidR="00353E74" w:rsidRPr="001B64A0" w:rsidRDefault="0031335B" w:rsidP="002E6E29">
            <w:pPr>
              <w:pStyle w:val="Heading5"/>
            </w:pPr>
            <w:bookmarkStart w:id="1" w:name="Text2"/>
            <w:r w:rsidRPr="001B64A0">
              <w:t>20</w:t>
            </w:r>
            <w:r w:rsidR="008C6BD3" w:rsidRPr="001B64A0">
              <w:t>20</w:t>
            </w:r>
            <w:r w:rsidR="00411B87" w:rsidRPr="001B64A0">
              <w:t xml:space="preserve"> </w:t>
            </w:r>
            <w:r w:rsidR="004F2EC1" w:rsidRPr="001B64A0">
              <w:t>M</w:t>
            </w:r>
            <w:r w:rsidR="00411B87" w:rsidRPr="001B64A0">
              <w:t>ission</w:t>
            </w:r>
            <w:r w:rsidR="004F2EC1" w:rsidRPr="001B64A0">
              <w:t xml:space="preserve"> B</w:t>
            </w:r>
            <w:r w:rsidR="00411B87" w:rsidRPr="001B64A0">
              <w:t xml:space="preserve">ased </w:t>
            </w:r>
            <w:r w:rsidR="004F2EC1" w:rsidRPr="001B64A0">
              <w:t>C</w:t>
            </w:r>
            <w:r w:rsidR="00411B87" w:rsidRPr="001B64A0">
              <w:t>ompact</w:t>
            </w:r>
            <w:r w:rsidR="00046AF7" w:rsidRPr="001B64A0">
              <w:br/>
            </w:r>
            <w:bookmarkStart w:id="2" w:name="Text3"/>
            <w:bookmarkEnd w:id="1"/>
            <w:r w:rsidR="00411B87" w:rsidRPr="001B64A0">
              <w:t>Between the Commonwealth of Australia</w:t>
            </w:r>
            <w:r w:rsidR="00F85FD6" w:rsidRPr="001B64A0">
              <w:t xml:space="preserve"> </w:t>
            </w:r>
            <w:r w:rsidR="00411B87" w:rsidRPr="001B64A0">
              <w:t xml:space="preserve">and </w:t>
            </w:r>
            <w:bookmarkEnd w:id="2"/>
            <w:r w:rsidR="00541B0B" w:rsidRPr="001B64A0">
              <w:t>Curtin University</w:t>
            </w:r>
          </w:p>
        </w:tc>
      </w:tr>
      <w:tr w:rsidR="001B64A0" w:rsidRPr="001B64A0" w14:paraId="56A373A8" w14:textId="77777777" w:rsidTr="008050F3">
        <w:trPr>
          <w:cantSplit/>
        </w:trPr>
        <w:tc>
          <w:tcPr>
            <w:tcW w:w="5000" w:type="pct"/>
            <w:shd w:val="clear" w:color="auto" w:fill="DBE5F1" w:themeFill="accent1" w:themeFillTint="33"/>
          </w:tcPr>
          <w:p w14:paraId="5631FC28" w14:textId="77777777" w:rsidR="00684881" w:rsidRPr="001B64A0" w:rsidRDefault="00411B87" w:rsidP="0063370D">
            <w:pPr>
              <w:pStyle w:val="Heading4"/>
            </w:pPr>
            <w:r w:rsidRPr="001B64A0">
              <w:t>Purpose</w:t>
            </w:r>
          </w:p>
        </w:tc>
      </w:tr>
      <w:tr w:rsidR="001B64A0" w:rsidRPr="001B64A0" w14:paraId="1964F5F2" w14:textId="77777777" w:rsidTr="008050F3">
        <w:trPr>
          <w:cantSplit/>
          <w:trHeight w:val="1682"/>
        </w:trPr>
        <w:tc>
          <w:tcPr>
            <w:tcW w:w="5000" w:type="pct"/>
            <w:tcBorders>
              <w:bottom w:val="single" w:sz="4" w:space="0" w:color="auto"/>
            </w:tcBorders>
          </w:tcPr>
          <w:p w14:paraId="052A9E15" w14:textId="77777777" w:rsidR="00541B0B" w:rsidRPr="001B64A0" w:rsidRDefault="00541B0B" w:rsidP="00541B0B">
            <w:pPr>
              <w:pStyle w:val="NormalIndent"/>
              <w:ind w:left="0"/>
            </w:pPr>
            <w:r w:rsidRPr="001B64A0">
              <w:t xml:space="preserve">This compact is an agreement between the Commonwealth and the University. Entering into a compact is one of the </w:t>
            </w:r>
            <w:proofErr w:type="gramStart"/>
            <w:r w:rsidRPr="001B64A0">
              <w:t>quality</w:t>
            </w:r>
            <w:proofErr w:type="gramEnd"/>
            <w:r w:rsidRPr="001B64A0">
              <w:t xml:space="preserve"> and accountability requirements, which a higher education provider must meet under the Higher Education Support Act 2003 (HESA) as a condition of receiving a grant. Specifically, subsection 19-110(1) of HESA requires that Table A and Table B providers must, in respect of each year for which a grant is paid to the provider under HESA, enter into a mission-based compact with the Commonwealth for a period that includes that year.</w:t>
            </w:r>
          </w:p>
          <w:p w14:paraId="1B35E029" w14:textId="4EFF4C84" w:rsidR="00DC76E6" w:rsidRPr="001B64A0" w:rsidRDefault="00541B0B" w:rsidP="00541B0B">
            <w:pPr>
              <w:pStyle w:val="NormalIndent"/>
              <w:spacing w:before="0" w:line="240" w:lineRule="auto"/>
              <w:ind w:left="0"/>
            </w:pPr>
            <w:r w:rsidRPr="001B64A0">
              <w:t>All strategies should provide qualitative and/or quantitative measures of assessment.</w:t>
            </w:r>
          </w:p>
        </w:tc>
      </w:tr>
      <w:tr w:rsidR="001B64A0" w:rsidRPr="001B64A0" w14:paraId="0694F068" w14:textId="77777777" w:rsidTr="008050F3">
        <w:trPr>
          <w:cantSplit/>
        </w:trPr>
        <w:tc>
          <w:tcPr>
            <w:tcW w:w="5000" w:type="pct"/>
            <w:shd w:val="clear" w:color="auto" w:fill="DBE5F1" w:themeFill="accent1" w:themeFillTint="33"/>
          </w:tcPr>
          <w:p w14:paraId="513C04E7" w14:textId="77777777" w:rsidR="00684881" w:rsidRPr="001B64A0" w:rsidRDefault="00795268" w:rsidP="0063370D">
            <w:pPr>
              <w:pStyle w:val="Heading4"/>
            </w:pPr>
            <w:r w:rsidRPr="001B64A0">
              <w:t>mission</w:t>
            </w:r>
          </w:p>
        </w:tc>
      </w:tr>
      <w:tr w:rsidR="001B64A0" w:rsidRPr="001B64A0" w14:paraId="0EF7FEF6" w14:textId="77777777" w:rsidTr="0018596C">
        <w:trPr>
          <w:trHeight w:val="1281"/>
        </w:trPr>
        <w:tc>
          <w:tcPr>
            <w:tcW w:w="5000" w:type="pct"/>
            <w:tcBorders>
              <w:bottom w:val="single" w:sz="4" w:space="0" w:color="auto"/>
            </w:tcBorders>
          </w:tcPr>
          <w:p w14:paraId="4798532F" w14:textId="28F148F6" w:rsidR="00952BBD" w:rsidRPr="00952BBD" w:rsidRDefault="00541B0B" w:rsidP="00952BBD">
            <w:pPr>
              <w:pStyle w:val="NormalIndent"/>
              <w:ind w:left="0"/>
              <w:rPr>
                <w:iCs/>
              </w:rPr>
            </w:pPr>
            <w:r w:rsidRPr="00952BBD">
              <w:rPr>
                <w:iCs/>
              </w:rPr>
              <w:t xml:space="preserve">Curtin University's Mission: 'Transform lives and communities through education and research.' </w:t>
            </w:r>
          </w:p>
          <w:p w14:paraId="4C70BC6F" w14:textId="46C32612" w:rsidR="00C156FA" w:rsidRPr="00952BBD" w:rsidRDefault="00541B0B" w:rsidP="00952BBD">
            <w:pPr>
              <w:pStyle w:val="NormalIndent"/>
              <w:ind w:left="0"/>
              <w:rPr>
                <w:iCs/>
              </w:rPr>
            </w:pPr>
            <w:r w:rsidRPr="00952BBD">
              <w:rPr>
                <w:iCs/>
              </w:rPr>
              <w:t xml:space="preserve">Curtin University Positioning Statement: </w:t>
            </w:r>
            <w:hyperlink r:id="rId11" w:history="1">
              <w:r w:rsidRPr="00952BBD">
                <w:rPr>
                  <w:iCs/>
                  <w:u w:val="single"/>
                </w:rPr>
                <w:t>http://strategicplan.curtin.edu.au/strategic-positioning/</w:t>
              </w:r>
            </w:hyperlink>
            <w:r w:rsidRPr="00952BBD">
              <w:rPr>
                <w:iCs/>
              </w:rPr>
              <w:t xml:space="preserve"> </w:t>
            </w:r>
          </w:p>
          <w:p w14:paraId="72631CAE" w14:textId="77777777" w:rsidR="00541B0B" w:rsidRPr="001B64A0" w:rsidRDefault="00541B0B" w:rsidP="00541B0B">
            <w:pPr>
              <w:pStyle w:val="NormalIndent"/>
              <w:ind w:left="0"/>
              <w:rPr>
                <w:iCs/>
              </w:rPr>
            </w:pPr>
            <w:r w:rsidRPr="001B64A0">
              <w:rPr>
                <w:iCs/>
              </w:rPr>
              <w:t>Curtin Values: 'Building on a foundation of integrity and respect, we will achieve excellence and have impact on the communities we serve.'</w:t>
            </w:r>
          </w:p>
          <w:p w14:paraId="04A6D2F7" w14:textId="5F502D47" w:rsidR="00541B0B" w:rsidRPr="001B64A0" w:rsidRDefault="00541B0B" w:rsidP="00541B0B">
            <w:pPr>
              <w:pStyle w:val="NormalIndent"/>
              <w:spacing w:before="0" w:after="0"/>
              <w:ind w:left="0"/>
              <w:rPr>
                <w:i/>
              </w:rPr>
            </w:pPr>
            <w:r w:rsidRPr="001B64A0">
              <w:rPr>
                <w:iCs/>
              </w:rPr>
              <w:t>Curtin is currently in the process of conducting a detailed analysis of recommendations in response to the Report of the Independent Review by The Hon Robert S French AC of Freedom of Speech in Australian Higher Education Providers (French Review). Final decisions in relation to the matter will be taken by Council and progress is on track to meet the commitment to advise the Minister of Education by the end of 2019 on how Curtin will reflect the Model Code in our policy framework.</w:t>
            </w:r>
          </w:p>
        </w:tc>
      </w:tr>
      <w:tr w:rsidR="001B64A0" w:rsidRPr="001B64A0" w14:paraId="32BC37C5" w14:textId="77777777" w:rsidTr="008050F3">
        <w:trPr>
          <w:cantSplit/>
        </w:trPr>
        <w:tc>
          <w:tcPr>
            <w:tcW w:w="5000" w:type="pct"/>
            <w:shd w:val="clear" w:color="auto" w:fill="DBE5F1" w:themeFill="accent1" w:themeFillTint="33"/>
          </w:tcPr>
          <w:p w14:paraId="5AFCE3CE" w14:textId="77777777" w:rsidR="00B722D2" w:rsidRPr="001B64A0" w:rsidRDefault="00276BFB" w:rsidP="003D1373">
            <w:pPr>
              <w:pStyle w:val="Heading4"/>
            </w:pPr>
            <w:r w:rsidRPr="001B64A0">
              <w:t>teaching and learning</w:t>
            </w:r>
          </w:p>
        </w:tc>
      </w:tr>
      <w:tr w:rsidR="001B64A0" w:rsidRPr="001B64A0" w14:paraId="635CF26A" w14:textId="77777777" w:rsidTr="0018596C">
        <w:tc>
          <w:tcPr>
            <w:tcW w:w="5000" w:type="pct"/>
            <w:shd w:val="clear" w:color="auto" w:fill="auto"/>
          </w:tcPr>
          <w:p w14:paraId="706B940F" w14:textId="77777777" w:rsidR="00541B0B" w:rsidRPr="00DE3217" w:rsidRDefault="0018596C" w:rsidP="00DE3217">
            <w:pPr>
              <w:pStyle w:val="NormalIndent"/>
              <w:spacing w:before="0" w:after="0"/>
              <w:ind w:left="0"/>
              <w:rPr>
                <w:iCs/>
              </w:rPr>
            </w:pPr>
            <w:r w:rsidRPr="00DE3217">
              <w:rPr>
                <w:iCs/>
              </w:rPr>
              <w:t xml:space="preserve"> </w:t>
            </w:r>
            <w:r w:rsidR="00541B0B" w:rsidRPr="00DE3217">
              <w:rPr>
                <w:iCs/>
              </w:rPr>
              <w:t>Curtin's strategic objectives for 2017-2020 are to:</w:t>
            </w:r>
          </w:p>
          <w:p w14:paraId="6A1C0A2B" w14:textId="7982D184" w:rsidR="00541B0B" w:rsidRPr="00DE3217" w:rsidRDefault="00541B0B" w:rsidP="00DE3217">
            <w:pPr>
              <w:numPr>
                <w:ilvl w:val="0"/>
                <w:numId w:val="40"/>
              </w:numPr>
              <w:spacing w:line="264" w:lineRule="exact"/>
              <w:ind w:left="360" w:right="360" w:hanging="360"/>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Deliver a seamless, responsive and innovative digital environment;</w:t>
            </w:r>
          </w:p>
          <w:p w14:paraId="50BF043D" w14:textId="0ACE64B9" w:rsidR="00541B0B" w:rsidRPr="00DE3217" w:rsidRDefault="00541B0B" w:rsidP="00DE3217">
            <w:pPr>
              <w:numPr>
                <w:ilvl w:val="0"/>
                <w:numId w:val="40"/>
              </w:numPr>
              <w:spacing w:line="264" w:lineRule="exact"/>
              <w:ind w:left="360" w:right="360" w:hanging="360"/>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Offer a distinctive student experience that focuses on leadership, industry linkages and global citizenship;</w:t>
            </w:r>
          </w:p>
          <w:p w14:paraId="4B127239" w14:textId="288893CF" w:rsidR="00541B0B" w:rsidRPr="00DE3217" w:rsidRDefault="00541B0B" w:rsidP="00DE3217">
            <w:pPr>
              <w:numPr>
                <w:ilvl w:val="0"/>
                <w:numId w:val="40"/>
              </w:numPr>
              <w:spacing w:line="264" w:lineRule="exact"/>
              <w:ind w:left="360" w:right="360" w:hanging="360"/>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Strengthen our postgraduate profile, responding to the changing nature of work and careers;</w:t>
            </w:r>
          </w:p>
          <w:p w14:paraId="1DB4DB49" w14:textId="378FFC9F" w:rsidR="00541B0B" w:rsidRPr="00DE3217" w:rsidRDefault="00541B0B" w:rsidP="00DE3217">
            <w:pPr>
              <w:numPr>
                <w:ilvl w:val="0"/>
                <w:numId w:val="40"/>
              </w:numPr>
              <w:spacing w:line="264" w:lineRule="exact"/>
              <w:ind w:left="360" w:right="360" w:hanging="360"/>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Lead in curriculum design and new learning and teaching approaches; and</w:t>
            </w:r>
          </w:p>
          <w:p w14:paraId="3E4D4C8C" w14:textId="1DD754B8" w:rsidR="00541B0B" w:rsidRPr="00DE3217" w:rsidRDefault="00541B0B" w:rsidP="00DE3217">
            <w:pPr>
              <w:numPr>
                <w:ilvl w:val="0"/>
                <w:numId w:val="40"/>
              </w:numPr>
              <w:spacing w:line="264" w:lineRule="exact"/>
              <w:ind w:left="360" w:right="360" w:hanging="360"/>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Be a university of choice for a diverse range of students, including high achievers and those from disadvantaged backgrounds.</w:t>
            </w:r>
          </w:p>
          <w:p w14:paraId="10C59A67" w14:textId="77777777" w:rsidR="00DE3217" w:rsidRDefault="00DE3217" w:rsidP="00DE3217">
            <w:pPr>
              <w:spacing w:line="264" w:lineRule="exact"/>
              <w:ind w:right="360"/>
              <w:textAlignment w:val="baseline"/>
              <w:rPr>
                <w:rFonts w:asciiTheme="minorHAnsi" w:eastAsia="Tahoma" w:hAnsiTheme="minorHAnsi" w:cstheme="minorHAnsi"/>
                <w:sz w:val="22"/>
                <w:szCs w:val="22"/>
              </w:rPr>
            </w:pPr>
          </w:p>
          <w:p w14:paraId="367E6636" w14:textId="252B7F76" w:rsidR="00541B0B" w:rsidRPr="001B64A0" w:rsidRDefault="00541B0B" w:rsidP="00DE3217">
            <w:pPr>
              <w:spacing w:line="264" w:lineRule="exact"/>
              <w:ind w:right="360"/>
              <w:textAlignment w:val="baseline"/>
              <w:rPr>
                <w:rFonts w:asciiTheme="minorHAnsi" w:eastAsia="Arial" w:hAnsiTheme="minorHAnsi" w:cstheme="minorHAnsi"/>
                <w:spacing w:val="1"/>
                <w:sz w:val="22"/>
                <w:szCs w:val="22"/>
              </w:rPr>
            </w:pPr>
            <w:r w:rsidRPr="00DE3217">
              <w:rPr>
                <w:rFonts w:asciiTheme="minorHAnsi" w:eastAsia="Tahoma" w:hAnsiTheme="minorHAnsi" w:cstheme="minorHAnsi"/>
                <w:sz w:val="22"/>
                <w:szCs w:val="22"/>
              </w:rPr>
              <w:t>Curtin will continue to focus on improving retention and</w:t>
            </w:r>
            <w:r w:rsidRPr="001B64A0">
              <w:rPr>
                <w:rFonts w:asciiTheme="minorHAnsi" w:eastAsia="Arial" w:hAnsiTheme="minorHAnsi" w:cstheme="minorHAnsi"/>
                <w:spacing w:val="1"/>
                <w:sz w:val="22"/>
                <w:szCs w:val="22"/>
              </w:rPr>
              <w:t xml:space="preserve"> employability outcomes through:</w:t>
            </w:r>
          </w:p>
          <w:p w14:paraId="2A23E6CE" w14:textId="75F0E7EB" w:rsidR="00541B0B" w:rsidRPr="00DE3217" w:rsidRDefault="00541B0B" w:rsidP="00DE3217">
            <w:pPr>
              <w:numPr>
                <w:ilvl w:val="0"/>
                <w:numId w:val="41"/>
              </w:numPr>
              <w:tabs>
                <w:tab w:val="clear" w:pos="360"/>
                <w:tab w:val="left" w:pos="167"/>
              </w:tabs>
              <w:spacing w:line="261" w:lineRule="exact"/>
              <w:ind w:left="450" w:right="936" w:hanging="360"/>
              <w:textAlignment w:val="baseline"/>
              <w:rPr>
                <w:rFonts w:ascii="Verdana" w:eastAsia="Verdana" w:hAnsi="Verdana"/>
                <w:sz w:val="18"/>
              </w:rPr>
            </w:pPr>
            <w:r w:rsidRPr="00DE3217">
              <w:rPr>
                <w:rFonts w:ascii="Verdana" w:eastAsia="Verdana" w:hAnsi="Verdana"/>
                <w:sz w:val="18"/>
              </w:rPr>
              <w:t>Identifying transition milestones throughout the student lifecycle to improve student success, retention, progression and completion;</w:t>
            </w:r>
          </w:p>
          <w:p w14:paraId="3E5A47B9" w14:textId="458DCFAE" w:rsidR="00541B0B" w:rsidRPr="00DE3217" w:rsidRDefault="00541B0B" w:rsidP="00DE3217">
            <w:pPr>
              <w:numPr>
                <w:ilvl w:val="0"/>
                <w:numId w:val="41"/>
              </w:numPr>
              <w:tabs>
                <w:tab w:val="clear" w:pos="360"/>
                <w:tab w:val="left" w:pos="167"/>
              </w:tabs>
              <w:spacing w:line="261" w:lineRule="exact"/>
              <w:ind w:left="450" w:right="936" w:hanging="360"/>
              <w:textAlignment w:val="baseline"/>
              <w:rPr>
                <w:rFonts w:ascii="Verdana" w:eastAsia="Verdana" w:hAnsi="Verdana"/>
                <w:sz w:val="18"/>
              </w:rPr>
            </w:pPr>
            <w:r w:rsidRPr="00DE3217">
              <w:rPr>
                <w:rFonts w:ascii="Verdana" w:eastAsia="Verdana" w:hAnsi="Verdana"/>
                <w:sz w:val="18"/>
              </w:rPr>
              <w:t>Improving the quality of the student experience and career connectedness through increased opportunities for student engagement with their peers, industry and community; and</w:t>
            </w:r>
          </w:p>
          <w:p w14:paraId="287E6AB6" w14:textId="4E6DDB93" w:rsidR="00541B0B" w:rsidRPr="00DE3217" w:rsidRDefault="00541B0B" w:rsidP="00DE3217">
            <w:pPr>
              <w:numPr>
                <w:ilvl w:val="0"/>
                <w:numId w:val="41"/>
              </w:numPr>
              <w:tabs>
                <w:tab w:val="clear" w:pos="360"/>
                <w:tab w:val="left" w:pos="167"/>
              </w:tabs>
              <w:spacing w:line="261" w:lineRule="exact"/>
              <w:ind w:left="450" w:right="936" w:hanging="360"/>
              <w:textAlignment w:val="baseline"/>
              <w:rPr>
                <w:rFonts w:ascii="Verdana" w:eastAsia="Verdana" w:hAnsi="Verdana"/>
                <w:sz w:val="18"/>
              </w:rPr>
            </w:pPr>
            <w:r w:rsidRPr="00DE3217">
              <w:rPr>
                <w:rFonts w:ascii="Verdana" w:eastAsia="Verdana" w:hAnsi="Verdana"/>
                <w:sz w:val="18"/>
              </w:rPr>
              <w:t>Enhancing the quality of learning and teaching experience via curriculum and assessment design and implementation.</w:t>
            </w:r>
          </w:p>
          <w:p w14:paraId="3376B3E1" w14:textId="7904B8EE" w:rsidR="00541B0B" w:rsidRPr="001B64A0" w:rsidRDefault="00541B0B" w:rsidP="00541B0B">
            <w:pPr>
              <w:spacing w:before="120" w:line="208" w:lineRule="exact"/>
              <w:ind w:right="176"/>
              <w:textAlignment w:val="baseline"/>
              <w:rPr>
                <w:rFonts w:asciiTheme="minorHAnsi" w:eastAsia="Arial" w:hAnsiTheme="minorHAnsi" w:cstheme="minorHAnsi"/>
                <w:spacing w:val="1"/>
                <w:sz w:val="22"/>
                <w:szCs w:val="22"/>
              </w:rPr>
            </w:pPr>
          </w:p>
          <w:p w14:paraId="75E4113E" w14:textId="329C13AA" w:rsidR="0018596C" w:rsidRDefault="00541B0B" w:rsidP="002E3538">
            <w:pPr>
              <w:pStyle w:val="NormalIndent"/>
              <w:spacing w:before="0" w:after="0"/>
              <w:ind w:left="0"/>
              <w:rPr>
                <w:rFonts w:asciiTheme="minorHAnsi" w:eastAsia="Tahoma" w:hAnsiTheme="minorHAnsi" w:cstheme="minorHAnsi"/>
                <w:szCs w:val="22"/>
                <w:lang w:val="en-US"/>
              </w:rPr>
            </w:pPr>
            <w:r w:rsidRPr="001B64A0">
              <w:rPr>
                <w:rFonts w:asciiTheme="minorHAnsi" w:eastAsia="Tahoma" w:hAnsiTheme="minorHAnsi" w:cstheme="minorHAnsi"/>
                <w:szCs w:val="22"/>
                <w:lang w:val="en-US"/>
              </w:rPr>
              <w:t>Curtin University has implemented a number of initiatives to address the</w:t>
            </w:r>
            <w:r w:rsidRPr="001B64A0">
              <w:rPr>
                <w:rFonts w:asciiTheme="minorHAnsi" w:eastAsia="Tahoma" w:hAnsiTheme="minorHAnsi" w:cstheme="minorHAnsi"/>
                <w:szCs w:val="22"/>
                <w:u w:val="single"/>
                <w:lang w:val="en-US"/>
              </w:rPr>
              <w:t xml:space="preserve"> "Improving the transparency of higher education admissions: Joint higher education sector and Australian Government </w:t>
            </w:r>
            <w:r w:rsidRPr="00DE3217">
              <w:rPr>
                <w:rFonts w:asciiTheme="minorHAnsi" w:eastAsia="Tahoma" w:hAnsiTheme="minorHAnsi" w:cstheme="minorHAnsi"/>
                <w:szCs w:val="22"/>
                <w:u w:val="single"/>
                <w:lang w:val="en-US"/>
              </w:rPr>
              <w:t>implementation plan (June 2017)</w:t>
            </w:r>
            <w:r w:rsidRPr="001B64A0">
              <w:rPr>
                <w:rFonts w:asciiTheme="minorHAnsi" w:eastAsia="Tahoma" w:hAnsiTheme="minorHAnsi" w:cstheme="minorHAnsi"/>
                <w:szCs w:val="22"/>
                <w:lang w:val="en-US"/>
              </w:rPr>
              <w:t xml:space="preserve"> requirements primarily focused on:</w:t>
            </w:r>
          </w:p>
          <w:p w14:paraId="28AB294A" w14:textId="77777777" w:rsidR="00DE3217" w:rsidRPr="001B64A0" w:rsidRDefault="00DE3217" w:rsidP="002E3538">
            <w:pPr>
              <w:pStyle w:val="NormalIndent"/>
              <w:spacing w:before="0" w:after="0"/>
              <w:ind w:left="0"/>
              <w:rPr>
                <w:rFonts w:asciiTheme="minorHAnsi" w:hAnsiTheme="minorHAnsi" w:cstheme="minorHAnsi"/>
                <w:i/>
                <w:szCs w:val="22"/>
              </w:rPr>
            </w:pPr>
          </w:p>
          <w:p w14:paraId="1A84EEAD" w14:textId="77777777" w:rsidR="00541B0B" w:rsidRPr="001B64A0" w:rsidRDefault="00541B0B" w:rsidP="00541B0B">
            <w:pPr>
              <w:numPr>
                <w:ilvl w:val="0"/>
                <w:numId w:val="40"/>
              </w:numPr>
              <w:tabs>
                <w:tab w:val="clear" w:pos="360"/>
                <w:tab w:val="left" w:pos="720"/>
              </w:tabs>
              <w:spacing w:before="52" w:line="226" w:lineRule="exact"/>
              <w:ind w:left="360"/>
              <w:textAlignment w:val="baseline"/>
              <w:rPr>
                <w:rFonts w:asciiTheme="minorHAnsi" w:eastAsia="Tahoma" w:hAnsiTheme="minorHAnsi" w:cstheme="minorHAnsi"/>
                <w:spacing w:val="-3"/>
                <w:sz w:val="22"/>
                <w:szCs w:val="22"/>
              </w:rPr>
            </w:pPr>
            <w:r w:rsidRPr="001B64A0">
              <w:rPr>
                <w:rFonts w:asciiTheme="minorHAnsi" w:eastAsia="Tahoma" w:hAnsiTheme="minorHAnsi" w:cstheme="minorHAnsi"/>
                <w:spacing w:val="-3"/>
                <w:sz w:val="22"/>
                <w:szCs w:val="22"/>
              </w:rPr>
              <w:lastRenderedPageBreak/>
              <w:t>The Final Common terminology and data definitions;</w:t>
            </w:r>
          </w:p>
          <w:p w14:paraId="78C5332B" w14:textId="77777777" w:rsidR="00541B0B" w:rsidRPr="001B64A0" w:rsidRDefault="00541B0B" w:rsidP="00541B0B">
            <w:pPr>
              <w:numPr>
                <w:ilvl w:val="0"/>
                <w:numId w:val="40"/>
              </w:numPr>
              <w:tabs>
                <w:tab w:val="clear" w:pos="360"/>
                <w:tab w:val="left" w:pos="720"/>
              </w:tabs>
              <w:spacing w:before="45" w:line="224" w:lineRule="exact"/>
              <w:ind w:left="360"/>
              <w:textAlignment w:val="baseline"/>
              <w:rPr>
                <w:rFonts w:asciiTheme="minorHAnsi" w:eastAsia="Tahoma" w:hAnsiTheme="minorHAnsi" w:cstheme="minorHAnsi"/>
                <w:spacing w:val="-3"/>
                <w:sz w:val="22"/>
                <w:szCs w:val="22"/>
              </w:rPr>
            </w:pPr>
            <w:r w:rsidRPr="001B64A0">
              <w:rPr>
                <w:rFonts w:asciiTheme="minorHAnsi" w:eastAsia="Tahoma" w:hAnsiTheme="minorHAnsi" w:cstheme="minorHAnsi"/>
                <w:spacing w:val="-3"/>
                <w:sz w:val="22"/>
                <w:szCs w:val="22"/>
              </w:rPr>
              <w:t>Group of applicants; and</w:t>
            </w:r>
          </w:p>
          <w:p w14:paraId="4048EE09" w14:textId="77777777" w:rsidR="00541B0B" w:rsidRPr="001B64A0" w:rsidRDefault="00541B0B" w:rsidP="00541B0B">
            <w:pPr>
              <w:numPr>
                <w:ilvl w:val="0"/>
                <w:numId w:val="40"/>
              </w:numPr>
              <w:tabs>
                <w:tab w:val="clear" w:pos="360"/>
                <w:tab w:val="left" w:pos="720"/>
              </w:tabs>
              <w:spacing w:before="47" w:line="224" w:lineRule="exact"/>
              <w:ind w:left="360"/>
              <w:textAlignment w:val="baseline"/>
              <w:rPr>
                <w:rFonts w:asciiTheme="minorHAnsi" w:eastAsia="Tahoma" w:hAnsiTheme="minorHAnsi" w:cstheme="minorHAnsi"/>
                <w:spacing w:val="-3"/>
                <w:sz w:val="22"/>
                <w:szCs w:val="22"/>
              </w:rPr>
            </w:pPr>
            <w:r w:rsidRPr="001B64A0">
              <w:rPr>
                <w:rFonts w:asciiTheme="minorHAnsi" w:eastAsia="Tahoma" w:hAnsiTheme="minorHAnsi" w:cstheme="minorHAnsi"/>
                <w:spacing w:val="-3"/>
                <w:sz w:val="22"/>
                <w:szCs w:val="22"/>
              </w:rPr>
              <w:t>ATAR related thresholds.</w:t>
            </w:r>
          </w:p>
          <w:p w14:paraId="48E09B06" w14:textId="77777777" w:rsidR="00541B0B" w:rsidRPr="001B64A0" w:rsidRDefault="00541B0B" w:rsidP="00541B0B">
            <w:pPr>
              <w:spacing w:before="262" w:line="265" w:lineRule="exact"/>
              <w:textAlignment w:val="baseline"/>
              <w:rPr>
                <w:rFonts w:asciiTheme="minorHAnsi" w:eastAsia="Tahoma" w:hAnsiTheme="minorHAnsi" w:cstheme="minorHAnsi"/>
                <w:sz w:val="22"/>
                <w:szCs w:val="22"/>
              </w:rPr>
            </w:pPr>
            <w:r w:rsidRPr="001B64A0">
              <w:rPr>
                <w:rFonts w:asciiTheme="minorHAnsi" w:eastAsia="Tahoma" w:hAnsiTheme="minorHAnsi" w:cstheme="minorHAnsi"/>
                <w:sz w:val="22"/>
                <w:szCs w:val="22"/>
              </w:rPr>
              <w:t>In order to be a university of choice for a diverse range of students, including high achievers and those from disadvantaged backgrounds, Curtin's admissions criteria provide opportunities for students without an ATAR score. To be admitted to a Curtin course, students without an ATAR need to complete a certain level of qualification or equivalent which can either be converted into a notional ATAR or used for Portfolio entry assessment.</w:t>
            </w:r>
          </w:p>
          <w:p w14:paraId="6BA80128" w14:textId="77777777" w:rsidR="00541B0B" w:rsidRPr="001B64A0" w:rsidRDefault="00541B0B" w:rsidP="00541B0B">
            <w:pPr>
              <w:spacing w:before="246" w:line="265" w:lineRule="exact"/>
              <w:textAlignment w:val="baseline"/>
              <w:rPr>
                <w:rFonts w:asciiTheme="minorHAnsi" w:eastAsia="Tahoma" w:hAnsiTheme="minorHAnsi" w:cstheme="minorHAnsi"/>
                <w:spacing w:val="-4"/>
                <w:sz w:val="22"/>
                <w:szCs w:val="22"/>
              </w:rPr>
            </w:pPr>
            <w:r w:rsidRPr="001B64A0">
              <w:rPr>
                <w:rFonts w:asciiTheme="minorHAnsi" w:eastAsia="Tahoma" w:hAnsiTheme="minorHAnsi" w:cstheme="minorHAnsi"/>
                <w:spacing w:val="-4"/>
                <w:sz w:val="22"/>
                <w:szCs w:val="22"/>
              </w:rPr>
              <w:t xml:space="preserve">Curtin uses notional ATAR scores to rank applicants based on the level of qualification they have completed; for </w:t>
            </w:r>
            <w:proofErr w:type="gramStart"/>
            <w:r w:rsidRPr="001B64A0">
              <w:rPr>
                <w:rFonts w:asciiTheme="minorHAnsi" w:eastAsia="Tahoma" w:hAnsiTheme="minorHAnsi" w:cstheme="minorHAnsi"/>
                <w:spacing w:val="-4"/>
                <w:sz w:val="22"/>
                <w:szCs w:val="22"/>
              </w:rPr>
              <w:t>example</w:t>
            </w:r>
            <w:proofErr w:type="gramEnd"/>
            <w:r w:rsidRPr="001B64A0">
              <w:rPr>
                <w:rFonts w:asciiTheme="minorHAnsi" w:eastAsia="Tahoma" w:hAnsiTheme="minorHAnsi" w:cstheme="minorHAnsi"/>
                <w:spacing w:val="-4"/>
                <w:sz w:val="22"/>
                <w:szCs w:val="22"/>
              </w:rPr>
              <w:t xml:space="preserve"> applicants who complete a Higher Education Diploma, a Vocational Education and Training (VET) qualification or a University foundation program will receive a notional ATAR.</w:t>
            </w:r>
          </w:p>
          <w:p w14:paraId="27413C6A" w14:textId="77777777" w:rsidR="00541B0B" w:rsidRPr="001B64A0" w:rsidRDefault="00541B0B" w:rsidP="00541B0B">
            <w:pPr>
              <w:spacing w:before="240" w:line="265" w:lineRule="exact"/>
              <w:ind w:right="144"/>
              <w:textAlignment w:val="baseline"/>
              <w:rPr>
                <w:rFonts w:asciiTheme="minorHAnsi" w:eastAsia="Tahoma" w:hAnsiTheme="minorHAnsi" w:cstheme="minorHAnsi"/>
                <w:spacing w:val="-4"/>
                <w:sz w:val="22"/>
                <w:szCs w:val="22"/>
              </w:rPr>
            </w:pPr>
            <w:r w:rsidRPr="001B64A0">
              <w:rPr>
                <w:rFonts w:asciiTheme="minorHAnsi" w:eastAsia="Tahoma" w:hAnsiTheme="minorHAnsi" w:cstheme="minorHAnsi"/>
                <w:spacing w:val="-4"/>
                <w:sz w:val="22"/>
                <w:szCs w:val="22"/>
              </w:rPr>
              <w:t xml:space="preserve">Applicants applying for Portfolio entry are also assessed by other means, such as evidence of achievement and determination and commitment to their chosen field. Portfolio entry is open </w:t>
            </w:r>
            <w:proofErr w:type="gramStart"/>
            <w:r w:rsidRPr="001B64A0">
              <w:rPr>
                <w:rFonts w:asciiTheme="minorHAnsi" w:eastAsia="Tahoma" w:hAnsiTheme="minorHAnsi" w:cstheme="minorHAnsi"/>
                <w:spacing w:val="-4"/>
                <w:sz w:val="22"/>
                <w:szCs w:val="22"/>
              </w:rPr>
              <w:t>to:</w:t>
            </w:r>
            <w:proofErr w:type="gramEnd"/>
            <w:r w:rsidRPr="001B64A0">
              <w:rPr>
                <w:rFonts w:asciiTheme="minorHAnsi" w:eastAsia="Tahoma" w:hAnsiTheme="minorHAnsi" w:cstheme="minorHAnsi"/>
                <w:spacing w:val="-4"/>
                <w:sz w:val="22"/>
                <w:szCs w:val="22"/>
              </w:rPr>
              <w:t xml:space="preserve"> school leavers who are not eligible for an ATAR; school leavers who did not receive an offer based on their ATAR; and non-school leavers electing portfolio entry or who did not qualify through another pathway. These students demonstrate eligibility for admission to Curtin courses by:</w:t>
            </w:r>
          </w:p>
          <w:p w14:paraId="0CB7831B" w14:textId="77777777" w:rsidR="00541B0B" w:rsidRPr="001B64A0" w:rsidRDefault="00541B0B" w:rsidP="00541B0B">
            <w:pPr>
              <w:numPr>
                <w:ilvl w:val="0"/>
                <w:numId w:val="40"/>
              </w:numPr>
              <w:spacing w:before="42" w:line="227" w:lineRule="exact"/>
              <w:ind w:left="360" w:hanging="360"/>
              <w:textAlignment w:val="baseline"/>
              <w:rPr>
                <w:rFonts w:asciiTheme="minorHAnsi" w:eastAsia="Tahoma" w:hAnsiTheme="minorHAnsi" w:cstheme="minorHAnsi"/>
                <w:spacing w:val="-3"/>
                <w:sz w:val="22"/>
                <w:szCs w:val="22"/>
              </w:rPr>
            </w:pPr>
            <w:r w:rsidRPr="001B64A0">
              <w:rPr>
                <w:rFonts w:asciiTheme="minorHAnsi" w:eastAsia="Tahoma" w:hAnsiTheme="minorHAnsi" w:cstheme="minorHAnsi"/>
                <w:spacing w:val="-3"/>
                <w:sz w:val="22"/>
                <w:szCs w:val="22"/>
              </w:rPr>
              <w:t>Completing high school with a Western Australian Certificate of Education (WACE) or equivalent;</w:t>
            </w:r>
          </w:p>
          <w:p w14:paraId="772D590E" w14:textId="77777777" w:rsidR="00541B0B" w:rsidRPr="001B64A0" w:rsidRDefault="00541B0B" w:rsidP="00541B0B">
            <w:pPr>
              <w:numPr>
                <w:ilvl w:val="0"/>
                <w:numId w:val="40"/>
              </w:numPr>
              <w:spacing w:before="48" w:line="230" w:lineRule="exact"/>
              <w:ind w:left="360" w:hanging="360"/>
              <w:textAlignment w:val="baseline"/>
              <w:rPr>
                <w:rFonts w:asciiTheme="minorHAnsi" w:eastAsia="Tahoma" w:hAnsiTheme="minorHAnsi" w:cstheme="minorHAnsi"/>
                <w:spacing w:val="-4"/>
                <w:sz w:val="22"/>
                <w:szCs w:val="22"/>
              </w:rPr>
            </w:pPr>
            <w:r w:rsidRPr="001B64A0">
              <w:rPr>
                <w:rFonts w:asciiTheme="minorHAnsi" w:eastAsia="Tahoma" w:hAnsiTheme="minorHAnsi" w:cstheme="minorHAnsi"/>
                <w:spacing w:val="-4"/>
                <w:sz w:val="22"/>
                <w:szCs w:val="22"/>
              </w:rPr>
              <w:t>Achieving English language proficiency;</w:t>
            </w:r>
          </w:p>
          <w:p w14:paraId="21BE5B69" w14:textId="77777777" w:rsidR="00541B0B" w:rsidRPr="001B64A0" w:rsidRDefault="00541B0B" w:rsidP="00541B0B">
            <w:pPr>
              <w:numPr>
                <w:ilvl w:val="0"/>
                <w:numId w:val="40"/>
              </w:numPr>
              <w:spacing w:line="264" w:lineRule="exact"/>
              <w:ind w:left="360" w:right="360" w:hanging="360"/>
              <w:textAlignment w:val="baseline"/>
              <w:rPr>
                <w:rFonts w:asciiTheme="minorHAnsi" w:eastAsia="Tahoma" w:hAnsiTheme="minorHAnsi" w:cstheme="minorHAnsi"/>
                <w:sz w:val="22"/>
                <w:szCs w:val="22"/>
              </w:rPr>
            </w:pPr>
            <w:r w:rsidRPr="001B64A0">
              <w:rPr>
                <w:rFonts w:asciiTheme="minorHAnsi" w:eastAsia="Tahoma" w:hAnsiTheme="minorHAnsi" w:cstheme="minorHAnsi"/>
                <w:sz w:val="22"/>
                <w:szCs w:val="22"/>
              </w:rPr>
              <w:t>Demonstrating academic preparedness through study in ATAR or general courses in year 12 or through a VET qualification relevant to the course they are applying for;</w:t>
            </w:r>
          </w:p>
          <w:p w14:paraId="1EC57F39" w14:textId="77777777" w:rsidR="00541B0B" w:rsidRPr="001B64A0" w:rsidRDefault="00541B0B" w:rsidP="00541B0B">
            <w:pPr>
              <w:numPr>
                <w:ilvl w:val="0"/>
                <w:numId w:val="40"/>
              </w:numPr>
              <w:spacing w:before="16" w:line="256" w:lineRule="exact"/>
              <w:ind w:left="360" w:right="360" w:hanging="360"/>
              <w:textAlignment w:val="baseline"/>
              <w:rPr>
                <w:rFonts w:asciiTheme="minorHAnsi" w:eastAsia="Tahoma" w:hAnsiTheme="minorHAnsi" w:cstheme="minorHAnsi"/>
                <w:sz w:val="22"/>
                <w:szCs w:val="22"/>
              </w:rPr>
            </w:pPr>
            <w:r w:rsidRPr="001B64A0">
              <w:rPr>
                <w:rFonts w:asciiTheme="minorHAnsi" w:eastAsia="Tahoma" w:hAnsiTheme="minorHAnsi" w:cstheme="minorHAnsi"/>
                <w:sz w:val="22"/>
                <w:szCs w:val="22"/>
              </w:rPr>
              <w:t>Demonstrating if they are a non-school leaver that they have studied or developed knowledge and work skills in the course they are applying for; and</w:t>
            </w:r>
          </w:p>
          <w:p w14:paraId="19AE6A67" w14:textId="77777777" w:rsidR="00541B0B" w:rsidRPr="001B64A0" w:rsidRDefault="00541B0B" w:rsidP="00541B0B">
            <w:pPr>
              <w:numPr>
                <w:ilvl w:val="0"/>
                <w:numId w:val="40"/>
              </w:numPr>
              <w:spacing w:before="48" w:line="226" w:lineRule="exact"/>
              <w:ind w:left="360" w:hanging="360"/>
              <w:textAlignment w:val="baseline"/>
              <w:rPr>
                <w:rFonts w:asciiTheme="minorHAnsi" w:eastAsia="Tahoma" w:hAnsiTheme="minorHAnsi" w:cstheme="minorHAnsi"/>
                <w:spacing w:val="-3"/>
                <w:sz w:val="22"/>
                <w:szCs w:val="22"/>
              </w:rPr>
            </w:pPr>
            <w:r w:rsidRPr="001B64A0">
              <w:rPr>
                <w:rFonts w:asciiTheme="minorHAnsi" w:eastAsia="Tahoma" w:hAnsiTheme="minorHAnsi" w:cstheme="minorHAnsi"/>
                <w:spacing w:val="-3"/>
                <w:sz w:val="22"/>
                <w:szCs w:val="22"/>
              </w:rPr>
              <w:t>Satisfying specific admission criteria for entry into the course they are applying for.</w:t>
            </w:r>
          </w:p>
          <w:p w14:paraId="5334A9D7" w14:textId="047B3912" w:rsidR="00541B0B" w:rsidRPr="001B64A0" w:rsidRDefault="00541B0B" w:rsidP="00541B0B">
            <w:pPr>
              <w:spacing w:before="256" w:line="265" w:lineRule="exact"/>
              <w:ind w:right="144"/>
              <w:textAlignment w:val="baseline"/>
              <w:rPr>
                <w:rFonts w:asciiTheme="minorHAnsi" w:eastAsia="Tahoma" w:hAnsiTheme="minorHAnsi" w:cstheme="minorHAnsi"/>
                <w:sz w:val="22"/>
                <w:szCs w:val="22"/>
              </w:rPr>
            </w:pPr>
            <w:r w:rsidRPr="001B64A0">
              <w:rPr>
                <w:rFonts w:asciiTheme="minorHAnsi" w:eastAsia="Tahoma" w:hAnsiTheme="minorHAnsi" w:cstheme="minorHAnsi"/>
                <w:sz w:val="22"/>
                <w:szCs w:val="22"/>
              </w:rPr>
              <w:t xml:space="preserve">The applicant breakdown for our most recent new student cohort, including those admitted without ATAR scores, is available on the </w:t>
            </w:r>
            <w:r w:rsidRPr="001B64A0">
              <w:rPr>
                <w:rFonts w:ascii="Tahoma" w:eastAsia="Tahoma" w:hAnsi="Tahoma"/>
                <w:b/>
                <w:sz w:val="18"/>
                <w:u w:val="single"/>
              </w:rPr>
              <w:t>Curtin website</w:t>
            </w:r>
            <w:r w:rsidRPr="001B64A0">
              <w:rPr>
                <w:rFonts w:asciiTheme="minorHAnsi" w:eastAsia="Tahoma" w:hAnsiTheme="minorHAnsi" w:cstheme="minorHAnsi"/>
                <w:sz w:val="22"/>
                <w:szCs w:val="22"/>
                <w:u w:val="single"/>
              </w:rPr>
              <w:t>.</w:t>
            </w:r>
          </w:p>
          <w:p w14:paraId="26646E54" w14:textId="77777777" w:rsidR="00541B0B" w:rsidRPr="001B64A0" w:rsidRDefault="00541B0B" w:rsidP="00541B0B">
            <w:pPr>
              <w:spacing w:before="266" w:line="259" w:lineRule="exact"/>
              <w:textAlignment w:val="baseline"/>
              <w:rPr>
                <w:rFonts w:asciiTheme="minorHAnsi" w:eastAsia="Tahoma" w:hAnsiTheme="minorHAnsi" w:cstheme="minorHAnsi"/>
                <w:spacing w:val="-3"/>
                <w:sz w:val="22"/>
                <w:szCs w:val="22"/>
              </w:rPr>
            </w:pPr>
            <w:r w:rsidRPr="001B64A0">
              <w:rPr>
                <w:rFonts w:asciiTheme="minorHAnsi" w:eastAsia="Tahoma" w:hAnsiTheme="minorHAnsi" w:cstheme="minorHAnsi"/>
                <w:spacing w:val="-3"/>
                <w:sz w:val="22"/>
                <w:szCs w:val="22"/>
              </w:rPr>
              <w:t>To ensure that students admitted without an ATAR are likely to succeed in their studies, assessments are performed at the application stage to confirm that applicants meet Curtin's minimum entry criteria (as outlined in the admissions process above). For portfolio entry, applicants are assessed on a case by case basis, allowing the course coordinator to select applicants who meet the portfolio entry criteria and demonstrate an ability to progress in the course.</w:t>
            </w:r>
          </w:p>
          <w:p w14:paraId="7060B080" w14:textId="7CDEDF59" w:rsidR="00541B0B" w:rsidRPr="001B64A0" w:rsidRDefault="00541B0B" w:rsidP="00541B0B">
            <w:pPr>
              <w:spacing w:before="246" w:line="265" w:lineRule="exact"/>
              <w:ind w:right="216"/>
              <w:textAlignment w:val="baseline"/>
              <w:rPr>
                <w:rFonts w:asciiTheme="minorHAnsi" w:eastAsia="Tahoma" w:hAnsiTheme="minorHAnsi" w:cstheme="minorHAnsi"/>
                <w:spacing w:val="-4"/>
                <w:sz w:val="22"/>
                <w:szCs w:val="22"/>
              </w:rPr>
            </w:pPr>
            <w:r w:rsidRPr="001B64A0">
              <w:rPr>
                <w:rFonts w:asciiTheme="minorHAnsi" w:eastAsia="Tahoma" w:hAnsiTheme="minorHAnsi" w:cstheme="minorHAnsi"/>
                <w:spacing w:val="-4"/>
                <w:sz w:val="22"/>
                <w:szCs w:val="22"/>
              </w:rPr>
              <w:t>Faculties and Schools will continue to employ a mixture of approaches to determine what support is required to assist students in succeeding in their studies. Ongoing analysis will be undertaken to determine how students admitted without an ATAR are performing when measured against those admitted with an ATAR.</w:t>
            </w:r>
          </w:p>
          <w:p w14:paraId="29DFF8A4" w14:textId="423B6D5A" w:rsidR="00541B0B" w:rsidRPr="001B64A0" w:rsidRDefault="00541B0B" w:rsidP="00541B0B">
            <w:pPr>
              <w:spacing w:before="246" w:line="265" w:lineRule="exact"/>
              <w:ind w:right="216"/>
              <w:textAlignment w:val="baseline"/>
              <w:rPr>
                <w:rFonts w:asciiTheme="minorHAnsi" w:eastAsia="Tahoma" w:hAnsiTheme="minorHAnsi" w:cstheme="minorHAnsi"/>
                <w:spacing w:val="-4"/>
                <w:sz w:val="22"/>
                <w:szCs w:val="22"/>
              </w:rPr>
            </w:pPr>
            <w:r w:rsidRPr="001B64A0">
              <w:rPr>
                <w:rFonts w:asciiTheme="minorHAnsi" w:eastAsia="Tahoma" w:hAnsiTheme="minorHAnsi" w:cstheme="minorHAnsi"/>
                <w:spacing w:val="-4"/>
                <w:sz w:val="22"/>
                <w:szCs w:val="22"/>
              </w:rPr>
              <w:t>Key performance indicators for Teaching and Learning include annual targets for enrolments, student retention, student satisfaction, graduate employment rates, and diversity and inclusion.</w:t>
            </w:r>
          </w:p>
          <w:p w14:paraId="1B854962" w14:textId="05E9A882" w:rsidR="0018596C" w:rsidRPr="001B64A0" w:rsidRDefault="0018596C" w:rsidP="00541B0B">
            <w:pPr>
              <w:spacing w:before="128" w:after="104" w:line="220" w:lineRule="exact"/>
              <w:ind w:left="72" w:right="216"/>
              <w:textAlignment w:val="baseline"/>
              <w:rPr>
                <w:rFonts w:asciiTheme="minorHAnsi" w:hAnsiTheme="minorHAnsi" w:cstheme="minorHAnsi"/>
                <w:sz w:val="22"/>
                <w:szCs w:val="22"/>
              </w:rPr>
            </w:pPr>
          </w:p>
        </w:tc>
      </w:tr>
      <w:tr w:rsidR="001B64A0" w:rsidRPr="001B64A0" w14:paraId="6DFE9D7C" w14:textId="77777777" w:rsidTr="008050F3">
        <w:trPr>
          <w:cantSplit/>
        </w:trPr>
        <w:tc>
          <w:tcPr>
            <w:tcW w:w="5000" w:type="pct"/>
            <w:shd w:val="clear" w:color="auto" w:fill="DBE5F1" w:themeFill="accent1" w:themeFillTint="33"/>
          </w:tcPr>
          <w:p w14:paraId="7FCCC716" w14:textId="77777777" w:rsidR="00276BFB" w:rsidRPr="001B64A0" w:rsidRDefault="00276BFB" w:rsidP="00276BFB">
            <w:pPr>
              <w:pStyle w:val="Heading4"/>
            </w:pPr>
            <w:r w:rsidRPr="001B64A0">
              <w:lastRenderedPageBreak/>
              <w:t>ReSEARCH AND RESEARCH TRAINING AND INNOVATION</w:t>
            </w:r>
          </w:p>
        </w:tc>
      </w:tr>
      <w:tr w:rsidR="001B64A0" w:rsidRPr="001B64A0" w14:paraId="4DBBDEF7" w14:textId="77777777" w:rsidTr="0018596C">
        <w:trPr>
          <w:trHeight w:val="1033"/>
        </w:trPr>
        <w:tc>
          <w:tcPr>
            <w:tcW w:w="5000" w:type="pct"/>
          </w:tcPr>
          <w:p w14:paraId="2D8B643E" w14:textId="77777777" w:rsidR="00541B0B" w:rsidRPr="001B64A0" w:rsidRDefault="00541B0B" w:rsidP="00541B0B">
            <w:pPr>
              <w:spacing w:line="221" w:lineRule="exact"/>
              <w:ind w:left="144"/>
              <w:textAlignment w:val="baseline"/>
              <w:rPr>
                <w:rFonts w:ascii="Verdana" w:eastAsia="Verdana" w:hAnsi="Verdana"/>
                <w:spacing w:val="-5"/>
                <w:sz w:val="18"/>
              </w:rPr>
            </w:pPr>
            <w:r w:rsidRPr="001B64A0">
              <w:rPr>
                <w:rFonts w:ascii="Verdana" w:eastAsia="Verdana" w:hAnsi="Verdana"/>
                <w:spacing w:val="-5"/>
                <w:sz w:val="18"/>
              </w:rPr>
              <w:t>Curtin's strategic objectives for 2017-2020 are to:</w:t>
            </w:r>
          </w:p>
          <w:p w14:paraId="579157B1" w14:textId="77777777" w:rsidR="00541B0B" w:rsidRPr="001B64A0" w:rsidRDefault="00541B0B" w:rsidP="00541B0B">
            <w:pPr>
              <w:numPr>
                <w:ilvl w:val="0"/>
                <w:numId w:val="40"/>
              </w:numPr>
              <w:tabs>
                <w:tab w:val="clear" w:pos="360"/>
                <w:tab w:val="left" w:pos="504"/>
              </w:tabs>
              <w:spacing w:before="49" w:line="229" w:lineRule="exact"/>
              <w:ind w:left="504" w:hanging="360"/>
              <w:textAlignment w:val="baseline"/>
              <w:rPr>
                <w:rFonts w:ascii="Verdana" w:eastAsia="Verdana" w:hAnsi="Verdana"/>
                <w:spacing w:val="-5"/>
                <w:sz w:val="18"/>
              </w:rPr>
            </w:pPr>
            <w:r w:rsidRPr="001B64A0">
              <w:rPr>
                <w:rFonts w:ascii="Verdana" w:eastAsia="Verdana" w:hAnsi="Verdana"/>
                <w:spacing w:val="-5"/>
                <w:sz w:val="18"/>
              </w:rPr>
              <w:t>Support, profile and build scale in key areas of research strength;</w:t>
            </w:r>
          </w:p>
          <w:p w14:paraId="7DDE11D7" w14:textId="77777777" w:rsidR="00541B0B" w:rsidRPr="001B64A0" w:rsidRDefault="00541B0B" w:rsidP="00541B0B">
            <w:pPr>
              <w:numPr>
                <w:ilvl w:val="0"/>
                <w:numId w:val="40"/>
              </w:numPr>
              <w:tabs>
                <w:tab w:val="clear" w:pos="360"/>
                <w:tab w:val="left" w:pos="504"/>
              </w:tabs>
              <w:spacing w:before="46" w:line="233" w:lineRule="exact"/>
              <w:ind w:left="504" w:hanging="360"/>
              <w:textAlignment w:val="baseline"/>
              <w:rPr>
                <w:rFonts w:ascii="Verdana" w:eastAsia="Verdana" w:hAnsi="Verdana"/>
                <w:spacing w:val="-5"/>
                <w:sz w:val="18"/>
              </w:rPr>
            </w:pPr>
            <w:r w:rsidRPr="001B64A0">
              <w:rPr>
                <w:rFonts w:ascii="Verdana" w:eastAsia="Verdana" w:hAnsi="Verdana"/>
                <w:spacing w:val="-5"/>
                <w:sz w:val="18"/>
              </w:rPr>
              <w:t>Identify and enable areas of emerging research capability;</w:t>
            </w:r>
          </w:p>
          <w:p w14:paraId="4B5F5E90" w14:textId="77777777" w:rsidR="00541B0B" w:rsidRPr="001B64A0" w:rsidRDefault="00541B0B" w:rsidP="00541B0B">
            <w:pPr>
              <w:numPr>
                <w:ilvl w:val="0"/>
                <w:numId w:val="40"/>
              </w:numPr>
              <w:tabs>
                <w:tab w:val="clear" w:pos="360"/>
                <w:tab w:val="left" w:pos="504"/>
              </w:tabs>
              <w:spacing w:before="19" w:line="257" w:lineRule="exact"/>
              <w:ind w:left="504" w:right="504" w:hanging="360"/>
              <w:textAlignment w:val="baseline"/>
              <w:rPr>
                <w:rFonts w:ascii="Verdana" w:eastAsia="Verdana" w:hAnsi="Verdana"/>
                <w:sz w:val="18"/>
              </w:rPr>
            </w:pPr>
            <w:r w:rsidRPr="001B64A0">
              <w:rPr>
                <w:rFonts w:ascii="Verdana" w:eastAsia="Verdana" w:hAnsi="Verdana"/>
                <w:sz w:val="18"/>
              </w:rPr>
              <w:t>Foster a strong performance culture for research, enhanced by analytics and targeted support programs;</w:t>
            </w:r>
          </w:p>
          <w:p w14:paraId="24BBA516" w14:textId="77777777" w:rsidR="00541B0B" w:rsidRPr="001B64A0" w:rsidRDefault="00541B0B" w:rsidP="00541B0B">
            <w:pPr>
              <w:numPr>
                <w:ilvl w:val="0"/>
                <w:numId w:val="40"/>
              </w:numPr>
              <w:tabs>
                <w:tab w:val="clear" w:pos="360"/>
                <w:tab w:val="left" w:pos="504"/>
              </w:tabs>
              <w:spacing w:before="50" w:line="228" w:lineRule="exact"/>
              <w:ind w:left="504" w:hanging="360"/>
              <w:textAlignment w:val="baseline"/>
              <w:rPr>
                <w:rFonts w:ascii="Verdana" w:eastAsia="Verdana" w:hAnsi="Verdana"/>
                <w:spacing w:val="-4"/>
                <w:sz w:val="18"/>
              </w:rPr>
            </w:pPr>
            <w:r w:rsidRPr="001B64A0">
              <w:rPr>
                <w:rFonts w:ascii="Verdana" w:eastAsia="Verdana" w:hAnsi="Verdana"/>
                <w:spacing w:val="-4"/>
                <w:sz w:val="18"/>
              </w:rPr>
              <w:t xml:space="preserve">Secure our position and deepen our capability in knowledge exchange and </w:t>
            </w:r>
            <w:proofErr w:type="spellStart"/>
            <w:r w:rsidRPr="001B64A0">
              <w:rPr>
                <w:rFonts w:ascii="Verdana" w:eastAsia="Verdana" w:hAnsi="Verdana"/>
                <w:spacing w:val="-4"/>
                <w:sz w:val="18"/>
              </w:rPr>
              <w:t>commercialisation</w:t>
            </w:r>
            <w:proofErr w:type="spellEnd"/>
            <w:r w:rsidRPr="001B64A0">
              <w:rPr>
                <w:rFonts w:ascii="Verdana" w:eastAsia="Verdana" w:hAnsi="Verdana"/>
                <w:spacing w:val="-4"/>
                <w:sz w:val="18"/>
              </w:rPr>
              <w:t>; and</w:t>
            </w:r>
          </w:p>
          <w:p w14:paraId="4DB9109D" w14:textId="77777777" w:rsidR="00541B0B" w:rsidRPr="001B64A0" w:rsidRDefault="00541B0B" w:rsidP="00541B0B">
            <w:pPr>
              <w:numPr>
                <w:ilvl w:val="0"/>
                <w:numId w:val="40"/>
              </w:numPr>
              <w:tabs>
                <w:tab w:val="clear" w:pos="360"/>
                <w:tab w:val="left" w:pos="504"/>
              </w:tabs>
              <w:spacing w:before="47" w:line="227" w:lineRule="exact"/>
              <w:ind w:left="504" w:hanging="360"/>
              <w:textAlignment w:val="baseline"/>
              <w:rPr>
                <w:rFonts w:ascii="Verdana" w:eastAsia="Verdana" w:hAnsi="Verdana"/>
                <w:spacing w:val="-4"/>
                <w:sz w:val="18"/>
              </w:rPr>
            </w:pPr>
            <w:r w:rsidRPr="001B64A0">
              <w:rPr>
                <w:rFonts w:ascii="Verdana" w:eastAsia="Verdana" w:hAnsi="Verdana"/>
                <w:spacing w:val="-4"/>
                <w:sz w:val="18"/>
              </w:rPr>
              <w:t>Improve our postgraduate research outcomes and establish an innovative Curtin PhD framework.</w:t>
            </w:r>
          </w:p>
          <w:p w14:paraId="4FBF25C9" w14:textId="77777777" w:rsidR="00541B0B" w:rsidRPr="001B64A0" w:rsidRDefault="00541B0B" w:rsidP="00541B0B">
            <w:pPr>
              <w:spacing w:before="294" w:line="229" w:lineRule="exact"/>
              <w:ind w:left="144"/>
              <w:textAlignment w:val="baseline"/>
              <w:rPr>
                <w:rFonts w:ascii="Verdana" w:eastAsia="Verdana" w:hAnsi="Verdana"/>
                <w:spacing w:val="-3"/>
                <w:sz w:val="18"/>
              </w:rPr>
            </w:pPr>
            <w:r w:rsidRPr="001B64A0">
              <w:rPr>
                <w:rFonts w:ascii="Verdana" w:eastAsia="Verdana" w:hAnsi="Verdana"/>
                <w:spacing w:val="-3"/>
                <w:sz w:val="18"/>
              </w:rPr>
              <w:lastRenderedPageBreak/>
              <w:t>Further information is available on Curtin's</w:t>
            </w:r>
            <w:r w:rsidRPr="001B64A0">
              <w:rPr>
                <w:rFonts w:ascii="Verdana" w:eastAsia="Verdana" w:hAnsi="Verdana"/>
                <w:spacing w:val="-3"/>
                <w:sz w:val="18"/>
                <w:u w:val="single"/>
              </w:rPr>
              <w:t xml:space="preserve"> research strategy</w:t>
            </w:r>
            <w:r w:rsidRPr="001B64A0">
              <w:rPr>
                <w:rFonts w:ascii="Verdana" w:eastAsia="Verdana" w:hAnsi="Verdana"/>
                <w:spacing w:val="-3"/>
                <w:sz w:val="18"/>
              </w:rPr>
              <w:t xml:space="preserve"> on the University website.</w:t>
            </w:r>
          </w:p>
          <w:p w14:paraId="7319662F" w14:textId="77777777" w:rsidR="00541B0B" w:rsidRPr="001B64A0" w:rsidRDefault="00541B0B" w:rsidP="00541B0B">
            <w:pPr>
              <w:spacing w:before="258" w:line="267" w:lineRule="exact"/>
              <w:ind w:left="144" w:right="576"/>
              <w:textAlignment w:val="baseline"/>
              <w:rPr>
                <w:rFonts w:ascii="Verdana" w:eastAsia="Verdana" w:hAnsi="Verdana"/>
                <w:sz w:val="18"/>
              </w:rPr>
            </w:pPr>
            <w:r w:rsidRPr="001B64A0">
              <w:rPr>
                <w:rFonts w:ascii="Verdana" w:eastAsia="Verdana" w:hAnsi="Verdana"/>
                <w:sz w:val="18"/>
              </w:rPr>
              <w:t>Curtin is committed to delivering excellence and impact in research and innovation by focusing in 2019 across a broad range of themes with the key research strategies being:</w:t>
            </w:r>
          </w:p>
          <w:p w14:paraId="307214EF" w14:textId="77777777" w:rsidR="00541B0B" w:rsidRPr="001B64A0" w:rsidRDefault="00541B0B" w:rsidP="00541B0B">
            <w:pPr>
              <w:numPr>
                <w:ilvl w:val="0"/>
                <w:numId w:val="40"/>
              </w:numPr>
              <w:tabs>
                <w:tab w:val="clear" w:pos="360"/>
                <w:tab w:val="left" w:pos="504"/>
              </w:tabs>
              <w:spacing w:before="42" w:line="231" w:lineRule="exact"/>
              <w:ind w:left="504" w:hanging="360"/>
              <w:textAlignment w:val="baseline"/>
              <w:rPr>
                <w:rFonts w:ascii="Verdana" w:eastAsia="Verdana" w:hAnsi="Verdana"/>
                <w:spacing w:val="-4"/>
                <w:sz w:val="18"/>
              </w:rPr>
            </w:pPr>
            <w:r w:rsidRPr="001B64A0">
              <w:rPr>
                <w:rFonts w:ascii="Verdana" w:eastAsia="Verdana" w:hAnsi="Verdana"/>
                <w:spacing w:val="-4"/>
                <w:sz w:val="18"/>
              </w:rPr>
              <w:t>Expanding our multidisciplinary research approach;</w:t>
            </w:r>
          </w:p>
          <w:p w14:paraId="2399D20B" w14:textId="77777777" w:rsidR="00541B0B" w:rsidRPr="001B64A0" w:rsidRDefault="00541B0B" w:rsidP="00541B0B">
            <w:pPr>
              <w:numPr>
                <w:ilvl w:val="0"/>
                <w:numId w:val="40"/>
              </w:numPr>
              <w:tabs>
                <w:tab w:val="clear" w:pos="360"/>
                <w:tab w:val="left" w:pos="504"/>
              </w:tabs>
              <w:spacing w:before="47" w:line="227" w:lineRule="exact"/>
              <w:ind w:left="504" w:hanging="360"/>
              <w:textAlignment w:val="baseline"/>
              <w:rPr>
                <w:rFonts w:ascii="Verdana" w:eastAsia="Verdana" w:hAnsi="Verdana"/>
                <w:spacing w:val="-4"/>
                <w:sz w:val="18"/>
              </w:rPr>
            </w:pPr>
            <w:r w:rsidRPr="001B64A0">
              <w:rPr>
                <w:rFonts w:ascii="Verdana" w:eastAsia="Verdana" w:hAnsi="Verdana"/>
                <w:spacing w:val="-4"/>
                <w:sz w:val="18"/>
              </w:rPr>
              <w:t xml:space="preserve">Deepening our capability in knowledge exchange and </w:t>
            </w:r>
            <w:proofErr w:type="spellStart"/>
            <w:r w:rsidRPr="001B64A0">
              <w:rPr>
                <w:rFonts w:ascii="Verdana" w:eastAsia="Verdana" w:hAnsi="Verdana"/>
                <w:spacing w:val="-4"/>
                <w:sz w:val="18"/>
              </w:rPr>
              <w:t>commercialisation</w:t>
            </w:r>
            <w:proofErr w:type="spellEnd"/>
            <w:r w:rsidRPr="001B64A0">
              <w:rPr>
                <w:rFonts w:ascii="Verdana" w:eastAsia="Verdana" w:hAnsi="Verdana"/>
                <w:spacing w:val="-4"/>
                <w:sz w:val="18"/>
              </w:rPr>
              <w:t>;</w:t>
            </w:r>
          </w:p>
          <w:p w14:paraId="5F1BB2D5" w14:textId="77777777" w:rsidR="00541B0B" w:rsidRPr="001B64A0" w:rsidRDefault="00541B0B" w:rsidP="00541B0B">
            <w:pPr>
              <w:numPr>
                <w:ilvl w:val="0"/>
                <w:numId w:val="40"/>
              </w:numPr>
              <w:tabs>
                <w:tab w:val="clear" w:pos="360"/>
                <w:tab w:val="left" w:pos="504"/>
              </w:tabs>
              <w:spacing w:before="41" w:line="224" w:lineRule="exact"/>
              <w:ind w:left="504" w:hanging="360"/>
              <w:textAlignment w:val="baseline"/>
              <w:rPr>
                <w:rFonts w:ascii="Verdana" w:eastAsia="Verdana" w:hAnsi="Verdana"/>
                <w:spacing w:val="-3"/>
                <w:sz w:val="18"/>
              </w:rPr>
            </w:pPr>
            <w:r w:rsidRPr="001B64A0">
              <w:rPr>
                <w:rFonts w:ascii="Verdana" w:eastAsia="Verdana" w:hAnsi="Verdana"/>
                <w:spacing w:val="-3"/>
                <w:sz w:val="18"/>
              </w:rPr>
              <w:t>Strengthening international research collaborations with high achieving universities;</w:t>
            </w:r>
          </w:p>
          <w:p w14:paraId="44A8701E" w14:textId="77777777" w:rsidR="00541B0B" w:rsidRPr="001B64A0" w:rsidRDefault="00541B0B" w:rsidP="00541B0B">
            <w:pPr>
              <w:numPr>
                <w:ilvl w:val="0"/>
                <w:numId w:val="40"/>
              </w:numPr>
              <w:tabs>
                <w:tab w:val="clear" w:pos="360"/>
                <w:tab w:val="left" w:pos="504"/>
              </w:tabs>
              <w:spacing w:before="46" w:line="227" w:lineRule="exact"/>
              <w:ind w:left="504" w:hanging="360"/>
              <w:textAlignment w:val="baseline"/>
              <w:rPr>
                <w:rFonts w:ascii="Verdana" w:eastAsia="Verdana" w:hAnsi="Verdana"/>
                <w:spacing w:val="-4"/>
                <w:sz w:val="18"/>
              </w:rPr>
            </w:pPr>
            <w:r w:rsidRPr="001B64A0">
              <w:rPr>
                <w:rFonts w:ascii="Verdana" w:eastAsia="Verdana" w:hAnsi="Verdana"/>
                <w:spacing w:val="-4"/>
                <w:sz w:val="18"/>
              </w:rPr>
              <w:t>Delivering research that positively impacts our local communities; and</w:t>
            </w:r>
          </w:p>
          <w:p w14:paraId="0CE20778" w14:textId="77777777" w:rsidR="00541B0B" w:rsidRPr="001B64A0" w:rsidRDefault="00541B0B" w:rsidP="00541B0B">
            <w:pPr>
              <w:numPr>
                <w:ilvl w:val="0"/>
                <w:numId w:val="40"/>
              </w:numPr>
              <w:tabs>
                <w:tab w:val="clear" w:pos="360"/>
                <w:tab w:val="left" w:pos="504"/>
              </w:tabs>
              <w:spacing w:before="48" w:line="230" w:lineRule="exact"/>
              <w:ind w:left="504" w:hanging="360"/>
              <w:textAlignment w:val="baseline"/>
              <w:rPr>
                <w:rFonts w:ascii="Verdana" w:eastAsia="Verdana" w:hAnsi="Verdana"/>
                <w:spacing w:val="-4"/>
                <w:sz w:val="18"/>
              </w:rPr>
            </w:pPr>
            <w:r w:rsidRPr="001B64A0">
              <w:rPr>
                <w:rFonts w:ascii="Verdana" w:eastAsia="Verdana" w:hAnsi="Verdana"/>
                <w:spacing w:val="-4"/>
                <w:sz w:val="18"/>
              </w:rPr>
              <w:t>Developing our people through delivery of a new Curtin HDR program with multiple pathways.</w:t>
            </w:r>
          </w:p>
          <w:p w14:paraId="56452E88" w14:textId="77777777" w:rsidR="00541B0B" w:rsidRPr="001B64A0" w:rsidRDefault="00541B0B" w:rsidP="00541B0B">
            <w:pPr>
              <w:spacing w:before="246" w:line="267" w:lineRule="exact"/>
              <w:ind w:left="144" w:right="432"/>
              <w:textAlignment w:val="baseline"/>
              <w:rPr>
                <w:rFonts w:ascii="Verdana" w:eastAsia="Verdana" w:hAnsi="Verdana"/>
                <w:sz w:val="18"/>
              </w:rPr>
            </w:pPr>
            <w:r w:rsidRPr="001B64A0">
              <w:rPr>
                <w:rFonts w:ascii="Verdana" w:eastAsia="Verdana" w:hAnsi="Verdana"/>
                <w:sz w:val="18"/>
              </w:rPr>
              <w:t xml:space="preserve">Key performance indicators include annual targets for staff research publications, research income, revenue from </w:t>
            </w:r>
            <w:proofErr w:type="spellStart"/>
            <w:r w:rsidRPr="001B64A0">
              <w:rPr>
                <w:rFonts w:ascii="Verdana" w:eastAsia="Verdana" w:hAnsi="Verdana"/>
                <w:sz w:val="18"/>
              </w:rPr>
              <w:t>commercialisation</w:t>
            </w:r>
            <w:proofErr w:type="spellEnd"/>
            <w:r w:rsidRPr="001B64A0">
              <w:rPr>
                <w:rFonts w:ascii="Verdana" w:eastAsia="Verdana" w:hAnsi="Verdana"/>
                <w:sz w:val="18"/>
              </w:rPr>
              <w:t xml:space="preserve"> and HDR completions.</w:t>
            </w:r>
          </w:p>
          <w:p w14:paraId="3716EA21" w14:textId="77777777" w:rsidR="00541B0B" w:rsidRPr="001B64A0" w:rsidRDefault="00541B0B" w:rsidP="00541B0B">
            <w:pPr>
              <w:spacing w:before="253" w:line="267" w:lineRule="exact"/>
              <w:ind w:left="144" w:right="144"/>
              <w:textAlignment w:val="baseline"/>
              <w:rPr>
                <w:rFonts w:ascii="Verdana" w:eastAsia="Verdana" w:hAnsi="Verdana"/>
                <w:sz w:val="18"/>
              </w:rPr>
            </w:pPr>
            <w:r w:rsidRPr="001B64A0">
              <w:rPr>
                <w:rFonts w:ascii="Verdana" w:eastAsia="Verdana" w:hAnsi="Verdana"/>
                <w:sz w:val="18"/>
              </w:rPr>
              <w:t xml:space="preserve">Curtin introduced two key research strategies in 2019 to enhance the delivery of </w:t>
            </w:r>
            <w:proofErr w:type="gramStart"/>
            <w:r w:rsidRPr="001B64A0">
              <w:rPr>
                <w:rFonts w:ascii="Verdana" w:eastAsia="Verdana" w:hAnsi="Verdana"/>
                <w:sz w:val="18"/>
              </w:rPr>
              <w:t>high quality</w:t>
            </w:r>
            <w:proofErr w:type="gramEnd"/>
            <w:r w:rsidRPr="001B64A0">
              <w:rPr>
                <w:rFonts w:ascii="Verdana" w:eastAsia="Verdana" w:hAnsi="Verdana"/>
                <w:sz w:val="18"/>
              </w:rPr>
              <w:t xml:space="preserve"> research training:</w:t>
            </w:r>
          </w:p>
          <w:p w14:paraId="0520BBD9" w14:textId="77777777" w:rsidR="00541B0B" w:rsidRPr="001B64A0" w:rsidRDefault="00541B0B" w:rsidP="00DE3217">
            <w:pPr>
              <w:numPr>
                <w:ilvl w:val="0"/>
                <w:numId w:val="43"/>
              </w:numPr>
              <w:tabs>
                <w:tab w:val="clear" w:pos="360"/>
                <w:tab w:val="left" w:pos="167"/>
                <w:tab w:val="left" w:pos="504"/>
              </w:tabs>
              <w:spacing w:line="261" w:lineRule="exact"/>
              <w:ind w:left="504" w:right="936" w:hanging="360"/>
              <w:textAlignment w:val="baseline"/>
              <w:rPr>
                <w:rFonts w:ascii="Verdana" w:eastAsia="Verdana" w:hAnsi="Verdana"/>
                <w:sz w:val="18"/>
              </w:rPr>
            </w:pPr>
            <w:r w:rsidRPr="001B64A0">
              <w:rPr>
                <w:rFonts w:ascii="Verdana" w:eastAsia="Verdana" w:hAnsi="Verdana"/>
                <w:sz w:val="18"/>
              </w:rPr>
              <w:t>Implementation of the HDR Research Excellence Framework, which is linked to milestone achievements; and</w:t>
            </w:r>
          </w:p>
          <w:p w14:paraId="53D32EBA" w14:textId="4E01C933" w:rsidR="00541B0B" w:rsidRPr="001B64A0" w:rsidRDefault="00541B0B" w:rsidP="00DE3217">
            <w:pPr>
              <w:numPr>
                <w:ilvl w:val="0"/>
                <w:numId w:val="43"/>
              </w:numPr>
              <w:tabs>
                <w:tab w:val="clear" w:pos="360"/>
                <w:tab w:val="left" w:pos="167"/>
                <w:tab w:val="left" w:pos="504"/>
              </w:tabs>
              <w:spacing w:before="31" w:line="226" w:lineRule="exact"/>
              <w:ind w:left="504" w:hanging="360"/>
              <w:textAlignment w:val="baseline"/>
              <w:rPr>
                <w:rFonts w:ascii="Verdana" w:eastAsia="Verdana" w:hAnsi="Verdana"/>
                <w:spacing w:val="-5"/>
                <w:sz w:val="18"/>
              </w:rPr>
            </w:pPr>
            <w:r w:rsidRPr="001B64A0">
              <w:rPr>
                <w:rFonts w:ascii="Verdana" w:eastAsia="Verdana" w:hAnsi="Verdana"/>
                <w:spacing w:val="-5"/>
                <w:sz w:val="18"/>
              </w:rPr>
              <w:t>Support for industry placements and engagements involving HDR students.</w:t>
            </w:r>
          </w:p>
          <w:p w14:paraId="67B46691" w14:textId="77777777" w:rsidR="00541B0B" w:rsidRPr="001B64A0" w:rsidRDefault="00541B0B" w:rsidP="00541B0B">
            <w:pPr>
              <w:spacing w:before="310" w:line="228" w:lineRule="exact"/>
              <w:ind w:left="144"/>
              <w:textAlignment w:val="baseline"/>
              <w:rPr>
                <w:rFonts w:ascii="Verdana" w:eastAsia="Verdana" w:hAnsi="Verdana"/>
                <w:spacing w:val="-4"/>
                <w:sz w:val="18"/>
              </w:rPr>
            </w:pPr>
            <w:r w:rsidRPr="001B64A0">
              <w:rPr>
                <w:rFonts w:ascii="Verdana" w:eastAsia="Verdana" w:hAnsi="Verdana"/>
                <w:spacing w:val="-4"/>
                <w:sz w:val="18"/>
              </w:rPr>
              <w:t>The targets for industry placements are as follows:</w:t>
            </w:r>
          </w:p>
          <w:p w14:paraId="0ECFB015" w14:textId="77777777" w:rsidR="00541B0B" w:rsidRPr="001B64A0" w:rsidRDefault="00541B0B" w:rsidP="00541B0B">
            <w:pPr>
              <w:numPr>
                <w:ilvl w:val="0"/>
                <w:numId w:val="40"/>
              </w:numPr>
              <w:tabs>
                <w:tab w:val="clear" w:pos="360"/>
                <w:tab w:val="left" w:pos="504"/>
              </w:tabs>
              <w:spacing w:line="264" w:lineRule="exact"/>
              <w:ind w:left="504" w:right="432" w:hanging="360"/>
              <w:textAlignment w:val="baseline"/>
              <w:rPr>
                <w:rFonts w:ascii="Verdana" w:eastAsia="Verdana" w:hAnsi="Verdana"/>
                <w:spacing w:val="-6"/>
                <w:sz w:val="18"/>
              </w:rPr>
            </w:pPr>
            <w:r w:rsidRPr="001B64A0">
              <w:rPr>
                <w:rFonts w:ascii="Verdana" w:eastAsia="Verdana" w:hAnsi="Verdana"/>
                <w:spacing w:val="-6"/>
                <w:sz w:val="18"/>
              </w:rPr>
              <w:t xml:space="preserve">200 HDR headcount cohort with a strong alignment of their research programs with concurrent employment with external </w:t>
            </w:r>
            <w:proofErr w:type="spellStart"/>
            <w:r w:rsidRPr="001B64A0">
              <w:rPr>
                <w:rFonts w:ascii="Verdana" w:eastAsia="Verdana" w:hAnsi="Verdana"/>
                <w:spacing w:val="-6"/>
                <w:sz w:val="18"/>
              </w:rPr>
              <w:t>organisations</w:t>
            </w:r>
            <w:proofErr w:type="spellEnd"/>
            <w:r w:rsidRPr="001B64A0">
              <w:rPr>
                <w:rFonts w:ascii="Verdana" w:eastAsia="Verdana" w:hAnsi="Verdana"/>
                <w:spacing w:val="-6"/>
                <w:sz w:val="18"/>
              </w:rPr>
              <w:t xml:space="preserve"> or institutions related to professional practice; and</w:t>
            </w:r>
          </w:p>
          <w:p w14:paraId="50A2BC37" w14:textId="7FC89B7B" w:rsidR="00541B0B" w:rsidRPr="001B64A0" w:rsidRDefault="00541B0B" w:rsidP="00541B0B">
            <w:pPr>
              <w:numPr>
                <w:ilvl w:val="0"/>
                <w:numId w:val="40"/>
              </w:numPr>
              <w:tabs>
                <w:tab w:val="clear" w:pos="360"/>
                <w:tab w:val="left" w:pos="504"/>
              </w:tabs>
              <w:spacing w:before="48" w:line="230" w:lineRule="exact"/>
              <w:ind w:left="504" w:hanging="360"/>
              <w:textAlignment w:val="baseline"/>
              <w:rPr>
                <w:rFonts w:ascii="Verdana" w:eastAsia="Verdana" w:hAnsi="Verdana"/>
                <w:spacing w:val="-5"/>
                <w:sz w:val="18"/>
              </w:rPr>
            </w:pPr>
            <w:r w:rsidRPr="001B64A0">
              <w:rPr>
                <w:rFonts w:ascii="Verdana" w:eastAsia="Verdana" w:hAnsi="Verdana"/>
                <w:spacing w:val="-5"/>
                <w:sz w:val="18"/>
              </w:rPr>
              <w:t>30 HDR candidates formally engaged (on an annual basis) in industry aligned programs.</w:t>
            </w:r>
          </w:p>
          <w:p w14:paraId="0E1B78BA" w14:textId="77777777" w:rsidR="00541B0B" w:rsidRPr="001B64A0" w:rsidRDefault="00541B0B" w:rsidP="00541B0B">
            <w:pPr>
              <w:spacing w:before="253" w:line="267" w:lineRule="exact"/>
              <w:ind w:left="144" w:right="864"/>
              <w:textAlignment w:val="baseline"/>
              <w:rPr>
                <w:rFonts w:ascii="Verdana" w:eastAsia="Verdana" w:hAnsi="Verdana"/>
                <w:sz w:val="18"/>
              </w:rPr>
            </w:pPr>
            <w:r w:rsidRPr="001B64A0">
              <w:rPr>
                <w:rFonts w:ascii="Verdana" w:eastAsia="Verdana" w:hAnsi="Verdana"/>
                <w:sz w:val="18"/>
              </w:rPr>
              <w:t>An explicit research strategy has been formulated to develop a balanced approach with equal importance placed on fundamental and demand-driven research, including:</w:t>
            </w:r>
          </w:p>
          <w:p w14:paraId="4EF33CE1" w14:textId="77777777" w:rsidR="00541B0B" w:rsidRPr="001B64A0" w:rsidRDefault="00541B0B" w:rsidP="00541B0B">
            <w:pPr>
              <w:spacing w:before="31" w:line="224" w:lineRule="exact"/>
              <w:ind w:left="144"/>
              <w:textAlignment w:val="baseline"/>
              <w:rPr>
                <w:rFonts w:ascii="Verdana" w:eastAsia="Verdana" w:hAnsi="Verdana"/>
                <w:spacing w:val="-1"/>
                <w:sz w:val="18"/>
              </w:rPr>
            </w:pPr>
            <w:r w:rsidRPr="001B64A0">
              <w:rPr>
                <w:rFonts w:ascii="Verdana" w:eastAsia="Verdana" w:hAnsi="Verdana"/>
                <w:spacing w:val="-1"/>
                <w:sz w:val="18"/>
              </w:rPr>
              <w:t>1. Research translation strategies:</w:t>
            </w:r>
          </w:p>
          <w:p w14:paraId="64735E40" w14:textId="6579769F" w:rsidR="00541B0B" w:rsidRPr="001B64A0" w:rsidRDefault="00541B0B" w:rsidP="00541B0B">
            <w:pPr>
              <w:numPr>
                <w:ilvl w:val="0"/>
                <w:numId w:val="40"/>
              </w:numPr>
              <w:tabs>
                <w:tab w:val="clear" w:pos="360"/>
                <w:tab w:val="left" w:pos="864"/>
              </w:tabs>
              <w:spacing w:before="44" w:line="229" w:lineRule="exact"/>
              <w:ind w:left="864" w:hanging="360"/>
              <w:textAlignment w:val="baseline"/>
              <w:rPr>
                <w:rFonts w:ascii="Verdana" w:eastAsia="Verdana" w:hAnsi="Verdana"/>
                <w:spacing w:val="-3"/>
                <w:sz w:val="18"/>
              </w:rPr>
            </w:pPr>
            <w:r w:rsidRPr="001B64A0">
              <w:rPr>
                <w:rFonts w:ascii="Verdana" w:eastAsia="Verdana" w:hAnsi="Verdana"/>
                <w:spacing w:val="-3"/>
                <w:sz w:val="18"/>
              </w:rPr>
              <w:t>A focused approach on developing deep relationships with strategic partners;</w:t>
            </w:r>
          </w:p>
          <w:p w14:paraId="38F3A746" w14:textId="77777777" w:rsidR="00541B0B" w:rsidRPr="001B64A0" w:rsidRDefault="00541B0B" w:rsidP="00541B0B">
            <w:pPr>
              <w:numPr>
                <w:ilvl w:val="0"/>
                <w:numId w:val="40"/>
              </w:numPr>
              <w:tabs>
                <w:tab w:val="clear" w:pos="360"/>
                <w:tab w:val="left" w:pos="864"/>
              </w:tabs>
              <w:spacing w:line="266" w:lineRule="exact"/>
              <w:ind w:left="864" w:right="648" w:hanging="360"/>
              <w:textAlignment w:val="baseline"/>
              <w:rPr>
                <w:rFonts w:ascii="Verdana" w:eastAsia="Verdana" w:hAnsi="Verdana"/>
                <w:sz w:val="18"/>
              </w:rPr>
            </w:pPr>
            <w:r w:rsidRPr="001B64A0">
              <w:rPr>
                <w:rFonts w:ascii="Verdana" w:eastAsia="Verdana" w:hAnsi="Verdana"/>
                <w:sz w:val="18"/>
              </w:rPr>
              <w:t>Engagement with industry through promotion of relevant Curtin research and capability building in staff and students; and</w:t>
            </w:r>
          </w:p>
          <w:p w14:paraId="76650317" w14:textId="77777777" w:rsidR="00541B0B" w:rsidRPr="001B64A0" w:rsidRDefault="00541B0B" w:rsidP="00541B0B">
            <w:pPr>
              <w:numPr>
                <w:ilvl w:val="0"/>
                <w:numId w:val="40"/>
              </w:numPr>
              <w:tabs>
                <w:tab w:val="clear" w:pos="360"/>
                <w:tab w:val="left" w:pos="864"/>
              </w:tabs>
              <w:spacing w:before="35" w:line="229" w:lineRule="exact"/>
              <w:ind w:left="864" w:hanging="360"/>
              <w:textAlignment w:val="baseline"/>
              <w:rPr>
                <w:rFonts w:ascii="Verdana" w:eastAsia="Verdana" w:hAnsi="Verdana"/>
                <w:spacing w:val="-5"/>
                <w:sz w:val="18"/>
              </w:rPr>
            </w:pPr>
            <w:r w:rsidRPr="001B64A0">
              <w:rPr>
                <w:rFonts w:ascii="Verdana" w:eastAsia="Verdana" w:hAnsi="Verdana"/>
                <w:spacing w:val="-5"/>
                <w:sz w:val="18"/>
              </w:rPr>
              <w:t>Engagement with end users.</w:t>
            </w:r>
          </w:p>
          <w:p w14:paraId="1C348151" w14:textId="77777777" w:rsidR="00541B0B" w:rsidRPr="001B64A0" w:rsidRDefault="00541B0B" w:rsidP="00541B0B">
            <w:pPr>
              <w:spacing w:before="34" w:line="225" w:lineRule="exact"/>
              <w:ind w:left="144"/>
              <w:textAlignment w:val="baseline"/>
              <w:rPr>
                <w:rFonts w:ascii="Verdana" w:eastAsia="Verdana" w:hAnsi="Verdana"/>
                <w:spacing w:val="-2"/>
                <w:sz w:val="18"/>
              </w:rPr>
            </w:pPr>
            <w:r w:rsidRPr="001B64A0">
              <w:rPr>
                <w:rFonts w:ascii="Verdana" w:eastAsia="Verdana" w:hAnsi="Verdana"/>
                <w:spacing w:val="-2"/>
                <w:sz w:val="18"/>
              </w:rPr>
              <w:t xml:space="preserve">2. Research </w:t>
            </w:r>
            <w:proofErr w:type="spellStart"/>
            <w:r w:rsidRPr="001B64A0">
              <w:rPr>
                <w:rFonts w:ascii="Verdana" w:eastAsia="Verdana" w:hAnsi="Verdana"/>
                <w:spacing w:val="-2"/>
                <w:sz w:val="18"/>
              </w:rPr>
              <w:t>commercialisation</w:t>
            </w:r>
            <w:proofErr w:type="spellEnd"/>
            <w:r w:rsidRPr="001B64A0">
              <w:rPr>
                <w:rFonts w:ascii="Verdana" w:eastAsia="Verdana" w:hAnsi="Verdana"/>
                <w:spacing w:val="-2"/>
                <w:sz w:val="18"/>
              </w:rPr>
              <w:t xml:space="preserve"> strategies:</w:t>
            </w:r>
          </w:p>
          <w:p w14:paraId="2551D2EC" w14:textId="77777777" w:rsidR="00541B0B" w:rsidRPr="001B64A0" w:rsidRDefault="00541B0B" w:rsidP="00541B0B">
            <w:pPr>
              <w:numPr>
                <w:ilvl w:val="0"/>
                <w:numId w:val="40"/>
              </w:numPr>
              <w:tabs>
                <w:tab w:val="clear" w:pos="360"/>
                <w:tab w:val="left" w:pos="864"/>
              </w:tabs>
              <w:spacing w:before="31" w:line="229" w:lineRule="exact"/>
              <w:ind w:left="864" w:hanging="360"/>
              <w:textAlignment w:val="baseline"/>
              <w:rPr>
                <w:rFonts w:ascii="Verdana" w:eastAsia="Verdana" w:hAnsi="Verdana"/>
                <w:spacing w:val="-3"/>
                <w:sz w:val="18"/>
              </w:rPr>
            </w:pPr>
            <w:r w:rsidRPr="001B64A0">
              <w:rPr>
                <w:rFonts w:ascii="Verdana" w:eastAsia="Verdana" w:hAnsi="Verdana"/>
                <w:spacing w:val="-3"/>
                <w:sz w:val="18"/>
              </w:rPr>
              <w:t xml:space="preserve">Developing a culture that promotes </w:t>
            </w:r>
            <w:proofErr w:type="spellStart"/>
            <w:r w:rsidRPr="001B64A0">
              <w:rPr>
                <w:rFonts w:ascii="Verdana" w:eastAsia="Verdana" w:hAnsi="Verdana"/>
                <w:spacing w:val="-3"/>
                <w:sz w:val="18"/>
              </w:rPr>
              <w:t>commercialisation</w:t>
            </w:r>
            <w:proofErr w:type="spellEnd"/>
            <w:r w:rsidRPr="001B64A0">
              <w:rPr>
                <w:rFonts w:ascii="Verdana" w:eastAsia="Verdana" w:hAnsi="Verdana"/>
                <w:spacing w:val="-3"/>
                <w:sz w:val="18"/>
              </w:rPr>
              <w:t xml:space="preserve"> through programs;</w:t>
            </w:r>
          </w:p>
          <w:p w14:paraId="4F15810C" w14:textId="77777777" w:rsidR="00541B0B" w:rsidRPr="001B64A0" w:rsidRDefault="00541B0B" w:rsidP="00541B0B">
            <w:pPr>
              <w:numPr>
                <w:ilvl w:val="0"/>
                <w:numId w:val="40"/>
              </w:numPr>
              <w:tabs>
                <w:tab w:val="clear" w:pos="360"/>
                <w:tab w:val="left" w:pos="864"/>
              </w:tabs>
              <w:spacing w:line="261" w:lineRule="exact"/>
              <w:ind w:left="864" w:right="216" w:hanging="360"/>
              <w:textAlignment w:val="baseline"/>
              <w:rPr>
                <w:rFonts w:ascii="Verdana" w:eastAsia="Verdana" w:hAnsi="Verdana"/>
                <w:sz w:val="18"/>
              </w:rPr>
            </w:pPr>
            <w:r w:rsidRPr="001B64A0">
              <w:rPr>
                <w:rFonts w:ascii="Verdana" w:eastAsia="Verdana" w:hAnsi="Verdana"/>
                <w:sz w:val="18"/>
              </w:rPr>
              <w:t xml:space="preserve">Developing entrepreneurship and </w:t>
            </w:r>
            <w:proofErr w:type="spellStart"/>
            <w:r w:rsidRPr="001B64A0">
              <w:rPr>
                <w:rFonts w:ascii="Verdana" w:eastAsia="Verdana" w:hAnsi="Verdana"/>
                <w:sz w:val="18"/>
              </w:rPr>
              <w:t>commercialisation</w:t>
            </w:r>
            <w:proofErr w:type="spellEnd"/>
            <w:r w:rsidRPr="001B64A0">
              <w:rPr>
                <w:rFonts w:ascii="Verdana" w:eastAsia="Verdana" w:hAnsi="Verdana"/>
                <w:sz w:val="18"/>
              </w:rPr>
              <w:t xml:space="preserve"> capability in staff and students through training opportunities; and</w:t>
            </w:r>
          </w:p>
          <w:p w14:paraId="070496FC" w14:textId="77777777" w:rsidR="00541B0B" w:rsidRPr="001B64A0" w:rsidRDefault="00541B0B" w:rsidP="00541B0B">
            <w:pPr>
              <w:numPr>
                <w:ilvl w:val="0"/>
                <w:numId w:val="40"/>
              </w:numPr>
              <w:tabs>
                <w:tab w:val="clear" w:pos="360"/>
                <w:tab w:val="left" w:pos="864"/>
              </w:tabs>
              <w:spacing w:line="262" w:lineRule="exact"/>
              <w:ind w:left="864" w:right="144" w:hanging="360"/>
              <w:textAlignment w:val="baseline"/>
              <w:rPr>
                <w:rFonts w:ascii="Verdana" w:eastAsia="Verdana" w:hAnsi="Verdana"/>
                <w:spacing w:val="-4"/>
                <w:sz w:val="18"/>
              </w:rPr>
            </w:pPr>
            <w:r w:rsidRPr="001B64A0">
              <w:rPr>
                <w:rFonts w:ascii="Verdana" w:eastAsia="Verdana" w:hAnsi="Verdana"/>
                <w:spacing w:val="-4"/>
                <w:sz w:val="18"/>
              </w:rPr>
              <w:t xml:space="preserve">Directly supporting the </w:t>
            </w:r>
            <w:proofErr w:type="spellStart"/>
            <w:r w:rsidRPr="001B64A0">
              <w:rPr>
                <w:rFonts w:ascii="Verdana" w:eastAsia="Verdana" w:hAnsi="Verdana"/>
                <w:spacing w:val="-4"/>
                <w:sz w:val="18"/>
              </w:rPr>
              <w:t>commercialisation</w:t>
            </w:r>
            <w:proofErr w:type="spellEnd"/>
            <w:r w:rsidRPr="001B64A0">
              <w:rPr>
                <w:rFonts w:ascii="Verdana" w:eastAsia="Verdana" w:hAnsi="Verdana"/>
                <w:spacing w:val="-4"/>
                <w:sz w:val="18"/>
              </w:rPr>
              <w:t xml:space="preserve"> process through an</w:t>
            </w:r>
            <w:r w:rsidRPr="001B64A0">
              <w:rPr>
                <w:rFonts w:ascii="Verdana" w:eastAsia="Verdana" w:hAnsi="Verdana"/>
                <w:spacing w:val="-4"/>
                <w:sz w:val="18"/>
                <w:u w:val="single"/>
              </w:rPr>
              <w:t xml:space="preserve"> </w:t>
            </w:r>
            <w:proofErr w:type="gramStart"/>
            <w:r w:rsidRPr="001B64A0">
              <w:rPr>
                <w:rFonts w:ascii="Verdana" w:eastAsia="Verdana" w:hAnsi="Verdana"/>
                <w:spacing w:val="-4"/>
                <w:sz w:val="18"/>
                <w:u w:val="single"/>
              </w:rPr>
              <w:t>in house</w:t>
            </w:r>
            <w:proofErr w:type="gramEnd"/>
            <w:r w:rsidRPr="001B64A0">
              <w:rPr>
                <w:rFonts w:ascii="Verdana" w:eastAsia="Verdana" w:hAnsi="Verdana"/>
                <w:spacing w:val="-4"/>
                <w:sz w:val="18"/>
                <w:u w:val="single"/>
              </w:rPr>
              <w:t xml:space="preserve"> team</w:t>
            </w:r>
            <w:r w:rsidRPr="001B64A0">
              <w:rPr>
                <w:rFonts w:ascii="Verdana" w:eastAsia="Verdana" w:hAnsi="Verdana"/>
                <w:spacing w:val="-4"/>
                <w:sz w:val="18"/>
              </w:rPr>
              <w:t xml:space="preserve"> with expertise in the </w:t>
            </w:r>
            <w:proofErr w:type="spellStart"/>
            <w:r w:rsidRPr="001B64A0">
              <w:rPr>
                <w:rFonts w:ascii="Verdana" w:eastAsia="Verdana" w:hAnsi="Verdana"/>
                <w:spacing w:val="-4"/>
                <w:sz w:val="18"/>
              </w:rPr>
              <w:t>commercialisation</w:t>
            </w:r>
            <w:proofErr w:type="spellEnd"/>
            <w:r w:rsidRPr="001B64A0">
              <w:rPr>
                <w:rFonts w:ascii="Verdana" w:eastAsia="Verdana" w:hAnsi="Verdana"/>
                <w:spacing w:val="-4"/>
                <w:sz w:val="18"/>
              </w:rPr>
              <w:t xml:space="preserve"> process and providing access to seed funding for prototyping, pilot trialing and proof of concept through</w:t>
            </w:r>
            <w:r w:rsidRPr="001B64A0">
              <w:rPr>
                <w:rFonts w:ascii="Verdana" w:eastAsia="Verdana" w:hAnsi="Verdana"/>
                <w:spacing w:val="-4"/>
                <w:sz w:val="18"/>
                <w:u w:val="single"/>
              </w:rPr>
              <w:t xml:space="preserve"> Curtin's Kickstart</w:t>
            </w:r>
            <w:r w:rsidRPr="001B64A0">
              <w:rPr>
                <w:rFonts w:ascii="Verdana" w:eastAsia="Verdana" w:hAnsi="Verdana"/>
                <w:spacing w:val="-4"/>
                <w:sz w:val="18"/>
              </w:rPr>
              <w:t xml:space="preserve"> program.</w:t>
            </w:r>
          </w:p>
          <w:p w14:paraId="5620EB0E" w14:textId="35908BC2" w:rsidR="00541B0B" w:rsidRPr="001B64A0" w:rsidRDefault="00541B0B" w:rsidP="00541B0B">
            <w:pPr>
              <w:spacing w:before="291" w:line="224" w:lineRule="exact"/>
              <w:ind w:left="144"/>
              <w:textAlignment w:val="baseline"/>
              <w:rPr>
                <w:rFonts w:ascii="Verdana" w:eastAsia="Verdana" w:hAnsi="Verdana"/>
                <w:spacing w:val="-5"/>
                <w:sz w:val="18"/>
              </w:rPr>
            </w:pPr>
            <w:r w:rsidRPr="001B64A0">
              <w:rPr>
                <w:rFonts w:ascii="Verdana" w:eastAsia="Verdana" w:hAnsi="Verdana"/>
                <w:spacing w:val="-5"/>
                <w:sz w:val="18"/>
              </w:rPr>
              <w:t>The success of the research strategies will be assessed through:</w:t>
            </w:r>
          </w:p>
          <w:p w14:paraId="47E66A0D" w14:textId="77777777" w:rsidR="00541B0B" w:rsidRPr="001B64A0" w:rsidRDefault="00541B0B" w:rsidP="00541B0B">
            <w:pPr>
              <w:numPr>
                <w:ilvl w:val="0"/>
                <w:numId w:val="40"/>
              </w:numPr>
              <w:tabs>
                <w:tab w:val="clear" w:pos="360"/>
                <w:tab w:val="left" w:pos="504"/>
              </w:tabs>
              <w:spacing w:before="37" w:line="235" w:lineRule="exact"/>
              <w:ind w:left="504" w:hanging="360"/>
              <w:textAlignment w:val="baseline"/>
              <w:rPr>
                <w:rFonts w:ascii="Verdana" w:eastAsia="Verdana" w:hAnsi="Verdana"/>
                <w:spacing w:val="-4"/>
                <w:sz w:val="18"/>
              </w:rPr>
            </w:pPr>
            <w:r w:rsidRPr="001B64A0">
              <w:rPr>
                <w:rFonts w:ascii="Verdana" w:eastAsia="Verdana" w:hAnsi="Verdana"/>
                <w:spacing w:val="-4"/>
                <w:sz w:val="18"/>
              </w:rPr>
              <w:t>Industry collaborative research income; and</w:t>
            </w:r>
          </w:p>
          <w:p w14:paraId="6D7F5920" w14:textId="59E536F3" w:rsidR="00541B0B" w:rsidRPr="001B64A0" w:rsidRDefault="00541B0B" w:rsidP="00541B0B">
            <w:pPr>
              <w:numPr>
                <w:ilvl w:val="0"/>
                <w:numId w:val="40"/>
              </w:numPr>
              <w:tabs>
                <w:tab w:val="clear" w:pos="360"/>
                <w:tab w:val="left" w:pos="504"/>
              </w:tabs>
              <w:spacing w:line="264" w:lineRule="exact"/>
              <w:ind w:left="504" w:right="504" w:hanging="360"/>
              <w:textAlignment w:val="baseline"/>
              <w:rPr>
                <w:rFonts w:ascii="Verdana" w:eastAsia="Verdana" w:hAnsi="Verdana"/>
                <w:spacing w:val="-4"/>
                <w:sz w:val="18"/>
              </w:rPr>
            </w:pPr>
            <w:r w:rsidRPr="001B64A0">
              <w:rPr>
                <w:rFonts w:ascii="Verdana" w:eastAsia="Verdana" w:hAnsi="Verdana"/>
                <w:spacing w:val="-4"/>
                <w:sz w:val="18"/>
              </w:rPr>
              <w:t xml:space="preserve">Number of invention disclosures, income from </w:t>
            </w:r>
            <w:proofErr w:type="spellStart"/>
            <w:r w:rsidRPr="001B64A0">
              <w:rPr>
                <w:rFonts w:ascii="Verdana" w:eastAsia="Verdana" w:hAnsi="Verdana"/>
                <w:spacing w:val="-4"/>
                <w:sz w:val="18"/>
              </w:rPr>
              <w:t>licences</w:t>
            </w:r>
            <w:proofErr w:type="spellEnd"/>
            <w:r w:rsidRPr="001B64A0">
              <w:rPr>
                <w:rFonts w:ascii="Verdana" w:eastAsia="Verdana" w:hAnsi="Verdana"/>
                <w:spacing w:val="-4"/>
                <w:sz w:val="18"/>
              </w:rPr>
              <w:t xml:space="preserve">, option and assignment of intellectual </w:t>
            </w:r>
            <w:r w:rsidRPr="001B64A0">
              <w:rPr>
                <w:rFonts w:ascii="Verdana" w:eastAsia="Verdana" w:hAnsi="Verdana"/>
                <w:spacing w:val="-4"/>
                <w:sz w:val="18"/>
                <w:u w:val="single"/>
              </w:rPr>
              <w:t xml:space="preserve">property, </w:t>
            </w:r>
            <w:proofErr w:type="gramStart"/>
            <w:r w:rsidRPr="001B64A0">
              <w:rPr>
                <w:rFonts w:ascii="Verdana" w:eastAsia="Verdana" w:hAnsi="Verdana"/>
                <w:spacing w:val="-4"/>
                <w:sz w:val="18"/>
                <w:u w:val="single"/>
              </w:rPr>
              <w:t>exit  income</w:t>
            </w:r>
            <w:proofErr w:type="gramEnd"/>
            <w:r w:rsidRPr="001B64A0">
              <w:rPr>
                <w:rFonts w:ascii="Verdana" w:eastAsia="Verdana" w:hAnsi="Verdana"/>
                <w:spacing w:val="-4"/>
                <w:sz w:val="18"/>
                <w:u w:val="single"/>
              </w:rPr>
              <w:t xml:space="preserve"> and research income associated with </w:t>
            </w:r>
            <w:proofErr w:type="spellStart"/>
            <w:r w:rsidRPr="001B64A0">
              <w:rPr>
                <w:rFonts w:ascii="Verdana" w:eastAsia="Verdana" w:hAnsi="Verdana"/>
                <w:spacing w:val="-4"/>
                <w:sz w:val="18"/>
                <w:u w:val="single"/>
              </w:rPr>
              <w:t>commercialisation</w:t>
            </w:r>
            <w:proofErr w:type="spellEnd"/>
            <w:r w:rsidRPr="001B64A0">
              <w:rPr>
                <w:rFonts w:ascii="Verdana" w:eastAsia="Verdana" w:hAnsi="Verdana"/>
                <w:spacing w:val="-4"/>
                <w:sz w:val="18"/>
                <w:u w:val="single"/>
              </w:rPr>
              <w:t xml:space="preserve"> activities. </w:t>
            </w:r>
          </w:p>
          <w:p w14:paraId="4979E783" w14:textId="64B36142" w:rsidR="00541B0B" w:rsidRPr="001B64A0" w:rsidRDefault="00541B0B" w:rsidP="00541B0B">
            <w:pPr>
              <w:tabs>
                <w:tab w:val="left" w:pos="504"/>
              </w:tabs>
              <w:spacing w:line="264" w:lineRule="exact"/>
              <w:ind w:right="504"/>
              <w:textAlignment w:val="baseline"/>
              <w:rPr>
                <w:rFonts w:ascii="Verdana" w:eastAsia="Verdana" w:hAnsi="Verdana"/>
                <w:spacing w:val="-4"/>
                <w:sz w:val="18"/>
                <w:u w:val="single"/>
              </w:rPr>
            </w:pPr>
          </w:p>
          <w:p w14:paraId="50A7048E" w14:textId="52477866" w:rsidR="00541B0B" w:rsidRPr="001B64A0" w:rsidRDefault="00541B0B" w:rsidP="00541B0B">
            <w:pPr>
              <w:tabs>
                <w:tab w:val="left" w:pos="504"/>
              </w:tabs>
              <w:spacing w:line="264" w:lineRule="exact"/>
              <w:ind w:right="504"/>
              <w:textAlignment w:val="baseline"/>
              <w:rPr>
                <w:rFonts w:ascii="Verdana" w:eastAsia="Verdana" w:hAnsi="Verdana"/>
                <w:spacing w:val="-4"/>
                <w:sz w:val="18"/>
              </w:rPr>
            </w:pPr>
            <w:r w:rsidRPr="001B64A0">
              <w:rPr>
                <w:rFonts w:ascii="Verdana" w:eastAsia="Verdana" w:hAnsi="Verdana"/>
                <w:spacing w:val="-4"/>
                <w:sz w:val="18"/>
              </w:rPr>
              <w:t>Curtin ha</w:t>
            </w:r>
            <w:r w:rsidR="00E4662E">
              <w:rPr>
                <w:rFonts w:ascii="Verdana" w:eastAsia="Verdana" w:hAnsi="Verdana"/>
                <w:spacing w:val="-4"/>
                <w:sz w:val="18"/>
              </w:rPr>
              <w:t>s</w:t>
            </w:r>
            <w:r w:rsidRPr="001B64A0">
              <w:rPr>
                <w:rFonts w:ascii="Verdana" w:eastAsia="Verdana" w:hAnsi="Verdana"/>
                <w:spacing w:val="-4"/>
                <w:sz w:val="18"/>
              </w:rPr>
              <w:t xml:space="preserve"> an institutional strategy in place to promote open access, in particular the use of the research repository, </w:t>
            </w:r>
            <w:proofErr w:type="spellStart"/>
            <w:r w:rsidRPr="001B64A0">
              <w:rPr>
                <w:rFonts w:ascii="Verdana" w:eastAsia="Verdana" w:hAnsi="Verdana"/>
                <w:spacing w:val="-4"/>
                <w:sz w:val="18"/>
              </w:rPr>
              <w:t>eSpace</w:t>
            </w:r>
            <w:proofErr w:type="spellEnd"/>
            <w:r w:rsidRPr="001B64A0">
              <w:rPr>
                <w:rFonts w:ascii="Verdana" w:eastAsia="Verdana" w:hAnsi="Verdana"/>
                <w:spacing w:val="-4"/>
                <w:sz w:val="18"/>
              </w:rPr>
              <w:t>. Curtin will undertake a historical and ongoing benchmarking system for the open access research outputs across multiple institutions.</w:t>
            </w:r>
          </w:p>
          <w:p w14:paraId="701AC31B" w14:textId="0D2B4861" w:rsidR="00215A22" w:rsidRPr="001B64A0" w:rsidRDefault="00215A22" w:rsidP="0018596C">
            <w:pPr>
              <w:spacing w:before="112" w:after="109" w:line="278" w:lineRule="exact"/>
              <w:ind w:left="72" w:right="216"/>
              <w:textAlignment w:val="baseline"/>
              <w:rPr>
                <w:rFonts w:asciiTheme="minorHAnsi" w:eastAsia="Arial Narrow" w:hAnsiTheme="minorHAnsi" w:cstheme="minorHAnsi"/>
                <w:spacing w:val="-1"/>
                <w:sz w:val="22"/>
                <w:szCs w:val="22"/>
              </w:rPr>
            </w:pPr>
          </w:p>
        </w:tc>
      </w:tr>
      <w:tr w:rsidR="001B64A0" w:rsidRPr="001B64A0" w14:paraId="40588B01" w14:textId="77777777" w:rsidTr="008050F3">
        <w:trPr>
          <w:cantSplit/>
          <w:trHeight w:val="552"/>
        </w:trPr>
        <w:tc>
          <w:tcPr>
            <w:tcW w:w="5000" w:type="pct"/>
            <w:shd w:val="clear" w:color="auto" w:fill="DBE5F1" w:themeFill="accent1" w:themeFillTint="33"/>
          </w:tcPr>
          <w:p w14:paraId="3B6582D2" w14:textId="77777777" w:rsidR="00276BFB" w:rsidRPr="001B64A0" w:rsidRDefault="00276BFB" w:rsidP="00276BFB">
            <w:pPr>
              <w:pStyle w:val="Heading4"/>
              <w:rPr>
                <w:b w:val="0"/>
                <w:bCs w:val="0"/>
                <w:i/>
              </w:rPr>
            </w:pPr>
            <w:r w:rsidRPr="001B64A0">
              <w:rPr>
                <w:b w:val="0"/>
                <w:bCs w:val="0"/>
              </w:rPr>
              <w:lastRenderedPageBreak/>
              <w:t>Equity</w:t>
            </w:r>
          </w:p>
        </w:tc>
      </w:tr>
      <w:tr w:rsidR="001B64A0" w:rsidRPr="001B64A0" w14:paraId="523EA0A3" w14:textId="77777777" w:rsidTr="008050F3">
        <w:trPr>
          <w:cantSplit/>
          <w:trHeight w:val="416"/>
        </w:trPr>
        <w:tc>
          <w:tcPr>
            <w:tcW w:w="5000" w:type="pct"/>
          </w:tcPr>
          <w:p w14:paraId="7B5E79ED" w14:textId="77777777" w:rsidR="008C0663" w:rsidRPr="00DE3217" w:rsidRDefault="008C0663" w:rsidP="008C0663">
            <w:pPr>
              <w:spacing w:line="270" w:lineRule="exact"/>
              <w:ind w:left="144" w:right="144"/>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The University's strategic plan 2017-2020 contains a broad range of equity related strategic objectives across its framework. These include:</w:t>
            </w:r>
          </w:p>
          <w:p w14:paraId="7278722E" w14:textId="77777777" w:rsidR="008C0663" w:rsidRPr="00DE3217" w:rsidRDefault="008C0663" w:rsidP="008C0663">
            <w:pPr>
              <w:numPr>
                <w:ilvl w:val="0"/>
                <w:numId w:val="40"/>
              </w:numPr>
              <w:tabs>
                <w:tab w:val="clear" w:pos="360"/>
                <w:tab w:val="left" w:pos="504"/>
              </w:tabs>
              <w:spacing w:before="5" w:line="262" w:lineRule="exact"/>
              <w:ind w:left="720" w:right="288" w:hanging="360"/>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Be a university of choice for a diverse range of students. including high achievers and those from disadvantaged backgrounds;</w:t>
            </w:r>
          </w:p>
          <w:p w14:paraId="11C13CEF" w14:textId="77777777" w:rsidR="008C0663" w:rsidRPr="00DE3217" w:rsidRDefault="008C0663" w:rsidP="008C0663">
            <w:pPr>
              <w:numPr>
                <w:ilvl w:val="0"/>
                <w:numId w:val="40"/>
              </w:numPr>
              <w:tabs>
                <w:tab w:val="clear" w:pos="360"/>
                <w:tab w:val="left" w:pos="504"/>
              </w:tabs>
              <w:spacing w:before="46" w:line="227" w:lineRule="exact"/>
              <w:ind w:left="720" w:hanging="360"/>
              <w:textAlignment w:val="baseline"/>
              <w:rPr>
                <w:rFonts w:asciiTheme="minorHAnsi" w:eastAsia="Tahoma" w:hAnsiTheme="minorHAnsi" w:cstheme="minorHAnsi"/>
                <w:spacing w:val="-3"/>
                <w:sz w:val="22"/>
                <w:szCs w:val="22"/>
              </w:rPr>
            </w:pPr>
            <w:r w:rsidRPr="00DE3217">
              <w:rPr>
                <w:rFonts w:asciiTheme="minorHAnsi" w:eastAsia="Tahoma" w:hAnsiTheme="minorHAnsi" w:cstheme="minorHAnsi"/>
                <w:spacing w:val="-3"/>
                <w:sz w:val="22"/>
                <w:szCs w:val="22"/>
              </w:rPr>
              <w:t>Develop and pursue a clear and sustainable regional Western Australia strategy;</w:t>
            </w:r>
          </w:p>
          <w:p w14:paraId="3D4B57CB" w14:textId="77777777" w:rsidR="008C0663" w:rsidRPr="00DE3217" w:rsidRDefault="008C0663" w:rsidP="008C0663">
            <w:pPr>
              <w:numPr>
                <w:ilvl w:val="0"/>
                <w:numId w:val="40"/>
              </w:numPr>
              <w:tabs>
                <w:tab w:val="clear" w:pos="360"/>
                <w:tab w:val="left" w:pos="504"/>
              </w:tabs>
              <w:spacing w:before="9" w:line="262" w:lineRule="exact"/>
              <w:ind w:left="720" w:right="936" w:hanging="360"/>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Enrich our local and global communities through knowledge leadership and collaborative partnerships; and</w:t>
            </w:r>
          </w:p>
          <w:p w14:paraId="0E73DEB7" w14:textId="77777777" w:rsidR="008C0663" w:rsidRPr="00DE3217" w:rsidRDefault="008C0663" w:rsidP="008C0663">
            <w:pPr>
              <w:numPr>
                <w:ilvl w:val="0"/>
                <w:numId w:val="40"/>
              </w:numPr>
              <w:tabs>
                <w:tab w:val="clear" w:pos="360"/>
                <w:tab w:val="left" w:pos="504"/>
              </w:tabs>
              <w:spacing w:before="42" w:line="227" w:lineRule="exact"/>
              <w:ind w:left="720" w:hanging="360"/>
              <w:textAlignment w:val="baseline"/>
              <w:rPr>
                <w:rFonts w:asciiTheme="minorHAnsi" w:eastAsia="Tahoma" w:hAnsiTheme="minorHAnsi" w:cstheme="minorHAnsi"/>
                <w:spacing w:val="-5"/>
                <w:sz w:val="22"/>
                <w:szCs w:val="22"/>
              </w:rPr>
            </w:pPr>
            <w:r w:rsidRPr="00DE3217">
              <w:rPr>
                <w:rFonts w:asciiTheme="minorHAnsi" w:eastAsia="Tahoma" w:hAnsiTheme="minorHAnsi" w:cstheme="minorHAnsi"/>
                <w:spacing w:val="-5"/>
                <w:sz w:val="22"/>
                <w:szCs w:val="22"/>
              </w:rPr>
              <w:t>Improve gender and Indigenous equity.</w:t>
            </w:r>
          </w:p>
          <w:p w14:paraId="0E33CF67" w14:textId="77777777" w:rsidR="008C0663" w:rsidRPr="00DE3217" w:rsidRDefault="008C0663" w:rsidP="008C0663">
            <w:pPr>
              <w:spacing w:before="257" w:line="262" w:lineRule="exact"/>
              <w:ind w:left="144" w:right="288"/>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Curtin will continue to focus on improving Indigenous outcomes and targets in 2019 and has an Aboriginal Employment and Engagement Strategy 2017-2020 which incorporates three key strategic pillars:</w:t>
            </w:r>
          </w:p>
          <w:p w14:paraId="74A84961" w14:textId="77777777" w:rsidR="008C0663" w:rsidRPr="00DE3217" w:rsidRDefault="008C0663" w:rsidP="008C0663">
            <w:pPr>
              <w:tabs>
                <w:tab w:val="left" w:pos="504"/>
              </w:tabs>
              <w:spacing w:line="261" w:lineRule="exact"/>
              <w:ind w:left="504" w:right="360" w:hanging="360"/>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1.</w:t>
            </w:r>
            <w:r w:rsidRPr="00DE3217">
              <w:rPr>
                <w:rFonts w:asciiTheme="minorHAnsi" w:eastAsia="Tahoma" w:hAnsiTheme="minorHAnsi" w:cstheme="minorHAnsi"/>
                <w:sz w:val="22"/>
                <w:szCs w:val="22"/>
              </w:rPr>
              <w:tab/>
              <w:t>Development of a Student Placement Program for Students, providing work integrated learning opportunities for students whilst studying and has multiple benefits, including providing an income while they study, invaluable work experience, and additional networks within our university and beyond;</w:t>
            </w:r>
          </w:p>
          <w:p w14:paraId="7713F975" w14:textId="77777777" w:rsidR="008C0663" w:rsidRPr="00DE3217" w:rsidRDefault="008C0663" w:rsidP="008C0663">
            <w:pPr>
              <w:tabs>
                <w:tab w:val="left" w:pos="504"/>
              </w:tabs>
              <w:spacing w:before="33" w:line="226" w:lineRule="exact"/>
              <w:ind w:left="144"/>
              <w:textAlignment w:val="baseline"/>
              <w:rPr>
                <w:rFonts w:asciiTheme="minorHAnsi" w:eastAsia="Tahoma" w:hAnsiTheme="minorHAnsi" w:cstheme="minorHAnsi"/>
                <w:spacing w:val="-2"/>
                <w:sz w:val="22"/>
                <w:szCs w:val="22"/>
              </w:rPr>
            </w:pPr>
            <w:r w:rsidRPr="00DE3217">
              <w:rPr>
                <w:rFonts w:asciiTheme="minorHAnsi" w:eastAsia="Tahoma" w:hAnsiTheme="minorHAnsi" w:cstheme="minorHAnsi"/>
                <w:spacing w:val="-2"/>
                <w:sz w:val="22"/>
                <w:szCs w:val="22"/>
              </w:rPr>
              <w:t>2</w:t>
            </w:r>
            <w:r w:rsidRPr="00DE3217">
              <w:rPr>
                <w:rFonts w:asciiTheme="minorHAnsi" w:eastAsia="Tahoma" w:hAnsiTheme="minorHAnsi" w:cstheme="minorHAnsi"/>
                <w:spacing w:val="-2"/>
                <w:sz w:val="22"/>
                <w:szCs w:val="22"/>
              </w:rPr>
              <w:tab/>
              <w:t>Development of pathways for Aboriginal Academic staff; and</w:t>
            </w:r>
          </w:p>
          <w:p w14:paraId="5455FB02" w14:textId="77777777" w:rsidR="008C0663" w:rsidRPr="00DE3217" w:rsidRDefault="008C0663" w:rsidP="008C0663">
            <w:pPr>
              <w:tabs>
                <w:tab w:val="left" w:pos="504"/>
              </w:tabs>
              <w:spacing w:line="259" w:lineRule="exact"/>
              <w:ind w:left="504" w:right="216" w:hanging="360"/>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3</w:t>
            </w:r>
            <w:r w:rsidRPr="00DE3217">
              <w:rPr>
                <w:rFonts w:asciiTheme="minorHAnsi" w:eastAsia="Tahoma" w:hAnsiTheme="minorHAnsi" w:cstheme="minorHAnsi"/>
                <w:sz w:val="22"/>
                <w:szCs w:val="22"/>
              </w:rPr>
              <w:tab/>
              <w:t>Promotion of the indigenous cultural capability for all our staff to ensure all of our employees are able to thrive at work.</w:t>
            </w:r>
          </w:p>
          <w:p w14:paraId="018B5F29" w14:textId="77777777" w:rsidR="008C0663" w:rsidRPr="00DE3217" w:rsidRDefault="008C0663" w:rsidP="008C0663">
            <w:pPr>
              <w:spacing w:before="301" w:line="226" w:lineRule="exact"/>
              <w:ind w:left="144"/>
              <w:textAlignment w:val="baseline"/>
              <w:rPr>
                <w:rFonts w:asciiTheme="minorHAnsi" w:eastAsia="Tahoma" w:hAnsiTheme="minorHAnsi" w:cstheme="minorHAnsi"/>
                <w:spacing w:val="-3"/>
                <w:sz w:val="22"/>
                <w:szCs w:val="22"/>
              </w:rPr>
            </w:pPr>
            <w:r w:rsidRPr="00DE3217">
              <w:rPr>
                <w:rFonts w:asciiTheme="minorHAnsi" w:eastAsia="Tahoma" w:hAnsiTheme="minorHAnsi" w:cstheme="minorHAnsi"/>
                <w:spacing w:val="-3"/>
                <w:sz w:val="22"/>
                <w:szCs w:val="22"/>
              </w:rPr>
              <w:t>Curtin's current focus areas to progress achievement in equity are as follows:</w:t>
            </w:r>
          </w:p>
          <w:p w14:paraId="5ACE5CCB" w14:textId="77777777" w:rsidR="008C0663" w:rsidRPr="00DE3217" w:rsidRDefault="008C0663" w:rsidP="008C0663">
            <w:pPr>
              <w:numPr>
                <w:ilvl w:val="0"/>
                <w:numId w:val="40"/>
              </w:numPr>
              <w:tabs>
                <w:tab w:val="clear" w:pos="360"/>
                <w:tab w:val="left" w:pos="504"/>
              </w:tabs>
              <w:spacing w:before="7" w:line="262" w:lineRule="exact"/>
              <w:ind w:left="720" w:right="216" w:hanging="360"/>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 xml:space="preserve">Developing the </w:t>
            </w:r>
            <w:proofErr w:type="spellStart"/>
            <w:r w:rsidRPr="00DE3217">
              <w:rPr>
                <w:rFonts w:asciiTheme="minorHAnsi" w:eastAsia="Tahoma" w:hAnsiTheme="minorHAnsi" w:cstheme="minorHAnsi"/>
                <w:sz w:val="22"/>
                <w:szCs w:val="22"/>
              </w:rPr>
              <w:t>Nowanup</w:t>
            </w:r>
            <w:proofErr w:type="spellEnd"/>
            <w:r w:rsidRPr="00DE3217">
              <w:rPr>
                <w:rFonts w:asciiTheme="minorHAnsi" w:eastAsia="Tahoma" w:hAnsiTheme="minorHAnsi" w:cstheme="minorHAnsi"/>
                <w:sz w:val="22"/>
                <w:szCs w:val="22"/>
              </w:rPr>
              <w:t xml:space="preserve"> Bush Campus, a unique education and research collaboration between Curtin and Traditional Owners in WA's Great Southern Region;</w:t>
            </w:r>
          </w:p>
          <w:p w14:paraId="39CABABA" w14:textId="77777777" w:rsidR="008C0663" w:rsidRPr="00DE3217" w:rsidRDefault="008C0663" w:rsidP="008C0663">
            <w:pPr>
              <w:numPr>
                <w:ilvl w:val="0"/>
                <w:numId w:val="40"/>
              </w:numPr>
              <w:tabs>
                <w:tab w:val="clear" w:pos="360"/>
                <w:tab w:val="left" w:pos="504"/>
              </w:tabs>
              <w:spacing w:before="11" w:line="262" w:lineRule="exact"/>
              <w:ind w:left="720" w:right="720" w:hanging="360"/>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 xml:space="preserve">Delivering new regional teaching commitments, particularly in Agribusiness and Indigenous pathways at Kalgoorlie, </w:t>
            </w:r>
            <w:proofErr w:type="spellStart"/>
            <w:r w:rsidRPr="00DE3217">
              <w:rPr>
                <w:rFonts w:asciiTheme="minorHAnsi" w:eastAsia="Tahoma" w:hAnsiTheme="minorHAnsi" w:cstheme="minorHAnsi"/>
                <w:sz w:val="22"/>
                <w:szCs w:val="22"/>
              </w:rPr>
              <w:t>Muresk</w:t>
            </w:r>
            <w:proofErr w:type="spellEnd"/>
            <w:r w:rsidRPr="00DE3217">
              <w:rPr>
                <w:rFonts w:asciiTheme="minorHAnsi" w:eastAsia="Tahoma" w:hAnsiTheme="minorHAnsi" w:cstheme="minorHAnsi"/>
                <w:sz w:val="22"/>
                <w:szCs w:val="22"/>
              </w:rPr>
              <w:t>, Pilbara and Geraldton;</w:t>
            </w:r>
          </w:p>
          <w:p w14:paraId="316A54DA" w14:textId="77777777" w:rsidR="008C0663" w:rsidRPr="00DE3217" w:rsidRDefault="008C0663" w:rsidP="008C0663">
            <w:pPr>
              <w:numPr>
                <w:ilvl w:val="0"/>
                <w:numId w:val="40"/>
              </w:numPr>
              <w:tabs>
                <w:tab w:val="clear" w:pos="360"/>
                <w:tab w:val="left" w:pos="504"/>
              </w:tabs>
              <w:spacing w:before="4" w:line="262" w:lineRule="exact"/>
              <w:ind w:left="720" w:right="576" w:hanging="360"/>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Continuing to focus on Curtin's Kalgoorlie Campus in order to serve the Goldfields-Esperance community;</w:t>
            </w:r>
          </w:p>
          <w:p w14:paraId="5745FC85" w14:textId="77777777" w:rsidR="008C0663" w:rsidRPr="00DE3217" w:rsidRDefault="008C0663" w:rsidP="008C0663">
            <w:pPr>
              <w:numPr>
                <w:ilvl w:val="0"/>
                <w:numId w:val="40"/>
              </w:numPr>
              <w:tabs>
                <w:tab w:val="clear" w:pos="360"/>
                <w:tab w:val="left" w:pos="504"/>
              </w:tabs>
              <w:spacing w:before="8" w:line="262" w:lineRule="exact"/>
              <w:ind w:left="720" w:right="216" w:hanging="360"/>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Raising aspiration and enhancing participation and outcomes among Aboriginal and Torres Strait Islander students;</w:t>
            </w:r>
          </w:p>
          <w:p w14:paraId="32F5658A" w14:textId="77777777" w:rsidR="008C0663" w:rsidRPr="00DE3217" w:rsidRDefault="008C0663" w:rsidP="008C0663">
            <w:pPr>
              <w:numPr>
                <w:ilvl w:val="0"/>
                <w:numId w:val="40"/>
              </w:numPr>
              <w:tabs>
                <w:tab w:val="clear" w:pos="360"/>
                <w:tab w:val="left" w:pos="504"/>
              </w:tabs>
              <w:spacing w:before="19" w:line="262" w:lineRule="exact"/>
              <w:ind w:left="720" w:right="504" w:hanging="360"/>
              <w:textAlignment w:val="baseline"/>
              <w:rPr>
                <w:rFonts w:asciiTheme="minorHAnsi" w:eastAsia="Tahoma" w:hAnsiTheme="minorHAnsi" w:cstheme="minorHAnsi"/>
                <w:spacing w:val="-4"/>
                <w:sz w:val="22"/>
                <w:szCs w:val="22"/>
              </w:rPr>
            </w:pPr>
            <w:r w:rsidRPr="00DE3217">
              <w:rPr>
                <w:rFonts w:asciiTheme="minorHAnsi" w:eastAsia="Tahoma" w:hAnsiTheme="minorHAnsi" w:cstheme="minorHAnsi"/>
                <w:spacing w:val="-4"/>
                <w:sz w:val="22"/>
                <w:szCs w:val="22"/>
              </w:rPr>
              <w:t>Promoting to regional communities on campus accommodation options and financial support available, and developing transition and orientation programs for relocating students; and</w:t>
            </w:r>
          </w:p>
          <w:p w14:paraId="0B453634" w14:textId="77777777" w:rsidR="008C0663" w:rsidRPr="00DE3217" w:rsidRDefault="008C0663" w:rsidP="008C0663">
            <w:pPr>
              <w:numPr>
                <w:ilvl w:val="0"/>
                <w:numId w:val="40"/>
              </w:numPr>
              <w:tabs>
                <w:tab w:val="clear" w:pos="360"/>
                <w:tab w:val="left" w:pos="504"/>
              </w:tabs>
              <w:spacing w:before="14" w:line="262" w:lineRule="exact"/>
              <w:ind w:left="720" w:right="288" w:hanging="360"/>
              <w:textAlignment w:val="baseline"/>
              <w:rPr>
                <w:rFonts w:asciiTheme="minorHAnsi" w:eastAsia="Tahoma" w:hAnsiTheme="minorHAnsi" w:cstheme="minorHAnsi"/>
                <w:spacing w:val="-4"/>
                <w:sz w:val="22"/>
                <w:szCs w:val="22"/>
              </w:rPr>
            </w:pPr>
            <w:r w:rsidRPr="00DE3217">
              <w:rPr>
                <w:rFonts w:asciiTheme="minorHAnsi" w:eastAsia="Tahoma" w:hAnsiTheme="minorHAnsi" w:cstheme="minorHAnsi"/>
                <w:spacing w:val="-4"/>
                <w:sz w:val="22"/>
                <w:szCs w:val="22"/>
              </w:rPr>
              <w:t xml:space="preserve">Continuing to employ digital learning models to provide greater access to higher </w:t>
            </w:r>
            <w:proofErr w:type="gramStart"/>
            <w:r w:rsidRPr="00DE3217">
              <w:rPr>
                <w:rFonts w:asciiTheme="minorHAnsi" w:eastAsia="Tahoma" w:hAnsiTheme="minorHAnsi" w:cstheme="minorHAnsi"/>
                <w:spacing w:val="-4"/>
                <w:sz w:val="22"/>
                <w:szCs w:val="22"/>
              </w:rPr>
              <w:t>education, and</w:t>
            </w:r>
            <w:proofErr w:type="gramEnd"/>
            <w:r w:rsidRPr="00DE3217">
              <w:rPr>
                <w:rFonts w:asciiTheme="minorHAnsi" w:eastAsia="Tahoma" w:hAnsiTheme="minorHAnsi" w:cstheme="minorHAnsi"/>
                <w:spacing w:val="-4"/>
                <w:sz w:val="22"/>
                <w:szCs w:val="22"/>
              </w:rPr>
              <w:t xml:space="preserve"> implementing new digital engagement strategies targeted to regional and remote students.</w:t>
            </w:r>
          </w:p>
          <w:p w14:paraId="793D1EE9" w14:textId="77777777" w:rsidR="008C0663" w:rsidRPr="00DE3217" w:rsidRDefault="008C0663" w:rsidP="008C0663">
            <w:pPr>
              <w:spacing w:before="248" w:line="262" w:lineRule="exact"/>
              <w:ind w:left="144" w:right="144"/>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Key performance indicators include annual targets for Indigenous student enrolments, regional enrolments, Indigenous staff employment outcomes and gender balance related measures. Equity progress will also be measured through the implementation of</w:t>
            </w:r>
            <w:r w:rsidRPr="00DE3217">
              <w:rPr>
                <w:rFonts w:asciiTheme="minorHAnsi" w:eastAsia="Tahoma" w:hAnsiTheme="minorHAnsi" w:cstheme="minorHAnsi"/>
                <w:sz w:val="22"/>
                <w:szCs w:val="22"/>
                <w:u w:val="single"/>
              </w:rPr>
              <w:t xml:space="preserve"> SAGE Athena Swan</w:t>
            </w:r>
            <w:r w:rsidRPr="00DE3217">
              <w:rPr>
                <w:rFonts w:asciiTheme="minorHAnsi" w:eastAsia="Tahoma" w:hAnsiTheme="minorHAnsi" w:cstheme="minorHAnsi"/>
                <w:sz w:val="22"/>
                <w:szCs w:val="22"/>
              </w:rPr>
              <w:t xml:space="preserve"> and elements of the Aboriginal Employment and Engagement Strategy 2017-2020 which are embedded in our Elevate-level</w:t>
            </w:r>
            <w:r w:rsidRPr="00DE3217">
              <w:rPr>
                <w:rFonts w:asciiTheme="minorHAnsi" w:eastAsia="Tahoma" w:hAnsiTheme="minorHAnsi" w:cstheme="minorHAnsi"/>
                <w:sz w:val="22"/>
                <w:szCs w:val="22"/>
                <w:u w:val="single"/>
              </w:rPr>
              <w:t xml:space="preserve"> Reconciliation Action Plan 2018-2020.</w:t>
            </w:r>
          </w:p>
          <w:p w14:paraId="09311494" w14:textId="0B80F6B4" w:rsidR="008C0663" w:rsidRPr="00DE3217" w:rsidRDefault="008C0663" w:rsidP="008C0663">
            <w:pPr>
              <w:spacing w:before="272" w:line="262" w:lineRule="exact"/>
              <w:ind w:left="144" w:right="576"/>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 xml:space="preserve">Curtin University supports local regions by providing access to higher education to enable the communities to improve their employability through broadening their skills. Curtin has an active </w:t>
            </w:r>
            <w:r w:rsidRPr="00DE3217">
              <w:rPr>
                <w:rFonts w:asciiTheme="minorHAnsi" w:eastAsia="Tahoma" w:hAnsiTheme="minorHAnsi" w:cstheme="minorHAnsi"/>
                <w:sz w:val="22"/>
                <w:szCs w:val="22"/>
                <w:u w:val="single"/>
              </w:rPr>
              <w:t>regional study initi</w:t>
            </w:r>
            <w:r w:rsidR="00E4662E">
              <w:rPr>
                <w:rFonts w:asciiTheme="minorHAnsi" w:eastAsia="Tahoma" w:hAnsiTheme="minorHAnsi" w:cstheme="minorHAnsi"/>
                <w:sz w:val="22"/>
                <w:szCs w:val="22"/>
                <w:u w:val="single"/>
              </w:rPr>
              <w:t>a</w:t>
            </w:r>
            <w:r w:rsidR="00E4662E" w:rsidRPr="00E4662E">
              <w:rPr>
                <w:rFonts w:asciiTheme="minorHAnsi" w:eastAsia="Tahoma" w:hAnsiTheme="minorHAnsi" w:cstheme="minorHAnsi"/>
                <w:sz w:val="22"/>
                <w:szCs w:val="22"/>
                <w:u w:val="single"/>
              </w:rPr>
              <w:t>ti</w:t>
            </w:r>
            <w:r w:rsidRPr="00E4662E">
              <w:rPr>
                <w:rFonts w:asciiTheme="minorHAnsi" w:eastAsia="Tahoma" w:hAnsiTheme="minorHAnsi" w:cstheme="minorHAnsi"/>
                <w:sz w:val="22"/>
                <w:szCs w:val="22"/>
                <w:u w:val="single"/>
              </w:rPr>
              <w:t>ve</w:t>
            </w:r>
            <w:r w:rsidRPr="00DE3217">
              <w:rPr>
                <w:rFonts w:asciiTheme="minorHAnsi" w:eastAsia="Tahoma" w:hAnsiTheme="minorHAnsi" w:cstheme="minorHAnsi"/>
                <w:sz w:val="22"/>
                <w:szCs w:val="22"/>
              </w:rPr>
              <w:t xml:space="preserve"> to continue to improve accessibility for regional students:</w:t>
            </w:r>
          </w:p>
          <w:p w14:paraId="2A621528" w14:textId="77777777" w:rsidR="00E5685E" w:rsidRPr="00DE3217" w:rsidRDefault="008C0663" w:rsidP="008C0663">
            <w:pPr>
              <w:numPr>
                <w:ilvl w:val="0"/>
                <w:numId w:val="40"/>
              </w:numPr>
              <w:tabs>
                <w:tab w:val="left" w:pos="504"/>
              </w:tabs>
              <w:spacing w:before="42" w:after="53" w:line="236" w:lineRule="exact"/>
              <w:ind w:left="504" w:hanging="360"/>
              <w:textAlignment w:val="baseline"/>
              <w:rPr>
                <w:rFonts w:asciiTheme="minorHAnsi" w:eastAsia="Tahoma" w:hAnsiTheme="minorHAnsi" w:cstheme="minorHAnsi"/>
                <w:spacing w:val="-1"/>
                <w:sz w:val="22"/>
                <w:szCs w:val="22"/>
                <w:u w:val="single"/>
              </w:rPr>
            </w:pPr>
            <w:r w:rsidRPr="00DE3217">
              <w:rPr>
                <w:rFonts w:asciiTheme="minorHAnsi" w:eastAsia="Tahoma" w:hAnsiTheme="minorHAnsi" w:cstheme="minorHAnsi"/>
                <w:spacing w:val="-1"/>
                <w:sz w:val="22"/>
                <w:szCs w:val="22"/>
                <w:u w:val="single"/>
              </w:rPr>
              <w:t xml:space="preserve">Kalgoorlie Campus, which offers a range of undergraduate, bridging and postgraduate courses; </w:t>
            </w:r>
          </w:p>
          <w:p w14:paraId="0FD257CE" w14:textId="44B31238" w:rsidR="008C0663" w:rsidRPr="00DE3217" w:rsidRDefault="008C0663" w:rsidP="008C0663">
            <w:pPr>
              <w:numPr>
                <w:ilvl w:val="0"/>
                <w:numId w:val="40"/>
              </w:numPr>
              <w:tabs>
                <w:tab w:val="left" w:pos="432"/>
              </w:tabs>
              <w:spacing w:line="257" w:lineRule="exact"/>
              <w:ind w:left="720" w:right="504" w:hanging="360"/>
              <w:textAlignment w:val="baseline"/>
              <w:rPr>
                <w:rFonts w:asciiTheme="minorHAnsi" w:eastAsia="Tahoma" w:hAnsiTheme="minorHAnsi" w:cstheme="minorHAnsi"/>
                <w:sz w:val="22"/>
                <w:szCs w:val="22"/>
              </w:rPr>
            </w:pPr>
            <w:proofErr w:type="spellStart"/>
            <w:r w:rsidRPr="00DE3217">
              <w:rPr>
                <w:rFonts w:asciiTheme="minorHAnsi" w:eastAsia="Tahoma" w:hAnsiTheme="minorHAnsi" w:cstheme="minorHAnsi"/>
                <w:sz w:val="22"/>
                <w:szCs w:val="22"/>
              </w:rPr>
              <w:t>Muresk</w:t>
            </w:r>
            <w:proofErr w:type="spellEnd"/>
            <w:r w:rsidRPr="00DE3217">
              <w:rPr>
                <w:rFonts w:asciiTheme="minorHAnsi" w:eastAsia="Tahoma" w:hAnsiTheme="minorHAnsi" w:cstheme="minorHAnsi"/>
                <w:sz w:val="22"/>
                <w:szCs w:val="22"/>
              </w:rPr>
              <w:t xml:space="preserve"> partnership, including</w:t>
            </w:r>
            <w:r w:rsidRPr="00DE3217">
              <w:rPr>
                <w:rFonts w:asciiTheme="minorHAnsi" w:eastAsia="Tahoma" w:hAnsiTheme="minorHAnsi" w:cstheme="minorHAnsi"/>
                <w:sz w:val="22"/>
                <w:szCs w:val="22"/>
                <w:u w:val="single"/>
              </w:rPr>
              <w:t xml:space="preserve"> education and training opportunities for women living in rural, remote and regional WA</w:t>
            </w:r>
            <w:r w:rsidRPr="00DE3217">
              <w:rPr>
                <w:rFonts w:asciiTheme="minorHAnsi" w:eastAsia="Tahoma" w:hAnsiTheme="minorHAnsi" w:cstheme="minorHAnsi"/>
                <w:sz w:val="22"/>
                <w:szCs w:val="22"/>
              </w:rPr>
              <w:t xml:space="preserve"> and an</w:t>
            </w:r>
            <w:r w:rsidRPr="00DE3217">
              <w:rPr>
                <w:rFonts w:asciiTheme="minorHAnsi" w:eastAsia="Tahoma" w:hAnsiTheme="minorHAnsi" w:cstheme="minorHAnsi"/>
                <w:sz w:val="22"/>
                <w:szCs w:val="22"/>
                <w:u w:val="single"/>
              </w:rPr>
              <w:t xml:space="preserve"> Associate Degree in Agribusiness;</w:t>
            </w:r>
          </w:p>
          <w:p w14:paraId="137F3D20" w14:textId="77777777" w:rsidR="008C0663" w:rsidRPr="00DE3217" w:rsidRDefault="008C0663" w:rsidP="008C0663">
            <w:pPr>
              <w:numPr>
                <w:ilvl w:val="0"/>
                <w:numId w:val="40"/>
              </w:numPr>
              <w:tabs>
                <w:tab w:val="left" w:pos="432"/>
              </w:tabs>
              <w:spacing w:before="47" w:line="232" w:lineRule="exact"/>
              <w:ind w:left="720" w:hanging="360"/>
              <w:textAlignment w:val="baseline"/>
              <w:rPr>
                <w:rFonts w:asciiTheme="minorHAnsi" w:eastAsia="Tahoma" w:hAnsiTheme="minorHAnsi" w:cstheme="minorHAnsi"/>
                <w:spacing w:val="-2"/>
                <w:sz w:val="22"/>
                <w:szCs w:val="22"/>
                <w:u w:val="single"/>
              </w:rPr>
            </w:pPr>
            <w:r w:rsidRPr="00DE3217">
              <w:rPr>
                <w:rFonts w:asciiTheme="minorHAnsi" w:eastAsia="Tahoma" w:hAnsiTheme="minorHAnsi" w:cstheme="minorHAnsi"/>
                <w:spacing w:val="-2"/>
                <w:sz w:val="22"/>
                <w:szCs w:val="22"/>
                <w:u w:val="single"/>
              </w:rPr>
              <w:t>Geraldton Universities Centre</w:t>
            </w:r>
            <w:r w:rsidRPr="00DE3217">
              <w:rPr>
                <w:rFonts w:asciiTheme="minorHAnsi" w:eastAsia="Tahoma" w:hAnsiTheme="minorHAnsi" w:cstheme="minorHAnsi"/>
                <w:spacing w:val="-2"/>
                <w:sz w:val="22"/>
                <w:szCs w:val="22"/>
              </w:rPr>
              <w:t xml:space="preserve"> partnership;</w:t>
            </w:r>
          </w:p>
          <w:p w14:paraId="1358AC73" w14:textId="77777777" w:rsidR="008C0663" w:rsidRPr="00DE3217" w:rsidRDefault="008C0663" w:rsidP="008C0663">
            <w:pPr>
              <w:numPr>
                <w:ilvl w:val="0"/>
                <w:numId w:val="40"/>
              </w:numPr>
              <w:tabs>
                <w:tab w:val="left" w:pos="432"/>
              </w:tabs>
              <w:spacing w:before="45" w:line="233" w:lineRule="exact"/>
              <w:ind w:left="720" w:hanging="360"/>
              <w:textAlignment w:val="baseline"/>
              <w:rPr>
                <w:rFonts w:asciiTheme="minorHAnsi" w:eastAsia="Tahoma" w:hAnsiTheme="minorHAnsi" w:cstheme="minorHAnsi"/>
                <w:spacing w:val="-3"/>
                <w:sz w:val="22"/>
                <w:szCs w:val="22"/>
                <w:u w:val="single"/>
              </w:rPr>
            </w:pPr>
            <w:r w:rsidRPr="00DE3217">
              <w:rPr>
                <w:rFonts w:asciiTheme="minorHAnsi" w:eastAsia="Tahoma" w:hAnsiTheme="minorHAnsi" w:cstheme="minorHAnsi"/>
                <w:spacing w:val="-3"/>
                <w:sz w:val="22"/>
                <w:szCs w:val="22"/>
                <w:u w:val="single"/>
              </w:rPr>
              <w:t>Pilbara Universities Centre</w:t>
            </w:r>
            <w:r w:rsidRPr="00DE3217">
              <w:rPr>
                <w:rFonts w:asciiTheme="minorHAnsi" w:eastAsia="Tahoma" w:hAnsiTheme="minorHAnsi" w:cstheme="minorHAnsi"/>
                <w:spacing w:val="-3"/>
                <w:sz w:val="22"/>
                <w:szCs w:val="22"/>
              </w:rPr>
              <w:t xml:space="preserve"> partnership; and</w:t>
            </w:r>
          </w:p>
          <w:p w14:paraId="4BDC779E" w14:textId="77777777" w:rsidR="008C0663" w:rsidRPr="00DE3217" w:rsidRDefault="008C0663" w:rsidP="008C0663">
            <w:pPr>
              <w:spacing w:before="52" w:line="236" w:lineRule="exact"/>
              <w:ind w:left="144"/>
              <w:textAlignment w:val="baseline"/>
              <w:rPr>
                <w:rFonts w:asciiTheme="minorHAnsi" w:eastAsia="Tahoma" w:hAnsiTheme="minorHAnsi" w:cstheme="minorHAnsi"/>
                <w:spacing w:val="-3"/>
                <w:sz w:val="22"/>
                <w:szCs w:val="22"/>
              </w:rPr>
            </w:pPr>
            <w:r w:rsidRPr="00DE3217">
              <w:rPr>
                <w:rFonts w:asciiTheme="minorHAnsi" w:eastAsia="Tahoma" w:hAnsiTheme="minorHAnsi" w:cstheme="minorHAnsi"/>
                <w:spacing w:val="-3"/>
                <w:sz w:val="22"/>
                <w:szCs w:val="22"/>
              </w:rPr>
              <w:t>Online courses are available for regional students to provide further opportunities to access higher</w:t>
            </w:r>
          </w:p>
          <w:p w14:paraId="15868DA5" w14:textId="77777777" w:rsidR="008C0663" w:rsidRPr="00DE3217" w:rsidRDefault="008C0663" w:rsidP="008C0663">
            <w:pPr>
              <w:spacing w:before="24" w:line="222" w:lineRule="exact"/>
              <w:ind w:left="144"/>
              <w:textAlignment w:val="baseline"/>
              <w:rPr>
                <w:rFonts w:asciiTheme="minorHAnsi" w:eastAsia="Tahoma" w:hAnsiTheme="minorHAnsi" w:cstheme="minorHAnsi"/>
                <w:spacing w:val="-6"/>
                <w:sz w:val="22"/>
                <w:szCs w:val="22"/>
              </w:rPr>
            </w:pPr>
            <w:r w:rsidRPr="00DE3217">
              <w:rPr>
                <w:rFonts w:asciiTheme="minorHAnsi" w:eastAsia="Tahoma" w:hAnsiTheme="minorHAnsi" w:cstheme="minorHAnsi"/>
                <w:spacing w:val="-6"/>
                <w:sz w:val="22"/>
                <w:szCs w:val="22"/>
              </w:rPr>
              <w:t>education.</w:t>
            </w:r>
          </w:p>
          <w:p w14:paraId="77D5FF21" w14:textId="77777777" w:rsidR="008C0663" w:rsidRPr="00DE3217" w:rsidRDefault="008C0663" w:rsidP="008C0663">
            <w:pPr>
              <w:spacing w:before="24" w:line="222" w:lineRule="exact"/>
              <w:ind w:left="144"/>
              <w:textAlignment w:val="baseline"/>
              <w:rPr>
                <w:rFonts w:asciiTheme="minorHAnsi" w:eastAsia="Tahoma" w:hAnsiTheme="minorHAnsi" w:cstheme="minorHAnsi"/>
                <w:spacing w:val="-6"/>
                <w:sz w:val="22"/>
                <w:szCs w:val="22"/>
              </w:rPr>
            </w:pPr>
          </w:p>
          <w:p w14:paraId="6B9F1D94" w14:textId="65F4B523" w:rsidR="008C0663" w:rsidRPr="00DE3217" w:rsidRDefault="008C0663" w:rsidP="008C0663">
            <w:pPr>
              <w:spacing w:before="24" w:line="222" w:lineRule="exact"/>
              <w:ind w:left="144"/>
              <w:textAlignment w:val="baseline"/>
              <w:rPr>
                <w:rFonts w:asciiTheme="minorHAnsi" w:eastAsia="Tahoma" w:hAnsiTheme="minorHAnsi" w:cstheme="minorHAnsi"/>
                <w:spacing w:val="-6"/>
                <w:sz w:val="22"/>
                <w:szCs w:val="22"/>
              </w:rPr>
            </w:pPr>
          </w:p>
        </w:tc>
      </w:tr>
      <w:tr w:rsidR="001B64A0" w:rsidRPr="001B64A0" w14:paraId="4928BADC" w14:textId="77777777" w:rsidTr="008050F3">
        <w:trPr>
          <w:cantSplit/>
          <w:trHeight w:val="416"/>
        </w:trPr>
        <w:tc>
          <w:tcPr>
            <w:tcW w:w="5000" w:type="pct"/>
          </w:tcPr>
          <w:p w14:paraId="3A95626A" w14:textId="77777777" w:rsidR="008C0663" w:rsidRPr="00DE3217" w:rsidRDefault="008C0663" w:rsidP="008C0663">
            <w:pPr>
              <w:spacing w:before="270" w:line="260" w:lineRule="exact"/>
              <w:ind w:left="144" w:right="144"/>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lastRenderedPageBreak/>
              <w:t>Curtin established the</w:t>
            </w:r>
            <w:r w:rsidRPr="00DE3217">
              <w:rPr>
                <w:rFonts w:asciiTheme="minorHAnsi" w:eastAsia="Tahoma" w:hAnsiTheme="minorHAnsi" w:cstheme="minorHAnsi"/>
                <w:sz w:val="22"/>
                <w:szCs w:val="22"/>
                <w:u w:val="single"/>
              </w:rPr>
              <w:t xml:space="preserve"> Curtin Medical School</w:t>
            </w:r>
            <w:r w:rsidRPr="00DE3217">
              <w:rPr>
                <w:rFonts w:asciiTheme="minorHAnsi" w:eastAsia="Tahoma" w:hAnsiTheme="minorHAnsi" w:cstheme="minorHAnsi"/>
                <w:sz w:val="22"/>
                <w:szCs w:val="22"/>
              </w:rPr>
              <w:t xml:space="preserve"> in 2017 which has a focus on graduating doctors who are well-trained to deliver primary care in rural and remote practice, and outer suburb locations, where there is a shortage of doctors.</w:t>
            </w:r>
          </w:p>
          <w:p w14:paraId="0FED43D8" w14:textId="77777777" w:rsidR="008C0663" w:rsidRPr="00DE3217" w:rsidRDefault="008C0663" w:rsidP="008C0663">
            <w:pPr>
              <w:spacing w:before="260" w:line="267" w:lineRule="exact"/>
              <w:ind w:left="144" w:right="432"/>
              <w:textAlignment w:val="baseline"/>
              <w:rPr>
                <w:rFonts w:asciiTheme="minorHAnsi" w:eastAsia="Tahoma" w:hAnsiTheme="minorHAnsi" w:cstheme="minorHAnsi"/>
                <w:spacing w:val="-5"/>
                <w:sz w:val="22"/>
                <w:szCs w:val="22"/>
              </w:rPr>
            </w:pPr>
            <w:r w:rsidRPr="00DE3217">
              <w:rPr>
                <w:rFonts w:asciiTheme="minorHAnsi" w:eastAsia="Tahoma" w:hAnsiTheme="minorHAnsi" w:cstheme="minorHAnsi"/>
                <w:spacing w:val="-5"/>
                <w:sz w:val="22"/>
                <w:szCs w:val="22"/>
              </w:rPr>
              <w:t>Curtin's Western Australian School of Mines based at the Kalgoorlie Campus will be providing education and employment opportunities for Aboriginal people in the Goldfields region through a Memorandum of Understanding with Carey Mining and the Australian Aboriginal Mining Academy.</w:t>
            </w:r>
          </w:p>
          <w:p w14:paraId="7BE8BC00" w14:textId="77777777" w:rsidR="008C0663" w:rsidRPr="00DE3217" w:rsidRDefault="008C0663" w:rsidP="008C0663">
            <w:pPr>
              <w:spacing w:before="260" w:line="259" w:lineRule="exact"/>
              <w:ind w:left="144" w:right="144"/>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A number of community initiatives continue to be promoted to improve access to University facilities, including:</w:t>
            </w:r>
          </w:p>
          <w:p w14:paraId="2A815592" w14:textId="77777777" w:rsidR="008C0663" w:rsidRPr="00DE3217" w:rsidRDefault="008C0663" w:rsidP="008C0663">
            <w:pPr>
              <w:numPr>
                <w:ilvl w:val="0"/>
                <w:numId w:val="42"/>
              </w:numPr>
              <w:tabs>
                <w:tab w:val="clear" w:pos="288"/>
                <w:tab w:val="left" w:pos="432"/>
              </w:tabs>
              <w:spacing w:before="10" w:line="261" w:lineRule="exact"/>
              <w:ind w:left="432" w:right="504" w:hanging="288"/>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 xml:space="preserve">Curtin Campus Updates on social media to encourage campus visitation and </w:t>
            </w:r>
            <w:proofErr w:type="spellStart"/>
            <w:r w:rsidRPr="00DE3217">
              <w:rPr>
                <w:rFonts w:asciiTheme="minorHAnsi" w:eastAsia="Tahoma" w:hAnsiTheme="minorHAnsi" w:cstheme="minorHAnsi"/>
                <w:sz w:val="22"/>
                <w:szCs w:val="22"/>
              </w:rPr>
              <w:t>utilisation</w:t>
            </w:r>
            <w:proofErr w:type="spellEnd"/>
            <w:r w:rsidRPr="00DE3217">
              <w:rPr>
                <w:rFonts w:asciiTheme="minorHAnsi" w:eastAsia="Tahoma" w:hAnsiTheme="minorHAnsi" w:cstheme="minorHAnsi"/>
                <w:sz w:val="22"/>
                <w:szCs w:val="22"/>
              </w:rPr>
              <w:t xml:space="preserve"> by the community;</w:t>
            </w:r>
          </w:p>
          <w:p w14:paraId="3EBC8866" w14:textId="74723A58" w:rsidR="008C0663" w:rsidRPr="00DE3217" w:rsidRDefault="008C0663" w:rsidP="008C0663">
            <w:pPr>
              <w:numPr>
                <w:ilvl w:val="0"/>
                <w:numId w:val="42"/>
              </w:numPr>
              <w:tabs>
                <w:tab w:val="clear" w:pos="288"/>
                <w:tab w:val="left" w:pos="432"/>
              </w:tabs>
              <w:spacing w:before="1" w:line="267" w:lineRule="exact"/>
              <w:ind w:left="432" w:right="144" w:hanging="288"/>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 xml:space="preserve">Curtin Access Bus Service which runs for free around the surrounding </w:t>
            </w:r>
            <w:proofErr w:type="spellStart"/>
            <w:r w:rsidRPr="00DE3217">
              <w:rPr>
                <w:rFonts w:asciiTheme="minorHAnsi" w:eastAsia="Tahoma" w:hAnsiTheme="minorHAnsi" w:cstheme="minorHAnsi"/>
                <w:sz w:val="22"/>
                <w:szCs w:val="22"/>
              </w:rPr>
              <w:t>neighbourhoods</w:t>
            </w:r>
            <w:proofErr w:type="spellEnd"/>
            <w:r w:rsidRPr="00DE3217">
              <w:rPr>
                <w:rFonts w:asciiTheme="minorHAnsi" w:eastAsia="Tahoma" w:hAnsiTheme="minorHAnsi" w:cstheme="minorHAnsi"/>
                <w:sz w:val="22"/>
                <w:szCs w:val="22"/>
              </w:rPr>
              <w:t xml:space="preserve"> to promote the campus and improve accessibility and visitation to the campus (two of the buses are skinned to promote community usage of the campus);</w:t>
            </w:r>
          </w:p>
          <w:p w14:paraId="61C97A08" w14:textId="77777777" w:rsidR="008C0663" w:rsidRPr="00DE3217" w:rsidRDefault="008C0663" w:rsidP="008C0663">
            <w:pPr>
              <w:numPr>
                <w:ilvl w:val="0"/>
                <w:numId w:val="42"/>
              </w:numPr>
              <w:tabs>
                <w:tab w:val="clear" w:pos="288"/>
                <w:tab w:val="left" w:pos="432"/>
              </w:tabs>
              <w:spacing w:before="13" w:line="260" w:lineRule="exact"/>
              <w:ind w:left="432" w:right="432" w:hanging="288"/>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A dedicated web page for</w:t>
            </w:r>
            <w:r w:rsidRPr="00DE3217">
              <w:rPr>
                <w:rFonts w:asciiTheme="minorHAnsi" w:eastAsia="Tahoma" w:hAnsiTheme="minorHAnsi" w:cstheme="minorHAnsi"/>
                <w:sz w:val="22"/>
                <w:szCs w:val="22"/>
                <w:u w:val="single"/>
              </w:rPr>
              <w:t xml:space="preserve"> Explore Curtin</w:t>
            </w:r>
            <w:r w:rsidRPr="00DE3217">
              <w:rPr>
                <w:rFonts w:asciiTheme="minorHAnsi" w:eastAsia="Tahoma" w:hAnsiTheme="minorHAnsi" w:cstheme="minorHAnsi"/>
                <w:sz w:val="22"/>
                <w:szCs w:val="22"/>
              </w:rPr>
              <w:t xml:space="preserve"> has been implemented to promote the Perth Campus attractions and facilities available to community; and</w:t>
            </w:r>
          </w:p>
          <w:p w14:paraId="095B81F7" w14:textId="77777777" w:rsidR="008C0663" w:rsidRPr="00DE3217" w:rsidRDefault="008C0663" w:rsidP="008C0663">
            <w:pPr>
              <w:numPr>
                <w:ilvl w:val="0"/>
                <w:numId w:val="42"/>
              </w:numPr>
              <w:tabs>
                <w:tab w:val="clear" w:pos="288"/>
                <w:tab w:val="left" w:pos="432"/>
              </w:tabs>
              <w:spacing w:line="259" w:lineRule="exact"/>
              <w:ind w:left="432" w:right="360" w:hanging="288"/>
              <w:textAlignment w:val="baseline"/>
              <w:rPr>
                <w:rFonts w:asciiTheme="minorHAnsi" w:eastAsia="Tahoma" w:hAnsiTheme="minorHAnsi" w:cstheme="minorHAnsi"/>
                <w:sz w:val="22"/>
                <w:szCs w:val="22"/>
                <w:u w:val="single"/>
              </w:rPr>
            </w:pPr>
            <w:r w:rsidRPr="00DE3217">
              <w:rPr>
                <w:rFonts w:asciiTheme="minorHAnsi" w:eastAsia="Tahoma" w:hAnsiTheme="minorHAnsi" w:cstheme="minorHAnsi"/>
                <w:sz w:val="22"/>
                <w:szCs w:val="22"/>
                <w:u w:val="single"/>
              </w:rPr>
              <w:t>Curtin Stadium</w:t>
            </w:r>
            <w:r w:rsidRPr="00DE3217">
              <w:rPr>
                <w:rFonts w:asciiTheme="minorHAnsi" w:eastAsia="Tahoma" w:hAnsiTheme="minorHAnsi" w:cstheme="minorHAnsi"/>
                <w:sz w:val="22"/>
                <w:szCs w:val="22"/>
              </w:rPr>
              <w:t xml:space="preserve"> which is located at the Bentley campus and provides a range of facilities and services for staff, students and the local community, including fitness </w:t>
            </w:r>
            <w:proofErr w:type="spellStart"/>
            <w:r w:rsidRPr="00DE3217">
              <w:rPr>
                <w:rFonts w:asciiTheme="minorHAnsi" w:eastAsia="Tahoma" w:hAnsiTheme="minorHAnsi" w:cstheme="minorHAnsi"/>
                <w:sz w:val="22"/>
                <w:szCs w:val="22"/>
              </w:rPr>
              <w:t>centre</w:t>
            </w:r>
            <w:proofErr w:type="spellEnd"/>
            <w:r w:rsidRPr="00DE3217">
              <w:rPr>
                <w:rFonts w:asciiTheme="minorHAnsi" w:eastAsia="Tahoma" w:hAnsiTheme="minorHAnsi" w:cstheme="minorHAnsi"/>
                <w:sz w:val="22"/>
                <w:szCs w:val="22"/>
              </w:rPr>
              <w:t xml:space="preserve"> and classes, health and rehabilitation, sport and recreation and venues for hire.</w:t>
            </w:r>
          </w:p>
          <w:p w14:paraId="16959A47" w14:textId="77777777" w:rsidR="008C0663" w:rsidRPr="00DE3217" w:rsidRDefault="008C0663" w:rsidP="008C0663">
            <w:pPr>
              <w:spacing w:before="250" w:line="267" w:lineRule="exact"/>
              <w:ind w:left="144" w:right="288"/>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Curtin will be participating in the</w:t>
            </w:r>
            <w:r w:rsidRPr="00DE3217">
              <w:rPr>
                <w:rFonts w:asciiTheme="minorHAnsi" w:eastAsia="Tahoma" w:hAnsiTheme="minorHAnsi" w:cstheme="minorHAnsi"/>
                <w:sz w:val="22"/>
                <w:szCs w:val="22"/>
                <w:u w:val="single"/>
              </w:rPr>
              <w:t xml:space="preserve"> Carnegie Community Engagement Classification Australian Pilot</w:t>
            </w:r>
            <w:r w:rsidRPr="00DE3217">
              <w:rPr>
                <w:rFonts w:asciiTheme="minorHAnsi" w:eastAsia="Tahoma" w:hAnsiTheme="minorHAnsi" w:cstheme="minorHAnsi"/>
                <w:sz w:val="22"/>
                <w:szCs w:val="22"/>
              </w:rPr>
              <w:t xml:space="preserve"> to demonstrate its commitment to the communities in which it serves.</w:t>
            </w:r>
          </w:p>
          <w:p w14:paraId="044C5C74" w14:textId="77777777" w:rsidR="008C0663" w:rsidRPr="00DE3217" w:rsidRDefault="008C0663" w:rsidP="008C0663">
            <w:pPr>
              <w:spacing w:before="255" w:line="267" w:lineRule="exact"/>
              <w:ind w:left="144" w:right="144"/>
              <w:textAlignment w:val="baseline"/>
              <w:rPr>
                <w:rFonts w:asciiTheme="minorHAnsi" w:eastAsia="Tahoma" w:hAnsiTheme="minorHAnsi" w:cstheme="minorHAnsi"/>
                <w:spacing w:val="-4"/>
                <w:sz w:val="22"/>
                <w:szCs w:val="22"/>
              </w:rPr>
            </w:pPr>
            <w:r w:rsidRPr="00DE3217">
              <w:rPr>
                <w:rFonts w:asciiTheme="minorHAnsi" w:eastAsia="Tahoma" w:hAnsiTheme="minorHAnsi" w:cstheme="minorHAnsi"/>
                <w:spacing w:val="-4"/>
                <w:sz w:val="22"/>
                <w:szCs w:val="22"/>
              </w:rPr>
              <w:t>Curtin undertakes a variety of initiatives engaging high school students and their parents to increase aspirations for a University education, and in particular, Curtin as a first choice. Initiatives in 2019 will include:</w:t>
            </w:r>
          </w:p>
          <w:p w14:paraId="00838CA3" w14:textId="77777777" w:rsidR="008C0663" w:rsidRPr="00DE3217" w:rsidRDefault="008C0663" w:rsidP="008C0663">
            <w:pPr>
              <w:numPr>
                <w:ilvl w:val="0"/>
                <w:numId w:val="42"/>
              </w:numPr>
              <w:tabs>
                <w:tab w:val="clear" w:pos="288"/>
                <w:tab w:val="left" w:pos="432"/>
              </w:tabs>
              <w:spacing w:before="3" w:line="261" w:lineRule="exact"/>
              <w:ind w:left="432" w:right="144" w:hanging="288"/>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 xml:space="preserve">Providing bespoke presentations to schools on the information and study options best tailored to their students, including regional visits to South West; Great Southern; Northam; </w:t>
            </w:r>
            <w:proofErr w:type="spellStart"/>
            <w:r w:rsidRPr="00DE3217">
              <w:rPr>
                <w:rFonts w:asciiTheme="minorHAnsi" w:eastAsia="Tahoma" w:hAnsiTheme="minorHAnsi" w:cstheme="minorHAnsi"/>
                <w:sz w:val="22"/>
                <w:szCs w:val="22"/>
              </w:rPr>
              <w:t>Goldbelt</w:t>
            </w:r>
            <w:proofErr w:type="spellEnd"/>
            <w:r w:rsidRPr="00DE3217">
              <w:rPr>
                <w:rFonts w:asciiTheme="minorHAnsi" w:eastAsia="Tahoma" w:hAnsiTheme="minorHAnsi" w:cstheme="minorHAnsi"/>
                <w:sz w:val="22"/>
                <w:szCs w:val="22"/>
              </w:rPr>
              <w:t>; Geraldton; Karratha / Port Hedland; and Esperance;</w:t>
            </w:r>
          </w:p>
          <w:p w14:paraId="51B6E90F" w14:textId="77777777" w:rsidR="008C0663" w:rsidRPr="00DE3217" w:rsidRDefault="008C0663" w:rsidP="008C0663">
            <w:pPr>
              <w:numPr>
                <w:ilvl w:val="0"/>
                <w:numId w:val="42"/>
              </w:numPr>
              <w:tabs>
                <w:tab w:val="clear" w:pos="288"/>
                <w:tab w:val="left" w:pos="432"/>
              </w:tabs>
              <w:spacing w:before="49" w:line="223" w:lineRule="exact"/>
              <w:ind w:left="432" w:hanging="288"/>
              <w:textAlignment w:val="baseline"/>
              <w:rPr>
                <w:rFonts w:asciiTheme="minorHAnsi" w:eastAsia="Tahoma" w:hAnsiTheme="minorHAnsi" w:cstheme="minorHAnsi"/>
                <w:spacing w:val="-2"/>
                <w:sz w:val="22"/>
                <w:szCs w:val="22"/>
              </w:rPr>
            </w:pPr>
            <w:r w:rsidRPr="00DE3217">
              <w:rPr>
                <w:rFonts w:asciiTheme="minorHAnsi" w:eastAsia="Tahoma" w:hAnsiTheme="minorHAnsi" w:cstheme="minorHAnsi"/>
                <w:spacing w:val="-2"/>
                <w:sz w:val="22"/>
                <w:szCs w:val="22"/>
              </w:rPr>
              <w:t>Attendance at school expos;</w:t>
            </w:r>
          </w:p>
          <w:p w14:paraId="7117C5DB" w14:textId="77777777" w:rsidR="008C0663" w:rsidRPr="00DE3217" w:rsidRDefault="008C0663" w:rsidP="008C0663">
            <w:pPr>
              <w:numPr>
                <w:ilvl w:val="0"/>
                <w:numId w:val="42"/>
              </w:numPr>
              <w:tabs>
                <w:tab w:val="clear" w:pos="288"/>
                <w:tab w:val="left" w:pos="432"/>
              </w:tabs>
              <w:spacing w:before="45" w:line="230" w:lineRule="exact"/>
              <w:ind w:left="432" w:hanging="288"/>
              <w:textAlignment w:val="baseline"/>
              <w:rPr>
                <w:rFonts w:asciiTheme="minorHAnsi" w:eastAsia="Tahoma" w:hAnsiTheme="minorHAnsi" w:cstheme="minorHAnsi"/>
                <w:spacing w:val="-2"/>
                <w:sz w:val="22"/>
                <w:szCs w:val="22"/>
              </w:rPr>
            </w:pPr>
            <w:r w:rsidRPr="00DE3217">
              <w:rPr>
                <w:rFonts w:asciiTheme="minorHAnsi" w:eastAsia="Tahoma" w:hAnsiTheme="minorHAnsi" w:cstheme="minorHAnsi"/>
                <w:spacing w:val="-2"/>
                <w:sz w:val="22"/>
                <w:szCs w:val="22"/>
              </w:rPr>
              <w:t>Bespoke presentations at school parent information evenings;</w:t>
            </w:r>
          </w:p>
          <w:p w14:paraId="380E4CF5" w14:textId="5D3548D7" w:rsidR="008C0663" w:rsidRPr="00DE3217" w:rsidRDefault="008C0663" w:rsidP="008C0663">
            <w:pPr>
              <w:numPr>
                <w:ilvl w:val="0"/>
                <w:numId w:val="42"/>
              </w:numPr>
              <w:tabs>
                <w:tab w:val="clear" w:pos="288"/>
                <w:tab w:val="left" w:pos="432"/>
              </w:tabs>
              <w:spacing w:before="44" w:line="230" w:lineRule="exact"/>
              <w:ind w:left="432" w:hanging="288"/>
              <w:textAlignment w:val="baseline"/>
              <w:rPr>
                <w:rFonts w:asciiTheme="minorHAnsi" w:eastAsia="Tahoma" w:hAnsiTheme="minorHAnsi" w:cstheme="minorHAnsi"/>
                <w:spacing w:val="-2"/>
                <w:sz w:val="22"/>
                <w:szCs w:val="22"/>
              </w:rPr>
            </w:pPr>
            <w:r w:rsidRPr="00DE3217">
              <w:rPr>
                <w:rFonts w:asciiTheme="minorHAnsi" w:eastAsia="Tahoma" w:hAnsiTheme="minorHAnsi" w:cstheme="minorHAnsi"/>
                <w:spacing w:val="-2"/>
                <w:sz w:val="22"/>
                <w:szCs w:val="22"/>
              </w:rPr>
              <w:t>Participation at community expos;</w:t>
            </w:r>
          </w:p>
          <w:p w14:paraId="17AB2A26" w14:textId="77777777" w:rsidR="008C0663" w:rsidRPr="00DE3217" w:rsidRDefault="008C0663" w:rsidP="008C0663">
            <w:pPr>
              <w:numPr>
                <w:ilvl w:val="0"/>
                <w:numId w:val="42"/>
              </w:numPr>
              <w:tabs>
                <w:tab w:val="clear" w:pos="288"/>
                <w:tab w:val="left" w:pos="432"/>
              </w:tabs>
              <w:spacing w:line="266" w:lineRule="exact"/>
              <w:ind w:left="432" w:right="648" w:hanging="288"/>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Regional presentations shared with the Western Australian (WA) Association of Prospective Student Advisors (made up of the WA universities); and</w:t>
            </w:r>
          </w:p>
          <w:p w14:paraId="1C7CB0CC" w14:textId="6D8503E5" w:rsidR="008C0663" w:rsidRDefault="008C0663" w:rsidP="008C0663">
            <w:pPr>
              <w:numPr>
                <w:ilvl w:val="0"/>
                <w:numId w:val="42"/>
              </w:numPr>
              <w:tabs>
                <w:tab w:val="clear" w:pos="288"/>
                <w:tab w:val="left" w:pos="432"/>
              </w:tabs>
              <w:spacing w:before="41" w:line="223" w:lineRule="exact"/>
              <w:ind w:left="432" w:hanging="288"/>
              <w:textAlignment w:val="baseline"/>
              <w:rPr>
                <w:rFonts w:asciiTheme="minorHAnsi" w:eastAsia="Tahoma" w:hAnsiTheme="minorHAnsi" w:cstheme="minorHAnsi"/>
                <w:spacing w:val="-2"/>
                <w:sz w:val="22"/>
                <w:szCs w:val="22"/>
              </w:rPr>
            </w:pPr>
            <w:r w:rsidRPr="00DE3217">
              <w:rPr>
                <w:rFonts w:asciiTheme="minorHAnsi" w:eastAsia="Tahoma" w:hAnsiTheme="minorHAnsi" w:cstheme="minorHAnsi"/>
                <w:spacing w:val="-2"/>
                <w:sz w:val="22"/>
                <w:szCs w:val="22"/>
              </w:rPr>
              <w:t>Tailored one-on-one consultation services, both off-campus and on-campus.</w:t>
            </w:r>
          </w:p>
          <w:p w14:paraId="22F3645A" w14:textId="77777777" w:rsidR="00E4662E" w:rsidRPr="00DE3217" w:rsidRDefault="00E4662E" w:rsidP="00E4662E">
            <w:pPr>
              <w:tabs>
                <w:tab w:val="left" w:pos="288"/>
                <w:tab w:val="left" w:pos="432"/>
              </w:tabs>
              <w:spacing w:before="41" w:line="223" w:lineRule="exact"/>
              <w:ind w:left="144"/>
              <w:textAlignment w:val="baseline"/>
              <w:rPr>
                <w:rFonts w:asciiTheme="minorHAnsi" w:eastAsia="Tahoma" w:hAnsiTheme="minorHAnsi" w:cstheme="minorHAnsi"/>
                <w:spacing w:val="-2"/>
                <w:sz w:val="22"/>
                <w:szCs w:val="22"/>
              </w:rPr>
            </w:pPr>
          </w:p>
          <w:p w14:paraId="67CECDB0" w14:textId="77777777" w:rsidR="008C0663" w:rsidRPr="00DE3217" w:rsidRDefault="008C0663" w:rsidP="008C0663">
            <w:pPr>
              <w:spacing w:line="270" w:lineRule="exact"/>
              <w:ind w:left="144" w:right="144"/>
              <w:textAlignment w:val="baseline"/>
              <w:rPr>
                <w:rFonts w:asciiTheme="minorHAnsi" w:eastAsia="Tahoma" w:hAnsiTheme="minorHAnsi" w:cstheme="minorHAnsi"/>
                <w:sz w:val="22"/>
                <w:szCs w:val="22"/>
              </w:rPr>
            </w:pPr>
            <w:r w:rsidRPr="00DE3217">
              <w:rPr>
                <w:rFonts w:asciiTheme="minorHAnsi" w:eastAsia="Tahoma" w:hAnsiTheme="minorHAnsi" w:cstheme="minorHAnsi"/>
                <w:sz w:val="22"/>
                <w:szCs w:val="22"/>
              </w:rPr>
              <w:t>Curtin continues to undertake an equity initiative to support students who might be from a lower socio-economic background. StepUp to Curtin is one of many</w:t>
            </w:r>
            <w:r w:rsidRPr="00DE3217">
              <w:rPr>
                <w:rFonts w:asciiTheme="minorHAnsi" w:eastAsia="Tahoma" w:hAnsiTheme="minorHAnsi" w:cstheme="minorHAnsi"/>
                <w:sz w:val="22"/>
                <w:szCs w:val="22"/>
                <w:u w:val="single"/>
              </w:rPr>
              <w:t xml:space="preserve"> equity initiatives</w:t>
            </w:r>
            <w:r w:rsidRPr="00DE3217">
              <w:rPr>
                <w:rFonts w:asciiTheme="minorHAnsi" w:eastAsia="Tahoma" w:hAnsiTheme="minorHAnsi" w:cstheme="minorHAnsi"/>
                <w:sz w:val="22"/>
                <w:szCs w:val="22"/>
              </w:rPr>
              <w:t xml:space="preserve"> at Curtin that work towards breaking down the barriers to higher education, with many regional schools included on the Curtin Step Up list. Curtin also engages with indigenous students through our school outreach </w:t>
            </w:r>
            <w:proofErr w:type="spellStart"/>
            <w:r w:rsidRPr="00DE3217">
              <w:rPr>
                <w:rFonts w:asciiTheme="minorHAnsi" w:eastAsia="Tahoma" w:hAnsiTheme="minorHAnsi" w:cstheme="minorHAnsi"/>
                <w:sz w:val="22"/>
                <w:szCs w:val="22"/>
              </w:rPr>
              <w:t>programme</w:t>
            </w:r>
            <w:proofErr w:type="spellEnd"/>
          </w:p>
          <w:p w14:paraId="73135ECC" w14:textId="60383825" w:rsidR="008C0663" w:rsidRPr="00DE3217" w:rsidRDefault="008C0663" w:rsidP="008C0663">
            <w:pPr>
              <w:spacing w:line="270" w:lineRule="exact"/>
              <w:ind w:left="144" w:right="144"/>
              <w:textAlignment w:val="baseline"/>
              <w:rPr>
                <w:rFonts w:asciiTheme="minorHAnsi" w:eastAsia="Tahoma" w:hAnsiTheme="minorHAnsi" w:cstheme="minorHAnsi"/>
                <w:sz w:val="22"/>
                <w:szCs w:val="22"/>
              </w:rPr>
            </w:pPr>
          </w:p>
        </w:tc>
      </w:tr>
      <w:tr w:rsidR="001B64A0" w:rsidRPr="001B64A0" w14:paraId="333AEA0C" w14:textId="77777777" w:rsidTr="008050F3">
        <w:trPr>
          <w:cantSplit/>
          <w:trHeight w:val="416"/>
        </w:trPr>
        <w:tc>
          <w:tcPr>
            <w:tcW w:w="5000" w:type="pct"/>
            <w:shd w:val="clear" w:color="auto" w:fill="DBE5F1" w:themeFill="accent1" w:themeFillTint="33"/>
          </w:tcPr>
          <w:p w14:paraId="47A58061" w14:textId="77777777" w:rsidR="00276BFB" w:rsidRPr="001B64A0" w:rsidRDefault="00276BFB" w:rsidP="00276BFB">
            <w:pPr>
              <w:pStyle w:val="Heading4"/>
              <w:rPr>
                <w:i/>
              </w:rPr>
            </w:pPr>
            <w:r w:rsidRPr="001B64A0">
              <w:t>LABOUR MARKET OUTCOMES</w:t>
            </w:r>
          </w:p>
        </w:tc>
      </w:tr>
      <w:tr w:rsidR="001B64A0" w:rsidRPr="001B64A0" w14:paraId="49CB7AA2" w14:textId="77777777" w:rsidTr="0018596C">
        <w:trPr>
          <w:trHeight w:val="416"/>
        </w:trPr>
        <w:tc>
          <w:tcPr>
            <w:tcW w:w="5000" w:type="pct"/>
          </w:tcPr>
          <w:p w14:paraId="69FDFEB7" w14:textId="1150C47A" w:rsidR="008C0663" w:rsidRPr="00DE3217" w:rsidRDefault="008C0663" w:rsidP="008C0663">
            <w:pPr>
              <w:tabs>
                <w:tab w:val="left" w:pos="864"/>
              </w:tabs>
              <w:spacing w:before="16" w:line="206" w:lineRule="exact"/>
              <w:ind w:right="216"/>
              <w:textAlignment w:val="baseline"/>
              <w:rPr>
                <w:rFonts w:asciiTheme="minorHAnsi" w:eastAsia="Tahoma" w:hAnsiTheme="minorHAnsi" w:cstheme="minorHAnsi"/>
                <w:bCs/>
                <w:spacing w:val="-4"/>
                <w:sz w:val="22"/>
                <w:szCs w:val="22"/>
              </w:rPr>
            </w:pPr>
            <w:r w:rsidRPr="00DE3217">
              <w:rPr>
                <w:rFonts w:asciiTheme="minorHAnsi" w:eastAsia="Tahoma" w:hAnsiTheme="minorHAnsi" w:cstheme="minorHAnsi"/>
                <w:bCs/>
                <w:spacing w:val="-4"/>
                <w:sz w:val="22"/>
                <w:szCs w:val="22"/>
              </w:rPr>
              <w:t>The</w:t>
            </w:r>
            <w:r w:rsidRPr="00DE3217">
              <w:rPr>
                <w:rFonts w:asciiTheme="minorHAnsi" w:eastAsia="Tahoma" w:hAnsiTheme="minorHAnsi" w:cstheme="minorHAnsi"/>
                <w:bCs/>
                <w:spacing w:val="-4"/>
                <w:sz w:val="22"/>
                <w:szCs w:val="22"/>
                <w:u w:val="single"/>
              </w:rPr>
              <w:t xml:space="preserve"> Future of Work Institute</w:t>
            </w:r>
            <w:r w:rsidRPr="00DE3217">
              <w:rPr>
                <w:rFonts w:asciiTheme="minorHAnsi" w:eastAsia="Tahoma" w:hAnsiTheme="minorHAnsi" w:cstheme="minorHAnsi"/>
                <w:bCs/>
                <w:spacing w:val="-4"/>
                <w:sz w:val="22"/>
                <w:szCs w:val="22"/>
              </w:rPr>
              <w:t xml:space="preserve"> (FOWI) is a new Curtin Institute that will provide research, knowledge and advice for businesses, government and communities to help meet the future challenges and embrace the opportunities presented by technological and social change, digitation innovation and automation.</w:t>
            </w:r>
          </w:p>
          <w:p w14:paraId="65746838" w14:textId="47A9A17A" w:rsidR="008C0663" w:rsidRPr="00DE3217" w:rsidRDefault="008C0663" w:rsidP="008C0663">
            <w:pPr>
              <w:spacing w:before="286" w:line="260" w:lineRule="exact"/>
              <w:ind w:right="77"/>
              <w:textAlignment w:val="baseline"/>
              <w:rPr>
                <w:rFonts w:asciiTheme="minorHAnsi" w:eastAsia="Tahoma" w:hAnsiTheme="minorHAnsi" w:cstheme="minorHAnsi"/>
                <w:bCs/>
                <w:spacing w:val="-4"/>
                <w:sz w:val="22"/>
                <w:szCs w:val="22"/>
              </w:rPr>
            </w:pPr>
            <w:r w:rsidRPr="00DE3217">
              <w:rPr>
                <w:rFonts w:asciiTheme="minorHAnsi" w:eastAsia="Tahoma" w:hAnsiTheme="minorHAnsi" w:cstheme="minorHAnsi"/>
                <w:bCs/>
                <w:spacing w:val="-4"/>
                <w:sz w:val="22"/>
                <w:szCs w:val="22"/>
              </w:rPr>
              <w:t>The</w:t>
            </w:r>
            <w:r w:rsidRPr="00DE3217">
              <w:rPr>
                <w:rFonts w:asciiTheme="minorHAnsi" w:eastAsia="Tahoma" w:hAnsiTheme="minorHAnsi" w:cstheme="minorHAnsi"/>
                <w:bCs/>
                <w:spacing w:val="-4"/>
                <w:sz w:val="22"/>
                <w:szCs w:val="22"/>
                <w:u w:val="single"/>
              </w:rPr>
              <w:t xml:space="preserve"> </w:t>
            </w:r>
            <w:proofErr w:type="spellStart"/>
            <w:r w:rsidRPr="00DE3217">
              <w:rPr>
                <w:rFonts w:asciiTheme="minorHAnsi" w:eastAsia="Tahoma" w:hAnsiTheme="minorHAnsi" w:cstheme="minorHAnsi"/>
                <w:bCs/>
                <w:spacing w:val="-4"/>
                <w:sz w:val="22"/>
                <w:szCs w:val="22"/>
                <w:u w:val="single"/>
              </w:rPr>
              <w:t>Bankwest</w:t>
            </w:r>
            <w:proofErr w:type="spellEnd"/>
            <w:r w:rsidRPr="00DE3217">
              <w:rPr>
                <w:rFonts w:asciiTheme="minorHAnsi" w:eastAsia="Tahoma" w:hAnsiTheme="minorHAnsi" w:cstheme="minorHAnsi"/>
                <w:bCs/>
                <w:spacing w:val="-4"/>
                <w:sz w:val="22"/>
                <w:szCs w:val="22"/>
                <w:u w:val="single"/>
              </w:rPr>
              <w:t xml:space="preserve"> Curtin Economics Centre (BCEC)</w:t>
            </w:r>
            <w:r w:rsidRPr="00DE3217">
              <w:rPr>
                <w:rFonts w:asciiTheme="minorHAnsi" w:eastAsia="Tahoma" w:hAnsiTheme="minorHAnsi" w:cstheme="minorHAnsi"/>
                <w:bCs/>
                <w:spacing w:val="-4"/>
                <w:sz w:val="22"/>
                <w:szCs w:val="22"/>
              </w:rPr>
              <w:t xml:space="preserve"> was formed in 2012 and continues to deliver high quality research that influences economic and social policy debates in state, Federal Parliament, regional and national media, and the wider Australian community. The research highlights economic challenges to achieving sustainable and equitable growth and prosperity nationally. Publications such as the</w:t>
            </w:r>
            <w:r w:rsidRPr="00DE3217">
              <w:rPr>
                <w:rFonts w:asciiTheme="minorHAnsi" w:eastAsia="Tahoma" w:hAnsiTheme="minorHAnsi" w:cstheme="minorHAnsi"/>
                <w:bCs/>
                <w:spacing w:val="-4"/>
                <w:sz w:val="22"/>
                <w:szCs w:val="22"/>
                <w:u w:val="single"/>
              </w:rPr>
              <w:t xml:space="preserve"> BCEC Monthly </w:t>
            </w:r>
            <w:proofErr w:type="spellStart"/>
            <w:r w:rsidRPr="00DE3217">
              <w:rPr>
                <w:rFonts w:asciiTheme="minorHAnsi" w:eastAsia="Tahoma" w:hAnsiTheme="minorHAnsi" w:cstheme="minorHAnsi"/>
                <w:bCs/>
                <w:spacing w:val="-4"/>
                <w:sz w:val="22"/>
                <w:szCs w:val="22"/>
                <w:u w:val="single"/>
              </w:rPr>
              <w:t>Labour</w:t>
            </w:r>
            <w:proofErr w:type="spellEnd"/>
            <w:r w:rsidRPr="00DE3217">
              <w:rPr>
                <w:rFonts w:asciiTheme="minorHAnsi" w:eastAsia="Tahoma" w:hAnsiTheme="minorHAnsi" w:cstheme="minorHAnsi"/>
                <w:bCs/>
                <w:spacing w:val="-4"/>
                <w:sz w:val="22"/>
                <w:szCs w:val="22"/>
                <w:u w:val="single"/>
              </w:rPr>
              <w:t xml:space="preserve"> Market Update</w:t>
            </w:r>
            <w:r w:rsidRPr="00DE3217">
              <w:rPr>
                <w:rFonts w:asciiTheme="minorHAnsi" w:eastAsia="Tahoma" w:hAnsiTheme="minorHAnsi" w:cstheme="minorHAnsi"/>
                <w:bCs/>
                <w:spacing w:val="-4"/>
                <w:sz w:val="22"/>
                <w:szCs w:val="22"/>
              </w:rPr>
              <w:t xml:space="preserve"> provide the market with updates on the employment market, including </w:t>
            </w:r>
            <w:r w:rsidRPr="00DE3217">
              <w:rPr>
                <w:rFonts w:asciiTheme="minorHAnsi" w:eastAsia="Tahoma" w:hAnsiTheme="minorHAnsi" w:cstheme="minorHAnsi"/>
                <w:bCs/>
                <w:spacing w:val="-4"/>
                <w:sz w:val="22"/>
                <w:szCs w:val="22"/>
              </w:rPr>
              <w:lastRenderedPageBreak/>
              <w:t>the types of new jobs being created, employment types, employment and industry performers in employment, and the</w:t>
            </w:r>
            <w:r w:rsidRPr="00DE3217">
              <w:rPr>
                <w:rFonts w:asciiTheme="minorHAnsi" w:eastAsia="Tahoma" w:hAnsiTheme="minorHAnsi" w:cstheme="minorHAnsi"/>
                <w:bCs/>
                <w:spacing w:val="-4"/>
                <w:sz w:val="22"/>
                <w:szCs w:val="22"/>
                <w:u w:val="single"/>
              </w:rPr>
              <w:t xml:space="preserve"> BCEC Future Proofing the WA Economy Report</w:t>
            </w:r>
            <w:r w:rsidRPr="00DE3217">
              <w:rPr>
                <w:rFonts w:asciiTheme="minorHAnsi" w:eastAsia="Tahoma" w:hAnsiTheme="minorHAnsi" w:cstheme="minorHAnsi"/>
                <w:bCs/>
                <w:spacing w:val="-4"/>
                <w:sz w:val="22"/>
                <w:szCs w:val="22"/>
              </w:rPr>
              <w:t xml:space="preserve"> has identified strategies for WA to diversity to address the current narrow industry concentration (i.e. development of a broader industrial and regional strategy). The report explores unique opportunities in WA regions based on a smart </w:t>
            </w:r>
            <w:proofErr w:type="spellStart"/>
            <w:r w:rsidRPr="00DE3217">
              <w:rPr>
                <w:rFonts w:asciiTheme="minorHAnsi" w:eastAsia="Tahoma" w:hAnsiTheme="minorHAnsi" w:cstheme="minorHAnsi"/>
                <w:bCs/>
                <w:spacing w:val="-4"/>
                <w:sz w:val="22"/>
                <w:szCs w:val="22"/>
              </w:rPr>
              <w:t>specialisation</w:t>
            </w:r>
            <w:proofErr w:type="spellEnd"/>
            <w:r w:rsidRPr="00DE3217">
              <w:rPr>
                <w:rFonts w:asciiTheme="minorHAnsi" w:eastAsia="Tahoma" w:hAnsiTheme="minorHAnsi" w:cstheme="minorHAnsi"/>
                <w:bCs/>
                <w:spacing w:val="-4"/>
                <w:sz w:val="22"/>
                <w:szCs w:val="22"/>
              </w:rPr>
              <w:t xml:space="preserve"> approach to address industry diversification.</w:t>
            </w:r>
          </w:p>
          <w:p w14:paraId="38B7DE39" w14:textId="77777777" w:rsidR="008C0663" w:rsidRPr="00DE3217" w:rsidRDefault="008C0663" w:rsidP="008C0663">
            <w:pPr>
              <w:spacing w:before="255" w:line="262" w:lineRule="exact"/>
              <w:ind w:right="221"/>
              <w:textAlignment w:val="baseline"/>
              <w:rPr>
                <w:rFonts w:asciiTheme="minorHAnsi" w:eastAsia="Tahoma" w:hAnsiTheme="minorHAnsi" w:cstheme="minorHAnsi"/>
                <w:bCs/>
                <w:spacing w:val="-3"/>
                <w:sz w:val="22"/>
                <w:szCs w:val="22"/>
              </w:rPr>
            </w:pPr>
            <w:r w:rsidRPr="00DE3217">
              <w:rPr>
                <w:rFonts w:asciiTheme="minorHAnsi" w:eastAsia="Tahoma" w:hAnsiTheme="minorHAnsi" w:cstheme="minorHAnsi"/>
                <w:bCs/>
                <w:spacing w:val="-3"/>
                <w:sz w:val="22"/>
                <w:szCs w:val="22"/>
              </w:rPr>
              <w:t>Curtin engages with industry representatives through faculty and school industry advisory boards. These regular advisory board meetings provide a valuable discussion of future workforce needs and information on what skills need to be imbedded into Curtin's curriculum to deliver the graduates for the future.</w:t>
            </w:r>
          </w:p>
          <w:p w14:paraId="00D4F8A4" w14:textId="77777777" w:rsidR="008C0663" w:rsidRPr="00DE3217" w:rsidRDefault="008C0663" w:rsidP="008C0663">
            <w:pPr>
              <w:spacing w:before="258" w:line="262" w:lineRule="exact"/>
              <w:ind w:right="365"/>
              <w:textAlignment w:val="baseline"/>
              <w:rPr>
                <w:rFonts w:asciiTheme="minorHAnsi" w:eastAsia="Tahoma" w:hAnsiTheme="minorHAnsi" w:cstheme="minorHAnsi"/>
                <w:bCs/>
                <w:sz w:val="22"/>
                <w:szCs w:val="22"/>
              </w:rPr>
            </w:pPr>
            <w:r w:rsidRPr="00DE3217">
              <w:rPr>
                <w:rFonts w:asciiTheme="minorHAnsi" w:eastAsia="Tahoma" w:hAnsiTheme="minorHAnsi" w:cstheme="minorHAnsi"/>
                <w:bCs/>
                <w:sz w:val="22"/>
                <w:szCs w:val="22"/>
              </w:rPr>
              <w:t>To assist with the upskilling and reskilling of the current workforce, Curtin's 137 St Georges Terrace CBD facility has been working with industry to identify future workforce skill needs and developing and delivering short courses and CPD programs to meet these needs.</w:t>
            </w:r>
          </w:p>
          <w:p w14:paraId="05536D72" w14:textId="77777777" w:rsidR="008C0663" w:rsidRPr="00DE3217" w:rsidRDefault="008C0663" w:rsidP="008C0663">
            <w:pPr>
              <w:spacing w:before="257" w:line="262" w:lineRule="exact"/>
              <w:ind w:right="77"/>
              <w:textAlignment w:val="baseline"/>
              <w:rPr>
                <w:rFonts w:asciiTheme="minorHAnsi" w:eastAsia="Tahoma" w:hAnsiTheme="minorHAnsi" w:cstheme="minorHAnsi"/>
                <w:bCs/>
                <w:spacing w:val="-4"/>
                <w:sz w:val="22"/>
                <w:szCs w:val="22"/>
              </w:rPr>
            </w:pPr>
            <w:r w:rsidRPr="00DE3217">
              <w:rPr>
                <w:rFonts w:asciiTheme="minorHAnsi" w:eastAsia="Tahoma" w:hAnsiTheme="minorHAnsi" w:cstheme="minorHAnsi"/>
                <w:bCs/>
                <w:spacing w:val="-4"/>
                <w:sz w:val="22"/>
                <w:szCs w:val="22"/>
              </w:rPr>
              <w:t>Strategic Planning is also undertaken to inform Faculties and Schools about trends in the external market, including opportunities for courses to be developed or adjusted to address emerging skill gaps. Market research and graduate outcome surveys (GOS) are also provided via a central reporting repository to provide Faculties and Schools with access to the GOS, along with additional key performance indicators, to understand performance. This allows the Faculties and Schools to monitor the performance and trends of the GOS to develop appropriate strategies to improve performance.</w:t>
            </w:r>
          </w:p>
          <w:p w14:paraId="6C9A54ED" w14:textId="77777777" w:rsidR="008C0663" w:rsidRPr="00DE3217" w:rsidRDefault="008C0663" w:rsidP="008C0663">
            <w:pPr>
              <w:spacing w:before="260" w:line="260" w:lineRule="exact"/>
              <w:ind w:right="77"/>
              <w:textAlignment w:val="baseline"/>
              <w:rPr>
                <w:rFonts w:asciiTheme="minorHAnsi" w:eastAsia="Tahoma" w:hAnsiTheme="minorHAnsi" w:cstheme="minorHAnsi"/>
                <w:bCs/>
                <w:sz w:val="22"/>
                <w:szCs w:val="22"/>
              </w:rPr>
            </w:pPr>
            <w:r w:rsidRPr="00DE3217">
              <w:rPr>
                <w:rFonts w:asciiTheme="minorHAnsi" w:eastAsia="Tahoma" w:hAnsiTheme="minorHAnsi" w:cstheme="minorHAnsi"/>
                <w:bCs/>
                <w:sz w:val="22"/>
                <w:szCs w:val="22"/>
              </w:rPr>
              <w:t xml:space="preserve">Curriculum Analysis, Review and Renewal Processes (CARR) are undertaken at least every five years to ensure that Curtin's courses are contemporary, challenging and engaging, and meet the Australian Qualification Framework (AQF) requirements. In addition to the CARR, there are annual course reviews to monitor and </w:t>
            </w:r>
            <w:proofErr w:type="spellStart"/>
            <w:r w:rsidRPr="00DE3217">
              <w:rPr>
                <w:rFonts w:asciiTheme="minorHAnsi" w:eastAsia="Tahoma" w:hAnsiTheme="minorHAnsi" w:cstheme="minorHAnsi"/>
                <w:bCs/>
                <w:sz w:val="22"/>
                <w:szCs w:val="22"/>
              </w:rPr>
              <w:t>analyse</w:t>
            </w:r>
            <w:proofErr w:type="spellEnd"/>
            <w:r w:rsidRPr="00DE3217">
              <w:rPr>
                <w:rFonts w:asciiTheme="minorHAnsi" w:eastAsia="Tahoma" w:hAnsiTheme="minorHAnsi" w:cstheme="minorHAnsi"/>
                <w:bCs/>
                <w:sz w:val="22"/>
                <w:szCs w:val="22"/>
              </w:rPr>
              <w:t xml:space="preserve"> key performance indicators so that any emerging trends can be addressed quickly.</w:t>
            </w:r>
          </w:p>
          <w:p w14:paraId="77B8FB5E" w14:textId="77777777" w:rsidR="008C0663" w:rsidRPr="00DE3217" w:rsidRDefault="008C0663" w:rsidP="008C0663">
            <w:pPr>
              <w:spacing w:before="267" w:line="262" w:lineRule="exact"/>
              <w:ind w:right="77"/>
              <w:textAlignment w:val="baseline"/>
              <w:rPr>
                <w:rFonts w:asciiTheme="minorHAnsi" w:eastAsia="Tahoma" w:hAnsiTheme="minorHAnsi" w:cstheme="minorHAnsi"/>
                <w:bCs/>
                <w:sz w:val="22"/>
                <w:szCs w:val="22"/>
              </w:rPr>
            </w:pPr>
            <w:r w:rsidRPr="00DE3217">
              <w:rPr>
                <w:rFonts w:asciiTheme="minorHAnsi" w:eastAsia="Tahoma" w:hAnsiTheme="minorHAnsi" w:cstheme="minorHAnsi"/>
                <w:bCs/>
                <w:sz w:val="22"/>
                <w:szCs w:val="22"/>
              </w:rPr>
              <w:t xml:space="preserve">Curtin has a "New Program Development Process" that provides a framework for evaluating new concepts and ensures that the offering is in line with </w:t>
            </w:r>
            <w:proofErr w:type="spellStart"/>
            <w:r w:rsidRPr="00DE3217">
              <w:rPr>
                <w:rFonts w:asciiTheme="minorHAnsi" w:eastAsia="Tahoma" w:hAnsiTheme="minorHAnsi" w:cstheme="minorHAnsi"/>
                <w:bCs/>
                <w:sz w:val="22"/>
                <w:szCs w:val="22"/>
              </w:rPr>
              <w:t>labour</w:t>
            </w:r>
            <w:proofErr w:type="spellEnd"/>
            <w:r w:rsidRPr="00DE3217">
              <w:rPr>
                <w:rFonts w:asciiTheme="minorHAnsi" w:eastAsia="Tahoma" w:hAnsiTheme="minorHAnsi" w:cstheme="minorHAnsi"/>
                <w:bCs/>
                <w:sz w:val="22"/>
                <w:szCs w:val="22"/>
              </w:rPr>
              <w:t xml:space="preserve"> market strategies. Any new products (or changes to existing products) are appropriately tested before being developed and launched. There is also ongoing lifecycle management and monitoring as part of this process.</w:t>
            </w:r>
          </w:p>
          <w:p w14:paraId="4C49726F" w14:textId="538951BE" w:rsidR="008C0663" w:rsidRPr="00DE3217" w:rsidRDefault="008C0663" w:rsidP="008C0663">
            <w:pPr>
              <w:spacing w:before="247" w:line="263" w:lineRule="exact"/>
              <w:ind w:right="221"/>
              <w:textAlignment w:val="baseline"/>
              <w:rPr>
                <w:rFonts w:asciiTheme="minorHAnsi" w:eastAsia="Tahoma" w:hAnsiTheme="minorHAnsi" w:cstheme="minorHAnsi"/>
                <w:bCs/>
                <w:spacing w:val="-4"/>
                <w:sz w:val="22"/>
                <w:szCs w:val="22"/>
              </w:rPr>
            </w:pPr>
            <w:r w:rsidRPr="00DE3217">
              <w:rPr>
                <w:rFonts w:asciiTheme="minorHAnsi" w:eastAsia="Tahoma" w:hAnsiTheme="minorHAnsi" w:cstheme="minorHAnsi"/>
                <w:bCs/>
                <w:spacing w:val="-4"/>
                <w:sz w:val="22"/>
                <w:szCs w:val="22"/>
              </w:rPr>
              <w:t>Curtin University offers an extensive range of courses, providing students with options to meet their needs and career aspirations. Curtin provides career guidance and advice through</w:t>
            </w:r>
            <w:r w:rsidRPr="00DE3217">
              <w:rPr>
                <w:rFonts w:asciiTheme="minorHAnsi" w:eastAsia="Tahoma" w:hAnsiTheme="minorHAnsi" w:cstheme="minorHAnsi"/>
                <w:bCs/>
                <w:spacing w:val="-4"/>
                <w:sz w:val="22"/>
                <w:szCs w:val="22"/>
                <w:u w:val="single"/>
              </w:rPr>
              <w:t xml:space="preserve"> Curtin </w:t>
            </w:r>
            <w:r w:rsidR="00DE3217" w:rsidRPr="00DE3217">
              <w:rPr>
                <w:rFonts w:asciiTheme="minorHAnsi" w:eastAsia="Tahoma" w:hAnsiTheme="minorHAnsi" w:cstheme="minorHAnsi"/>
                <w:bCs/>
                <w:spacing w:val="-4"/>
                <w:sz w:val="22"/>
                <w:szCs w:val="22"/>
                <w:u w:val="single"/>
              </w:rPr>
              <w:t>Connect Future</w:t>
            </w:r>
            <w:r w:rsidRPr="00DE3217">
              <w:rPr>
                <w:rFonts w:asciiTheme="minorHAnsi" w:eastAsia="Tahoma" w:hAnsiTheme="minorHAnsi" w:cstheme="minorHAnsi"/>
                <w:bCs/>
                <w:spacing w:val="-4"/>
                <w:sz w:val="22"/>
                <w:szCs w:val="22"/>
                <w:u w:val="single"/>
              </w:rPr>
              <w:t xml:space="preserve"> Students</w:t>
            </w:r>
            <w:r w:rsidRPr="00DE3217">
              <w:rPr>
                <w:rFonts w:asciiTheme="minorHAnsi" w:eastAsia="Tahoma" w:hAnsiTheme="minorHAnsi" w:cstheme="minorHAnsi"/>
                <w:bCs/>
                <w:spacing w:val="-4"/>
                <w:sz w:val="22"/>
                <w:szCs w:val="22"/>
              </w:rPr>
              <w:t xml:space="preserve"> to enable students to make informed decisions on their course selection.</w:t>
            </w:r>
          </w:p>
          <w:p w14:paraId="2B99E3F8" w14:textId="7220A8F0" w:rsidR="008C0663" w:rsidRPr="001B64A0" w:rsidRDefault="008C0663" w:rsidP="008C0663">
            <w:pPr>
              <w:tabs>
                <w:tab w:val="left" w:pos="864"/>
              </w:tabs>
              <w:spacing w:before="16" w:line="206" w:lineRule="exact"/>
              <w:ind w:right="216"/>
              <w:textAlignment w:val="baseline"/>
              <w:rPr>
                <w:rFonts w:eastAsia="Arial"/>
                <w:bCs/>
                <w:spacing w:val="6"/>
                <w:sz w:val="18"/>
              </w:rPr>
            </w:pPr>
          </w:p>
        </w:tc>
      </w:tr>
      <w:tr w:rsidR="001B64A0" w:rsidRPr="001B64A0" w14:paraId="2A91DDF7" w14:textId="77777777" w:rsidTr="008050F3">
        <w:trPr>
          <w:cantSplit/>
          <w:trHeight w:val="416"/>
        </w:trPr>
        <w:tc>
          <w:tcPr>
            <w:tcW w:w="5000" w:type="pct"/>
            <w:shd w:val="clear" w:color="auto" w:fill="DBE5F1" w:themeFill="accent1" w:themeFillTint="33"/>
          </w:tcPr>
          <w:p w14:paraId="1E2C7504" w14:textId="53C902B6" w:rsidR="00276BFB" w:rsidRPr="001B64A0" w:rsidRDefault="00276BFB" w:rsidP="00276BFB">
            <w:pPr>
              <w:pStyle w:val="Heading4"/>
            </w:pPr>
            <w:r w:rsidRPr="001B64A0">
              <w:lastRenderedPageBreak/>
              <w:t>security measures</w:t>
            </w:r>
          </w:p>
        </w:tc>
      </w:tr>
      <w:tr w:rsidR="00276BFB" w:rsidRPr="001B64A0" w14:paraId="4D0C1FA0" w14:textId="77777777" w:rsidTr="008050F3">
        <w:trPr>
          <w:cantSplit/>
          <w:trHeight w:val="416"/>
        </w:trPr>
        <w:tc>
          <w:tcPr>
            <w:tcW w:w="5000" w:type="pct"/>
            <w:tcBorders>
              <w:bottom w:val="single" w:sz="4" w:space="0" w:color="auto"/>
            </w:tcBorders>
          </w:tcPr>
          <w:p w14:paraId="2A8D117A" w14:textId="27B25E86" w:rsidR="00215A22" w:rsidRPr="00CF3B12" w:rsidRDefault="00760725" w:rsidP="00146F85">
            <w:pPr>
              <w:pStyle w:val="NormalIndent"/>
              <w:spacing w:before="0" w:after="0"/>
              <w:ind w:left="0"/>
              <w:rPr>
                <w:rFonts w:asciiTheme="minorHAnsi" w:eastAsia="Tahoma" w:hAnsiTheme="minorHAnsi" w:cstheme="minorHAnsi"/>
                <w:bCs/>
                <w:szCs w:val="22"/>
                <w:lang w:val="en-US"/>
              </w:rPr>
            </w:pPr>
            <w:r w:rsidRPr="00CF3B12">
              <w:rPr>
                <w:rFonts w:asciiTheme="minorHAnsi" w:eastAsia="Tahoma" w:hAnsiTheme="minorHAnsi" w:cstheme="minorHAnsi"/>
                <w:bCs/>
                <w:szCs w:val="22"/>
                <w:lang w:val="en-US"/>
              </w:rPr>
              <w:t>Curtin continues to evolve its digital strategy to ensure the protection of Curtin's data assets. The digital strategy will be refreshed in line with the new Strategic Plan 2021-2025.</w:t>
            </w:r>
          </w:p>
          <w:p w14:paraId="00E0F461" w14:textId="77777777" w:rsidR="00760725" w:rsidRPr="00CF3B12" w:rsidRDefault="00760725" w:rsidP="00146F85">
            <w:pPr>
              <w:pStyle w:val="NormalIndent"/>
              <w:spacing w:before="0" w:after="0"/>
              <w:ind w:left="0"/>
              <w:rPr>
                <w:rFonts w:asciiTheme="minorHAnsi" w:hAnsiTheme="minorHAnsi" w:cstheme="minorHAnsi"/>
                <w:bCs/>
                <w:i/>
                <w:szCs w:val="22"/>
              </w:rPr>
            </w:pPr>
          </w:p>
          <w:p w14:paraId="6BFB3776" w14:textId="77777777" w:rsidR="00146F85" w:rsidRPr="00CF3B12" w:rsidRDefault="00760725" w:rsidP="00146F85">
            <w:pPr>
              <w:pStyle w:val="NormalIndent"/>
              <w:spacing w:before="0" w:after="0"/>
              <w:ind w:left="0"/>
              <w:rPr>
                <w:rFonts w:asciiTheme="minorHAnsi" w:eastAsia="Tahoma" w:hAnsiTheme="minorHAnsi" w:cstheme="minorHAnsi"/>
                <w:bCs/>
                <w:szCs w:val="22"/>
                <w:lang w:val="en-US"/>
              </w:rPr>
            </w:pPr>
            <w:r w:rsidRPr="00CF3B12">
              <w:rPr>
                <w:rFonts w:asciiTheme="minorHAnsi" w:eastAsia="Tahoma" w:hAnsiTheme="minorHAnsi" w:cstheme="minorHAnsi"/>
                <w:bCs/>
                <w:szCs w:val="22"/>
                <w:lang w:val="en-US"/>
              </w:rPr>
              <w:t>Since 2017, a dedicated security program has continued to enhance Curtin's cyber security capabilities to respond to the significant rise and impact of cyber security attacks globally. The security program which focuses on technology, operating processes and our culture, has been accelerated over the last 12 months as the threat to universities grow.</w:t>
            </w:r>
          </w:p>
          <w:p w14:paraId="2BE9EF20" w14:textId="77777777" w:rsidR="00760725" w:rsidRPr="00CF3B12" w:rsidRDefault="00760725" w:rsidP="00146F85">
            <w:pPr>
              <w:pStyle w:val="NormalIndent"/>
              <w:spacing w:before="0" w:after="0"/>
              <w:ind w:left="0"/>
              <w:rPr>
                <w:rFonts w:asciiTheme="minorHAnsi" w:eastAsia="Tahoma" w:hAnsiTheme="minorHAnsi" w:cstheme="minorHAnsi"/>
                <w:bCs/>
                <w:szCs w:val="22"/>
                <w:lang w:val="en-US"/>
              </w:rPr>
            </w:pPr>
          </w:p>
          <w:p w14:paraId="68168C19" w14:textId="77777777" w:rsidR="00760725" w:rsidRPr="00CF3B12" w:rsidRDefault="00760725" w:rsidP="00146F85">
            <w:pPr>
              <w:pStyle w:val="NormalIndent"/>
              <w:spacing w:before="0" w:after="0"/>
              <w:ind w:left="0"/>
              <w:rPr>
                <w:rFonts w:asciiTheme="minorHAnsi" w:eastAsia="Tahoma" w:hAnsiTheme="minorHAnsi" w:cstheme="minorHAnsi"/>
                <w:bCs/>
                <w:szCs w:val="22"/>
                <w:lang w:val="en-US"/>
              </w:rPr>
            </w:pPr>
            <w:r w:rsidRPr="00CF3B12">
              <w:rPr>
                <w:rFonts w:asciiTheme="minorHAnsi" w:eastAsia="Tahoma" w:hAnsiTheme="minorHAnsi" w:cstheme="minorHAnsi"/>
                <w:bCs/>
                <w:szCs w:val="22"/>
                <w:lang w:val="en-US"/>
              </w:rPr>
              <w:t>Curtin has processes and measures in place to detect and respond to cyber security attacks and incidents that may arise. As part of our commitment to secure our digital assets, Curtin is proud to be one of two Australian universities to operate a certified information security management system to AS ISO/IEC 27001:2013.</w:t>
            </w:r>
          </w:p>
          <w:p w14:paraId="3BE55BBD" w14:textId="77777777" w:rsidR="00760725" w:rsidRPr="00CF3B12" w:rsidRDefault="00760725" w:rsidP="00146F85">
            <w:pPr>
              <w:pStyle w:val="NormalIndent"/>
              <w:spacing w:before="0" w:after="0"/>
              <w:ind w:left="0"/>
              <w:rPr>
                <w:rFonts w:asciiTheme="minorHAnsi" w:hAnsiTheme="minorHAnsi" w:cstheme="minorHAnsi"/>
                <w:bCs/>
                <w:i/>
                <w:szCs w:val="22"/>
                <w:lang w:val="en-US"/>
              </w:rPr>
            </w:pPr>
          </w:p>
          <w:p w14:paraId="00E42FD8" w14:textId="717C575D" w:rsidR="00760725" w:rsidRPr="001B64A0" w:rsidRDefault="00760725" w:rsidP="00146F85">
            <w:pPr>
              <w:pStyle w:val="NormalIndent"/>
              <w:spacing w:before="0" w:after="0"/>
              <w:ind w:left="0"/>
              <w:rPr>
                <w:i/>
              </w:rPr>
            </w:pPr>
            <w:r w:rsidRPr="00CF3B12">
              <w:rPr>
                <w:rFonts w:asciiTheme="minorHAnsi" w:eastAsia="Tahoma" w:hAnsiTheme="minorHAnsi" w:cstheme="minorHAnsi"/>
                <w:bCs/>
                <w:szCs w:val="22"/>
                <w:lang w:val="en-US"/>
              </w:rPr>
              <w:t>Curtin is regularly audited by the State Government, internal auditors and compliance programs relating to cyber security. Curtin additionally has measures in place to identify foreign interference activities.</w:t>
            </w:r>
          </w:p>
        </w:tc>
      </w:tr>
    </w:tbl>
    <w:p w14:paraId="652612C4" w14:textId="77777777" w:rsidR="00311C88" w:rsidRPr="001B64A0" w:rsidRDefault="00311C88"/>
    <w:p w14:paraId="00AAE61D" w14:textId="77777777" w:rsidR="00B722D2" w:rsidRPr="001B64A0" w:rsidRDefault="00B722D2"/>
    <w:p w14:paraId="374A9225" w14:textId="77777777" w:rsidR="00B722D2" w:rsidRPr="001B64A0" w:rsidRDefault="00B722D2"/>
    <w:p w14:paraId="42D56458" w14:textId="77777777" w:rsidR="00B722D2" w:rsidRPr="001B64A0" w:rsidRDefault="00B722D2"/>
    <w:p w14:paraId="0F774D2D" w14:textId="77777777" w:rsidR="00B722D2" w:rsidRPr="001B64A0"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92582" w14:paraId="5E2FD12C" w14:textId="77777777" w:rsidTr="00465012">
        <w:tc>
          <w:tcPr>
            <w:tcW w:w="4675" w:type="dxa"/>
          </w:tcPr>
          <w:p w14:paraId="5024BBEC" w14:textId="77777777" w:rsidR="00292582" w:rsidRPr="00981955" w:rsidRDefault="00292582" w:rsidP="00292582">
            <w:pPr>
              <w:rPr>
                <w:rFonts w:ascii="Calibri" w:hAnsi="Calibri" w:cs="Arial"/>
                <w:b/>
              </w:rPr>
            </w:pPr>
            <w:r w:rsidRPr="00981955">
              <w:rPr>
                <w:rFonts w:ascii="Calibri" w:hAnsi="Calibri" w:cs="Arial"/>
                <w:b/>
              </w:rPr>
              <w:t>SIGNED for and on behalf of</w:t>
            </w:r>
          </w:p>
          <w:p w14:paraId="2C4A34BD" w14:textId="77777777" w:rsidR="00292582" w:rsidRPr="00981955" w:rsidRDefault="00292582" w:rsidP="00292582">
            <w:pPr>
              <w:rPr>
                <w:rFonts w:ascii="Calibri" w:hAnsi="Calibri" w:cs="Arial"/>
              </w:rPr>
            </w:pPr>
          </w:p>
          <w:p w14:paraId="35D5EEA2" w14:textId="77777777" w:rsidR="00292582" w:rsidRPr="00981955" w:rsidRDefault="00292582" w:rsidP="00292582">
            <w:pPr>
              <w:rPr>
                <w:rFonts w:ascii="Calibri" w:hAnsi="Calibri" w:cs="Arial"/>
              </w:rPr>
            </w:pPr>
            <w:r w:rsidRPr="00981955">
              <w:rPr>
                <w:rFonts w:ascii="Calibri" w:hAnsi="Calibri" w:cs="Arial"/>
              </w:rPr>
              <w:t>THE COMMONWEALTH OF AUSTRALIA</w:t>
            </w:r>
          </w:p>
          <w:p w14:paraId="6B308AA0" w14:textId="77777777" w:rsidR="00292582" w:rsidRPr="00981955" w:rsidRDefault="00292582" w:rsidP="00292582">
            <w:pPr>
              <w:rPr>
                <w:rFonts w:ascii="Calibri" w:hAnsi="Calibri" w:cs="Arial"/>
              </w:rPr>
            </w:pPr>
          </w:p>
          <w:p w14:paraId="40430ACB" w14:textId="4B1394A5" w:rsidR="00292582" w:rsidRPr="00981955" w:rsidRDefault="00292582" w:rsidP="00292582">
            <w:pPr>
              <w:rPr>
                <w:rFonts w:ascii="Calibri" w:hAnsi="Calibri" w:cs="Arial"/>
              </w:rPr>
            </w:pPr>
            <w:r w:rsidRPr="00981955">
              <w:rPr>
                <w:rFonts w:ascii="Calibri" w:hAnsi="Calibri" w:cs="Arial"/>
              </w:rPr>
              <w:t xml:space="preserve">by </w:t>
            </w:r>
            <w:r>
              <w:rPr>
                <w:rFonts w:ascii="Calibri" w:hAnsi="Calibri" w:cs="Arial"/>
              </w:rPr>
              <w:t>Dan</w:t>
            </w:r>
            <w:r w:rsidR="00465012">
              <w:rPr>
                <w:rFonts w:ascii="Calibri" w:hAnsi="Calibri" w:cs="Arial"/>
              </w:rPr>
              <w:t>ielle</w:t>
            </w:r>
            <w:r>
              <w:rPr>
                <w:rFonts w:ascii="Calibri" w:hAnsi="Calibri" w:cs="Arial"/>
              </w:rPr>
              <w:t xml:space="preserv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6701F286" w14:textId="77777777" w:rsidR="00292582" w:rsidRPr="00981955" w:rsidRDefault="00292582" w:rsidP="00292582">
            <w:pPr>
              <w:rPr>
                <w:rFonts w:ascii="Calibri" w:hAnsi="Calibri" w:cs="Arial"/>
              </w:rPr>
            </w:pPr>
          </w:p>
          <w:p w14:paraId="50C1E448" w14:textId="77777777" w:rsidR="00292582" w:rsidRPr="00981955" w:rsidRDefault="00292582" w:rsidP="0029258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292582" w:rsidRPr="00981955" w14:paraId="128A8E09" w14:textId="77777777" w:rsidTr="00BB2485">
              <w:tc>
                <w:tcPr>
                  <w:tcW w:w="9854" w:type="dxa"/>
                </w:tcPr>
                <w:p w14:paraId="204BAF23" w14:textId="755FA54F" w:rsidR="00292582" w:rsidRPr="00981955" w:rsidRDefault="00292582" w:rsidP="00292582">
                  <w:pPr>
                    <w:rPr>
                      <w:rFonts w:ascii="Calibri" w:hAnsi="Calibri" w:cs="Arial"/>
                      <w:b/>
                    </w:rPr>
                  </w:pPr>
                  <w:r w:rsidRPr="00981955">
                    <w:rPr>
                      <w:rFonts w:ascii="Calibri" w:hAnsi="Calibri" w:cs="Arial"/>
                      <w:b/>
                    </w:rPr>
                    <w:t xml:space="preserve">Signed by </w:t>
                  </w:r>
                </w:p>
              </w:tc>
            </w:tr>
            <w:tr w:rsidR="00292582" w:rsidRPr="00981955" w14:paraId="51F01C72" w14:textId="77777777" w:rsidTr="00BB2485">
              <w:tc>
                <w:tcPr>
                  <w:tcW w:w="9854" w:type="dxa"/>
                  <w:tcBorders>
                    <w:bottom w:val="single" w:sz="4" w:space="0" w:color="auto"/>
                  </w:tcBorders>
                </w:tcPr>
                <w:p w14:paraId="6877AB36" w14:textId="3EC2350C" w:rsidR="00292582" w:rsidRPr="00981955" w:rsidRDefault="00292582" w:rsidP="00292582">
                  <w:pPr>
                    <w:rPr>
                      <w:rFonts w:ascii="Calibri" w:hAnsi="Calibri" w:cs="Arial"/>
                    </w:rPr>
                  </w:pPr>
                  <w:r>
                    <w:rPr>
                      <w:rFonts w:ascii="Calibri" w:hAnsi="Calibri" w:cs="Arial"/>
                    </w:rPr>
                    <w:t>Dan</w:t>
                  </w:r>
                  <w:r w:rsidR="00465012">
                    <w:rPr>
                      <w:rFonts w:ascii="Calibri" w:hAnsi="Calibri" w:cs="Arial"/>
                    </w:rPr>
                    <w:t>ielle</w:t>
                  </w:r>
                  <w:r>
                    <w:rPr>
                      <w:rFonts w:ascii="Calibri" w:hAnsi="Calibri" w:cs="Arial"/>
                    </w:rPr>
                    <w:t xml:space="preserve"> Donegan</w:t>
                  </w:r>
                </w:p>
              </w:tc>
            </w:tr>
          </w:tbl>
          <w:p w14:paraId="0380157D" w14:textId="77777777" w:rsidR="00292582" w:rsidRPr="00981955" w:rsidRDefault="00292582" w:rsidP="0029258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292582" w:rsidRPr="00BD0C6B" w14:paraId="01976C43" w14:textId="77777777" w:rsidTr="00BB2485">
              <w:tc>
                <w:tcPr>
                  <w:tcW w:w="675" w:type="dxa"/>
                  <w:tcBorders>
                    <w:bottom w:val="single" w:sz="4" w:space="0" w:color="auto"/>
                  </w:tcBorders>
                </w:tcPr>
                <w:p w14:paraId="63C5083E" w14:textId="77777777" w:rsidR="00292582" w:rsidRPr="00BD0C6B" w:rsidRDefault="00292582" w:rsidP="00292582">
                  <w:pPr>
                    <w:rPr>
                      <w:rFonts w:ascii="Calibri" w:hAnsi="Calibri" w:cs="Arial"/>
                      <w:b/>
                    </w:rPr>
                  </w:pPr>
                  <w:r w:rsidRPr="00BD0C6B">
                    <w:rPr>
                      <w:rFonts w:ascii="Calibri" w:hAnsi="Calibri" w:cs="Arial"/>
                      <w:b/>
                    </w:rPr>
                    <w:t>Date:</w:t>
                  </w:r>
                </w:p>
              </w:tc>
              <w:tc>
                <w:tcPr>
                  <w:tcW w:w="4190" w:type="dxa"/>
                  <w:tcBorders>
                    <w:bottom w:val="single" w:sz="4" w:space="0" w:color="auto"/>
                  </w:tcBorders>
                </w:tcPr>
                <w:p w14:paraId="18DA1655" w14:textId="7ACBC27E" w:rsidR="00292582" w:rsidRPr="00BD0C6B" w:rsidRDefault="00BD0C6B" w:rsidP="00292582">
                  <w:pPr>
                    <w:rPr>
                      <w:rFonts w:ascii="Calibri" w:hAnsi="Calibri" w:cs="Arial"/>
                    </w:rPr>
                  </w:pPr>
                  <w:r w:rsidRPr="00BD0C6B">
                    <w:rPr>
                      <w:rFonts w:ascii="Calibri" w:hAnsi="Calibri" w:cs="Arial"/>
                    </w:rPr>
                    <w:t>17 December 2020</w:t>
                  </w:r>
                </w:p>
              </w:tc>
            </w:tr>
          </w:tbl>
          <w:p w14:paraId="2920EE5A" w14:textId="77777777" w:rsidR="00292582" w:rsidRPr="00BD0C6B" w:rsidRDefault="00292582" w:rsidP="00292582">
            <w:pPr>
              <w:rPr>
                <w:rFonts w:ascii="Calibri" w:hAnsi="Calibri" w:cs="Arial"/>
              </w:rPr>
            </w:pPr>
          </w:p>
          <w:p w14:paraId="6F64CC62" w14:textId="77777777" w:rsidR="00292582" w:rsidRPr="00BD0C6B" w:rsidRDefault="00292582" w:rsidP="00292582">
            <w:pPr>
              <w:rPr>
                <w:rFonts w:ascii="Calibri" w:hAnsi="Calibri" w:cs="Arial"/>
                <w:b/>
              </w:rPr>
            </w:pPr>
            <w:r w:rsidRPr="00BD0C6B">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292582" w:rsidRPr="00BD0C6B" w14:paraId="235DB1D9" w14:textId="77777777" w:rsidTr="00BB2485">
              <w:tc>
                <w:tcPr>
                  <w:tcW w:w="9854" w:type="dxa"/>
                </w:tcPr>
                <w:p w14:paraId="0901C135" w14:textId="77777777" w:rsidR="00292582" w:rsidRPr="00BD0C6B" w:rsidRDefault="00292582" w:rsidP="00292582">
                  <w:pPr>
                    <w:rPr>
                      <w:rFonts w:ascii="Calibri" w:hAnsi="Calibri" w:cs="Arial"/>
                      <w:b/>
                    </w:rPr>
                  </w:pPr>
                  <w:r w:rsidRPr="00BD0C6B">
                    <w:rPr>
                      <w:rFonts w:ascii="Calibri" w:hAnsi="Calibri" w:cs="Arial"/>
                      <w:b/>
                    </w:rPr>
                    <w:t xml:space="preserve">Signed by </w:t>
                  </w:r>
                </w:p>
              </w:tc>
            </w:tr>
            <w:tr w:rsidR="00292582" w:rsidRPr="00BD0C6B" w14:paraId="31AE06E1" w14:textId="77777777" w:rsidTr="00BB2485">
              <w:tc>
                <w:tcPr>
                  <w:tcW w:w="9854" w:type="dxa"/>
                  <w:tcBorders>
                    <w:bottom w:val="single" w:sz="4" w:space="0" w:color="auto"/>
                  </w:tcBorders>
                </w:tcPr>
                <w:p w14:paraId="5C7C9005" w14:textId="459A83BB" w:rsidR="00292582" w:rsidRPr="00BD0C6B" w:rsidRDefault="00BD0C6B" w:rsidP="00292582">
                  <w:pPr>
                    <w:rPr>
                      <w:rFonts w:ascii="Calibri" w:hAnsi="Calibri" w:cs="Arial"/>
                    </w:rPr>
                  </w:pPr>
                  <w:r w:rsidRPr="00BD0C6B">
                    <w:rPr>
                      <w:rFonts w:ascii="Calibri" w:hAnsi="Calibri" w:cs="Arial"/>
                    </w:rPr>
                    <w:t>Sabrina Kim</w:t>
                  </w:r>
                </w:p>
              </w:tc>
            </w:tr>
          </w:tbl>
          <w:p w14:paraId="7C4AB143" w14:textId="77777777" w:rsidR="00292582" w:rsidRPr="00BD0C6B" w:rsidRDefault="00292582" w:rsidP="0029258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292582" w:rsidRPr="00981955" w14:paraId="28D83B09" w14:textId="77777777" w:rsidTr="008747D3">
              <w:trPr>
                <w:trHeight w:val="87"/>
              </w:trPr>
              <w:tc>
                <w:tcPr>
                  <w:tcW w:w="9854" w:type="dxa"/>
                </w:tcPr>
                <w:p w14:paraId="587F5B23" w14:textId="77777777" w:rsidR="00292582" w:rsidRPr="00981955" w:rsidRDefault="00292582" w:rsidP="00292582">
                  <w:pPr>
                    <w:rPr>
                      <w:rFonts w:ascii="Calibri" w:hAnsi="Calibri" w:cs="Arial"/>
                      <w:b/>
                    </w:rPr>
                  </w:pPr>
                  <w:r w:rsidRPr="00BD0C6B">
                    <w:rPr>
                      <w:rFonts w:ascii="Calibri" w:hAnsi="Calibri" w:cs="Arial"/>
                      <w:b/>
                    </w:rPr>
                    <w:t>Position of witness</w:t>
                  </w:r>
                  <w:r w:rsidRPr="00981955">
                    <w:rPr>
                      <w:rFonts w:ascii="Calibri" w:hAnsi="Calibri" w:cs="Arial"/>
                      <w:b/>
                    </w:rPr>
                    <w:t xml:space="preserve"> </w:t>
                  </w:r>
                </w:p>
              </w:tc>
            </w:tr>
            <w:tr w:rsidR="00292582" w:rsidRPr="00981955" w14:paraId="4534FCF0" w14:textId="77777777" w:rsidTr="00BB2485">
              <w:tc>
                <w:tcPr>
                  <w:tcW w:w="9854" w:type="dxa"/>
                  <w:tcBorders>
                    <w:bottom w:val="single" w:sz="4" w:space="0" w:color="auto"/>
                  </w:tcBorders>
                </w:tcPr>
                <w:p w14:paraId="0A5DA2A3" w14:textId="1B983C0B" w:rsidR="00292582" w:rsidRPr="00981955" w:rsidRDefault="00BD0C6B" w:rsidP="00292582">
                  <w:pPr>
                    <w:rPr>
                      <w:rFonts w:ascii="Calibri" w:hAnsi="Calibri" w:cs="Arial"/>
                    </w:rPr>
                  </w:pPr>
                  <w:r>
                    <w:rPr>
                      <w:rFonts w:ascii="Calibri" w:hAnsi="Calibri" w:cs="Arial"/>
                    </w:rPr>
                    <w:t>Policy Officer</w:t>
                  </w:r>
                </w:p>
              </w:tc>
            </w:tr>
          </w:tbl>
          <w:p w14:paraId="01ED9A8F" w14:textId="1CD86618" w:rsidR="00292582" w:rsidRDefault="00292582">
            <w:r w:rsidRPr="00981955">
              <w:rPr>
                <w:rFonts w:ascii="Calibri" w:hAnsi="Calibri" w:cs="Arial"/>
              </w:rPr>
              <w:br w:type="column"/>
            </w:r>
          </w:p>
        </w:tc>
        <w:tc>
          <w:tcPr>
            <w:tcW w:w="4675" w:type="dxa"/>
          </w:tcPr>
          <w:p w14:paraId="1668B3F6" w14:textId="77777777" w:rsidR="00292582" w:rsidRPr="00981955" w:rsidRDefault="00292582" w:rsidP="00292582">
            <w:pPr>
              <w:rPr>
                <w:rFonts w:ascii="Calibri" w:hAnsi="Calibri" w:cs="Arial"/>
                <w:b/>
              </w:rPr>
            </w:pPr>
            <w:r w:rsidRPr="00981955">
              <w:rPr>
                <w:rFonts w:ascii="Calibri" w:hAnsi="Calibri" w:cs="Arial"/>
                <w:b/>
              </w:rPr>
              <w:t>SIGNED for and on behalf of</w:t>
            </w:r>
          </w:p>
          <w:p w14:paraId="49CCB43E" w14:textId="0CFFEC4D" w:rsidR="00292582" w:rsidRPr="00981955" w:rsidRDefault="00292582" w:rsidP="00292582">
            <w:pPr>
              <w:rPr>
                <w:rFonts w:ascii="Calibri" w:hAnsi="Calibri" w:cs="Arial"/>
                <w:b/>
              </w:rPr>
            </w:pPr>
            <w:r>
              <w:rPr>
                <w:rFonts w:ascii="Calibri" w:hAnsi="Calibri" w:cs="Arial"/>
                <w:noProof/>
              </w:rPr>
              <w:t>Curtin University of Technology</w:t>
            </w:r>
          </w:p>
          <w:p w14:paraId="4D2B7A20" w14:textId="77777777" w:rsidR="00292582" w:rsidRPr="00981955" w:rsidRDefault="00292582" w:rsidP="0029258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292582" w:rsidRPr="00981955" w14:paraId="46CFAFAB" w14:textId="77777777" w:rsidTr="00BB2485">
              <w:tc>
                <w:tcPr>
                  <w:tcW w:w="9854" w:type="dxa"/>
                </w:tcPr>
                <w:p w14:paraId="17F90208" w14:textId="77777777" w:rsidR="00292582" w:rsidRPr="00981955" w:rsidRDefault="00292582" w:rsidP="00292582">
                  <w:pPr>
                    <w:rPr>
                      <w:rFonts w:ascii="Calibri" w:hAnsi="Calibri" w:cs="Arial"/>
                      <w:b/>
                    </w:rPr>
                  </w:pPr>
                  <w:r w:rsidRPr="00981955">
                    <w:rPr>
                      <w:rFonts w:ascii="Calibri" w:hAnsi="Calibri" w:cs="Arial"/>
                      <w:b/>
                    </w:rPr>
                    <w:t xml:space="preserve">Signed by </w:t>
                  </w:r>
                </w:p>
              </w:tc>
            </w:tr>
            <w:tr w:rsidR="00292582" w:rsidRPr="00981955" w14:paraId="2B7C3584" w14:textId="77777777" w:rsidTr="00BB2485">
              <w:trPr>
                <w:trHeight w:val="122"/>
              </w:trPr>
              <w:tc>
                <w:tcPr>
                  <w:tcW w:w="9854" w:type="dxa"/>
                  <w:tcBorders>
                    <w:bottom w:val="single" w:sz="4" w:space="0" w:color="auto"/>
                  </w:tcBorders>
                  <w:vAlign w:val="bottom"/>
                </w:tcPr>
                <w:p w14:paraId="289306E5" w14:textId="06015660" w:rsidR="00292582" w:rsidRPr="00981955" w:rsidRDefault="00292582" w:rsidP="00292582">
                  <w:pPr>
                    <w:tabs>
                      <w:tab w:val="left" w:pos="4820"/>
                    </w:tabs>
                    <w:rPr>
                      <w:rFonts w:ascii="Calibri" w:hAnsi="Calibri" w:cs="Arial"/>
                    </w:rPr>
                  </w:pPr>
                  <w:r>
                    <w:rPr>
                      <w:rFonts w:ascii="Calibri" w:hAnsi="Calibri" w:cs="Arial"/>
                    </w:rPr>
                    <w:t xml:space="preserve">Professor </w:t>
                  </w:r>
                  <w:r w:rsidR="00335C98">
                    <w:rPr>
                      <w:rFonts w:ascii="Calibri" w:hAnsi="Calibri" w:cs="Arial"/>
                    </w:rPr>
                    <w:t xml:space="preserve">John </w:t>
                  </w:r>
                  <w:proofErr w:type="spellStart"/>
                  <w:r w:rsidR="00335C98">
                    <w:rPr>
                      <w:rFonts w:ascii="Calibri" w:hAnsi="Calibri" w:cs="Arial"/>
                    </w:rPr>
                    <w:t>Cordery</w:t>
                  </w:r>
                  <w:proofErr w:type="spellEnd"/>
                </w:p>
              </w:tc>
            </w:tr>
          </w:tbl>
          <w:p w14:paraId="571DD6E1" w14:textId="77777777" w:rsidR="00292582" w:rsidRPr="00981955" w:rsidRDefault="00292582" w:rsidP="0029258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292582" w:rsidRPr="00981955" w14:paraId="7B74B8A4" w14:textId="77777777" w:rsidTr="00BB2485">
              <w:tc>
                <w:tcPr>
                  <w:tcW w:w="9854" w:type="dxa"/>
                </w:tcPr>
                <w:p w14:paraId="2EC94BFB" w14:textId="77777777" w:rsidR="00292582" w:rsidRPr="00981955" w:rsidRDefault="00292582" w:rsidP="00292582">
                  <w:pPr>
                    <w:rPr>
                      <w:rFonts w:ascii="Calibri" w:hAnsi="Calibri" w:cs="Arial"/>
                      <w:b/>
                    </w:rPr>
                  </w:pPr>
                  <w:r w:rsidRPr="00981955">
                    <w:rPr>
                      <w:rFonts w:ascii="Calibri" w:hAnsi="Calibri" w:cs="Arial"/>
                      <w:b/>
                    </w:rPr>
                    <w:t xml:space="preserve">Position </w:t>
                  </w:r>
                </w:p>
              </w:tc>
            </w:tr>
            <w:tr w:rsidR="00292582" w:rsidRPr="00981955" w14:paraId="6EF45FD5" w14:textId="77777777" w:rsidTr="00BB2485">
              <w:tc>
                <w:tcPr>
                  <w:tcW w:w="9854" w:type="dxa"/>
                  <w:tcBorders>
                    <w:bottom w:val="single" w:sz="4" w:space="0" w:color="auto"/>
                  </w:tcBorders>
                </w:tcPr>
                <w:p w14:paraId="47DC7153" w14:textId="7937B988" w:rsidR="00292582" w:rsidRPr="00981955" w:rsidRDefault="00292582" w:rsidP="00292582">
                  <w:pPr>
                    <w:tabs>
                      <w:tab w:val="left" w:pos="4820"/>
                    </w:tabs>
                    <w:rPr>
                      <w:rFonts w:ascii="Calibri" w:hAnsi="Calibri" w:cs="Arial"/>
                    </w:rPr>
                  </w:pPr>
                  <w:r>
                    <w:rPr>
                      <w:rFonts w:ascii="Calibri" w:hAnsi="Calibri" w:cs="Arial"/>
                    </w:rPr>
                    <w:t>Interim Vice-Chancellor</w:t>
                  </w:r>
                </w:p>
              </w:tc>
            </w:tr>
          </w:tbl>
          <w:p w14:paraId="300D50B0" w14:textId="77777777" w:rsidR="00292582" w:rsidRPr="00981955" w:rsidRDefault="00292582" w:rsidP="00292582">
            <w:pPr>
              <w:rPr>
                <w:rFonts w:ascii="Calibri" w:hAnsi="Calibri" w:cs="Arial"/>
              </w:rPr>
            </w:pPr>
          </w:p>
          <w:p w14:paraId="09DD2F68" w14:textId="77777777" w:rsidR="00292582" w:rsidRPr="00981955" w:rsidRDefault="00292582" w:rsidP="00292582">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292582" w:rsidRPr="00981955" w14:paraId="41B2CB9B" w14:textId="77777777" w:rsidTr="00BB2485">
              <w:tc>
                <w:tcPr>
                  <w:tcW w:w="9854" w:type="dxa"/>
                </w:tcPr>
                <w:p w14:paraId="0570567E" w14:textId="77777777" w:rsidR="00292582" w:rsidRPr="00981955" w:rsidRDefault="00292582" w:rsidP="00292582">
                  <w:pPr>
                    <w:rPr>
                      <w:rFonts w:ascii="Calibri" w:hAnsi="Calibri" w:cs="Arial"/>
                      <w:b/>
                    </w:rPr>
                  </w:pPr>
                  <w:r w:rsidRPr="00981955">
                    <w:rPr>
                      <w:rFonts w:ascii="Calibri" w:hAnsi="Calibri" w:cs="Arial"/>
                      <w:b/>
                    </w:rPr>
                    <w:t xml:space="preserve">Signed by </w:t>
                  </w:r>
                </w:p>
              </w:tc>
            </w:tr>
            <w:tr w:rsidR="00292582" w:rsidRPr="00981955" w14:paraId="5DE47946" w14:textId="77777777" w:rsidTr="00BB2485">
              <w:tc>
                <w:tcPr>
                  <w:tcW w:w="9854" w:type="dxa"/>
                  <w:tcBorders>
                    <w:bottom w:val="single" w:sz="4" w:space="0" w:color="auto"/>
                  </w:tcBorders>
                </w:tcPr>
                <w:p w14:paraId="0339DD1E" w14:textId="5435EEBC" w:rsidR="00292582" w:rsidRPr="00981955" w:rsidRDefault="00292582" w:rsidP="00292582">
                  <w:pPr>
                    <w:rPr>
                      <w:rFonts w:ascii="Calibri" w:hAnsi="Calibri" w:cs="Arial"/>
                    </w:rPr>
                  </w:pPr>
                  <w:r>
                    <w:rPr>
                      <w:rFonts w:ascii="Calibri" w:hAnsi="Calibri" w:cs="Arial"/>
                    </w:rPr>
                    <w:t>Dr Marco Schultheis</w:t>
                  </w:r>
                </w:p>
              </w:tc>
            </w:tr>
          </w:tbl>
          <w:p w14:paraId="210D672C" w14:textId="77777777" w:rsidR="00292582" w:rsidRPr="00981955" w:rsidRDefault="00292582" w:rsidP="0029258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292582" w:rsidRPr="00981955" w14:paraId="03405719" w14:textId="77777777" w:rsidTr="00BB2485">
              <w:tc>
                <w:tcPr>
                  <w:tcW w:w="9854" w:type="dxa"/>
                </w:tcPr>
                <w:p w14:paraId="1A3BCD51" w14:textId="77777777" w:rsidR="00292582" w:rsidRPr="00981955" w:rsidRDefault="00292582" w:rsidP="00292582">
                  <w:pPr>
                    <w:rPr>
                      <w:rFonts w:ascii="Calibri" w:hAnsi="Calibri" w:cs="Arial"/>
                      <w:b/>
                    </w:rPr>
                  </w:pPr>
                  <w:r w:rsidRPr="00981955">
                    <w:rPr>
                      <w:rFonts w:ascii="Calibri" w:hAnsi="Calibri" w:cs="Arial"/>
                      <w:b/>
                    </w:rPr>
                    <w:t xml:space="preserve">Position or profession of witness </w:t>
                  </w:r>
                </w:p>
              </w:tc>
            </w:tr>
            <w:tr w:rsidR="00292582" w:rsidRPr="00981955" w14:paraId="591189C0" w14:textId="77777777" w:rsidTr="00BB2485">
              <w:tc>
                <w:tcPr>
                  <w:tcW w:w="9854" w:type="dxa"/>
                  <w:tcBorders>
                    <w:bottom w:val="single" w:sz="4" w:space="0" w:color="auto"/>
                  </w:tcBorders>
                </w:tcPr>
                <w:p w14:paraId="565A162C" w14:textId="4D2962BF" w:rsidR="00292582" w:rsidRPr="00981955" w:rsidRDefault="00292582" w:rsidP="00292582">
                  <w:pPr>
                    <w:rPr>
                      <w:rFonts w:ascii="Calibri" w:hAnsi="Calibri" w:cs="Arial"/>
                    </w:rPr>
                  </w:pPr>
                  <w:r>
                    <w:rPr>
                      <w:rFonts w:ascii="Calibri" w:hAnsi="Calibri" w:cs="Arial"/>
                    </w:rPr>
                    <w:t>Chief Strategy Officer</w:t>
                  </w:r>
                </w:p>
              </w:tc>
            </w:tr>
          </w:tbl>
          <w:p w14:paraId="134F2449" w14:textId="77777777" w:rsidR="00292582" w:rsidRDefault="00292582"/>
        </w:tc>
      </w:tr>
    </w:tbl>
    <w:p w14:paraId="3C74D9EA" w14:textId="77777777" w:rsidR="00311C88" w:rsidRPr="001B64A0" w:rsidRDefault="00311C88"/>
    <w:sectPr w:rsidR="00311C88" w:rsidRPr="001B64A0"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A643CA" w:rsidRDefault="00A643CA" w:rsidP="00F56CFA">
      <w:r>
        <w:separator/>
      </w:r>
    </w:p>
  </w:endnote>
  <w:endnote w:type="continuationSeparator" w:id="0">
    <w:p w14:paraId="74A230DC" w14:textId="77777777" w:rsidR="00A643CA" w:rsidRDefault="00A643CA" w:rsidP="00F56CFA">
      <w:r>
        <w:continuationSeparator/>
      </w:r>
    </w:p>
  </w:endnote>
  <w:endnote w:type="continuationNotice" w:id="1">
    <w:p w14:paraId="1F17AA49" w14:textId="77777777" w:rsidR="00A643CA" w:rsidRDefault="00A6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A643CA" w:rsidRDefault="00A643CA" w:rsidP="00F56CFA">
      <w:r>
        <w:separator/>
      </w:r>
    </w:p>
  </w:footnote>
  <w:footnote w:type="continuationSeparator" w:id="0">
    <w:p w14:paraId="1F5BDBE7" w14:textId="77777777" w:rsidR="00A643CA" w:rsidRDefault="00A643CA" w:rsidP="00F56CFA">
      <w:r>
        <w:continuationSeparator/>
      </w:r>
    </w:p>
  </w:footnote>
  <w:footnote w:type="continuationNotice" w:id="1">
    <w:p w14:paraId="0D9FE6BF" w14:textId="77777777" w:rsidR="00A643CA" w:rsidRDefault="00A64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5835"/>
        </w:tabs>
        <w:ind w:left="5835"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7805FB"/>
    <w:multiLevelType w:val="multilevel"/>
    <w:tmpl w:val="30E644B6"/>
    <w:lvl w:ilvl="0">
      <w:numFmt w:val="bullet"/>
      <w:lvlText w:val="·"/>
      <w:lvlJc w:val="left"/>
      <w:pPr>
        <w:tabs>
          <w:tab w:val="left" w:pos="288"/>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7A2449"/>
    <w:multiLevelType w:val="multilevel"/>
    <w:tmpl w:val="5F2C76B2"/>
    <w:lvl w:ilvl="0">
      <w:start w:val="1"/>
      <w:numFmt w:val="decimal"/>
      <w:lvlText w:val="%1."/>
      <w:lvlJc w:val="left"/>
      <w:pPr>
        <w:tabs>
          <w:tab w:val="left" w:pos="36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764DE5"/>
    <w:multiLevelType w:val="multilevel"/>
    <w:tmpl w:val="2940D232"/>
    <w:lvl w:ilvl="0">
      <w:numFmt w:val="bullet"/>
      <w:lvlText w:val="·"/>
      <w:lvlJc w:val="left"/>
      <w:pPr>
        <w:tabs>
          <w:tab w:val="left" w:pos="432"/>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49693C"/>
    <w:multiLevelType w:val="hybridMultilevel"/>
    <w:tmpl w:val="BFB05BBA"/>
    <w:lvl w:ilvl="0" w:tplc="0C09000F">
      <w:start w:val="1"/>
      <w:numFmt w:val="decimal"/>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7"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EA1B63"/>
    <w:multiLevelType w:val="hybridMultilevel"/>
    <w:tmpl w:val="9E06D626"/>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9"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A61079B"/>
    <w:multiLevelType w:val="hybridMultilevel"/>
    <w:tmpl w:val="5E788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AC4062"/>
    <w:multiLevelType w:val="hybridMultilevel"/>
    <w:tmpl w:val="08C25CCA"/>
    <w:lvl w:ilvl="0" w:tplc="C00401A2">
      <w:start w:val="3"/>
      <w:numFmt w:val="bullet"/>
      <w:lvlText w:val="·"/>
      <w:lvlJc w:val="left"/>
      <w:pPr>
        <w:ind w:left="718" w:hanging="610"/>
      </w:pPr>
      <w:rPr>
        <w:rFonts w:ascii="Arial" w:eastAsia="Arial" w:hAnsi="Aria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22"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F691301"/>
    <w:multiLevelType w:val="multilevel"/>
    <w:tmpl w:val="7E12DE5A"/>
    <w:lvl w:ilvl="0">
      <w:start w:val="1"/>
      <w:numFmt w:val="lowerLetter"/>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C14707"/>
    <w:multiLevelType w:val="multilevel"/>
    <w:tmpl w:val="2D5684B2"/>
    <w:lvl w:ilvl="0">
      <w:numFmt w:val="bullet"/>
      <w:lvlText w:val="·"/>
      <w:lvlJc w:val="left"/>
      <w:pPr>
        <w:tabs>
          <w:tab w:val="left" w:pos="360"/>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2FA2503"/>
    <w:multiLevelType w:val="multilevel"/>
    <w:tmpl w:val="390AC10A"/>
    <w:lvl w:ilvl="0">
      <w:numFmt w:val="bullet"/>
      <w:lvlText w:val="·"/>
      <w:lvlJc w:val="left"/>
      <w:pPr>
        <w:tabs>
          <w:tab w:val="left" w:pos="288"/>
        </w:tabs>
      </w:pPr>
      <w:rPr>
        <w:rFonts w:ascii="Symbol" w:eastAsia="Symbol" w:hAnsi="Symbo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785A4E"/>
    <w:multiLevelType w:val="multilevel"/>
    <w:tmpl w:val="7B60B5D0"/>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927E68"/>
    <w:multiLevelType w:val="multilevel"/>
    <w:tmpl w:val="662ABFB8"/>
    <w:lvl w:ilvl="0">
      <w:numFmt w:val="bullet"/>
      <w:lvlText w:val="·"/>
      <w:lvlJc w:val="left"/>
      <w:pPr>
        <w:tabs>
          <w:tab w:val="left" w:pos="360"/>
        </w:tabs>
      </w:pPr>
      <w:rPr>
        <w:rFonts w:ascii="Symbol" w:eastAsia="Symbol" w:hAnsi="Symbol"/>
        <w:b/>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387DC9"/>
    <w:multiLevelType w:val="multilevel"/>
    <w:tmpl w:val="9BF204C0"/>
    <w:lvl w:ilvl="0">
      <w:start w:val="1"/>
      <w:numFmt w:val="decimal"/>
      <w:lvlText w:val="%1."/>
      <w:lvlJc w:val="left"/>
      <w:pPr>
        <w:tabs>
          <w:tab w:val="left" w:pos="360"/>
        </w:tabs>
      </w:pPr>
      <w:rPr>
        <w:rFonts w:ascii="Verdana" w:eastAsia="Verdana" w:hAnsi="Verdan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14546A"/>
    <w:multiLevelType w:val="multilevel"/>
    <w:tmpl w:val="4ECE906C"/>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8A352F"/>
    <w:multiLevelType w:val="multilevel"/>
    <w:tmpl w:val="9BF204C0"/>
    <w:lvl w:ilvl="0">
      <w:start w:val="1"/>
      <w:numFmt w:val="decimal"/>
      <w:lvlText w:val="%1."/>
      <w:lvlJc w:val="left"/>
      <w:pPr>
        <w:tabs>
          <w:tab w:val="left" w:pos="360"/>
        </w:tabs>
      </w:pPr>
      <w:rPr>
        <w:rFonts w:ascii="Verdana" w:eastAsia="Verdana" w:hAnsi="Verdan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F2E5841"/>
    <w:multiLevelType w:val="multilevel"/>
    <w:tmpl w:val="D7403E4A"/>
    <w:lvl w:ilvl="0">
      <w:start w:val="1"/>
      <w:numFmt w:val="decimal"/>
      <w:lvlText w:val="%1."/>
      <w:lvlJc w:val="left"/>
      <w:pPr>
        <w:tabs>
          <w:tab w:val="left" w:pos="360"/>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7"/>
  </w:num>
  <w:num w:numId="3">
    <w:abstractNumId w:val="28"/>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8"/>
  </w:num>
  <w:num w:numId="16">
    <w:abstractNumId w:val="36"/>
  </w:num>
  <w:num w:numId="17">
    <w:abstractNumId w:val="19"/>
  </w:num>
  <w:num w:numId="18">
    <w:abstractNumId w:val="10"/>
  </w:num>
  <w:num w:numId="19">
    <w:abstractNumId w:val="14"/>
  </w:num>
  <w:num w:numId="20">
    <w:abstractNumId w:val="22"/>
  </w:num>
  <w:num w:numId="21">
    <w:abstractNumId w:val="35"/>
  </w:num>
  <w:num w:numId="22">
    <w:abstractNumId w:val="40"/>
  </w:num>
  <w:num w:numId="23">
    <w:abstractNumId w:val="41"/>
  </w:num>
  <w:num w:numId="24">
    <w:abstractNumId w:val="24"/>
  </w:num>
  <w:num w:numId="25">
    <w:abstractNumId w:val="39"/>
  </w:num>
  <w:num w:numId="26">
    <w:abstractNumId w:val="12"/>
  </w:num>
  <w:num w:numId="27">
    <w:abstractNumId w:val="27"/>
  </w:num>
  <w:num w:numId="28">
    <w:abstractNumId w:val="30"/>
  </w:num>
  <w:num w:numId="29">
    <w:abstractNumId w:val="26"/>
  </w:num>
  <w:num w:numId="30">
    <w:abstractNumId w:val="11"/>
  </w:num>
  <w:num w:numId="31">
    <w:abstractNumId w:val="23"/>
  </w:num>
  <w:num w:numId="32">
    <w:abstractNumId w:val="33"/>
  </w:num>
  <w:num w:numId="33">
    <w:abstractNumId w:val="42"/>
  </w:num>
  <w:num w:numId="34">
    <w:abstractNumId w:val="13"/>
  </w:num>
  <w:num w:numId="35">
    <w:abstractNumId w:val="15"/>
  </w:num>
  <w:num w:numId="36">
    <w:abstractNumId w:val="18"/>
  </w:num>
  <w:num w:numId="37">
    <w:abstractNumId w:val="21"/>
  </w:num>
  <w:num w:numId="38">
    <w:abstractNumId w:val="20"/>
  </w:num>
  <w:num w:numId="39">
    <w:abstractNumId w:val="16"/>
  </w:num>
  <w:num w:numId="40">
    <w:abstractNumId w:val="31"/>
  </w:num>
  <w:num w:numId="41">
    <w:abstractNumId w:val="32"/>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B1075"/>
    <w:rsid w:val="000D4227"/>
    <w:rsid w:val="000D5C62"/>
    <w:rsid w:val="000E4FBA"/>
    <w:rsid w:val="000F3109"/>
    <w:rsid w:val="00132B35"/>
    <w:rsid w:val="00146F85"/>
    <w:rsid w:val="0015292B"/>
    <w:rsid w:val="0016180F"/>
    <w:rsid w:val="00172F9C"/>
    <w:rsid w:val="001745CC"/>
    <w:rsid w:val="0018198A"/>
    <w:rsid w:val="001819F7"/>
    <w:rsid w:val="0018596C"/>
    <w:rsid w:val="0019562E"/>
    <w:rsid w:val="001A63B9"/>
    <w:rsid w:val="001B64A0"/>
    <w:rsid w:val="001C49AB"/>
    <w:rsid w:val="001F15CE"/>
    <w:rsid w:val="002002A2"/>
    <w:rsid w:val="002021AA"/>
    <w:rsid w:val="00212410"/>
    <w:rsid w:val="00213F07"/>
    <w:rsid w:val="00215A22"/>
    <w:rsid w:val="0022295C"/>
    <w:rsid w:val="002328CE"/>
    <w:rsid w:val="0024185F"/>
    <w:rsid w:val="00247E02"/>
    <w:rsid w:val="002503D1"/>
    <w:rsid w:val="00276BFB"/>
    <w:rsid w:val="00284602"/>
    <w:rsid w:val="0028479A"/>
    <w:rsid w:val="00292582"/>
    <w:rsid w:val="002A71BE"/>
    <w:rsid w:val="002B0D40"/>
    <w:rsid w:val="002B6B6F"/>
    <w:rsid w:val="002C1A2E"/>
    <w:rsid w:val="002C232A"/>
    <w:rsid w:val="002C2896"/>
    <w:rsid w:val="002E3538"/>
    <w:rsid w:val="002E6E29"/>
    <w:rsid w:val="002F5D59"/>
    <w:rsid w:val="0030311B"/>
    <w:rsid w:val="00311C88"/>
    <w:rsid w:val="0031335B"/>
    <w:rsid w:val="003141F2"/>
    <w:rsid w:val="00335C98"/>
    <w:rsid w:val="00353E74"/>
    <w:rsid w:val="003672C5"/>
    <w:rsid w:val="003A0BE0"/>
    <w:rsid w:val="003A514E"/>
    <w:rsid w:val="003D1373"/>
    <w:rsid w:val="003E05D6"/>
    <w:rsid w:val="00400D7B"/>
    <w:rsid w:val="00411B87"/>
    <w:rsid w:val="00425DBC"/>
    <w:rsid w:val="00444CB9"/>
    <w:rsid w:val="0045001B"/>
    <w:rsid w:val="00456FEF"/>
    <w:rsid w:val="00465012"/>
    <w:rsid w:val="00480472"/>
    <w:rsid w:val="00481E8B"/>
    <w:rsid w:val="00491944"/>
    <w:rsid w:val="004A5301"/>
    <w:rsid w:val="004C612A"/>
    <w:rsid w:val="004D1B82"/>
    <w:rsid w:val="004F2EC1"/>
    <w:rsid w:val="004F2EE7"/>
    <w:rsid w:val="00511487"/>
    <w:rsid w:val="0051348E"/>
    <w:rsid w:val="00515BD5"/>
    <w:rsid w:val="00541B0B"/>
    <w:rsid w:val="005458A1"/>
    <w:rsid w:val="00555BB5"/>
    <w:rsid w:val="005705F4"/>
    <w:rsid w:val="00582FFF"/>
    <w:rsid w:val="005971D3"/>
    <w:rsid w:val="005B5C98"/>
    <w:rsid w:val="005B737B"/>
    <w:rsid w:val="005C35BA"/>
    <w:rsid w:val="005D6DCF"/>
    <w:rsid w:val="005F32BA"/>
    <w:rsid w:val="00612A39"/>
    <w:rsid w:val="00623DBC"/>
    <w:rsid w:val="0063370D"/>
    <w:rsid w:val="00634AE6"/>
    <w:rsid w:val="0065460B"/>
    <w:rsid w:val="00655CF9"/>
    <w:rsid w:val="006660A6"/>
    <w:rsid w:val="00676D92"/>
    <w:rsid w:val="00684881"/>
    <w:rsid w:val="006908B3"/>
    <w:rsid w:val="006A12A3"/>
    <w:rsid w:val="006A6B5F"/>
    <w:rsid w:val="006C77D9"/>
    <w:rsid w:val="006F357B"/>
    <w:rsid w:val="007264C8"/>
    <w:rsid w:val="00736D77"/>
    <w:rsid w:val="00741974"/>
    <w:rsid w:val="007504A8"/>
    <w:rsid w:val="00760725"/>
    <w:rsid w:val="00767B00"/>
    <w:rsid w:val="00772160"/>
    <w:rsid w:val="007877C4"/>
    <w:rsid w:val="00795268"/>
    <w:rsid w:val="007A737D"/>
    <w:rsid w:val="007B0B8B"/>
    <w:rsid w:val="007D4875"/>
    <w:rsid w:val="007F6B42"/>
    <w:rsid w:val="007F75F1"/>
    <w:rsid w:val="00800FF1"/>
    <w:rsid w:val="008050F3"/>
    <w:rsid w:val="00805873"/>
    <w:rsid w:val="00816529"/>
    <w:rsid w:val="008340F9"/>
    <w:rsid w:val="00854E8D"/>
    <w:rsid w:val="008747D3"/>
    <w:rsid w:val="008B039C"/>
    <w:rsid w:val="008C0663"/>
    <w:rsid w:val="008C6BD3"/>
    <w:rsid w:val="008D422E"/>
    <w:rsid w:val="008D76F8"/>
    <w:rsid w:val="008F0C17"/>
    <w:rsid w:val="008F1870"/>
    <w:rsid w:val="00911F13"/>
    <w:rsid w:val="00933825"/>
    <w:rsid w:val="00951B61"/>
    <w:rsid w:val="00952BBD"/>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23C4A"/>
    <w:rsid w:val="00A33B4C"/>
    <w:rsid w:val="00A33C43"/>
    <w:rsid w:val="00A42796"/>
    <w:rsid w:val="00A47213"/>
    <w:rsid w:val="00A643CA"/>
    <w:rsid w:val="00A66663"/>
    <w:rsid w:val="00AB1469"/>
    <w:rsid w:val="00AB5503"/>
    <w:rsid w:val="00AE0AFC"/>
    <w:rsid w:val="00AE4D0F"/>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0C6B"/>
    <w:rsid w:val="00BD4FB0"/>
    <w:rsid w:val="00BD52E3"/>
    <w:rsid w:val="00C11E11"/>
    <w:rsid w:val="00C156FA"/>
    <w:rsid w:val="00C5261D"/>
    <w:rsid w:val="00C576C4"/>
    <w:rsid w:val="00C57E17"/>
    <w:rsid w:val="00C64062"/>
    <w:rsid w:val="00C800C7"/>
    <w:rsid w:val="00CC2BB3"/>
    <w:rsid w:val="00CC5465"/>
    <w:rsid w:val="00CD556E"/>
    <w:rsid w:val="00CE19BB"/>
    <w:rsid w:val="00CE795A"/>
    <w:rsid w:val="00CF3B12"/>
    <w:rsid w:val="00D03787"/>
    <w:rsid w:val="00D426EF"/>
    <w:rsid w:val="00D44AC7"/>
    <w:rsid w:val="00D71394"/>
    <w:rsid w:val="00D7289B"/>
    <w:rsid w:val="00D75C12"/>
    <w:rsid w:val="00D95496"/>
    <w:rsid w:val="00DC1B07"/>
    <w:rsid w:val="00DC76E6"/>
    <w:rsid w:val="00DD3641"/>
    <w:rsid w:val="00DE3217"/>
    <w:rsid w:val="00DF1D0E"/>
    <w:rsid w:val="00E10ADA"/>
    <w:rsid w:val="00E2475B"/>
    <w:rsid w:val="00E44037"/>
    <w:rsid w:val="00E45690"/>
    <w:rsid w:val="00E4662E"/>
    <w:rsid w:val="00E52060"/>
    <w:rsid w:val="00E5685E"/>
    <w:rsid w:val="00E57E3B"/>
    <w:rsid w:val="00E668D6"/>
    <w:rsid w:val="00E73CFD"/>
    <w:rsid w:val="00E77E31"/>
    <w:rsid w:val="00E83A41"/>
    <w:rsid w:val="00E86C41"/>
    <w:rsid w:val="00EA22C5"/>
    <w:rsid w:val="00EB2E25"/>
    <w:rsid w:val="00EB704B"/>
    <w:rsid w:val="00EC08AE"/>
    <w:rsid w:val="00ED7F0E"/>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styleId="UnresolvedMention">
    <w:name w:val="Unresolved Mention"/>
    <w:basedOn w:val="DefaultParagraphFont"/>
    <w:uiPriority w:val="99"/>
    <w:semiHidden/>
    <w:unhideWhenUsed/>
    <w:rsid w:val="00541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tegicplan.curtin.edu.au/strategic-positionin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Props1.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2.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6F213-4C06-430A-B848-E17F61CCB2F4}">
  <ds:schemaRefs>
    <ds:schemaRef ds:uri="http://schemas.openxmlformats.org/package/2006/metadata/core-properties"/>
    <ds:schemaRef ds:uri="http://schemas.microsoft.com/office/infopath/2007/PartnerControls"/>
    <ds:schemaRef ds:uri="http://purl.org/dc/dcmitype/"/>
    <ds:schemaRef ds:uri="http://purl.org/dc/terms/"/>
    <ds:schemaRef ds:uri="http://schemas.microsoft.com/office/2006/metadata/properties"/>
    <ds:schemaRef ds:uri="http://purl.org/dc/elements/1.1/"/>
    <ds:schemaRef ds:uri="http://schemas.microsoft.com/office/2006/documentManagement/types"/>
    <ds:schemaRef ds:uri="ACE3D9DF-0D23-4D2D-95DF-DC07378BAFD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2972</Words>
  <Characters>17592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PIANI,Patrick</cp:lastModifiedBy>
  <cp:revision>2</cp:revision>
  <cp:lastPrinted>2020-12-18T00:23:00Z</cp:lastPrinted>
  <dcterms:created xsi:type="dcterms:W3CDTF">2021-01-12T23:45:00Z</dcterms:created>
  <dcterms:modified xsi:type="dcterms:W3CDTF">2021-01-12T23:45:00Z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