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213D" w14:textId="52D60ABC" w:rsidR="00C15B22" w:rsidRDefault="00C15B22" w:rsidP="00C15B22">
      <w:pPr>
        <w:spacing w:after="300" w:line="300" w:lineRule="exact"/>
        <w:contextualSpacing/>
        <w:jc w:val="center"/>
        <w:rPr>
          <w:rFonts w:cstheme="minorHAnsi"/>
          <w:b/>
          <w:u w:val="single"/>
        </w:rPr>
      </w:pPr>
    </w:p>
    <w:p w14:paraId="7866A596" w14:textId="14EB5CC9" w:rsidR="00C15B22" w:rsidRDefault="00C15B22" w:rsidP="00C15B22">
      <w:pPr>
        <w:spacing w:after="300" w:line="300" w:lineRule="exact"/>
        <w:contextualSpacing/>
        <w:jc w:val="center"/>
        <w:rPr>
          <w:rFonts w:cstheme="minorHAnsi"/>
          <w:b/>
          <w:u w:val="single"/>
        </w:rPr>
      </w:pPr>
    </w:p>
    <w:p w14:paraId="24535713" w14:textId="2C403564" w:rsidR="00C15B22" w:rsidRDefault="00C15B22" w:rsidP="00C15B22">
      <w:pPr>
        <w:spacing w:after="300" w:line="300" w:lineRule="exact"/>
        <w:contextualSpacing/>
        <w:jc w:val="center"/>
        <w:rPr>
          <w:rFonts w:cstheme="minorHAnsi"/>
          <w:b/>
          <w:u w:val="single"/>
        </w:rPr>
      </w:pPr>
    </w:p>
    <w:p w14:paraId="364D0DBA" w14:textId="77777777" w:rsidR="00C15B22" w:rsidRPr="00561E46" w:rsidRDefault="00C15B22" w:rsidP="00C15B22">
      <w:pPr>
        <w:spacing w:after="300" w:line="300" w:lineRule="exact"/>
        <w:contextualSpacing/>
        <w:jc w:val="center"/>
        <w:rPr>
          <w:rFonts w:cstheme="minorHAnsi"/>
          <w:b/>
          <w:u w:val="single"/>
        </w:rPr>
      </w:pPr>
    </w:p>
    <w:p w14:paraId="48633962" w14:textId="77777777" w:rsidR="00216A6D" w:rsidRPr="004B6CE4" w:rsidRDefault="00216A6D" w:rsidP="009E00CE">
      <w:pPr>
        <w:spacing w:after="300" w:line="300" w:lineRule="exact"/>
        <w:contextualSpacing/>
        <w:jc w:val="center"/>
        <w:rPr>
          <w:rFonts w:eastAsiaTheme="majorEastAsia" w:cstheme="minorHAnsi"/>
          <w:b/>
          <w:spacing w:val="5"/>
          <w:kern w:val="28"/>
          <w:sz w:val="32"/>
          <w:szCs w:val="32"/>
        </w:rPr>
      </w:pPr>
    </w:p>
    <w:p w14:paraId="219D4303" w14:textId="77777777" w:rsidR="00216A6D" w:rsidRPr="004B6CE4" w:rsidRDefault="00216A6D" w:rsidP="009E00CE">
      <w:pPr>
        <w:spacing w:after="300" w:line="300" w:lineRule="exact"/>
        <w:ind w:left="709" w:hanging="709"/>
        <w:contextualSpacing/>
        <w:jc w:val="center"/>
        <w:rPr>
          <w:rFonts w:eastAsiaTheme="majorEastAsia" w:cstheme="minorHAnsi"/>
          <w:b/>
          <w:spacing w:val="5"/>
          <w:kern w:val="28"/>
          <w:sz w:val="32"/>
          <w:szCs w:val="32"/>
        </w:rPr>
      </w:pPr>
    </w:p>
    <w:p w14:paraId="27029332" w14:textId="77777777" w:rsidR="00523E75" w:rsidRPr="00523E75" w:rsidRDefault="00523E75" w:rsidP="00523E75">
      <w:pPr>
        <w:pBdr>
          <w:top w:val="single" w:sz="12" w:space="1" w:color="auto"/>
        </w:pBdr>
        <w:spacing w:after="300" w:line="240" w:lineRule="auto"/>
        <w:contextualSpacing/>
        <w:jc w:val="center"/>
        <w:rPr>
          <w:rFonts w:eastAsiaTheme="majorEastAsia" w:cstheme="minorHAnsi"/>
          <w:b/>
          <w:spacing w:val="5"/>
          <w:kern w:val="28"/>
          <w:szCs w:val="20"/>
        </w:rPr>
      </w:pPr>
    </w:p>
    <w:p w14:paraId="29209ED6" w14:textId="6DF5ED30" w:rsidR="00216A6D" w:rsidRPr="004B6CE4" w:rsidRDefault="00216A6D" w:rsidP="00391452">
      <w:pPr>
        <w:pBdr>
          <w:top w:val="single" w:sz="12" w:space="1" w:color="auto"/>
        </w:pBdr>
        <w:spacing w:before="240" w:after="240" w:line="240" w:lineRule="auto"/>
        <w:contextualSpacing/>
        <w:jc w:val="center"/>
        <w:rPr>
          <w:rFonts w:eastAsiaTheme="majorEastAsia" w:cstheme="minorHAnsi"/>
          <w:b/>
          <w:spacing w:val="5"/>
          <w:kern w:val="28"/>
          <w:sz w:val="40"/>
          <w:szCs w:val="40"/>
        </w:rPr>
      </w:pPr>
      <w:r w:rsidRPr="004B6CE4">
        <w:rPr>
          <w:rFonts w:eastAsiaTheme="majorEastAsia" w:cstheme="minorHAnsi"/>
          <w:b/>
          <w:spacing w:val="5"/>
          <w:kern w:val="28"/>
          <w:sz w:val="40"/>
          <w:szCs w:val="40"/>
        </w:rPr>
        <w:t xml:space="preserve">Choice and Affordability </w:t>
      </w:r>
      <w:r>
        <w:rPr>
          <w:rFonts w:eastAsiaTheme="majorEastAsia" w:cstheme="minorHAnsi"/>
          <w:b/>
          <w:spacing w:val="5"/>
          <w:kern w:val="28"/>
          <w:sz w:val="40"/>
          <w:szCs w:val="40"/>
        </w:rPr>
        <w:t xml:space="preserve">Fund </w:t>
      </w:r>
      <w:r w:rsidRPr="004B6CE4">
        <w:rPr>
          <w:rFonts w:eastAsiaTheme="majorEastAsia" w:cstheme="minorHAnsi"/>
          <w:b/>
          <w:spacing w:val="5"/>
          <w:kern w:val="28"/>
          <w:sz w:val="40"/>
          <w:szCs w:val="40"/>
        </w:rPr>
        <w:br/>
      </w:r>
    </w:p>
    <w:p w14:paraId="637A3BED" w14:textId="24F1BF74" w:rsidR="00216A6D" w:rsidRPr="00F210E6" w:rsidRDefault="00391452" w:rsidP="00391452">
      <w:pPr>
        <w:pBdr>
          <w:top w:val="single" w:sz="12" w:space="1" w:color="auto"/>
        </w:pBdr>
        <w:spacing w:before="240" w:after="240" w:line="240" w:lineRule="auto"/>
        <w:contextualSpacing/>
        <w:jc w:val="center"/>
        <w:rPr>
          <w:rFonts w:eastAsiaTheme="majorEastAsia" w:cstheme="minorHAnsi"/>
          <w:b/>
          <w:i/>
          <w:iCs/>
          <w:spacing w:val="5"/>
          <w:kern w:val="28"/>
          <w:sz w:val="40"/>
          <w:szCs w:val="40"/>
        </w:rPr>
      </w:pPr>
      <w:r w:rsidRPr="00F210E6">
        <w:rPr>
          <w:rFonts w:eastAsiaTheme="majorEastAsia" w:cstheme="minorHAnsi"/>
          <w:b/>
          <w:i/>
          <w:iCs/>
          <w:spacing w:val="5"/>
          <w:kern w:val="28"/>
          <w:sz w:val="40"/>
          <w:szCs w:val="40"/>
        </w:rPr>
        <w:t xml:space="preserve">Work Plan </w:t>
      </w:r>
      <w:r w:rsidR="00216A6D" w:rsidRPr="00F210E6">
        <w:rPr>
          <w:rFonts w:eastAsiaTheme="majorEastAsia" w:cstheme="minorHAnsi"/>
          <w:b/>
          <w:i/>
          <w:iCs/>
          <w:spacing w:val="5"/>
          <w:kern w:val="28"/>
          <w:sz w:val="40"/>
          <w:szCs w:val="40"/>
        </w:rPr>
        <w:t>202</w:t>
      </w:r>
      <w:r w:rsidR="004766F9" w:rsidRPr="00F210E6">
        <w:rPr>
          <w:rFonts w:eastAsiaTheme="majorEastAsia" w:cstheme="minorHAnsi"/>
          <w:b/>
          <w:i/>
          <w:iCs/>
          <w:spacing w:val="5"/>
          <w:kern w:val="28"/>
          <w:sz w:val="40"/>
          <w:szCs w:val="40"/>
        </w:rPr>
        <w:t>2</w:t>
      </w:r>
      <w:r w:rsidR="008221C1" w:rsidRPr="00F210E6">
        <w:rPr>
          <w:rFonts w:eastAsiaTheme="majorEastAsia" w:cstheme="minorHAnsi"/>
          <w:b/>
          <w:i/>
          <w:iCs/>
          <w:spacing w:val="5"/>
          <w:kern w:val="28"/>
          <w:sz w:val="40"/>
          <w:szCs w:val="40"/>
        </w:rPr>
        <w:t>–</w:t>
      </w:r>
      <w:r w:rsidR="00216A6D" w:rsidRPr="00F210E6">
        <w:rPr>
          <w:rFonts w:eastAsiaTheme="majorEastAsia" w:cstheme="minorHAnsi"/>
          <w:b/>
          <w:i/>
          <w:iCs/>
          <w:spacing w:val="5"/>
          <w:kern w:val="28"/>
          <w:sz w:val="40"/>
          <w:szCs w:val="40"/>
        </w:rPr>
        <w:t>202</w:t>
      </w:r>
      <w:r w:rsidR="004766F9" w:rsidRPr="00F210E6">
        <w:rPr>
          <w:rFonts w:eastAsiaTheme="majorEastAsia" w:cstheme="minorHAnsi"/>
          <w:b/>
          <w:i/>
          <w:iCs/>
          <w:spacing w:val="5"/>
          <w:kern w:val="28"/>
          <w:sz w:val="40"/>
          <w:szCs w:val="40"/>
        </w:rPr>
        <w:t>5</w:t>
      </w:r>
    </w:p>
    <w:p w14:paraId="08C71177" w14:textId="77777777" w:rsidR="00216A6D" w:rsidRPr="004B6CE4" w:rsidRDefault="00216A6D" w:rsidP="00391452">
      <w:pPr>
        <w:spacing w:before="240" w:after="240" w:line="240" w:lineRule="auto"/>
        <w:ind w:left="709" w:hanging="709"/>
        <w:contextualSpacing/>
        <w:jc w:val="center"/>
        <w:rPr>
          <w:rFonts w:eastAsiaTheme="majorEastAsia" w:cstheme="minorHAnsi"/>
          <w:b/>
          <w:spacing w:val="5"/>
          <w:kern w:val="28"/>
          <w:sz w:val="40"/>
          <w:szCs w:val="40"/>
        </w:rPr>
      </w:pPr>
    </w:p>
    <w:p w14:paraId="57F5B0E9" w14:textId="0577F19F" w:rsidR="00216A6D" w:rsidRPr="00F73C7C" w:rsidRDefault="00F73C7C" w:rsidP="00391452">
      <w:pPr>
        <w:spacing w:before="240" w:after="240" w:line="240" w:lineRule="auto"/>
        <w:ind w:left="709" w:hanging="709"/>
        <w:contextualSpacing/>
        <w:jc w:val="center"/>
        <w:rPr>
          <w:rFonts w:eastAsiaTheme="majorEastAsia" w:cstheme="minorHAnsi"/>
          <w:b/>
          <w:spacing w:val="5"/>
          <w:kern w:val="28"/>
          <w:sz w:val="36"/>
          <w:szCs w:val="36"/>
        </w:rPr>
      </w:pPr>
      <w:r w:rsidRPr="00F73C7C">
        <w:rPr>
          <w:rFonts w:eastAsiaTheme="majorEastAsia" w:cstheme="minorHAnsi"/>
          <w:b/>
          <w:spacing w:val="5"/>
          <w:kern w:val="28"/>
          <w:sz w:val="36"/>
          <w:szCs w:val="36"/>
        </w:rPr>
        <w:t>Catholic Education Western Australia Ltd</w:t>
      </w:r>
    </w:p>
    <w:p w14:paraId="50751B9E" w14:textId="77777777" w:rsidR="00D0447E" w:rsidRDefault="00D0447E" w:rsidP="00523E75">
      <w:pPr>
        <w:pBdr>
          <w:bottom w:val="single" w:sz="12" w:space="1" w:color="auto"/>
        </w:pBdr>
        <w:spacing w:after="300" w:line="240" w:lineRule="auto"/>
        <w:contextualSpacing/>
        <w:jc w:val="center"/>
        <w:rPr>
          <w:rFonts w:cstheme="minorHAnsi"/>
          <w:b/>
          <w:u w:val="single"/>
        </w:rPr>
      </w:pPr>
    </w:p>
    <w:p w14:paraId="296E7206" w14:textId="77777777" w:rsidR="00D0447E" w:rsidRDefault="00D0447E" w:rsidP="009E00CE">
      <w:pPr>
        <w:jc w:val="center"/>
        <w:rPr>
          <w:rFonts w:cstheme="minorHAnsi"/>
          <w:b/>
          <w:u w:val="single"/>
        </w:rPr>
      </w:pPr>
    </w:p>
    <w:p w14:paraId="1676F5A2" w14:textId="77777777" w:rsidR="00D0447E" w:rsidRDefault="00D0447E" w:rsidP="009E00CE">
      <w:pPr>
        <w:jc w:val="center"/>
        <w:rPr>
          <w:rFonts w:cstheme="minorHAnsi"/>
          <w:b/>
          <w:u w:val="single"/>
        </w:rPr>
      </w:pPr>
    </w:p>
    <w:p w14:paraId="37EB402B" w14:textId="77777777" w:rsidR="00D0447E" w:rsidRDefault="00D0447E" w:rsidP="009E00CE">
      <w:pPr>
        <w:jc w:val="center"/>
        <w:rPr>
          <w:rFonts w:cstheme="minorHAnsi"/>
          <w:b/>
          <w:u w:val="single"/>
        </w:rPr>
      </w:pPr>
    </w:p>
    <w:p w14:paraId="23748856" w14:textId="77777777" w:rsidR="00D0447E" w:rsidRDefault="00D0447E" w:rsidP="009E00CE">
      <w:pPr>
        <w:jc w:val="center"/>
        <w:rPr>
          <w:rFonts w:cstheme="minorHAnsi"/>
          <w:b/>
          <w:u w:val="single"/>
        </w:rPr>
      </w:pPr>
    </w:p>
    <w:p w14:paraId="184DD71F" w14:textId="77777777" w:rsidR="00D0447E" w:rsidRPr="009676B8" w:rsidRDefault="00D0447E" w:rsidP="009E00CE">
      <w:pPr>
        <w:jc w:val="center"/>
        <w:rPr>
          <w:rFonts w:cstheme="minorHAnsi"/>
          <w:b/>
          <w:color w:val="FF0000"/>
          <w:u w:val="single"/>
        </w:rPr>
      </w:pPr>
    </w:p>
    <w:p w14:paraId="78A6F39B" w14:textId="77777777" w:rsidR="00D0447E" w:rsidRDefault="00D0447E" w:rsidP="009E00CE">
      <w:pPr>
        <w:jc w:val="center"/>
        <w:rPr>
          <w:rFonts w:cstheme="minorHAnsi"/>
          <w:b/>
          <w:u w:val="single"/>
        </w:rPr>
      </w:pPr>
    </w:p>
    <w:p w14:paraId="513D615C" w14:textId="1C5015C0" w:rsidR="00881899" w:rsidRPr="00F73C7C" w:rsidRDefault="00775B91" w:rsidP="009E00CE">
      <w:pPr>
        <w:jc w:val="center"/>
        <w:rPr>
          <w:rFonts w:cstheme="minorHAnsi"/>
          <w:b/>
          <w:sz w:val="22"/>
          <w:szCs w:val="28"/>
        </w:rPr>
      </w:pPr>
      <w:r w:rsidRPr="00F73C7C">
        <w:rPr>
          <w:rFonts w:cstheme="minorHAnsi"/>
          <w:b/>
          <w:sz w:val="22"/>
          <w:szCs w:val="28"/>
        </w:rPr>
        <w:t>Date agreed</w:t>
      </w:r>
      <w:r w:rsidR="00A02CDE" w:rsidRPr="00F73C7C">
        <w:rPr>
          <w:rFonts w:cstheme="minorHAnsi"/>
          <w:b/>
          <w:sz w:val="22"/>
          <w:szCs w:val="28"/>
        </w:rPr>
        <w:t xml:space="preserve"> – </w:t>
      </w:r>
      <w:r w:rsidR="00F73C7C" w:rsidRPr="00F73C7C">
        <w:rPr>
          <w:rFonts w:cstheme="minorHAnsi"/>
          <w:b/>
          <w:sz w:val="22"/>
          <w:szCs w:val="28"/>
        </w:rPr>
        <w:t>November 2021</w:t>
      </w:r>
    </w:p>
    <w:p w14:paraId="13132CA8" w14:textId="77777777" w:rsidR="009676B8" w:rsidRDefault="009676B8" w:rsidP="009E00CE">
      <w:pPr>
        <w:jc w:val="center"/>
        <w:rPr>
          <w:rFonts w:asciiTheme="minorHAnsi" w:hAnsiTheme="minorHAnsi" w:cstheme="minorHAnsi"/>
          <w:bCs/>
          <w:color w:val="FF0000"/>
        </w:rPr>
      </w:pPr>
    </w:p>
    <w:p w14:paraId="0B2B0A3B" w14:textId="77777777" w:rsidR="009676B8" w:rsidRDefault="009676B8" w:rsidP="009E00CE">
      <w:pPr>
        <w:jc w:val="center"/>
        <w:rPr>
          <w:rFonts w:asciiTheme="minorHAnsi" w:hAnsiTheme="minorHAnsi" w:cstheme="minorHAnsi"/>
          <w:bCs/>
          <w:color w:val="FF0000"/>
        </w:rPr>
      </w:pPr>
    </w:p>
    <w:p w14:paraId="27DF1EF8" w14:textId="77777777" w:rsidR="009676B8" w:rsidRDefault="009676B8" w:rsidP="009E00CE">
      <w:pPr>
        <w:jc w:val="center"/>
        <w:rPr>
          <w:rFonts w:asciiTheme="minorHAnsi" w:hAnsiTheme="minorHAnsi" w:cstheme="minorHAnsi"/>
          <w:bCs/>
          <w:color w:val="FF0000"/>
        </w:rPr>
      </w:pPr>
    </w:p>
    <w:p w14:paraId="19BB5FA3" w14:textId="4E9073D7" w:rsidR="00216A6D" w:rsidRPr="006B6711" w:rsidRDefault="00216A6D" w:rsidP="009E00CE">
      <w:pPr>
        <w:jc w:val="center"/>
        <w:rPr>
          <w:rFonts w:asciiTheme="minorHAnsi" w:hAnsiTheme="minorHAnsi" w:cstheme="minorHAnsi"/>
          <w:bCs/>
        </w:rPr>
      </w:pPr>
      <w:r w:rsidRPr="006B6711">
        <w:rPr>
          <w:rFonts w:asciiTheme="minorHAnsi" w:hAnsiTheme="minorHAnsi" w:cstheme="minorHAnsi"/>
          <w:bCs/>
        </w:rPr>
        <w:br w:type="page"/>
      </w:r>
    </w:p>
    <w:p w14:paraId="133206CD" w14:textId="3191643B" w:rsidR="00D270E0" w:rsidRPr="00E65A47" w:rsidRDefault="00D270E0" w:rsidP="00E65A47">
      <w:pPr>
        <w:spacing w:line="240" w:lineRule="auto"/>
        <w:jc w:val="center"/>
        <w:rPr>
          <w:rFonts w:cstheme="minorHAnsi"/>
          <w:b/>
          <w:color w:val="000000" w:themeColor="text1"/>
          <w:szCs w:val="20"/>
          <w:u w:val="single"/>
        </w:rPr>
      </w:pPr>
      <w:r w:rsidRPr="00E65A47">
        <w:rPr>
          <w:rFonts w:cstheme="minorHAnsi"/>
          <w:b/>
          <w:color w:val="000000" w:themeColor="text1"/>
          <w:szCs w:val="20"/>
          <w:u w:val="single"/>
        </w:rPr>
        <w:lastRenderedPageBreak/>
        <w:t xml:space="preserve">Summary of </w:t>
      </w:r>
      <w:r w:rsidR="0094555B" w:rsidRPr="00E65A47">
        <w:rPr>
          <w:rFonts w:cstheme="minorHAnsi"/>
          <w:b/>
          <w:color w:val="000000" w:themeColor="text1"/>
          <w:szCs w:val="20"/>
          <w:u w:val="single"/>
        </w:rPr>
        <w:t>W</w:t>
      </w:r>
      <w:r w:rsidR="00802E7B" w:rsidRPr="00E65A47">
        <w:rPr>
          <w:rFonts w:cstheme="minorHAnsi"/>
          <w:b/>
          <w:color w:val="000000" w:themeColor="text1"/>
          <w:szCs w:val="20"/>
          <w:u w:val="single"/>
        </w:rPr>
        <w:t>ork</w:t>
      </w:r>
      <w:r w:rsidR="004D191D" w:rsidRPr="00E65A47">
        <w:rPr>
          <w:rFonts w:cstheme="minorHAnsi"/>
          <w:b/>
          <w:color w:val="000000" w:themeColor="text1"/>
          <w:szCs w:val="20"/>
          <w:u w:val="single"/>
        </w:rPr>
        <w:t xml:space="preserve"> </w:t>
      </w:r>
      <w:r w:rsidR="0094555B" w:rsidRPr="00E65A47">
        <w:rPr>
          <w:rFonts w:cstheme="minorHAnsi"/>
          <w:b/>
          <w:color w:val="000000" w:themeColor="text1"/>
          <w:szCs w:val="20"/>
          <w:u w:val="single"/>
        </w:rPr>
        <w:t>P</w:t>
      </w:r>
      <w:r w:rsidR="00802E7B" w:rsidRPr="00E65A47">
        <w:rPr>
          <w:rFonts w:cstheme="minorHAnsi"/>
          <w:b/>
          <w:color w:val="000000" w:themeColor="text1"/>
          <w:szCs w:val="20"/>
          <w:u w:val="single"/>
        </w:rPr>
        <w:t>lan</w:t>
      </w:r>
      <w:r w:rsidR="0094555B" w:rsidRPr="00E65A47">
        <w:rPr>
          <w:rFonts w:cstheme="minorHAnsi"/>
          <w:b/>
          <w:color w:val="000000" w:themeColor="text1"/>
          <w:szCs w:val="20"/>
          <w:u w:val="single"/>
        </w:rPr>
        <w:t xml:space="preserve"> 2022–2025</w:t>
      </w:r>
    </w:p>
    <w:p w14:paraId="31BF03ED" w14:textId="0806626F" w:rsidR="00ED2B52" w:rsidRPr="00E65A47" w:rsidRDefault="00ED2B52" w:rsidP="00D270E0">
      <w:pPr>
        <w:spacing w:line="240" w:lineRule="auto"/>
        <w:rPr>
          <w:rFonts w:cstheme="minorHAnsi"/>
          <w:b/>
          <w:color w:val="000000" w:themeColor="text1"/>
          <w:szCs w:val="20"/>
        </w:rPr>
      </w:pPr>
    </w:p>
    <w:p w14:paraId="47F186F9" w14:textId="77777777" w:rsidR="00ED2B52" w:rsidRPr="00E65A47" w:rsidRDefault="00ED2B52" w:rsidP="00ED2B52">
      <w:pPr>
        <w:spacing w:after="0" w:line="240" w:lineRule="auto"/>
        <w:ind w:right="57"/>
        <w:rPr>
          <w:rFonts w:cs="Arial"/>
          <w:b/>
          <w:szCs w:val="20"/>
        </w:rPr>
      </w:pPr>
      <w:r w:rsidRPr="00E65A47">
        <w:rPr>
          <w:rFonts w:cs="Arial"/>
          <w:b/>
          <w:szCs w:val="20"/>
        </w:rPr>
        <w:t>BACKGROUND AND SUMMARY</w:t>
      </w:r>
    </w:p>
    <w:p w14:paraId="35E4045C" w14:textId="77777777" w:rsidR="00ED2B52" w:rsidRPr="00E65A47" w:rsidRDefault="00ED2B52" w:rsidP="00ED2B52">
      <w:pPr>
        <w:spacing w:after="0" w:line="240" w:lineRule="auto"/>
        <w:ind w:right="57"/>
        <w:jc w:val="both"/>
        <w:rPr>
          <w:rFonts w:cs="Arial"/>
          <w:szCs w:val="20"/>
        </w:rPr>
      </w:pPr>
      <w:r w:rsidRPr="00E65A47">
        <w:rPr>
          <w:rFonts w:cs="Arial"/>
          <w:szCs w:val="20"/>
        </w:rPr>
        <w:t>The Choice and Affordability Fund (CAF) priorities accord closely with a key priority of Catholic education in preferencing the poor and vulnerable communities in terms of access to, and ongoing support, at Catholic schools. CEWA has supported vulnerable communities in many contexts including in every school; in remote Kimberley schools; for refugee families and in Curriculum and Reengagement Education (CARE) schools.</w:t>
      </w:r>
    </w:p>
    <w:p w14:paraId="08817314" w14:textId="4A0DF552" w:rsidR="00ED2B52" w:rsidRPr="00E65A47" w:rsidRDefault="00ED2B52" w:rsidP="00ED2B52">
      <w:pPr>
        <w:spacing w:after="0" w:line="240" w:lineRule="auto"/>
        <w:ind w:right="57"/>
        <w:jc w:val="both"/>
        <w:rPr>
          <w:rFonts w:cs="Arial"/>
          <w:szCs w:val="20"/>
        </w:rPr>
      </w:pPr>
      <w:r w:rsidRPr="00E65A47">
        <w:rPr>
          <w:rFonts w:cs="Arial"/>
          <w:szCs w:val="20"/>
        </w:rPr>
        <w:t xml:space="preserve">CEWA developed a number of the projects in December </w:t>
      </w:r>
      <w:proofErr w:type="gramStart"/>
      <w:r w:rsidRPr="00E65A47">
        <w:rPr>
          <w:rFonts w:cs="Arial"/>
          <w:szCs w:val="20"/>
        </w:rPr>
        <w:t>2019</w:t>
      </w:r>
      <w:proofErr w:type="gramEnd"/>
      <w:r w:rsidRPr="00E65A47">
        <w:rPr>
          <w:rFonts w:cs="Arial"/>
          <w:szCs w:val="20"/>
        </w:rPr>
        <w:t xml:space="preserve"> and these proceeded in 2020 and 2021 and have been reported on. </w:t>
      </w:r>
      <w:r w:rsidR="00876F2E" w:rsidRPr="00876F2E">
        <w:rPr>
          <w:rFonts w:cs="Arial"/>
          <w:szCs w:val="20"/>
        </w:rPr>
        <w:t>Following a review of projects in June 2022, some will be discontinued and allocations to other projects will be varied as shown in the Budget for 2022-2025.</w:t>
      </w:r>
    </w:p>
    <w:p w14:paraId="3B54B253" w14:textId="1D6CEEF5" w:rsidR="00ED2B52" w:rsidRDefault="00ED2B52" w:rsidP="00ED2B52">
      <w:pPr>
        <w:spacing w:after="0" w:line="240" w:lineRule="auto"/>
        <w:ind w:right="57"/>
        <w:jc w:val="both"/>
        <w:rPr>
          <w:rFonts w:cs="Arial"/>
          <w:szCs w:val="20"/>
        </w:rPr>
      </w:pPr>
      <w:r w:rsidRPr="00E65A47">
        <w:rPr>
          <w:rFonts w:cs="Arial"/>
          <w:szCs w:val="20"/>
        </w:rPr>
        <w:t>A significant difference between the 2020/21 Work Plan and this 2022</w:t>
      </w:r>
      <w:r w:rsidR="003F292B" w:rsidRPr="00E65A47">
        <w:rPr>
          <w:rFonts w:cs="Arial"/>
          <w:szCs w:val="20"/>
        </w:rPr>
        <w:t>/</w:t>
      </w:r>
      <w:r w:rsidRPr="00E65A47">
        <w:rPr>
          <w:rFonts w:cs="Arial"/>
          <w:szCs w:val="20"/>
        </w:rPr>
        <w:t>25 Work Plan is the commencement of Transition Funding to schools from 2024</w:t>
      </w:r>
      <w:r w:rsidR="003F292B" w:rsidRPr="00E65A47">
        <w:rPr>
          <w:rFonts w:cs="Arial"/>
          <w:szCs w:val="20"/>
        </w:rPr>
        <w:t xml:space="preserve"> as</w:t>
      </w:r>
      <w:r w:rsidRPr="00E65A47">
        <w:rPr>
          <w:rFonts w:cs="Arial"/>
          <w:szCs w:val="20"/>
        </w:rPr>
        <w:t xml:space="preserve"> well as Regional Transition support commencing in 2022. In the case of the former category, this will provide assistance to </w:t>
      </w:r>
      <w:r w:rsidR="00876F2E" w:rsidRPr="00876F2E">
        <w:rPr>
          <w:rFonts w:cs="Arial"/>
          <w:szCs w:val="20"/>
        </w:rPr>
        <w:t>all schools for which CEWA is the Representative Body</w:t>
      </w:r>
      <w:r w:rsidR="00876F2E" w:rsidRPr="00876F2E" w:rsidDel="00876F2E">
        <w:rPr>
          <w:rFonts w:cs="Arial"/>
          <w:szCs w:val="20"/>
        </w:rPr>
        <w:t xml:space="preserve"> </w:t>
      </w:r>
      <w:r w:rsidR="00876F2E">
        <w:rPr>
          <w:rFonts w:cs="Arial"/>
          <w:szCs w:val="20"/>
        </w:rPr>
        <w:t>and</w:t>
      </w:r>
      <w:r w:rsidRPr="00E65A47">
        <w:rPr>
          <w:rFonts w:cs="Arial"/>
          <w:szCs w:val="20"/>
        </w:rPr>
        <w:t xml:space="preserve"> which have been adversely affected by the movement to the Direct Measure of Income (DMI) funding model. Schools are being carefully monitored and decisions will be finalised in late 2023 regarding allocations to schools. This will be based on a review of each school, with reference to current </w:t>
      </w:r>
      <w:r w:rsidR="009B253C">
        <w:rPr>
          <w:rFonts w:cs="Arial"/>
          <w:szCs w:val="20"/>
        </w:rPr>
        <w:t xml:space="preserve">cash </w:t>
      </w:r>
      <w:r w:rsidRPr="00E65A47">
        <w:rPr>
          <w:rFonts w:cs="Arial"/>
          <w:szCs w:val="20"/>
        </w:rPr>
        <w:t>balance, capacity to pay, enrolment patterns etc. Schools will be advised by September 2023 re; 2024 allocations.</w:t>
      </w:r>
      <w:r w:rsidR="00F03F5B">
        <w:rPr>
          <w:rFonts w:cs="Arial"/>
          <w:szCs w:val="20"/>
        </w:rPr>
        <w:t xml:space="preserve"> </w:t>
      </w:r>
      <w:r w:rsidR="00F03F5B">
        <w:rPr>
          <w:szCs w:val="20"/>
        </w:rPr>
        <w:t>Once an assessment of school needs has been finalised, CEWA will inform DESE, noting that the Minister sees Transition Assistance as a priority. This communication will advise of 2024 allocations and indicative amounts for 2025 for schools. This will include a list of schools and the allocation, and where appropriate, a short explanation for prioritising those schools, recognising that it will not be possible to support all schools.</w:t>
      </w:r>
    </w:p>
    <w:p w14:paraId="203BDC46" w14:textId="5B0E3CE0" w:rsidR="00ED2B52" w:rsidRPr="00E65A47" w:rsidRDefault="00ED2B52" w:rsidP="00ED2B52">
      <w:pPr>
        <w:spacing w:after="0" w:line="240" w:lineRule="auto"/>
        <w:ind w:right="57"/>
        <w:jc w:val="both"/>
        <w:rPr>
          <w:rFonts w:cs="Arial"/>
          <w:szCs w:val="20"/>
        </w:rPr>
      </w:pPr>
      <w:r w:rsidRPr="00E65A47">
        <w:rPr>
          <w:rFonts w:cs="Arial"/>
          <w:szCs w:val="20"/>
        </w:rPr>
        <w:t xml:space="preserve">Regional Transition funding has accumulated from 2020 and will also be distributed to schools according to criteria set by CEWA </w:t>
      </w:r>
      <w:r w:rsidR="001D2B82" w:rsidRPr="00E65A47">
        <w:rPr>
          <w:rFonts w:cs="Arial"/>
          <w:szCs w:val="20"/>
        </w:rPr>
        <w:t>i.e.,</w:t>
      </w:r>
      <w:r w:rsidRPr="00E65A47">
        <w:rPr>
          <w:rFonts w:cs="Arial"/>
          <w:szCs w:val="20"/>
        </w:rPr>
        <w:t xml:space="preserve"> schools </w:t>
      </w:r>
      <w:r w:rsidR="00E65A47" w:rsidRPr="00E65A47">
        <w:rPr>
          <w:rFonts w:cs="Arial"/>
          <w:szCs w:val="20"/>
        </w:rPr>
        <w:t>with 150</w:t>
      </w:r>
      <w:r w:rsidRPr="00E65A47">
        <w:rPr>
          <w:rFonts w:cs="Arial"/>
          <w:szCs w:val="20"/>
        </w:rPr>
        <w:t xml:space="preserve"> students </w:t>
      </w:r>
      <w:r w:rsidR="003F292B" w:rsidRPr="00E65A47">
        <w:rPr>
          <w:rFonts w:cs="Arial"/>
          <w:szCs w:val="20"/>
        </w:rPr>
        <w:t xml:space="preserve">or less </w:t>
      </w:r>
      <w:r w:rsidRPr="00E65A47">
        <w:rPr>
          <w:rFonts w:cs="Arial"/>
          <w:szCs w:val="20"/>
        </w:rPr>
        <w:t>in non-metropolitan areas. This will include selected Kimberley schools.</w:t>
      </w:r>
    </w:p>
    <w:p w14:paraId="2132253B" w14:textId="76A19E38" w:rsidR="00ED2B52" w:rsidRPr="00E65A47" w:rsidRDefault="00ED2B52" w:rsidP="00ED2B52">
      <w:pPr>
        <w:spacing w:after="0" w:line="240" w:lineRule="auto"/>
        <w:ind w:right="57"/>
        <w:jc w:val="both"/>
        <w:rPr>
          <w:rFonts w:cs="Arial"/>
          <w:szCs w:val="20"/>
        </w:rPr>
      </w:pPr>
      <w:r w:rsidRPr="00E65A47">
        <w:rPr>
          <w:rFonts w:cs="Arial"/>
          <w:szCs w:val="20"/>
        </w:rPr>
        <w:t xml:space="preserve">Projects and specific school allocations will address </w:t>
      </w:r>
      <w:r w:rsidR="00166D75" w:rsidRPr="00E65A47">
        <w:rPr>
          <w:rFonts w:cs="Arial"/>
          <w:szCs w:val="20"/>
        </w:rPr>
        <w:t xml:space="preserve">funding </w:t>
      </w:r>
      <w:r w:rsidR="00E65A47" w:rsidRPr="00E65A47">
        <w:rPr>
          <w:rFonts w:cs="Arial"/>
          <w:szCs w:val="20"/>
        </w:rPr>
        <w:t>priorities</w:t>
      </w:r>
      <w:r w:rsidR="00E65A47">
        <w:rPr>
          <w:rFonts w:cs="Arial"/>
          <w:szCs w:val="20"/>
        </w:rPr>
        <w:t>:</w:t>
      </w:r>
    </w:p>
    <w:p w14:paraId="1BCAFBFD" w14:textId="793F9C25" w:rsidR="00ED2B52" w:rsidRDefault="00ED2B52" w:rsidP="00ED2B52">
      <w:pPr>
        <w:pStyle w:val="ListParagraph"/>
        <w:numPr>
          <w:ilvl w:val="0"/>
          <w:numId w:val="19"/>
        </w:numPr>
        <w:spacing w:after="0" w:line="240" w:lineRule="auto"/>
        <w:ind w:hanging="720"/>
        <w:jc w:val="both"/>
        <w:rPr>
          <w:rFonts w:ascii="Arial" w:hAnsi="Arial" w:cs="Arial"/>
          <w:sz w:val="20"/>
          <w:szCs w:val="20"/>
        </w:rPr>
      </w:pPr>
      <w:bookmarkStart w:id="0" w:name="_Hlk43821971"/>
      <w:r w:rsidRPr="00E65A47">
        <w:rPr>
          <w:rFonts w:ascii="Arial" w:hAnsi="Arial" w:cs="Arial"/>
          <w:sz w:val="20"/>
          <w:szCs w:val="20"/>
        </w:rPr>
        <w:t xml:space="preserve">Choice and affordability of schools including facilitating parent choice to meet student needs – </w:t>
      </w:r>
      <w:r w:rsidR="00E65A47" w:rsidRPr="00E65A47">
        <w:rPr>
          <w:rFonts w:ascii="Arial" w:hAnsi="Arial" w:cs="Arial"/>
          <w:sz w:val="20"/>
          <w:szCs w:val="20"/>
        </w:rPr>
        <w:t>two projects</w:t>
      </w:r>
      <w:r w:rsidRPr="00E65A47">
        <w:rPr>
          <w:rFonts w:ascii="Arial" w:hAnsi="Arial" w:cs="Arial"/>
          <w:sz w:val="20"/>
          <w:szCs w:val="20"/>
        </w:rPr>
        <w:t xml:space="preserve"> have been developed and will continue in 2022 – 25. These are outlined later in this work plan.</w:t>
      </w:r>
    </w:p>
    <w:p w14:paraId="18561E3F" w14:textId="77777777" w:rsidR="00E65A47" w:rsidRPr="00E65A47" w:rsidRDefault="00E65A47" w:rsidP="00E65A47">
      <w:pPr>
        <w:pStyle w:val="ListParagraph"/>
        <w:spacing w:after="0" w:line="240" w:lineRule="auto"/>
        <w:jc w:val="both"/>
        <w:rPr>
          <w:rFonts w:ascii="Arial" w:hAnsi="Arial" w:cs="Arial"/>
          <w:sz w:val="20"/>
          <w:szCs w:val="20"/>
        </w:rPr>
      </w:pPr>
    </w:p>
    <w:p w14:paraId="5531CB30" w14:textId="5D75F4EF" w:rsidR="00ED2B52" w:rsidRPr="00FA6607" w:rsidRDefault="00ED2B52" w:rsidP="00ED2B52">
      <w:pPr>
        <w:pStyle w:val="ListParagraph"/>
        <w:numPr>
          <w:ilvl w:val="0"/>
          <w:numId w:val="19"/>
        </w:numPr>
        <w:spacing w:after="0" w:line="240" w:lineRule="auto"/>
        <w:ind w:hanging="720"/>
        <w:jc w:val="both"/>
        <w:rPr>
          <w:rFonts w:ascii="Arial" w:hAnsi="Arial" w:cs="Arial"/>
          <w:sz w:val="20"/>
          <w:szCs w:val="20"/>
        </w:rPr>
      </w:pPr>
      <w:r w:rsidRPr="00FA6607">
        <w:rPr>
          <w:rFonts w:ascii="Arial" w:hAnsi="Arial" w:cs="Arial"/>
          <w:sz w:val="20"/>
          <w:szCs w:val="20"/>
        </w:rPr>
        <w:t>Transition assistance – this will be provided to schools who may have been adversely affected by the transition to the DMI funding model. CEWA has oversight of all system school b</w:t>
      </w:r>
      <w:r w:rsidR="00A5378C" w:rsidRPr="00FA6607">
        <w:rPr>
          <w:rFonts w:ascii="Arial" w:hAnsi="Arial" w:cs="Arial"/>
          <w:sz w:val="20"/>
          <w:szCs w:val="20"/>
        </w:rPr>
        <w:t>u</w:t>
      </w:r>
      <w:r w:rsidRPr="00FA6607">
        <w:rPr>
          <w:rFonts w:ascii="Arial" w:hAnsi="Arial" w:cs="Arial"/>
          <w:sz w:val="20"/>
          <w:szCs w:val="20"/>
        </w:rPr>
        <w:t>dgets. CEWA will work with schools through their business m</w:t>
      </w:r>
      <w:r w:rsidR="00A5378C" w:rsidRPr="00FA6607">
        <w:rPr>
          <w:rFonts w:ascii="Arial" w:hAnsi="Arial" w:cs="Arial"/>
          <w:sz w:val="20"/>
          <w:szCs w:val="20"/>
        </w:rPr>
        <w:t>a</w:t>
      </w:r>
      <w:r w:rsidRPr="00FA6607">
        <w:rPr>
          <w:rFonts w:ascii="Arial" w:hAnsi="Arial" w:cs="Arial"/>
          <w:sz w:val="20"/>
          <w:szCs w:val="20"/>
        </w:rPr>
        <w:t xml:space="preserve">nagers to monitor income and expenditure including emerging enrolment </w:t>
      </w:r>
      <w:r w:rsidR="003F292B" w:rsidRPr="00FA6607">
        <w:rPr>
          <w:rFonts w:ascii="Arial" w:hAnsi="Arial" w:cs="Arial"/>
          <w:sz w:val="20"/>
          <w:szCs w:val="20"/>
        </w:rPr>
        <w:t>t</w:t>
      </w:r>
      <w:r w:rsidRPr="00FA6607">
        <w:rPr>
          <w:rFonts w:ascii="Arial" w:hAnsi="Arial" w:cs="Arial"/>
          <w:sz w:val="20"/>
          <w:szCs w:val="20"/>
        </w:rPr>
        <w:t>rends. CEWA already has a number or co-responsibi</w:t>
      </w:r>
      <w:r w:rsidR="00A5378C" w:rsidRPr="00FA6607">
        <w:rPr>
          <w:rFonts w:ascii="Arial" w:hAnsi="Arial" w:cs="Arial"/>
          <w:sz w:val="20"/>
          <w:szCs w:val="20"/>
        </w:rPr>
        <w:t>l</w:t>
      </w:r>
      <w:r w:rsidRPr="00FA6607">
        <w:rPr>
          <w:rFonts w:ascii="Arial" w:hAnsi="Arial" w:cs="Arial"/>
          <w:sz w:val="20"/>
          <w:szCs w:val="20"/>
        </w:rPr>
        <w:t>ity mechanisms and cross</w:t>
      </w:r>
      <w:r w:rsidR="00A5378C" w:rsidRPr="00FA6607">
        <w:rPr>
          <w:rFonts w:ascii="Arial" w:hAnsi="Arial" w:cs="Arial"/>
          <w:sz w:val="20"/>
          <w:szCs w:val="20"/>
        </w:rPr>
        <w:t xml:space="preserve"> </w:t>
      </w:r>
      <w:r w:rsidRPr="00FA6607">
        <w:rPr>
          <w:rFonts w:ascii="Arial" w:hAnsi="Arial" w:cs="Arial"/>
          <w:sz w:val="20"/>
          <w:szCs w:val="20"/>
        </w:rPr>
        <w:t xml:space="preserve">subsidisation. By </w:t>
      </w:r>
      <w:r w:rsidR="00E65A47" w:rsidRPr="00FA6607">
        <w:rPr>
          <w:rFonts w:ascii="Arial" w:hAnsi="Arial" w:cs="Arial"/>
          <w:sz w:val="20"/>
          <w:szCs w:val="20"/>
        </w:rPr>
        <w:t>mid-2023</w:t>
      </w:r>
      <w:r w:rsidRPr="00FA6607">
        <w:rPr>
          <w:rFonts w:ascii="Arial" w:hAnsi="Arial" w:cs="Arial"/>
          <w:sz w:val="20"/>
          <w:szCs w:val="20"/>
        </w:rPr>
        <w:t xml:space="preserve">, a clear picture of schools’ financial situation </w:t>
      </w:r>
      <w:r w:rsidR="00A5378C" w:rsidRPr="00FA6607">
        <w:rPr>
          <w:rFonts w:ascii="Arial" w:hAnsi="Arial" w:cs="Arial"/>
          <w:sz w:val="20"/>
          <w:szCs w:val="20"/>
        </w:rPr>
        <w:t>will be available. By September 2023, schools will be informed of proposed allocations. The CEWA system Finance Committee with wide stakeholder representation, will approve allocations. While the process is centrally administered, schools will have the capacity to make representations to CEWA.</w:t>
      </w:r>
      <w:r w:rsidR="004D4B1F" w:rsidRPr="00FA6607">
        <w:rPr>
          <w:rFonts w:ascii="Arial" w:hAnsi="Arial" w:cs="Arial"/>
          <w:sz w:val="20"/>
          <w:szCs w:val="20"/>
        </w:rPr>
        <w:t xml:space="preserve"> </w:t>
      </w:r>
      <w:r w:rsidR="00A5378C" w:rsidRPr="00FA6607">
        <w:rPr>
          <w:rFonts w:ascii="Arial" w:hAnsi="Arial" w:cs="Arial"/>
          <w:sz w:val="20"/>
          <w:szCs w:val="20"/>
        </w:rPr>
        <w:t>Non-diocesan schools over which CEWA has representation will be supported.</w:t>
      </w:r>
    </w:p>
    <w:p w14:paraId="08BC4131" w14:textId="77777777" w:rsidR="00FA6607" w:rsidRDefault="00FA6607" w:rsidP="00A5378C">
      <w:pPr>
        <w:pStyle w:val="ListParagraph"/>
        <w:spacing w:after="0" w:line="240" w:lineRule="auto"/>
        <w:jc w:val="both"/>
        <w:rPr>
          <w:rFonts w:ascii="Arial" w:hAnsi="Arial" w:cs="Arial"/>
          <w:sz w:val="20"/>
          <w:szCs w:val="20"/>
        </w:rPr>
      </w:pPr>
    </w:p>
    <w:p w14:paraId="170AFF36" w14:textId="7D4488EC" w:rsidR="00A5378C" w:rsidRDefault="00A5378C" w:rsidP="00A5378C">
      <w:pPr>
        <w:pStyle w:val="ListParagraph"/>
        <w:spacing w:after="0" w:line="240" w:lineRule="auto"/>
        <w:jc w:val="both"/>
        <w:rPr>
          <w:rFonts w:ascii="Arial" w:hAnsi="Arial" w:cs="Arial"/>
          <w:sz w:val="20"/>
          <w:szCs w:val="20"/>
        </w:rPr>
      </w:pPr>
      <w:r w:rsidRPr="00FA6607">
        <w:rPr>
          <w:rFonts w:ascii="Arial" w:hAnsi="Arial" w:cs="Arial"/>
          <w:sz w:val="20"/>
          <w:szCs w:val="20"/>
        </w:rPr>
        <w:t xml:space="preserve">CEWA has commenced communication with schools and has already identified at-risk schools. Negotiations and planning </w:t>
      </w:r>
      <w:r w:rsidR="003F292B" w:rsidRPr="00FA6607">
        <w:rPr>
          <w:rFonts w:ascii="Arial" w:hAnsi="Arial" w:cs="Arial"/>
          <w:sz w:val="20"/>
          <w:szCs w:val="20"/>
        </w:rPr>
        <w:t>are</w:t>
      </w:r>
      <w:r w:rsidRPr="00FA6607">
        <w:rPr>
          <w:rFonts w:ascii="Arial" w:hAnsi="Arial" w:cs="Arial"/>
          <w:sz w:val="20"/>
          <w:szCs w:val="20"/>
        </w:rPr>
        <w:t xml:space="preserve"> already underway to gradually create plans and frameworks for assistance from both CEWA funding and CAF Transition Assistance</w:t>
      </w:r>
      <w:r w:rsidR="00E65A47" w:rsidRPr="00FA6607">
        <w:rPr>
          <w:rFonts w:ascii="Arial" w:hAnsi="Arial" w:cs="Arial"/>
          <w:sz w:val="20"/>
          <w:szCs w:val="20"/>
        </w:rPr>
        <w:t>.</w:t>
      </w:r>
    </w:p>
    <w:p w14:paraId="4945CD34" w14:textId="77777777" w:rsidR="00FA6607" w:rsidRDefault="00FA6607" w:rsidP="00A5378C">
      <w:pPr>
        <w:pStyle w:val="ListParagraph"/>
        <w:spacing w:after="0" w:line="240" w:lineRule="auto"/>
        <w:jc w:val="both"/>
        <w:rPr>
          <w:rFonts w:ascii="Arial" w:hAnsi="Arial" w:cs="Arial"/>
          <w:sz w:val="20"/>
          <w:szCs w:val="20"/>
        </w:rPr>
      </w:pPr>
    </w:p>
    <w:p w14:paraId="718CC4F1" w14:textId="51A8A9E7" w:rsidR="009C3573" w:rsidRPr="00AF7F32" w:rsidRDefault="009C3573" w:rsidP="00DF3278">
      <w:pPr>
        <w:pStyle w:val="ListParagraph"/>
        <w:spacing w:after="0" w:line="240" w:lineRule="auto"/>
        <w:jc w:val="both"/>
        <w:rPr>
          <w:rFonts w:ascii="Arial" w:hAnsi="Arial" w:cs="Arial"/>
          <w:sz w:val="20"/>
          <w:szCs w:val="20"/>
        </w:rPr>
      </w:pPr>
      <w:r w:rsidRPr="00AF7F32">
        <w:rPr>
          <w:rFonts w:ascii="Arial" w:hAnsi="Arial" w:cs="Arial"/>
          <w:sz w:val="20"/>
          <w:szCs w:val="20"/>
        </w:rPr>
        <w:t xml:space="preserve">Regional Transition Funding – CEWA will commence allocation in 2022 with that allocation being the accumulated total of 2020/2021/2022 as agreed. This will be distributed in full to regional schools with 150 or fewer students, with some Kimberley schools excluded because of funding support from other CAF projects. At this stage, 23 schools are eligible to receive funding and they have been notified accordingly to allow them to construct their budgets for 2022. This funding will continue for the duration of the CAF program. </w:t>
      </w:r>
    </w:p>
    <w:p w14:paraId="4DC65A22" w14:textId="77777777" w:rsidR="009C3573" w:rsidRPr="00160066" w:rsidRDefault="009C3573" w:rsidP="00A5378C">
      <w:pPr>
        <w:pStyle w:val="ListParagraph"/>
        <w:spacing w:after="0" w:line="240" w:lineRule="auto"/>
        <w:jc w:val="both"/>
        <w:rPr>
          <w:rFonts w:ascii="Arial" w:hAnsi="Arial" w:cs="Arial"/>
          <w:sz w:val="20"/>
          <w:szCs w:val="20"/>
        </w:rPr>
      </w:pPr>
    </w:p>
    <w:p w14:paraId="724CC5B4" w14:textId="15DE2D51" w:rsidR="00ED2B52" w:rsidRDefault="00ED2B52" w:rsidP="00FA6607">
      <w:pPr>
        <w:pStyle w:val="ListParagraph"/>
        <w:numPr>
          <w:ilvl w:val="0"/>
          <w:numId w:val="19"/>
        </w:numPr>
        <w:ind w:left="709"/>
        <w:rPr>
          <w:rFonts w:ascii="Arial" w:hAnsi="Arial" w:cs="Arial"/>
          <w:sz w:val="20"/>
          <w:szCs w:val="20"/>
        </w:rPr>
      </w:pPr>
      <w:r w:rsidRPr="00FA6607">
        <w:rPr>
          <w:rFonts w:ascii="Arial" w:hAnsi="Arial" w:cs="Arial"/>
          <w:sz w:val="20"/>
          <w:szCs w:val="20"/>
        </w:rPr>
        <w:lastRenderedPageBreak/>
        <w:t>Special circumstances funding</w:t>
      </w:r>
      <w:r w:rsidR="00854DBD" w:rsidRPr="00FA6607">
        <w:rPr>
          <w:rFonts w:ascii="Arial" w:hAnsi="Arial" w:cs="Arial"/>
          <w:sz w:val="20"/>
          <w:szCs w:val="20"/>
        </w:rPr>
        <w:t xml:space="preserve"> – CEWA currently has in place funding allocation processes to meet the needs of schools which may confront special circumstances. These include but are not limited </w:t>
      </w:r>
      <w:r w:rsidR="003D24F5" w:rsidRPr="00FA6607">
        <w:rPr>
          <w:rFonts w:ascii="Arial" w:hAnsi="Arial" w:cs="Arial"/>
          <w:sz w:val="20"/>
          <w:szCs w:val="20"/>
        </w:rPr>
        <w:t>t</w:t>
      </w:r>
      <w:r w:rsidR="00854DBD" w:rsidRPr="00FA6607">
        <w:rPr>
          <w:rFonts w:ascii="Arial" w:hAnsi="Arial" w:cs="Arial"/>
          <w:sz w:val="20"/>
          <w:szCs w:val="20"/>
        </w:rPr>
        <w:t>o; K</w:t>
      </w:r>
      <w:r w:rsidR="003D24F5" w:rsidRPr="00FA6607">
        <w:rPr>
          <w:rFonts w:ascii="Arial" w:hAnsi="Arial" w:cs="Arial"/>
          <w:sz w:val="20"/>
          <w:szCs w:val="20"/>
        </w:rPr>
        <w:t>i</w:t>
      </w:r>
      <w:r w:rsidR="00854DBD" w:rsidRPr="00FA6607">
        <w:rPr>
          <w:rFonts w:ascii="Arial" w:hAnsi="Arial" w:cs="Arial"/>
          <w:sz w:val="20"/>
          <w:szCs w:val="20"/>
        </w:rPr>
        <w:t>mberley and remote schools; sole-provider schools; smaller regional schools; Curriculum and Reengagement Education (CARE) schools; and schools with higher proportions of disadvantaged families. CEWA will support many of these schools through projects listed under other program priorities. Notwithstanding, should a special circumstance arise, funding from CAF will be made available. This will be sourced from reductions to other projects, including Transition Assistance if required.</w:t>
      </w:r>
      <w:r w:rsidR="004778E8" w:rsidRPr="00FA6607">
        <w:rPr>
          <w:rFonts w:ascii="Arial" w:hAnsi="Arial" w:cs="Arial"/>
          <w:sz w:val="20"/>
          <w:szCs w:val="20"/>
        </w:rPr>
        <w:t xml:space="preserve"> Should </w:t>
      </w:r>
      <w:proofErr w:type="gramStart"/>
      <w:r w:rsidR="004778E8" w:rsidRPr="00FA6607">
        <w:rPr>
          <w:rFonts w:ascii="Arial" w:hAnsi="Arial" w:cs="Arial"/>
          <w:sz w:val="20"/>
          <w:szCs w:val="20"/>
        </w:rPr>
        <w:t>significant</w:t>
      </w:r>
      <w:proofErr w:type="gramEnd"/>
      <w:r w:rsidR="004778E8" w:rsidRPr="00FA6607">
        <w:rPr>
          <w:rFonts w:ascii="Arial" w:hAnsi="Arial" w:cs="Arial"/>
          <w:sz w:val="20"/>
          <w:szCs w:val="20"/>
        </w:rPr>
        <w:t xml:space="preserve"> changes to funding for other projects be required to provide Special Circumstance Funding, CEWA will seek immediate approval from AGDESE.</w:t>
      </w:r>
    </w:p>
    <w:p w14:paraId="077D45B6" w14:textId="77777777" w:rsidR="00FA6607" w:rsidRDefault="00FA6607" w:rsidP="00FA6607">
      <w:pPr>
        <w:pStyle w:val="ListParagraph"/>
        <w:ind w:left="709"/>
        <w:rPr>
          <w:rFonts w:ascii="Arial" w:hAnsi="Arial" w:cs="Arial"/>
          <w:sz w:val="20"/>
          <w:szCs w:val="20"/>
        </w:rPr>
      </w:pPr>
    </w:p>
    <w:p w14:paraId="1E27DF0D" w14:textId="6BE7FCF4" w:rsidR="00160066" w:rsidRDefault="00ED2B52" w:rsidP="00FA6607">
      <w:pPr>
        <w:pStyle w:val="ListParagraph"/>
        <w:numPr>
          <w:ilvl w:val="0"/>
          <w:numId w:val="19"/>
        </w:numPr>
        <w:rPr>
          <w:rFonts w:ascii="Arial" w:hAnsi="Arial" w:cs="Arial"/>
          <w:sz w:val="20"/>
          <w:szCs w:val="20"/>
        </w:rPr>
      </w:pPr>
      <w:r w:rsidRPr="00160066">
        <w:rPr>
          <w:rFonts w:ascii="Arial" w:hAnsi="Arial" w:cs="Arial"/>
          <w:sz w:val="20"/>
          <w:szCs w:val="20"/>
        </w:rPr>
        <w:t>Strengthening outcomes for schools, and educationally disadvantaged schools and students</w:t>
      </w:r>
      <w:r w:rsidR="004778E8" w:rsidRPr="00160066">
        <w:rPr>
          <w:rFonts w:ascii="Arial" w:hAnsi="Arial" w:cs="Arial"/>
          <w:sz w:val="20"/>
          <w:szCs w:val="20"/>
        </w:rPr>
        <w:t xml:space="preserve"> – </w:t>
      </w:r>
      <w:r w:rsidR="003F292B" w:rsidRPr="00160066">
        <w:rPr>
          <w:rFonts w:ascii="Arial" w:hAnsi="Arial" w:cs="Arial"/>
          <w:sz w:val="20"/>
          <w:szCs w:val="20"/>
        </w:rPr>
        <w:t>five</w:t>
      </w:r>
      <w:r w:rsidR="004778E8" w:rsidRPr="00160066">
        <w:rPr>
          <w:rFonts w:ascii="Arial" w:hAnsi="Arial" w:cs="Arial"/>
          <w:sz w:val="20"/>
          <w:szCs w:val="20"/>
        </w:rPr>
        <w:t xml:space="preserve"> projects are outlined later in this work plan</w:t>
      </w:r>
      <w:r w:rsidR="00166D75" w:rsidRPr="00160066">
        <w:rPr>
          <w:rFonts w:ascii="Arial" w:hAnsi="Arial" w:cs="Arial"/>
          <w:sz w:val="20"/>
          <w:szCs w:val="20"/>
        </w:rPr>
        <w:t xml:space="preserve">. Most of these </w:t>
      </w:r>
      <w:r w:rsidR="00092FAF" w:rsidRPr="00160066">
        <w:rPr>
          <w:rFonts w:ascii="Arial" w:hAnsi="Arial" w:cs="Arial"/>
          <w:sz w:val="20"/>
          <w:szCs w:val="20"/>
        </w:rPr>
        <w:t>are</w:t>
      </w:r>
      <w:r w:rsidR="00166D75" w:rsidRPr="00160066">
        <w:rPr>
          <w:rFonts w:ascii="Arial" w:hAnsi="Arial" w:cs="Arial"/>
          <w:sz w:val="20"/>
          <w:szCs w:val="20"/>
        </w:rPr>
        <w:t xml:space="preserve"> centrally funded and build upon existing processes used to support the more vulnerable families.</w:t>
      </w:r>
    </w:p>
    <w:p w14:paraId="3DE0126E" w14:textId="77777777" w:rsidR="00FA6607" w:rsidRPr="00FA6607" w:rsidRDefault="00FA6607" w:rsidP="00FA6607">
      <w:pPr>
        <w:pStyle w:val="ListParagraph"/>
        <w:ind w:left="709"/>
        <w:rPr>
          <w:rFonts w:ascii="Arial" w:hAnsi="Arial" w:cs="Arial"/>
          <w:sz w:val="20"/>
          <w:szCs w:val="20"/>
        </w:rPr>
      </w:pPr>
    </w:p>
    <w:p w14:paraId="4CA78E5D" w14:textId="01C09C7A" w:rsidR="00ED2B52" w:rsidRPr="00FA6607" w:rsidRDefault="00ED2B52" w:rsidP="00FA6607">
      <w:pPr>
        <w:pStyle w:val="ListParagraph"/>
        <w:numPr>
          <w:ilvl w:val="0"/>
          <w:numId w:val="19"/>
        </w:numPr>
        <w:ind w:left="709"/>
        <w:rPr>
          <w:rFonts w:ascii="Arial" w:hAnsi="Arial" w:cs="Arial"/>
          <w:sz w:val="20"/>
          <w:szCs w:val="20"/>
        </w:rPr>
      </w:pPr>
      <w:r w:rsidRPr="00FA6607">
        <w:rPr>
          <w:rFonts w:ascii="Arial" w:hAnsi="Arial" w:cs="Arial"/>
          <w:sz w:val="20"/>
          <w:szCs w:val="20"/>
        </w:rPr>
        <w:t>Student wellbeing and support</w:t>
      </w:r>
      <w:r w:rsidR="004778E8" w:rsidRPr="00FA6607">
        <w:rPr>
          <w:rFonts w:ascii="Arial" w:hAnsi="Arial" w:cs="Arial"/>
          <w:sz w:val="20"/>
          <w:szCs w:val="20"/>
        </w:rPr>
        <w:t xml:space="preserve"> </w:t>
      </w:r>
      <w:r w:rsidR="00FA6607" w:rsidRPr="00FA6607">
        <w:rPr>
          <w:rFonts w:ascii="Arial" w:hAnsi="Arial" w:cs="Arial"/>
          <w:sz w:val="20"/>
          <w:szCs w:val="20"/>
        </w:rPr>
        <w:t xml:space="preserve">– </w:t>
      </w:r>
      <w:proofErr w:type="gramStart"/>
      <w:r w:rsidR="00FA6607" w:rsidRPr="00FA6607">
        <w:rPr>
          <w:rFonts w:ascii="Arial" w:hAnsi="Arial" w:cs="Arial"/>
          <w:sz w:val="20"/>
          <w:szCs w:val="20"/>
        </w:rPr>
        <w:t>three</w:t>
      </w:r>
      <w:r w:rsidR="00363492" w:rsidRPr="00FA6607">
        <w:rPr>
          <w:rFonts w:ascii="Arial" w:hAnsi="Arial" w:cs="Arial"/>
          <w:sz w:val="20"/>
          <w:szCs w:val="20"/>
        </w:rPr>
        <w:t xml:space="preserve"> </w:t>
      </w:r>
      <w:r w:rsidR="004778E8" w:rsidRPr="00FA6607">
        <w:rPr>
          <w:rFonts w:ascii="Arial" w:hAnsi="Arial" w:cs="Arial"/>
          <w:sz w:val="20"/>
          <w:szCs w:val="20"/>
        </w:rPr>
        <w:t xml:space="preserve"> projects</w:t>
      </w:r>
      <w:proofErr w:type="gramEnd"/>
      <w:r w:rsidR="004778E8" w:rsidRPr="00FA6607">
        <w:rPr>
          <w:rFonts w:ascii="Arial" w:hAnsi="Arial" w:cs="Arial"/>
          <w:sz w:val="20"/>
          <w:szCs w:val="20"/>
        </w:rPr>
        <w:t xml:space="preserve"> are outlined later in this work plan</w:t>
      </w:r>
      <w:r w:rsidR="00166D75" w:rsidRPr="00FA6607">
        <w:rPr>
          <w:rFonts w:ascii="Arial" w:hAnsi="Arial" w:cs="Arial"/>
          <w:sz w:val="20"/>
          <w:szCs w:val="20"/>
        </w:rPr>
        <w:t xml:space="preserve"> and these also build on centrally organised programs – in recognition that student health and </w:t>
      </w:r>
      <w:r w:rsidR="00E65A47" w:rsidRPr="00FA6607">
        <w:rPr>
          <w:rFonts w:ascii="Arial" w:hAnsi="Arial" w:cs="Arial"/>
          <w:sz w:val="20"/>
          <w:szCs w:val="20"/>
        </w:rPr>
        <w:t>wellbeing</w:t>
      </w:r>
      <w:r w:rsidR="00166D75" w:rsidRPr="00FA6607">
        <w:rPr>
          <w:rFonts w:ascii="Arial" w:hAnsi="Arial" w:cs="Arial"/>
          <w:sz w:val="20"/>
          <w:szCs w:val="20"/>
        </w:rPr>
        <w:t xml:space="preserve"> is a pre-condition for effective engagement and education and that this is a major issue confronting schools</w:t>
      </w:r>
      <w:r w:rsidR="00C43D33" w:rsidRPr="00FA6607">
        <w:rPr>
          <w:rFonts w:ascii="Arial" w:hAnsi="Arial" w:cs="Arial"/>
          <w:sz w:val="20"/>
          <w:szCs w:val="20"/>
        </w:rPr>
        <w:t>.</w:t>
      </w:r>
    </w:p>
    <w:p w14:paraId="4DECAC02" w14:textId="77777777" w:rsidR="00E65A47" w:rsidRPr="00E65A47" w:rsidRDefault="00E65A47" w:rsidP="00E65A47">
      <w:pPr>
        <w:pStyle w:val="ListParagraph"/>
        <w:spacing w:after="0" w:line="240" w:lineRule="auto"/>
        <w:jc w:val="both"/>
        <w:rPr>
          <w:rFonts w:ascii="Arial" w:hAnsi="Arial" w:cs="Arial"/>
          <w:sz w:val="20"/>
          <w:szCs w:val="20"/>
        </w:rPr>
      </w:pPr>
    </w:p>
    <w:p w14:paraId="44BB1C0B" w14:textId="65D5AFE1" w:rsidR="00ED2B52" w:rsidRPr="00E65A47" w:rsidRDefault="00ED2B52" w:rsidP="00FA6607">
      <w:pPr>
        <w:pStyle w:val="FootnoteText"/>
      </w:pPr>
      <w:r w:rsidRPr="00E65A47">
        <w:rPr>
          <w:rFonts w:cs="Arial"/>
        </w:rPr>
        <w:t xml:space="preserve">Other priorities identified by the Minister </w:t>
      </w:r>
      <w:r w:rsidR="00695337" w:rsidRPr="00E65A47">
        <w:rPr>
          <w:rFonts w:cs="Arial"/>
        </w:rPr>
        <w:t xml:space="preserve">– </w:t>
      </w:r>
      <w:r w:rsidR="00695337" w:rsidRPr="009B253C">
        <w:rPr>
          <w:rFonts w:cs="Arial"/>
        </w:rPr>
        <w:t>none</w:t>
      </w:r>
      <w:r w:rsidR="009B253C" w:rsidRPr="009B253C">
        <w:rPr>
          <w:rFonts w:cs="Arial"/>
        </w:rPr>
        <w:br/>
      </w:r>
      <w:bookmarkEnd w:id="0"/>
    </w:p>
    <w:p w14:paraId="54D2BCD4" w14:textId="77777777" w:rsidR="00ED2B52" w:rsidRPr="00E65A47" w:rsidRDefault="00ED2B52" w:rsidP="00ED2B52">
      <w:pPr>
        <w:spacing w:after="0" w:line="240" w:lineRule="auto"/>
        <w:ind w:right="57"/>
        <w:rPr>
          <w:rFonts w:cs="Arial"/>
          <w:b/>
          <w:szCs w:val="20"/>
        </w:rPr>
      </w:pPr>
      <w:r w:rsidRPr="00E65A47">
        <w:rPr>
          <w:rFonts w:cs="Arial"/>
          <w:b/>
          <w:szCs w:val="20"/>
        </w:rPr>
        <w:t>PRINCIPLES FOR DEVELOPING THE CAF WORK PLAN</w:t>
      </w:r>
    </w:p>
    <w:p w14:paraId="0AB43545" w14:textId="1B40851D" w:rsidR="00ED2B52" w:rsidRPr="00E65A47" w:rsidRDefault="00ED2B52" w:rsidP="00ED2B52">
      <w:pPr>
        <w:spacing w:after="0" w:line="240" w:lineRule="auto"/>
        <w:ind w:right="57"/>
        <w:jc w:val="both"/>
        <w:rPr>
          <w:rFonts w:cs="Arial"/>
          <w:szCs w:val="20"/>
        </w:rPr>
      </w:pPr>
      <w:r w:rsidRPr="00E65A47">
        <w:rPr>
          <w:rFonts w:cs="Arial"/>
          <w:szCs w:val="20"/>
        </w:rPr>
        <w:t xml:space="preserve">The projects proposed by CEWA are based on a number of key </w:t>
      </w:r>
      <w:r w:rsidR="00E65A47" w:rsidRPr="00E65A47">
        <w:rPr>
          <w:rFonts w:cs="Arial"/>
          <w:szCs w:val="20"/>
        </w:rPr>
        <w:t>principles</w:t>
      </w:r>
      <w:r w:rsidR="00E65A47">
        <w:rPr>
          <w:rFonts w:cs="Arial"/>
          <w:szCs w:val="20"/>
        </w:rPr>
        <w:t>:</w:t>
      </w:r>
    </w:p>
    <w:p w14:paraId="3E6C5762" w14:textId="77777777" w:rsidR="00ED2B52" w:rsidRPr="00E65A47" w:rsidRDefault="00ED2B52" w:rsidP="00ED2B52">
      <w:pPr>
        <w:spacing w:after="0" w:line="240" w:lineRule="auto"/>
        <w:ind w:right="57"/>
        <w:jc w:val="both"/>
        <w:rPr>
          <w:rFonts w:cs="Arial"/>
          <w:b/>
          <w:szCs w:val="20"/>
        </w:rPr>
      </w:pPr>
    </w:p>
    <w:p w14:paraId="5D6110BC" w14:textId="1A64B37D" w:rsidR="00ED2B52" w:rsidRPr="00E65A47" w:rsidRDefault="00ED2B52" w:rsidP="00ED2B52">
      <w:pPr>
        <w:pStyle w:val="ListParagraph"/>
        <w:numPr>
          <w:ilvl w:val="0"/>
          <w:numId w:val="18"/>
        </w:numPr>
        <w:spacing w:after="0" w:line="259" w:lineRule="auto"/>
        <w:ind w:hanging="720"/>
        <w:jc w:val="both"/>
        <w:rPr>
          <w:rFonts w:ascii="Arial" w:hAnsi="Arial" w:cs="Arial"/>
          <w:iCs/>
          <w:sz w:val="20"/>
          <w:szCs w:val="20"/>
        </w:rPr>
      </w:pPr>
      <w:r w:rsidRPr="00E65A47">
        <w:rPr>
          <w:rFonts w:ascii="Arial" w:hAnsi="Arial" w:cs="Arial"/>
          <w:b/>
          <w:iCs/>
          <w:sz w:val="20"/>
          <w:szCs w:val="20"/>
        </w:rPr>
        <w:t xml:space="preserve">Building on core business and </w:t>
      </w:r>
      <w:r w:rsidR="00E65A47" w:rsidRPr="00E65A47">
        <w:rPr>
          <w:rFonts w:ascii="Arial" w:hAnsi="Arial" w:cs="Arial"/>
          <w:b/>
          <w:iCs/>
          <w:sz w:val="20"/>
          <w:szCs w:val="20"/>
        </w:rPr>
        <w:t xml:space="preserve">priorities </w:t>
      </w:r>
      <w:r w:rsidR="00E65A47" w:rsidRPr="00E65A47">
        <w:rPr>
          <w:rFonts w:ascii="Arial" w:hAnsi="Arial" w:cs="Arial"/>
          <w:iCs/>
          <w:sz w:val="20"/>
          <w:szCs w:val="20"/>
        </w:rPr>
        <w:t>–</w:t>
      </w:r>
      <w:r w:rsidRPr="00E65A47">
        <w:rPr>
          <w:rFonts w:ascii="Arial" w:hAnsi="Arial" w:cs="Arial"/>
          <w:iCs/>
          <w:sz w:val="20"/>
          <w:szCs w:val="20"/>
        </w:rPr>
        <w:t xml:space="preserve"> funds will be used</w:t>
      </w:r>
      <w:r w:rsidR="00166D75" w:rsidRPr="00E65A47">
        <w:rPr>
          <w:rFonts w:ascii="Arial" w:hAnsi="Arial" w:cs="Arial"/>
          <w:iCs/>
          <w:sz w:val="20"/>
          <w:szCs w:val="20"/>
        </w:rPr>
        <w:t xml:space="preserve"> mainly, but not </w:t>
      </w:r>
      <w:r w:rsidR="00E65A47" w:rsidRPr="00E65A47">
        <w:rPr>
          <w:rFonts w:ascii="Arial" w:hAnsi="Arial" w:cs="Arial"/>
          <w:iCs/>
          <w:sz w:val="20"/>
          <w:szCs w:val="20"/>
        </w:rPr>
        <w:t>exclusively, to</w:t>
      </w:r>
      <w:r w:rsidRPr="00E65A47">
        <w:rPr>
          <w:rFonts w:ascii="Arial" w:hAnsi="Arial" w:cs="Arial"/>
          <w:iCs/>
          <w:sz w:val="20"/>
          <w:szCs w:val="20"/>
        </w:rPr>
        <w:t xml:space="preserve"> build on and enhance current and emerging system priorities which address the </w:t>
      </w:r>
      <w:r w:rsidR="00166D75" w:rsidRPr="00E65A47">
        <w:rPr>
          <w:rFonts w:ascii="Arial" w:hAnsi="Arial" w:cs="Arial"/>
          <w:iCs/>
          <w:sz w:val="20"/>
          <w:szCs w:val="20"/>
        </w:rPr>
        <w:t>priorities</w:t>
      </w:r>
      <w:r w:rsidRPr="00E65A47">
        <w:rPr>
          <w:rFonts w:ascii="Arial" w:hAnsi="Arial" w:cs="Arial"/>
          <w:iCs/>
          <w:sz w:val="20"/>
          <w:szCs w:val="20"/>
        </w:rPr>
        <w:t>. The potential duration of funding over ten years provides an opportunity to support medium to longer term priorities and to provide the necessary additionality and value added. This does not however preclude funds being directed to new initiatives as they emerge, such as those related to COVID-19 recovery</w:t>
      </w:r>
      <w:r w:rsidR="003F292B" w:rsidRPr="00E65A47">
        <w:rPr>
          <w:rFonts w:ascii="Arial" w:hAnsi="Arial" w:cs="Arial"/>
          <w:iCs/>
          <w:sz w:val="20"/>
          <w:szCs w:val="20"/>
        </w:rPr>
        <w:t xml:space="preserve"> and adjustment.</w:t>
      </w:r>
    </w:p>
    <w:p w14:paraId="6FCBD6BC" w14:textId="40163C46" w:rsidR="00ED2B52" w:rsidRPr="00E65A47" w:rsidRDefault="00ED2B52" w:rsidP="00ED2B52">
      <w:pPr>
        <w:pStyle w:val="ListParagraph"/>
        <w:numPr>
          <w:ilvl w:val="0"/>
          <w:numId w:val="18"/>
        </w:numPr>
        <w:spacing w:after="0" w:line="259" w:lineRule="auto"/>
        <w:ind w:hanging="720"/>
        <w:jc w:val="both"/>
        <w:rPr>
          <w:rFonts w:ascii="Arial" w:hAnsi="Arial" w:cs="Arial"/>
          <w:iCs/>
          <w:sz w:val="20"/>
          <w:szCs w:val="20"/>
        </w:rPr>
      </w:pPr>
      <w:r w:rsidRPr="00E65A47">
        <w:rPr>
          <w:rFonts w:ascii="Arial" w:hAnsi="Arial" w:cs="Arial"/>
          <w:b/>
          <w:iCs/>
          <w:sz w:val="20"/>
          <w:szCs w:val="20"/>
        </w:rPr>
        <w:t>Centrally delivered</w:t>
      </w:r>
      <w:r w:rsidRPr="00E65A47">
        <w:rPr>
          <w:rFonts w:ascii="Arial" w:hAnsi="Arial" w:cs="Arial"/>
          <w:iCs/>
          <w:sz w:val="20"/>
          <w:szCs w:val="20"/>
        </w:rPr>
        <w:t xml:space="preserve"> </w:t>
      </w:r>
      <w:r w:rsidRPr="00E65A47">
        <w:rPr>
          <w:rFonts w:ascii="Arial" w:hAnsi="Arial" w:cs="Arial"/>
          <w:b/>
          <w:iCs/>
          <w:sz w:val="20"/>
          <w:szCs w:val="20"/>
        </w:rPr>
        <w:t>projects</w:t>
      </w:r>
      <w:r w:rsidRPr="00E65A47">
        <w:rPr>
          <w:rFonts w:ascii="Arial" w:hAnsi="Arial" w:cs="Arial"/>
          <w:iCs/>
          <w:sz w:val="20"/>
          <w:szCs w:val="20"/>
        </w:rPr>
        <w:t xml:space="preserve"> – funding and projects that are organised and delivered centrally by CEWA are generally more strategic, efficient, sustainable, accountable and offer a greater value-added. This has been the approach successfully used with </w:t>
      </w:r>
      <w:r w:rsidR="00E65A47" w:rsidRPr="00E65A47">
        <w:rPr>
          <w:rFonts w:ascii="Arial" w:hAnsi="Arial" w:cs="Arial"/>
          <w:iCs/>
          <w:sz w:val="20"/>
          <w:szCs w:val="20"/>
        </w:rPr>
        <w:t>Non-Government</w:t>
      </w:r>
      <w:r w:rsidRPr="00E65A47">
        <w:rPr>
          <w:rFonts w:ascii="Arial" w:hAnsi="Arial" w:cs="Arial"/>
          <w:iCs/>
          <w:sz w:val="20"/>
          <w:szCs w:val="20"/>
        </w:rPr>
        <w:t xml:space="preserve"> Reform Support Funded projects. Most of the projects included in this</w:t>
      </w:r>
      <w:r w:rsidR="00563CDE" w:rsidRPr="00E65A47">
        <w:rPr>
          <w:rFonts w:ascii="Arial" w:hAnsi="Arial" w:cs="Arial"/>
          <w:iCs/>
          <w:sz w:val="20"/>
          <w:szCs w:val="20"/>
        </w:rPr>
        <w:t xml:space="preserve"> work</w:t>
      </w:r>
      <w:r w:rsidRPr="00E65A47">
        <w:rPr>
          <w:rFonts w:ascii="Arial" w:hAnsi="Arial" w:cs="Arial"/>
          <w:iCs/>
          <w:sz w:val="20"/>
          <w:szCs w:val="20"/>
        </w:rPr>
        <w:t xml:space="preserve"> plan involve central office directed projects although in some of these projects, there will be payments directly to schools involved. </w:t>
      </w:r>
      <w:r w:rsidRPr="002A001F">
        <w:rPr>
          <w:rFonts w:ascii="Arial" w:hAnsi="Arial" w:cs="Arial"/>
          <w:iCs/>
          <w:sz w:val="20"/>
          <w:szCs w:val="20"/>
        </w:rPr>
        <w:t>The benefit of these</w:t>
      </w:r>
      <w:r w:rsidR="00563CDE" w:rsidRPr="002A001F">
        <w:rPr>
          <w:rFonts w:ascii="Arial" w:hAnsi="Arial" w:cs="Arial"/>
          <w:iCs/>
          <w:sz w:val="20"/>
          <w:szCs w:val="20"/>
        </w:rPr>
        <w:t xml:space="preserve"> centrally developed</w:t>
      </w:r>
      <w:r w:rsidRPr="002A001F">
        <w:rPr>
          <w:rFonts w:ascii="Arial" w:hAnsi="Arial" w:cs="Arial"/>
          <w:iCs/>
          <w:sz w:val="20"/>
          <w:szCs w:val="20"/>
        </w:rPr>
        <w:t xml:space="preserve"> projects ascribes directly to</w:t>
      </w:r>
      <w:r w:rsidR="00160066" w:rsidRPr="002A001F">
        <w:rPr>
          <w:rFonts w:ascii="Arial" w:hAnsi="Arial" w:cs="Arial"/>
          <w:iCs/>
          <w:sz w:val="20"/>
          <w:szCs w:val="20"/>
        </w:rPr>
        <w:t xml:space="preserve"> t</w:t>
      </w:r>
      <w:r w:rsidRPr="002A001F">
        <w:rPr>
          <w:rFonts w:ascii="Arial" w:hAnsi="Arial" w:cs="Arial"/>
          <w:iCs/>
          <w:sz w:val="20"/>
          <w:szCs w:val="20"/>
        </w:rPr>
        <w:t>he 163 schools in the system</w:t>
      </w:r>
      <w:r w:rsidR="003F292B" w:rsidRPr="002A001F">
        <w:rPr>
          <w:rFonts w:ascii="Arial" w:hAnsi="Arial" w:cs="Arial"/>
          <w:iCs/>
          <w:sz w:val="20"/>
          <w:szCs w:val="20"/>
        </w:rPr>
        <w:t>; over which CEWA has approved representation.</w:t>
      </w:r>
    </w:p>
    <w:p w14:paraId="79F9CD59" w14:textId="77777777" w:rsidR="00ED2B52" w:rsidRPr="00E65A47" w:rsidRDefault="00ED2B52" w:rsidP="00ED2B52">
      <w:pPr>
        <w:pStyle w:val="ListParagraph"/>
        <w:numPr>
          <w:ilvl w:val="0"/>
          <w:numId w:val="18"/>
        </w:numPr>
        <w:spacing w:after="0" w:line="259" w:lineRule="auto"/>
        <w:ind w:hanging="720"/>
        <w:jc w:val="both"/>
        <w:rPr>
          <w:rFonts w:ascii="Arial" w:hAnsi="Arial" w:cs="Arial"/>
          <w:iCs/>
          <w:sz w:val="20"/>
          <w:szCs w:val="20"/>
        </w:rPr>
      </w:pPr>
      <w:r w:rsidRPr="00E65A47">
        <w:rPr>
          <w:rFonts w:ascii="Arial" w:hAnsi="Arial" w:cs="Arial"/>
          <w:b/>
          <w:iCs/>
          <w:sz w:val="20"/>
          <w:szCs w:val="20"/>
        </w:rPr>
        <w:t>Alignment with ‘Strategic Directions 2019 – 2023’</w:t>
      </w:r>
      <w:r w:rsidRPr="00E65A47">
        <w:rPr>
          <w:rFonts w:ascii="Arial" w:hAnsi="Arial" w:cs="Arial"/>
          <w:iCs/>
          <w:sz w:val="20"/>
          <w:szCs w:val="20"/>
        </w:rPr>
        <w:t xml:space="preserve"> – CEWA has a strategic plan which provides directions for the system. A key component of this Strategic Plan is the support for vulnerable and disadvantaged communities. Additionally, ‘Transforming Lives; 2025’ is a priority for Aboriginal communities. Projects supported by CAF align to overall system priorities and as indicated, with a focus on lower SES schools and communities, vulnerable groups and regional, rural and remote schools. Support for CARE schools and remote and rural </w:t>
      </w:r>
      <w:proofErr w:type="gramStart"/>
      <w:r w:rsidRPr="00E65A47">
        <w:rPr>
          <w:rFonts w:ascii="Arial" w:hAnsi="Arial" w:cs="Arial"/>
          <w:iCs/>
          <w:sz w:val="20"/>
          <w:szCs w:val="20"/>
        </w:rPr>
        <w:t>schools</w:t>
      </w:r>
      <w:proofErr w:type="gramEnd"/>
      <w:r w:rsidRPr="00E65A47">
        <w:rPr>
          <w:rFonts w:ascii="Arial" w:hAnsi="Arial" w:cs="Arial"/>
          <w:iCs/>
          <w:sz w:val="20"/>
          <w:szCs w:val="20"/>
        </w:rPr>
        <w:t xml:space="preserve"> figures significantly in this work plan.</w:t>
      </w:r>
    </w:p>
    <w:p w14:paraId="7F47D4A0" w14:textId="5FDAF227" w:rsidR="00ED2B52" w:rsidRPr="00E65A47" w:rsidRDefault="00ED2B52" w:rsidP="00ED2B52">
      <w:pPr>
        <w:pStyle w:val="ListParagraph"/>
        <w:numPr>
          <w:ilvl w:val="0"/>
          <w:numId w:val="18"/>
        </w:numPr>
        <w:spacing w:after="0" w:line="259" w:lineRule="auto"/>
        <w:ind w:hanging="720"/>
        <w:jc w:val="both"/>
        <w:rPr>
          <w:rFonts w:ascii="Arial" w:hAnsi="Arial" w:cs="Arial"/>
          <w:iCs/>
          <w:sz w:val="20"/>
          <w:szCs w:val="20"/>
        </w:rPr>
      </w:pPr>
      <w:r w:rsidRPr="00E65A47">
        <w:rPr>
          <w:rFonts w:ascii="Arial" w:hAnsi="Arial" w:cs="Arial"/>
          <w:b/>
          <w:iCs/>
          <w:sz w:val="20"/>
          <w:szCs w:val="20"/>
        </w:rPr>
        <w:t>Connections between RSF and CAF funding</w:t>
      </w:r>
      <w:r w:rsidRPr="00E65A47">
        <w:rPr>
          <w:rFonts w:ascii="Arial" w:hAnsi="Arial" w:cs="Arial"/>
          <w:iCs/>
          <w:sz w:val="20"/>
          <w:szCs w:val="20"/>
        </w:rPr>
        <w:t xml:space="preserve"> – There is no joint funding of projects from these programs. </w:t>
      </w:r>
    </w:p>
    <w:p w14:paraId="01B503BA" w14:textId="77777777" w:rsidR="00ED2B52" w:rsidRPr="00E65A47" w:rsidRDefault="00ED2B52" w:rsidP="00ED2B52">
      <w:pPr>
        <w:pStyle w:val="ListParagraph"/>
        <w:numPr>
          <w:ilvl w:val="0"/>
          <w:numId w:val="18"/>
        </w:numPr>
        <w:spacing w:after="0" w:line="259" w:lineRule="auto"/>
        <w:ind w:hanging="720"/>
        <w:jc w:val="both"/>
        <w:rPr>
          <w:rFonts w:ascii="Arial" w:hAnsi="Arial" w:cs="Arial"/>
          <w:sz w:val="20"/>
          <w:szCs w:val="20"/>
        </w:rPr>
      </w:pPr>
      <w:r w:rsidRPr="00E65A47">
        <w:rPr>
          <w:rFonts w:ascii="Arial" w:hAnsi="Arial" w:cs="Arial"/>
          <w:b/>
          <w:iCs/>
          <w:sz w:val="20"/>
          <w:szCs w:val="20"/>
        </w:rPr>
        <w:t>Reporting considerations –</w:t>
      </w:r>
      <w:r w:rsidRPr="00E65A47">
        <w:rPr>
          <w:rFonts w:ascii="Arial" w:hAnsi="Arial" w:cs="Arial"/>
          <w:iCs/>
          <w:sz w:val="20"/>
          <w:szCs w:val="20"/>
        </w:rPr>
        <w:t xml:space="preserve"> projects </w:t>
      </w:r>
      <w:r w:rsidRPr="00E65A47">
        <w:rPr>
          <w:rFonts w:ascii="Arial" w:hAnsi="Arial" w:cs="Arial"/>
          <w:bCs/>
          <w:iCs/>
          <w:sz w:val="20"/>
          <w:szCs w:val="20"/>
        </w:rPr>
        <w:t>are established to have</w:t>
      </w:r>
      <w:r w:rsidRPr="00E65A47">
        <w:rPr>
          <w:rFonts w:ascii="Arial" w:hAnsi="Arial" w:cs="Arial"/>
          <w:sz w:val="20"/>
          <w:szCs w:val="20"/>
        </w:rPr>
        <w:t xml:space="preserve"> clear KPIs and sufficient qualitative and quantitative evidence available to support annual reporting. Additionally, this </w:t>
      </w:r>
      <w:r w:rsidRPr="00E65A47">
        <w:rPr>
          <w:rFonts w:ascii="Arial" w:hAnsi="Arial" w:cs="Arial"/>
          <w:sz w:val="20"/>
          <w:szCs w:val="20"/>
        </w:rPr>
        <w:lastRenderedPageBreak/>
        <w:t>provides CEWA with a framework to continuously evaluate projects and to ensure they deliver intended outcomes.</w:t>
      </w:r>
    </w:p>
    <w:p w14:paraId="185CA4F4" w14:textId="77777777" w:rsidR="00ED2B52" w:rsidRPr="00E65A47" w:rsidRDefault="00ED2B52" w:rsidP="00ED2B52">
      <w:pPr>
        <w:pStyle w:val="ListParagraph"/>
        <w:numPr>
          <w:ilvl w:val="0"/>
          <w:numId w:val="18"/>
        </w:numPr>
        <w:spacing w:after="0" w:line="259" w:lineRule="auto"/>
        <w:ind w:hanging="720"/>
        <w:jc w:val="both"/>
        <w:rPr>
          <w:rFonts w:ascii="Arial" w:hAnsi="Arial" w:cs="Arial"/>
          <w:sz w:val="20"/>
          <w:szCs w:val="20"/>
        </w:rPr>
      </w:pPr>
      <w:r w:rsidRPr="00E65A47">
        <w:rPr>
          <w:rFonts w:ascii="Arial" w:hAnsi="Arial" w:cs="Arial"/>
          <w:b/>
          <w:bCs/>
          <w:sz w:val="20"/>
          <w:szCs w:val="20"/>
        </w:rPr>
        <w:t>Sustainability</w:t>
      </w:r>
      <w:r w:rsidRPr="00E65A47">
        <w:rPr>
          <w:rFonts w:ascii="Arial" w:hAnsi="Arial" w:cs="Arial"/>
          <w:sz w:val="20"/>
          <w:szCs w:val="20"/>
        </w:rPr>
        <w:t xml:space="preserve"> – as mentioned in point 2 above, CEWA is supporting projects in sustainable ways. Funding aims to support medium to longer term projects and initiatives with the aim that these initiatives become an integral part of ongoing school and system practice.</w:t>
      </w:r>
    </w:p>
    <w:p w14:paraId="232D3B24" w14:textId="5D3B64EA" w:rsidR="00ED2B52" w:rsidRPr="00E65A47" w:rsidRDefault="00695337" w:rsidP="00ED2B52">
      <w:pPr>
        <w:spacing w:after="0" w:line="240" w:lineRule="auto"/>
        <w:ind w:right="57"/>
        <w:jc w:val="both"/>
        <w:rPr>
          <w:rFonts w:cs="Arial"/>
          <w:b/>
          <w:szCs w:val="20"/>
        </w:rPr>
      </w:pPr>
      <w:r w:rsidRPr="00E65A47">
        <w:rPr>
          <w:rFonts w:cs="Arial"/>
          <w:b/>
          <w:szCs w:val="20"/>
        </w:rPr>
        <w:t>APPLICATIONS, ALLOCATIONS AND ENHANCEMENT</w:t>
      </w:r>
    </w:p>
    <w:p w14:paraId="3A8702E5" w14:textId="519EC4B8" w:rsidR="00695337" w:rsidRPr="00E65A47" w:rsidRDefault="000D47FD" w:rsidP="00ED2B52">
      <w:pPr>
        <w:spacing w:after="0" w:line="240" w:lineRule="auto"/>
        <w:ind w:right="57"/>
        <w:jc w:val="both"/>
        <w:rPr>
          <w:rFonts w:cs="Arial"/>
          <w:bCs/>
          <w:color w:val="000000" w:themeColor="text1"/>
          <w:szCs w:val="20"/>
        </w:rPr>
      </w:pPr>
      <w:r w:rsidRPr="00E65A47">
        <w:rPr>
          <w:rFonts w:cs="Arial"/>
          <w:bCs/>
          <w:color w:val="000000" w:themeColor="text1"/>
          <w:szCs w:val="20"/>
        </w:rPr>
        <w:t xml:space="preserve">As outlined in </w:t>
      </w:r>
      <w:r w:rsidR="00E65A47" w:rsidRPr="00E65A47">
        <w:rPr>
          <w:rFonts w:cs="Arial"/>
          <w:bCs/>
          <w:color w:val="000000" w:themeColor="text1"/>
          <w:szCs w:val="20"/>
        </w:rPr>
        <w:t>the introduction</w:t>
      </w:r>
      <w:r w:rsidRPr="00E65A47">
        <w:rPr>
          <w:rFonts w:cs="Arial"/>
          <w:bCs/>
          <w:color w:val="000000" w:themeColor="text1"/>
          <w:szCs w:val="20"/>
        </w:rPr>
        <w:t>, most of the funds from 2021</w:t>
      </w:r>
      <w:r w:rsidR="00563CDE" w:rsidRPr="00E65A47">
        <w:rPr>
          <w:rFonts w:cs="Arial"/>
          <w:bCs/>
          <w:color w:val="000000" w:themeColor="text1"/>
          <w:szCs w:val="20"/>
        </w:rPr>
        <w:t xml:space="preserve"> </w:t>
      </w:r>
      <w:r w:rsidRPr="00E65A47">
        <w:rPr>
          <w:rFonts w:cs="Arial"/>
          <w:bCs/>
          <w:color w:val="000000" w:themeColor="text1"/>
          <w:szCs w:val="20"/>
        </w:rPr>
        <w:t xml:space="preserve">through to 2023 are expended on central projects that support the priorities. From 2024, significant allocations under Transition Assistance Support will occur. The management and </w:t>
      </w:r>
      <w:r w:rsidR="00E65A47" w:rsidRPr="00E65A47">
        <w:rPr>
          <w:rFonts w:cs="Arial"/>
          <w:bCs/>
          <w:color w:val="000000" w:themeColor="text1"/>
          <w:szCs w:val="20"/>
        </w:rPr>
        <w:t>decision-making</w:t>
      </w:r>
      <w:r w:rsidRPr="00E65A47">
        <w:rPr>
          <w:rFonts w:cs="Arial"/>
          <w:bCs/>
          <w:color w:val="000000" w:themeColor="text1"/>
          <w:szCs w:val="20"/>
        </w:rPr>
        <w:t xml:space="preserve"> structure used to develop, operate, </w:t>
      </w:r>
      <w:r w:rsidR="00E65A47" w:rsidRPr="00E65A47">
        <w:rPr>
          <w:rFonts w:cs="Arial"/>
          <w:bCs/>
          <w:color w:val="000000" w:themeColor="text1"/>
          <w:szCs w:val="20"/>
        </w:rPr>
        <w:t>evaluate,</w:t>
      </w:r>
      <w:r w:rsidRPr="00E65A47">
        <w:rPr>
          <w:rFonts w:cs="Arial"/>
          <w:bCs/>
          <w:color w:val="000000" w:themeColor="text1"/>
          <w:szCs w:val="20"/>
        </w:rPr>
        <w:t xml:space="preserve"> and refine programs ensures effectiveness and that school needs are addressed.</w:t>
      </w:r>
      <w:r w:rsidR="00466720" w:rsidRPr="00E65A47">
        <w:rPr>
          <w:rFonts w:cs="Arial"/>
          <w:bCs/>
          <w:color w:val="000000" w:themeColor="text1"/>
          <w:szCs w:val="20"/>
        </w:rPr>
        <w:t xml:space="preserve"> CEWA Directors take ultimate responsibility for projects related to their Directorate operation – finance and school funding; human resource management, including leadership, child safety and student wellbeing; governance and school accountability; a</w:t>
      </w:r>
      <w:r w:rsidR="00563CDE" w:rsidRPr="00E65A47">
        <w:rPr>
          <w:rFonts w:cs="Arial"/>
          <w:bCs/>
          <w:color w:val="000000" w:themeColor="text1"/>
          <w:szCs w:val="20"/>
        </w:rPr>
        <w:t>n</w:t>
      </w:r>
      <w:r w:rsidR="00466720" w:rsidRPr="00E65A47">
        <w:rPr>
          <w:rFonts w:cs="Arial"/>
          <w:bCs/>
          <w:color w:val="000000" w:themeColor="text1"/>
          <w:szCs w:val="20"/>
        </w:rPr>
        <w:t>d Teaching and Learning, including the Aboriginal Education Team and Students with Disability Team. One of their specialist area consultants assu</w:t>
      </w:r>
      <w:r w:rsidR="004F2BC8" w:rsidRPr="00E65A47">
        <w:rPr>
          <w:rFonts w:cs="Arial"/>
          <w:bCs/>
          <w:color w:val="000000" w:themeColor="text1"/>
          <w:szCs w:val="20"/>
        </w:rPr>
        <w:t>m</w:t>
      </w:r>
      <w:r w:rsidR="00466720" w:rsidRPr="00E65A47">
        <w:rPr>
          <w:rFonts w:cs="Arial"/>
          <w:bCs/>
          <w:color w:val="000000" w:themeColor="text1"/>
          <w:szCs w:val="20"/>
        </w:rPr>
        <w:t>es</w:t>
      </w:r>
      <w:r w:rsidR="004F2BC8" w:rsidRPr="00E65A47">
        <w:rPr>
          <w:rFonts w:cs="Arial"/>
          <w:bCs/>
          <w:color w:val="000000" w:themeColor="text1"/>
          <w:szCs w:val="20"/>
        </w:rPr>
        <w:t xml:space="preserve"> </w:t>
      </w:r>
      <w:r w:rsidR="00466720" w:rsidRPr="00E65A47">
        <w:rPr>
          <w:rFonts w:cs="Arial"/>
          <w:bCs/>
          <w:color w:val="000000" w:themeColor="text1"/>
          <w:szCs w:val="20"/>
        </w:rPr>
        <w:t xml:space="preserve">operational responsibility for the project including liaison with schools, school and teacher support, progress monitoring against milestones and funding and evaluation. A separate </w:t>
      </w:r>
      <w:r w:rsidR="003F292B" w:rsidRPr="00E65A47">
        <w:rPr>
          <w:rFonts w:cs="Arial"/>
          <w:bCs/>
          <w:color w:val="000000" w:themeColor="text1"/>
          <w:szCs w:val="20"/>
        </w:rPr>
        <w:t xml:space="preserve">senior </w:t>
      </w:r>
      <w:r w:rsidR="00466720" w:rsidRPr="00E65A47">
        <w:rPr>
          <w:rFonts w:cs="Arial"/>
          <w:bCs/>
          <w:color w:val="000000" w:themeColor="text1"/>
          <w:szCs w:val="20"/>
        </w:rPr>
        <w:t>officer is</w:t>
      </w:r>
      <w:r w:rsidR="004F2BC8" w:rsidRPr="00E65A47">
        <w:rPr>
          <w:rFonts w:cs="Arial"/>
          <w:bCs/>
          <w:color w:val="000000" w:themeColor="text1"/>
          <w:szCs w:val="20"/>
        </w:rPr>
        <w:t xml:space="preserve"> </w:t>
      </w:r>
      <w:r w:rsidR="00466720" w:rsidRPr="00E65A47">
        <w:rPr>
          <w:rFonts w:cs="Arial"/>
          <w:bCs/>
          <w:color w:val="000000" w:themeColor="text1"/>
          <w:szCs w:val="20"/>
        </w:rPr>
        <w:t>responsible for overall program compliance – not recovered from CAF funding. His role is to</w:t>
      </w:r>
      <w:r w:rsidR="004F2BC8" w:rsidRPr="00E65A47">
        <w:rPr>
          <w:rFonts w:cs="Arial"/>
          <w:bCs/>
          <w:color w:val="000000" w:themeColor="text1"/>
          <w:szCs w:val="20"/>
        </w:rPr>
        <w:t xml:space="preserve"> </w:t>
      </w:r>
      <w:r w:rsidR="00466720" w:rsidRPr="00E65A47">
        <w:rPr>
          <w:rFonts w:cs="Arial"/>
          <w:bCs/>
          <w:color w:val="000000" w:themeColor="text1"/>
          <w:szCs w:val="20"/>
        </w:rPr>
        <w:t>work with individual project managers to ensure the effective operation in schools as well as compliance and reporting processes.</w:t>
      </w:r>
      <w:r w:rsidR="004F2BC8" w:rsidRPr="00E65A47">
        <w:rPr>
          <w:rFonts w:cs="Arial"/>
          <w:bCs/>
          <w:color w:val="000000" w:themeColor="text1"/>
          <w:szCs w:val="20"/>
        </w:rPr>
        <w:t xml:space="preserve"> Members of the Finance and accounting team oversee funding expenditure and accountability. Collectively, CEWA Directors and the Executive Director prioritise funding to meet the needs of schools.</w:t>
      </w:r>
    </w:p>
    <w:p w14:paraId="2418985F" w14:textId="5EFB1F5B" w:rsidR="004F2BC8" w:rsidRPr="00E65A47" w:rsidRDefault="004F2BC8" w:rsidP="00ED2B52">
      <w:pPr>
        <w:spacing w:after="0" w:line="240" w:lineRule="auto"/>
        <w:ind w:right="57"/>
        <w:jc w:val="both"/>
        <w:rPr>
          <w:rFonts w:cs="Arial"/>
          <w:bCs/>
          <w:color w:val="000000" w:themeColor="text1"/>
          <w:szCs w:val="20"/>
        </w:rPr>
      </w:pPr>
      <w:r w:rsidRPr="00E65A47">
        <w:rPr>
          <w:rFonts w:cs="Arial"/>
          <w:bCs/>
          <w:color w:val="000000" w:themeColor="text1"/>
          <w:szCs w:val="20"/>
        </w:rPr>
        <w:t>While schools do not directly</w:t>
      </w:r>
      <w:r w:rsidR="007568BC" w:rsidRPr="00E65A47">
        <w:rPr>
          <w:rFonts w:cs="Arial"/>
          <w:bCs/>
          <w:color w:val="000000" w:themeColor="text1"/>
          <w:szCs w:val="20"/>
        </w:rPr>
        <w:t xml:space="preserve"> </w:t>
      </w:r>
      <w:r w:rsidRPr="00E65A47">
        <w:rPr>
          <w:rFonts w:cs="Arial"/>
          <w:bCs/>
          <w:color w:val="000000" w:themeColor="text1"/>
          <w:szCs w:val="20"/>
        </w:rPr>
        <w:t>apply</w:t>
      </w:r>
      <w:r w:rsidR="007568BC" w:rsidRPr="00E65A47">
        <w:rPr>
          <w:rFonts w:cs="Arial"/>
          <w:bCs/>
          <w:color w:val="000000" w:themeColor="text1"/>
          <w:szCs w:val="20"/>
        </w:rPr>
        <w:t xml:space="preserve"> </w:t>
      </w:r>
      <w:r w:rsidRPr="00E65A47">
        <w:rPr>
          <w:rFonts w:cs="Arial"/>
          <w:bCs/>
          <w:color w:val="000000" w:themeColor="text1"/>
          <w:szCs w:val="20"/>
        </w:rPr>
        <w:t>for funds, their collective and individual needs are assessed by the</w:t>
      </w:r>
      <w:r w:rsidR="007568BC" w:rsidRPr="00E65A47">
        <w:rPr>
          <w:rFonts w:cs="Arial"/>
          <w:bCs/>
          <w:color w:val="000000" w:themeColor="text1"/>
          <w:szCs w:val="20"/>
        </w:rPr>
        <w:t xml:space="preserve"> </w:t>
      </w:r>
      <w:r w:rsidRPr="00E65A47">
        <w:rPr>
          <w:rFonts w:cs="Arial"/>
          <w:bCs/>
          <w:color w:val="000000" w:themeColor="text1"/>
          <w:szCs w:val="20"/>
        </w:rPr>
        <w:t>project managers who will also consult with other school consultants and centrally</w:t>
      </w:r>
      <w:r w:rsidR="007568BC" w:rsidRPr="00E65A47">
        <w:rPr>
          <w:rFonts w:cs="Arial"/>
          <w:bCs/>
          <w:color w:val="000000" w:themeColor="text1"/>
          <w:szCs w:val="20"/>
        </w:rPr>
        <w:t xml:space="preserve"> appointed </w:t>
      </w:r>
      <w:r w:rsidRPr="00E65A47">
        <w:rPr>
          <w:rFonts w:cs="Arial"/>
          <w:bCs/>
          <w:color w:val="000000" w:themeColor="text1"/>
          <w:szCs w:val="20"/>
        </w:rPr>
        <w:t>School Improvement Advisors and Regional Officers who are in constant contact with the group of schools they service.</w:t>
      </w:r>
      <w:r w:rsidR="00045E8A" w:rsidRPr="00E65A47">
        <w:rPr>
          <w:rFonts w:cs="Arial"/>
          <w:bCs/>
          <w:color w:val="000000" w:themeColor="text1"/>
          <w:szCs w:val="20"/>
        </w:rPr>
        <w:t xml:space="preserve"> Schools have the opportunity to discuss their needs and to make representations as appropriate.</w:t>
      </w:r>
      <w:r w:rsidR="007568BC" w:rsidRPr="00E65A47">
        <w:rPr>
          <w:rFonts w:cs="Arial"/>
          <w:bCs/>
          <w:color w:val="000000" w:themeColor="text1"/>
          <w:szCs w:val="20"/>
        </w:rPr>
        <w:t xml:space="preserve"> </w:t>
      </w:r>
      <w:r w:rsidRPr="00E65A47">
        <w:rPr>
          <w:rFonts w:cs="Arial"/>
          <w:bCs/>
          <w:color w:val="000000" w:themeColor="text1"/>
          <w:szCs w:val="20"/>
        </w:rPr>
        <w:t>CEWA has confidence that the needs of any individual school are met, through these and a range of online accountability and monitoring processes. Accordingly, central funds and CAF funds can be directed</w:t>
      </w:r>
      <w:r w:rsidR="007568BC" w:rsidRPr="00E65A47">
        <w:rPr>
          <w:rFonts w:cs="Arial"/>
          <w:bCs/>
          <w:color w:val="000000" w:themeColor="text1"/>
          <w:szCs w:val="20"/>
        </w:rPr>
        <w:t xml:space="preserve"> </w:t>
      </w:r>
      <w:r w:rsidRPr="00E65A47">
        <w:rPr>
          <w:rFonts w:cs="Arial"/>
          <w:bCs/>
          <w:color w:val="000000" w:themeColor="text1"/>
          <w:szCs w:val="20"/>
        </w:rPr>
        <w:t>quickly within the CAF parameters of support and the existing projects</w:t>
      </w:r>
      <w:r w:rsidR="007568BC" w:rsidRPr="00E65A47">
        <w:rPr>
          <w:rFonts w:cs="Arial"/>
          <w:bCs/>
          <w:color w:val="000000" w:themeColor="text1"/>
          <w:szCs w:val="20"/>
        </w:rPr>
        <w:t>.</w:t>
      </w:r>
    </w:p>
    <w:p w14:paraId="67C1157E" w14:textId="47CE4BAA" w:rsidR="00563CDE" w:rsidRPr="00E65A47" w:rsidRDefault="00563CDE" w:rsidP="00ED2B52">
      <w:pPr>
        <w:spacing w:after="0" w:line="240" w:lineRule="auto"/>
        <w:ind w:right="57"/>
        <w:jc w:val="both"/>
        <w:rPr>
          <w:rFonts w:cs="Arial"/>
          <w:bCs/>
          <w:color w:val="000000" w:themeColor="text1"/>
          <w:szCs w:val="20"/>
        </w:rPr>
      </w:pPr>
      <w:r w:rsidRPr="00E65A47">
        <w:rPr>
          <w:rFonts w:cs="Arial"/>
          <w:bCs/>
          <w:color w:val="000000" w:themeColor="text1"/>
          <w:szCs w:val="20"/>
        </w:rPr>
        <w:t>The processes and consultation with respect to the allocation of Transition Assistance also involve negotiations with schools as described later.</w:t>
      </w:r>
    </w:p>
    <w:p w14:paraId="55F01A67" w14:textId="04F2466C" w:rsidR="007568BC" w:rsidRPr="00E65A47" w:rsidRDefault="007568BC" w:rsidP="00ED2B52">
      <w:pPr>
        <w:spacing w:after="0" w:line="240" w:lineRule="auto"/>
        <w:ind w:right="57"/>
        <w:jc w:val="both"/>
        <w:rPr>
          <w:rFonts w:cs="Arial"/>
          <w:bCs/>
          <w:color w:val="000000" w:themeColor="text1"/>
          <w:szCs w:val="20"/>
        </w:rPr>
      </w:pPr>
      <w:r w:rsidRPr="00E65A47">
        <w:rPr>
          <w:rFonts w:cs="Arial"/>
          <w:bCs/>
          <w:color w:val="000000" w:themeColor="text1"/>
          <w:szCs w:val="20"/>
        </w:rPr>
        <w:t>As indicated previously, project funding supports existing projects and system priorities. The direction of CAF funding allows for significant additionality, including higher quality</w:t>
      </w:r>
      <w:r w:rsidR="007746B9" w:rsidRPr="00E65A47">
        <w:rPr>
          <w:rFonts w:cs="Arial"/>
          <w:bCs/>
          <w:color w:val="000000" w:themeColor="text1"/>
          <w:szCs w:val="20"/>
        </w:rPr>
        <w:t xml:space="preserve"> </w:t>
      </w:r>
      <w:r w:rsidRPr="00E65A47">
        <w:rPr>
          <w:rFonts w:cs="Arial"/>
          <w:bCs/>
          <w:color w:val="000000" w:themeColor="text1"/>
          <w:szCs w:val="20"/>
        </w:rPr>
        <w:t xml:space="preserve">services, research driven reforms and </w:t>
      </w:r>
      <w:r w:rsidR="00045E8A" w:rsidRPr="00E65A47">
        <w:rPr>
          <w:rFonts w:cs="Arial"/>
          <w:bCs/>
          <w:color w:val="000000" w:themeColor="text1"/>
          <w:szCs w:val="20"/>
        </w:rPr>
        <w:t xml:space="preserve">in </w:t>
      </w:r>
      <w:r w:rsidRPr="00E65A47">
        <w:rPr>
          <w:rFonts w:cs="Arial"/>
          <w:bCs/>
          <w:color w:val="000000" w:themeColor="text1"/>
          <w:szCs w:val="20"/>
        </w:rPr>
        <w:t>an increasing number of</w:t>
      </w:r>
      <w:r w:rsidR="007746B9" w:rsidRPr="00E65A47">
        <w:rPr>
          <w:rFonts w:cs="Arial"/>
          <w:bCs/>
          <w:color w:val="000000" w:themeColor="text1"/>
          <w:szCs w:val="20"/>
        </w:rPr>
        <w:t xml:space="preserve"> </w:t>
      </w:r>
      <w:r w:rsidRPr="00E65A47">
        <w:rPr>
          <w:rFonts w:cs="Arial"/>
          <w:bCs/>
          <w:color w:val="000000" w:themeColor="text1"/>
          <w:szCs w:val="20"/>
        </w:rPr>
        <w:t>schools. This creates</w:t>
      </w:r>
      <w:r w:rsidR="007746B9" w:rsidRPr="00E65A47">
        <w:rPr>
          <w:rFonts w:cs="Arial"/>
          <w:bCs/>
          <w:color w:val="000000" w:themeColor="text1"/>
          <w:szCs w:val="20"/>
        </w:rPr>
        <w:t xml:space="preserve"> </w:t>
      </w:r>
      <w:r w:rsidRPr="00E65A47">
        <w:rPr>
          <w:rFonts w:cs="Arial"/>
          <w:bCs/>
          <w:color w:val="000000" w:themeColor="text1"/>
          <w:szCs w:val="20"/>
        </w:rPr>
        <w:t>high</w:t>
      </w:r>
      <w:r w:rsidR="007746B9" w:rsidRPr="00E65A47">
        <w:rPr>
          <w:rFonts w:cs="Arial"/>
          <w:bCs/>
          <w:color w:val="000000" w:themeColor="text1"/>
          <w:szCs w:val="20"/>
        </w:rPr>
        <w:t xml:space="preserve"> </w:t>
      </w:r>
      <w:r w:rsidRPr="00E65A47">
        <w:rPr>
          <w:rFonts w:cs="Arial"/>
          <w:bCs/>
          <w:color w:val="000000" w:themeColor="text1"/>
          <w:szCs w:val="20"/>
        </w:rPr>
        <w:t>qu</w:t>
      </w:r>
      <w:r w:rsidR="007746B9" w:rsidRPr="00E65A47">
        <w:rPr>
          <w:rFonts w:cs="Arial"/>
          <w:bCs/>
          <w:color w:val="000000" w:themeColor="text1"/>
          <w:szCs w:val="20"/>
        </w:rPr>
        <w:t>a</w:t>
      </w:r>
      <w:r w:rsidRPr="00E65A47">
        <w:rPr>
          <w:rFonts w:cs="Arial"/>
          <w:bCs/>
          <w:color w:val="000000" w:themeColor="text1"/>
          <w:szCs w:val="20"/>
        </w:rPr>
        <w:t>li</w:t>
      </w:r>
      <w:r w:rsidR="007746B9" w:rsidRPr="00E65A47">
        <w:rPr>
          <w:rFonts w:cs="Arial"/>
          <w:bCs/>
          <w:color w:val="000000" w:themeColor="text1"/>
          <w:szCs w:val="20"/>
        </w:rPr>
        <w:t>t</w:t>
      </w:r>
      <w:r w:rsidRPr="00E65A47">
        <w:rPr>
          <w:rFonts w:cs="Arial"/>
          <w:bCs/>
          <w:color w:val="000000" w:themeColor="text1"/>
          <w:szCs w:val="20"/>
        </w:rPr>
        <w:t>y and</w:t>
      </w:r>
      <w:r w:rsidR="007746B9" w:rsidRPr="00E65A47">
        <w:rPr>
          <w:rFonts w:cs="Arial"/>
          <w:bCs/>
          <w:color w:val="000000" w:themeColor="text1"/>
          <w:szCs w:val="20"/>
        </w:rPr>
        <w:t xml:space="preserve"> </w:t>
      </w:r>
      <w:r w:rsidRPr="00E65A47">
        <w:rPr>
          <w:rFonts w:cs="Arial"/>
          <w:bCs/>
          <w:color w:val="000000" w:themeColor="text1"/>
          <w:szCs w:val="20"/>
        </w:rPr>
        <w:t>much</w:t>
      </w:r>
      <w:r w:rsidR="007746B9" w:rsidRPr="00E65A47">
        <w:rPr>
          <w:rFonts w:cs="Arial"/>
          <w:bCs/>
          <w:color w:val="000000" w:themeColor="text1"/>
          <w:szCs w:val="20"/>
        </w:rPr>
        <w:t xml:space="preserve"> </w:t>
      </w:r>
      <w:r w:rsidRPr="00E65A47">
        <w:rPr>
          <w:rFonts w:cs="Arial"/>
          <w:bCs/>
          <w:color w:val="000000" w:themeColor="text1"/>
          <w:szCs w:val="20"/>
        </w:rPr>
        <w:t>expanded, sustainable projects</w:t>
      </w:r>
      <w:r w:rsidR="007746B9" w:rsidRPr="00E65A47">
        <w:rPr>
          <w:rFonts w:cs="Arial"/>
          <w:bCs/>
          <w:color w:val="000000" w:themeColor="text1"/>
          <w:szCs w:val="20"/>
        </w:rPr>
        <w:t xml:space="preserve"> which would otherwise not occur.</w:t>
      </w:r>
    </w:p>
    <w:p w14:paraId="564012BD" w14:textId="012AB16C" w:rsidR="007746B9" w:rsidRPr="00E65A47" w:rsidRDefault="007746B9" w:rsidP="00ED2B52">
      <w:pPr>
        <w:spacing w:after="0" w:line="240" w:lineRule="auto"/>
        <w:ind w:right="57"/>
        <w:jc w:val="both"/>
        <w:rPr>
          <w:rFonts w:cs="Arial"/>
          <w:bCs/>
          <w:color w:val="000000" w:themeColor="text1"/>
          <w:szCs w:val="20"/>
        </w:rPr>
      </w:pPr>
      <w:r w:rsidRPr="00E65A47">
        <w:rPr>
          <w:rFonts w:cs="Arial"/>
          <w:bCs/>
          <w:color w:val="000000" w:themeColor="text1"/>
          <w:szCs w:val="20"/>
        </w:rPr>
        <w:t xml:space="preserve">In terms of central and distributed funding, the work plan will demonstrate that </w:t>
      </w:r>
      <w:r w:rsidR="00160066">
        <w:rPr>
          <w:rFonts w:cs="Arial"/>
          <w:bCs/>
          <w:color w:val="000000" w:themeColor="text1"/>
          <w:szCs w:val="20"/>
        </w:rPr>
        <w:t xml:space="preserve">significant </w:t>
      </w:r>
      <w:r w:rsidR="00160066" w:rsidRPr="00E65A47">
        <w:rPr>
          <w:rFonts w:cs="Arial"/>
          <w:bCs/>
          <w:color w:val="000000" w:themeColor="text1"/>
          <w:szCs w:val="20"/>
        </w:rPr>
        <w:t>funding</w:t>
      </w:r>
      <w:r w:rsidRPr="00E65A47">
        <w:rPr>
          <w:rFonts w:cs="Arial"/>
          <w:bCs/>
          <w:color w:val="000000" w:themeColor="text1"/>
          <w:szCs w:val="20"/>
        </w:rPr>
        <w:t xml:space="preserve"> from 2024 onwards, will be distributed directly to schools, especially through Transition Assistance. </w:t>
      </w:r>
    </w:p>
    <w:p w14:paraId="77FAECCD" w14:textId="21029D1A" w:rsidR="00ED2B52" w:rsidRPr="00E65A47" w:rsidRDefault="00563CDE" w:rsidP="00563CDE">
      <w:pPr>
        <w:spacing w:after="0" w:line="240" w:lineRule="auto"/>
        <w:ind w:right="57"/>
        <w:jc w:val="both"/>
        <w:rPr>
          <w:rFonts w:cs="Arial"/>
          <w:bCs/>
          <w:color w:val="000000" w:themeColor="text1"/>
          <w:szCs w:val="20"/>
        </w:rPr>
      </w:pPr>
      <w:r w:rsidRPr="00E65A47">
        <w:rPr>
          <w:rFonts w:cs="Arial"/>
          <w:bCs/>
          <w:color w:val="000000" w:themeColor="text1"/>
          <w:szCs w:val="20"/>
        </w:rPr>
        <w:t>Funds are allocated to</w:t>
      </w:r>
      <w:r w:rsidR="002306C7" w:rsidRPr="00E65A47">
        <w:rPr>
          <w:rFonts w:cs="Arial"/>
          <w:bCs/>
          <w:color w:val="000000" w:themeColor="text1"/>
          <w:szCs w:val="20"/>
        </w:rPr>
        <w:t xml:space="preserve"> </w:t>
      </w:r>
      <w:r w:rsidRPr="00E65A47">
        <w:rPr>
          <w:rFonts w:cs="Arial"/>
          <w:bCs/>
          <w:color w:val="000000" w:themeColor="text1"/>
          <w:szCs w:val="20"/>
        </w:rPr>
        <w:t>projects that go well beyond normal service provision by schools where approximate</w:t>
      </w:r>
      <w:r w:rsidR="002306C7" w:rsidRPr="00E65A47">
        <w:rPr>
          <w:rFonts w:cs="Arial"/>
          <w:bCs/>
          <w:color w:val="000000" w:themeColor="text1"/>
          <w:szCs w:val="20"/>
        </w:rPr>
        <w:t>l</w:t>
      </w:r>
      <w:r w:rsidRPr="00E65A47">
        <w:rPr>
          <w:rFonts w:cs="Arial"/>
          <w:bCs/>
          <w:color w:val="000000" w:themeColor="text1"/>
          <w:szCs w:val="20"/>
        </w:rPr>
        <w:t>y 75% to 80% of costs are salaries</w:t>
      </w:r>
      <w:r w:rsidR="002306C7" w:rsidRPr="00E65A47">
        <w:rPr>
          <w:rFonts w:cs="Arial"/>
          <w:bCs/>
          <w:color w:val="000000" w:themeColor="text1"/>
          <w:szCs w:val="20"/>
        </w:rPr>
        <w:t>, with much of the remainder allocated to debt servicing and other operational and utility costs. As outlined in previous comments, there is a strong focus in CAF projects in building school capacity within school improvement frameworks.</w:t>
      </w:r>
      <w:r w:rsidR="00013A8A" w:rsidRPr="00E65A47">
        <w:rPr>
          <w:rFonts w:cs="Arial"/>
          <w:bCs/>
          <w:color w:val="000000" w:themeColor="text1"/>
          <w:szCs w:val="20"/>
        </w:rPr>
        <w:t xml:space="preserve"> This </w:t>
      </w:r>
      <w:r w:rsidR="00E67B8D" w:rsidRPr="00E65A47">
        <w:rPr>
          <w:rFonts w:cs="Arial"/>
          <w:bCs/>
          <w:color w:val="000000" w:themeColor="text1"/>
          <w:szCs w:val="20"/>
        </w:rPr>
        <w:t>l</w:t>
      </w:r>
      <w:r w:rsidR="00013A8A" w:rsidRPr="00E65A47">
        <w:rPr>
          <w:rFonts w:cs="Arial"/>
          <w:bCs/>
          <w:color w:val="000000" w:themeColor="text1"/>
          <w:szCs w:val="20"/>
        </w:rPr>
        <w:t>argely focusses on</w:t>
      </w:r>
      <w:r w:rsidR="00E67B8D" w:rsidRPr="00E65A47">
        <w:rPr>
          <w:rFonts w:cs="Arial"/>
          <w:bCs/>
          <w:color w:val="000000" w:themeColor="text1"/>
          <w:szCs w:val="20"/>
        </w:rPr>
        <w:t xml:space="preserve"> </w:t>
      </w:r>
      <w:r w:rsidR="00013A8A" w:rsidRPr="00E65A47">
        <w:rPr>
          <w:rFonts w:cs="Arial"/>
          <w:bCs/>
          <w:color w:val="000000" w:themeColor="text1"/>
          <w:szCs w:val="20"/>
        </w:rPr>
        <w:t>activities that</w:t>
      </w:r>
      <w:r w:rsidR="00E67B8D" w:rsidRPr="00E65A47">
        <w:rPr>
          <w:rFonts w:cs="Arial"/>
          <w:bCs/>
          <w:color w:val="000000" w:themeColor="text1"/>
          <w:szCs w:val="20"/>
        </w:rPr>
        <w:t xml:space="preserve"> </w:t>
      </w:r>
      <w:r w:rsidR="00013A8A" w:rsidRPr="00E65A47">
        <w:rPr>
          <w:rFonts w:cs="Arial"/>
          <w:bCs/>
          <w:color w:val="000000" w:themeColor="text1"/>
          <w:szCs w:val="20"/>
        </w:rPr>
        <w:t>schools could not normally offer nor access in a</w:t>
      </w:r>
      <w:r w:rsidR="00E67B8D" w:rsidRPr="00E65A47">
        <w:rPr>
          <w:rFonts w:cs="Arial"/>
          <w:bCs/>
          <w:color w:val="000000" w:themeColor="text1"/>
          <w:szCs w:val="20"/>
        </w:rPr>
        <w:t xml:space="preserve"> </w:t>
      </w:r>
      <w:r w:rsidR="00013A8A" w:rsidRPr="00E65A47">
        <w:rPr>
          <w:rFonts w:cs="Arial"/>
          <w:bCs/>
          <w:color w:val="000000" w:themeColor="text1"/>
          <w:szCs w:val="20"/>
        </w:rPr>
        <w:t xml:space="preserve">sustainable way. An example is the Student Wellbeing project which </w:t>
      </w:r>
      <w:r w:rsidR="00E67B8D" w:rsidRPr="00E65A47">
        <w:rPr>
          <w:rFonts w:cs="Arial"/>
          <w:bCs/>
          <w:color w:val="000000" w:themeColor="text1"/>
          <w:szCs w:val="20"/>
        </w:rPr>
        <w:t xml:space="preserve">establishes </w:t>
      </w:r>
      <w:proofErr w:type="gramStart"/>
      <w:r w:rsidR="00E67B8D" w:rsidRPr="00E65A47">
        <w:rPr>
          <w:rFonts w:cs="Arial"/>
          <w:bCs/>
          <w:color w:val="000000" w:themeColor="text1"/>
          <w:szCs w:val="20"/>
        </w:rPr>
        <w:t>a research</w:t>
      </w:r>
      <w:proofErr w:type="gramEnd"/>
      <w:r w:rsidR="00E67B8D" w:rsidRPr="00E65A47">
        <w:rPr>
          <w:rFonts w:cs="Arial"/>
          <w:bCs/>
          <w:color w:val="000000" w:themeColor="text1"/>
          <w:szCs w:val="20"/>
        </w:rPr>
        <w:t xml:space="preserve"> driven, evidence-based framework for schools to identify, describe, measure and address student wellbeing issues. A wellbeing measurement tool will also be developed and ultimately used annually by schools to identify strengths and challenges – this instrument will have a significant emphasis on student voice and will relate closely to the wellbeing framework.</w:t>
      </w:r>
    </w:p>
    <w:p w14:paraId="7C51A49D" w14:textId="556C69A8" w:rsidR="00E67B8D" w:rsidRPr="00E65A47" w:rsidRDefault="00E67B8D" w:rsidP="00563CDE">
      <w:pPr>
        <w:spacing w:after="0" w:line="240" w:lineRule="auto"/>
        <w:ind w:right="57"/>
        <w:jc w:val="both"/>
        <w:rPr>
          <w:rFonts w:cstheme="minorHAnsi"/>
          <w:b/>
          <w:color w:val="000000" w:themeColor="text1"/>
          <w:szCs w:val="20"/>
        </w:rPr>
      </w:pPr>
      <w:r w:rsidRPr="00E65A47">
        <w:rPr>
          <w:rFonts w:cs="Arial"/>
          <w:bCs/>
          <w:color w:val="000000" w:themeColor="text1"/>
          <w:szCs w:val="20"/>
        </w:rPr>
        <w:t>Another example is the Virtual School Network (</w:t>
      </w:r>
      <w:proofErr w:type="spellStart"/>
      <w:r w:rsidRPr="00E65A47">
        <w:rPr>
          <w:rFonts w:cs="Arial"/>
          <w:bCs/>
          <w:color w:val="000000" w:themeColor="text1"/>
          <w:szCs w:val="20"/>
        </w:rPr>
        <w:t>ViSN</w:t>
      </w:r>
      <w:proofErr w:type="spellEnd"/>
      <w:r w:rsidRPr="00E65A47">
        <w:rPr>
          <w:rFonts w:cs="Arial"/>
          <w:bCs/>
          <w:color w:val="000000" w:themeColor="text1"/>
          <w:szCs w:val="20"/>
        </w:rPr>
        <w:t>)</w:t>
      </w:r>
      <w:r w:rsidR="00480EE9" w:rsidRPr="00E65A47">
        <w:rPr>
          <w:rFonts w:cs="Arial"/>
          <w:bCs/>
          <w:color w:val="000000" w:themeColor="text1"/>
          <w:szCs w:val="20"/>
        </w:rPr>
        <w:t xml:space="preserve"> </w:t>
      </w:r>
      <w:r w:rsidRPr="00E65A47">
        <w:rPr>
          <w:rFonts w:cs="Arial"/>
          <w:bCs/>
          <w:color w:val="000000" w:themeColor="text1"/>
          <w:szCs w:val="20"/>
        </w:rPr>
        <w:t>which creates an online learning opportunity for Year 11 and 12 students</w:t>
      </w:r>
      <w:r w:rsidR="00E23283" w:rsidRPr="00E65A47">
        <w:rPr>
          <w:rFonts w:cs="Arial"/>
          <w:bCs/>
          <w:color w:val="000000" w:themeColor="text1"/>
          <w:szCs w:val="20"/>
        </w:rPr>
        <w:t xml:space="preserve"> who would not have that opportunity because of the inability of country schools to offer the curriculum breadth of their much larger city counterparts. The services provided by </w:t>
      </w:r>
      <w:proofErr w:type="spellStart"/>
      <w:r w:rsidR="00E23283" w:rsidRPr="00E65A47">
        <w:rPr>
          <w:rFonts w:cs="Arial"/>
          <w:bCs/>
          <w:color w:val="000000" w:themeColor="text1"/>
          <w:szCs w:val="20"/>
        </w:rPr>
        <w:t>ViSN</w:t>
      </w:r>
      <w:proofErr w:type="spellEnd"/>
      <w:r w:rsidR="00E23283" w:rsidRPr="00E65A47">
        <w:rPr>
          <w:rFonts w:cs="Arial"/>
          <w:bCs/>
          <w:color w:val="000000" w:themeColor="text1"/>
          <w:szCs w:val="20"/>
        </w:rPr>
        <w:t xml:space="preserve"> go well beyond the operation capabilities of schools or even smaller clusters of schools.</w:t>
      </w:r>
      <w:r w:rsidR="00045E8A" w:rsidRPr="00E65A47">
        <w:rPr>
          <w:rFonts w:cs="Arial"/>
          <w:bCs/>
          <w:color w:val="000000" w:themeColor="text1"/>
          <w:szCs w:val="20"/>
        </w:rPr>
        <w:t xml:space="preserve"> Without this, CEWA country schools face losing students to their larger government school counterparts.</w:t>
      </w:r>
    </w:p>
    <w:p w14:paraId="3CB7870A" w14:textId="77777777" w:rsidR="00FA6607" w:rsidRDefault="00FA6607" w:rsidP="00A741E4">
      <w:pPr>
        <w:jc w:val="center"/>
        <w:rPr>
          <w:rFonts w:cstheme="minorHAnsi"/>
          <w:b/>
          <w:sz w:val="22"/>
          <w:szCs w:val="22"/>
          <w:u w:val="single"/>
        </w:rPr>
      </w:pPr>
    </w:p>
    <w:p w14:paraId="0342CDCA" w14:textId="5DE531E2" w:rsidR="007746B9" w:rsidRPr="00E23283" w:rsidRDefault="000B0572" w:rsidP="00A741E4">
      <w:pPr>
        <w:jc w:val="center"/>
        <w:rPr>
          <w:rFonts w:cstheme="minorHAnsi"/>
          <w:b/>
          <w:sz w:val="22"/>
          <w:szCs w:val="22"/>
        </w:rPr>
      </w:pPr>
      <w:r w:rsidRPr="00E23283">
        <w:rPr>
          <w:rFonts w:cstheme="minorHAnsi"/>
          <w:b/>
          <w:sz w:val="22"/>
          <w:szCs w:val="22"/>
          <w:u w:val="single"/>
        </w:rPr>
        <w:lastRenderedPageBreak/>
        <w:t>Overarching Risk Management</w:t>
      </w:r>
    </w:p>
    <w:p w14:paraId="783C5C8C" w14:textId="328E5FAB" w:rsidR="007746B9" w:rsidRDefault="007746B9" w:rsidP="00564C32">
      <w:pPr>
        <w:rPr>
          <w:rFonts w:cstheme="minorHAnsi"/>
          <w:bCs/>
        </w:rPr>
      </w:pPr>
      <w:r w:rsidRPr="00FB530B">
        <w:rPr>
          <w:rFonts w:cstheme="minorHAnsi"/>
          <w:bCs/>
        </w:rPr>
        <w:t xml:space="preserve">Risk management, as it applies to wider system operation and CAF projects and funding, is managed centrally, and applies to all participating schools. </w:t>
      </w:r>
      <w:r w:rsidR="00FB530B" w:rsidRPr="00FB530B">
        <w:rPr>
          <w:rFonts w:cstheme="minorHAnsi"/>
          <w:bCs/>
        </w:rPr>
        <w:t>Risk management and accountability is assured by;</w:t>
      </w:r>
    </w:p>
    <w:p w14:paraId="2DF1E528" w14:textId="41ECC337" w:rsidR="00FB530B" w:rsidRPr="002306C7" w:rsidRDefault="00FB530B" w:rsidP="00E65A47">
      <w:pPr>
        <w:pStyle w:val="ListParagraph"/>
        <w:numPr>
          <w:ilvl w:val="0"/>
          <w:numId w:val="20"/>
        </w:numPr>
        <w:jc w:val="both"/>
        <w:rPr>
          <w:rFonts w:ascii="Arial" w:hAnsi="Arial" w:cs="Arial"/>
          <w:bCs/>
          <w:sz w:val="20"/>
          <w:szCs w:val="20"/>
        </w:rPr>
      </w:pPr>
      <w:r w:rsidRPr="002306C7">
        <w:rPr>
          <w:rFonts w:ascii="Arial" w:hAnsi="Arial" w:cs="Arial"/>
          <w:bCs/>
          <w:sz w:val="20"/>
          <w:szCs w:val="20"/>
        </w:rPr>
        <w:t xml:space="preserve">CEWA acts on behalf of all system schools – currently </w:t>
      </w:r>
      <w:r w:rsidR="00876F2E">
        <w:rPr>
          <w:rFonts w:ascii="Arial" w:hAnsi="Arial" w:cs="Arial"/>
          <w:bCs/>
          <w:sz w:val="20"/>
          <w:szCs w:val="20"/>
        </w:rPr>
        <w:t>1</w:t>
      </w:r>
      <w:r w:rsidR="005165A2">
        <w:rPr>
          <w:rFonts w:ascii="Arial" w:hAnsi="Arial" w:cs="Arial"/>
          <w:bCs/>
          <w:sz w:val="20"/>
          <w:szCs w:val="20"/>
        </w:rPr>
        <w:t>63</w:t>
      </w:r>
      <w:r w:rsidRPr="002306C7">
        <w:rPr>
          <w:rFonts w:ascii="Arial" w:hAnsi="Arial" w:cs="Arial"/>
          <w:bCs/>
          <w:sz w:val="20"/>
          <w:szCs w:val="20"/>
        </w:rPr>
        <w:t xml:space="preserve"> – across all four dioceses in WA. Central governance processes</w:t>
      </w:r>
      <w:r w:rsidR="00245277" w:rsidRPr="002306C7">
        <w:rPr>
          <w:rFonts w:ascii="Arial" w:hAnsi="Arial" w:cs="Arial"/>
          <w:bCs/>
          <w:sz w:val="20"/>
          <w:szCs w:val="20"/>
        </w:rPr>
        <w:t xml:space="preserve"> </w:t>
      </w:r>
      <w:r w:rsidRPr="002306C7">
        <w:rPr>
          <w:rFonts w:ascii="Arial" w:hAnsi="Arial" w:cs="Arial"/>
          <w:bCs/>
          <w:sz w:val="20"/>
          <w:szCs w:val="20"/>
        </w:rPr>
        <w:t>exist</w:t>
      </w:r>
      <w:r w:rsidR="00245277" w:rsidRPr="002306C7">
        <w:rPr>
          <w:rFonts w:ascii="Arial" w:hAnsi="Arial" w:cs="Arial"/>
          <w:bCs/>
          <w:sz w:val="20"/>
          <w:szCs w:val="20"/>
        </w:rPr>
        <w:t xml:space="preserve"> in terms of</w:t>
      </w:r>
      <w:r w:rsidR="00F45FD8" w:rsidRPr="002306C7">
        <w:rPr>
          <w:rFonts w:ascii="Arial" w:hAnsi="Arial" w:cs="Arial"/>
          <w:bCs/>
          <w:sz w:val="20"/>
          <w:szCs w:val="20"/>
        </w:rPr>
        <w:t xml:space="preserve"> </w:t>
      </w:r>
      <w:r w:rsidR="00245277" w:rsidRPr="002306C7">
        <w:rPr>
          <w:rFonts w:ascii="Arial" w:hAnsi="Arial" w:cs="Arial"/>
          <w:bCs/>
          <w:sz w:val="20"/>
          <w:szCs w:val="20"/>
        </w:rPr>
        <w:t>registration standards; f</w:t>
      </w:r>
      <w:r w:rsidR="00F45FD8" w:rsidRPr="002306C7">
        <w:rPr>
          <w:rFonts w:ascii="Arial" w:hAnsi="Arial" w:cs="Arial"/>
          <w:bCs/>
          <w:sz w:val="20"/>
          <w:szCs w:val="20"/>
        </w:rPr>
        <w:t>i</w:t>
      </w:r>
      <w:r w:rsidR="00245277" w:rsidRPr="002306C7">
        <w:rPr>
          <w:rFonts w:ascii="Arial" w:hAnsi="Arial" w:cs="Arial"/>
          <w:bCs/>
          <w:sz w:val="20"/>
          <w:szCs w:val="20"/>
        </w:rPr>
        <w:t>nance and bu</w:t>
      </w:r>
      <w:r w:rsidR="00F45FD8" w:rsidRPr="002306C7">
        <w:rPr>
          <w:rFonts w:ascii="Arial" w:hAnsi="Arial" w:cs="Arial"/>
          <w:bCs/>
          <w:sz w:val="20"/>
          <w:szCs w:val="20"/>
        </w:rPr>
        <w:t>d</w:t>
      </w:r>
      <w:r w:rsidR="00245277" w:rsidRPr="002306C7">
        <w:rPr>
          <w:rFonts w:ascii="Arial" w:hAnsi="Arial" w:cs="Arial"/>
          <w:bCs/>
          <w:sz w:val="20"/>
          <w:szCs w:val="20"/>
        </w:rPr>
        <w:t>ge</w:t>
      </w:r>
      <w:r w:rsidR="00F45FD8" w:rsidRPr="002306C7">
        <w:rPr>
          <w:rFonts w:ascii="Arial" w:hAnsi="Arial" w:cs="Arial"/>
          <w:bCs/>
          <w:sz w:val="20"/>
          <w:szCs w:val="20"/>
        </w:rPr>
        <w:t>t</w:t>
      </w:r>
      <w:r w:rsidR="00245277" w:rsidRPr="002306C7">
        <w:rPr>
          <w:rFonts w:ascii="Arial" w:hAnsi="Arial" w:cs="Arial"/>
          <w:bCs/>
          <w:sz w:val="20"/>
          <w:szCs w:val="20"/>
        </w:rPr>
        <w:t>ing; information transfer; policies and directives etc</w:t>
      </w:r>
      <w:r w:rsidR="00F45FD8" w:rsidRPr="002306C7">
        <w:rPr>
          <w:rFonts w:ascii="Arial" w:hAnsi="Arial" w:cs="Arial"/>
          <w:bCs/>
          <w:sz w:val="20"/>
          <w:szCs w:val="20"/>
        </w:rPr>
        <w:t xml:space="preserve">. This is different to Catholic systems in other states and territories where </w:t>
      </w:r>
      <w:r w:rsidR="009B253C">
        <w:rPr>
          <w:rFonts w:ascii="Arial" w:hAnsi="Arial" w:cs="Arial"/>
          <w:bCs/>
          <w:sz w:val="20"/>
          <w:szCs w:val="20"/>
        </w:rPr>
        <w:t>each diocese is independent and may have its own education office</w:t>
      </w:r>
      <w:r w:rsidR="00F45FD8" w:rsidRPr="002306C7">
        <w:rPr>
          <w:rFonts w:ascii="Arial" w:hAnsi="Arial" w:cs="Arial"/>
          <w:bCs/>
          <w:sz w:val="20"/>
          <w:szCs w:val="20"/>
        </w:rPr>
        <w:t>.</w:t>
      </w:r>
    </w:p>
    <w:p w14:paraId="5D7C8B80" w14:textId="39454FDC" w:rsidR="00245277" w:rsidRPr="002306C7" w:rsidRDefault="00245277" w:rsidP="00E65A47">
      <w:pPr>
        <w:pStyle w:val="ListParagraph"/>
        <w:numPr>
          <w:ilvl w:val="0"/>
          <w:numId w:val="20"/>
        </w:numPr>
        <w:jc w:val="both"/>
        <w:rPr>
          <w:rFonts w:ascii="Arial" w:hAnsi="Arial" w:cs="Arial"/>
          <w:bCs/>
          <w:sz w:val="20"/>
          <w:szCs w:val="20"/>
        </w:rPr>
      </w:pPr>
      <w:r w:rsidRPr="002306C7">
        <w:rPr>
          <w:rFonts w:ascii="Arial" w:hAnsi="Arial" w:cs="Arial"/>
          <w:bCs/>
          <w:sz w:val="20"/>
          <w:szCs w:val="20"/>
        </w:rPr>
        <w:t>CEWA -</w:t>
      </w:r>
      <w:r w:rsidR="00E23283">
        <w:rPr>
          <w:rFonts w:ascii="Arial" w:hAnsi="Arial" w:cs="Arial"/>
          <w:bCs/>
          <w:sz w:val="20"/>
          <w:szCs w:val="20"/>
        </w:rPr>
        <w:t xml:space="preserve"> </w:t>
      </w:r>
      <w:r w:rsidRPr="002306C7">
        <w:rPr>
          <w:rFonts w:ascii="Arial" w:hAnsi="Arial" w:cs="Arial"/>
          <w:bCs/>
          <w:sz w:val="20"/>
          <w:szCs w:val="20"/>
        </w:rPr>
        <w:t>the system including all member schools and offices – is now an incorporated en</w:t>
      </w:r>
      <w:r w:rsidR="00F45FD8" w:rsidRPr="002306C7">
        <w:rPr>
          <w:rFonts w:ascii="Arial" w:hAnsi="Arial" w:cs="Arial"/>
          <w:bCs/>
          <w:sz w:val="20"/>
          <w:szCs w:val="20"/>
        </w:rPr>
        <w:t>t</w:t>
      </w:r>
      <w:r w:rsidRPr="002306C7">
        <w:rPr>
          <w:rFonts w:ascii="Arial" w:hAnsi="Arial" w:cs="Arial"/>
          <w:bCs/>
          <w:sz w:val="20"/>
          <w:szCs w:val="20"/>
        </w:rPr>
        <w:t>ity, carrying with</w:t>
      </w:r>
      <w:r w:rsidR="00F45FD8" w:rsidRPr="002306C7">
        <w:rPr>
          <w:rFonts w:ascii="Arial" w:hAnsi="Arial" w:cs="Arial"/>
          <w:bCs/>
          <w:sz w:val="20"/>
          <w:szCs w:val="20"/>
        </w:rPr>
        <w:t xml:space="preserve"> it, all the requisite obligations both internally and external</w:t>
      </w:r>
      <w:r w:rsidR="00E23283">
        <w:rPr>
          <w:rFonts w:ascii="Arial" w:hAnsi="Arial" w:cs="Arial"/>
          <w:bCs/>
          <w:sz w:val="20"/>
          <w:szCs w:val="20"/>
        </w:rPr>
        <w:t xml:space="preserve"> in terms of publicly disclosed accountability and risk management processes and reporting</w:t>
      </w:r>
      <w:r w:rsidR="001E4707">
        <w:rPr>
          <w:rFonts w:ascii="Arial" w:hAnsi="Arial" w:cs="Arial"/>
          <w:bCs/>
          <w:sz w:val="20"/>
          <w:szCs w:val="20"/>
        </w:rPr>
        <w:t>.</w:t>
      </w:r>
    </w:p>
    <w:p w14:paraId="438A5766" w14:textId="1BA510AB" w:rsidR="00F45FD8" w:rsidRPr="002306C7" w:rsidRDefault="00F45FD8" w:rsidP="00E65A47">
      <w:pPr>
        <w:pStyle w:val="ListParagraph"/>
        <w:numPr>
          <w:ilvl w:val="0"/>
          <w:numId w:val="20"/>
        </w:numPr>
        <w:jc w:val="both"/>
        <w:rPr>
          <w:rFonts w:ascii="Arial" w:hAnsi="Arial" w:cs="Arial"/>
          <w:bCs/>
          <w:sz w:val="20"/>
          <w:szCs w:val="20"/>
        </w:rPr>
      </w:pPr>
      <w:r w:rsidRPr="002306C7">
        <w:rPr>
          <w:rFonts w:ascii="Arial" w:hAnsi="Arial" w:cs="Arial"/>
          <w:bCs/>
          <w:sz w:val="20"/>
          <w:szCs w:val="20"/>
        </w:rPr>
        <w:t>All system schools are part of the newly implemented information management system which permits point-in-time monitoring, including finances</w:t>
      </w:r>
      <w:r w:rsidR="001E4707">
        <w:rPr>
          <w:rFonts w:ascii="Arial" w:hAnsi="Arial" w:cs="Arial"/>
          <w:bCs/>
          <w:sz w:val="20"/>
          <w:szCs w:val="20"/>
        </w:rPr>
        <w:t>.</w:t>
      </w:r>
    </w:p>
    <w:p w14:paraId="6A82273D" w14:textId="17AACD7F" w:rsidR="00F45FD8" w:rsidRDefault="00F45FD8" w:rsidP="00E65A47">
      <w:pPr>
        <w:pStyle w:val="ListParagraph"/>
        <w:numPr>
          <w:ilvl w:val="0"/>
          <w:numId w:val="20"/>
        </w:numPr>
        <w:jc w:val="both"/>
        <w:rPr>
          <w:rFonts w:ascii="Arial" w:hAnsi="Arial" w:cs="Arial"/>
          <w:bCs/>
          <w:sz w:val="20"/>
          <w:szCs w:val="20"/>
        </w:rPr>
      </w:pPr>
      <w:r w:rsidRPr="00337BF5">
        <w:rPr>
          <w:rFonts w:ascii="Arial" w:hAnsi="Arial" w:cs="Arial"/>
          <w:bCs/>
          <w:sz w:val="20"/>
          <w:szCs w:val="20"/>
        </w:rPr>
        <w:t>CEWA has a represented governance system; part of this is a risk management protocol which all schools follow</w:t>
      </w:r>
      <w:r w:rsidR="00E23283" w:rsidRPr="00337BF5">
        <w:rPr>
          <w:rFonts w:ascii="Arial" w:hAnsi="Arial" w:cs="Arial"/>
          <w:bCs/>
          <w:sz w:val="20"/>
          <w:szCs w:val="20"/>
        </w:rPr>
        <w:t>; all schools are required to develop their</w:t>
      </w:r>
      <w:r w:rsidR="00A741E4" w:rsidRPr="00337BF5">
        <w:rPr>
          <w:rFonts w:ascii="Arial" w:hAnsi="Arial" w:cs="Arial"/>
          <w:bCs/>
          <w:sz w:val="20"/>
          <w:szCs w:val="20"/>
        </w:rPr>
        <w:t xml:space="preserve"> </w:t>
      </w:r>
      <w:r w:rsidR="00E23283" w:rsidRPr="00337BF5">
        <w:rPr>
          <w:rFonts w:ascii="Arial" w:hAnsi="Arial" w:cs="Arial"/>
          <w:bCs/>
          <w:sz w:val="20"/>
          <w:szCs w:val="20"/>
        </w:rPr>
        <w:t xml:space="preserve">individual risk mitigation and management </w:t>
      </w:r>
      <w:proofErr w:type="gramStart"/>
      <w:r w:rsidR="00A741E4" w:rsidRPr="00337BF5">
        <w:rPr>
          <w:rFonts w:ascii="Arial" w:hAnsi="Arial" w:cs="Arial"/>
          <w:bCs/>
          <w:sz w:val="20"/>
          <w:szCs w:val="20"/>
        </w:rPr>
        <w:t>p</w:t>
      </w:r>
      <w:r w:rsidR="00E23283" w:rsidRPr="00337BF5">
        <w:rPr>
          <w:rFonts w:ascii="Arial" w:hAnsi="Arial" w:cs="Arial"/>
          <w:bCs/>
          <w:sz w:val="20"/>
          <w:szCs w:val="20"/>
        </w:rPr>
        <w:t>lans</w:t>
      </w:r>
      <w:proofErr w:type="gramEnd"/>
      <w:r w:rsidR="00A741E4" w:rsidRPr="00337BF5">
        <w:rPr>
          <w:rFonts w:ascii="Arial" w:hAnsi="Arial" w:cs="Arial"/>
          <w:bCs/>
          <w:sz w:val="20"/>
          <w:szCs w:val="20"/>
        </w:rPr>
        <w:t xml:space="preserve"> and these are reviewed by central staff; schools are audited formally every five years or more frequently if required</w:t>
      </w:r>
      <w:r w:rsidR="001E4707">
        <w:rPr>
          <w:rFonts w:ascii="Arial" w:hAnsi="Arial" w:cs="Arial"/>
          <w:bCs/>
          <w:sz w:val="20"/>
          <w:szCs w:val="20"/>
        </w:rPr>
        <w:t>.</w:t>
      </w:r>
    </w:p>
    <w:p w14:paraId="66919786" w14:textId="6FCE6FD7" w:rsidR="00045E8A" w:rsidRPr="00337BF5" w:rsidRDefault="00045E8A" w:rsidP="00E65A47">
      <w:pPr>
        <w:pStyle w:val="ListParagraph"/>
        <w:numPr>
          <w:ilvl w:val="0"/>
          <w:numId w:val="20"/>
        </w:numPr>
        <w:jc w:val="both"/>
        <w:rPr>
          <w:rFonts w:ascii="Arial" w:hAnsi="Arial" w:cs="Arial"/>
          <w:bCs/>
          <w:sz w:val="20"/>
          <w:szCs w:val="20"/>
        </w:rPr>
      </w:pPr>
      <w:r>
        <w:rPr>
          <w:rFonts w:ascii="Arial" w:hAnsi="Arial" w:cs="Arial"/>
          <w:bCs/>
          <w:sz w:val="20"/>
          <w:szCs w:val="20"/>
        </w:rPr>
        <w:t>CEWA has developed a comprehensive policy suite plus Executive Directives. Schools follow these policies which assists in minimising risk</w:t>
      </w:r>
      <w:r w:rsidR="001E4707">
        <w:rPr>
          <w:rFonts w:ascii="Arial" w:hAnsi="Arial" w:cs="Arial"/>
          <w:bCs/>
          <w:sz w:val="20"/>
          <w:szCs w:val="20"/>
        </w:rPr>
        <w:t>.</w:t>
      </w:r>
    </w:p>
    <w:p w14:paraId="70D66BD5" w14:textId="73175717" w:rsidR="00F45FD8" w:rsidRPr="00337BF5" w:rsidRDefault="00F45FD8" w:rsidP="00E65A47">
      <w:pPr>
        <w:pStyle w:val="ListParagraph"/>
        <w:numPr>
          <w:ilvl w:val="0"/>
          <w:numId w:val="20"/>
        </w:numPr>
        <w:jc w:val="both"/>
        <w:rPr>
          <w:rFonts w:ascii="Arial" w:hAnsi="Arial" w:cs="Arial"/>
          <w:bCs/>
          <w:sz w:val="20"/>
          <w:szCs w:val="20"/>
        </w:rPr>
      </w:pPr>
      <w:r w:rsidRPr="00337BF5">
        <w:rPr>
          <w:rFonts w:ascii="Arial" w:hAnsi="Arial" w:cs="Arial"/>
          <w:bCs/>
          <w:sz w:val="20"/>
          <w:szCs w:val="20"/>
        </w:rPr>
        <w:t xml:space="preserve">CEWA has a </w:t>
      </w:r>
      <w:r w:rsidR="001D2B82" w:rsidRPr="00337BF5">
        <w:rPr>
          <w:rFonts w:ascii="Arial" w:hAnsi="Arial" w:cs="Arial"/>
          <w:bCs/>
          <w:sz w:val="20"/>
          <w:szCs w:val="20"/>
        </w:rPr>
        <w:t>well-developed</w:t>
      </w:r>
      <w:r w:rsidRPr="00337BF5">
        <w:rPr>
          <w:rFonts w:ascii="Arial" w:hAnsi="Arial" w:cs="Arial"/>
          <w:bCs/>
          <w:sz w:val="20"/>
          <w:szCs w:val="20"/>
        </w:rPr>
        <w:t xml:space="preserve"> CAF management process as outlined above under ‘Applications, Allocations and Enhancement’ which mitigates risk</w:t>
      </w:r>
      <w:r w:rsidR="001E4707">
        <w:rPr>
          <w:rFonts w:ascii="Arial" w:hAnsi="Arial" w:cs="Arial"/>
          <w:bCs/>
          <w:sz w:val="20"/>
          <w:szCs w:val="20"/>
        </w:rPr>
        <w:t>.</w:t>
      </w:r>
    </w:p>
    <w:p w14:paraId="0694519A" w14:textId="7E1FA37D" w:rsidR="00F45FD8" w:rsidRPr="00337BF5" w:rsidRDefault="00F45FD8" w:rsidP="00E65A47">
      <w:pPr>
        <w:pStyle w:val="ListParagraph"/>
        <w:numPr>
          <w:ilvl w:val="0"/>
          <w:numId w:val="20"/>
        </w:numPr>
        <w:jc w:val="both"/>
        <w:rPr>
          <w:rFonts w:ascii="Arial" w:hAnsi="Arial" w:cs="Arial"/>
          <w:bCs/>
          <w:sz w:val="20"/>
          <w:szCs w:val="20"/>
        </w:rPr>
      </w:pPr>
      <w:r w:rsidRPr="00337BF5">
        <w:rPr>
          <w:rFonts w:ascii="Arial" w:hAnsi="Arial" w:cs="Arial"/>
          <w:bCs/>
          <w:sz w:val="20"/>
          <w:szCs w:val="20"/>
        </w:rPr>
        <w:t>CEWA has demonstrated appropriate governance in the receipt of Commonwealth and State government funding</w:t>
      </w:r>
      <w:r w:rsidR="00DE0993" w:rsidRPr="00337BF5">
        <w:rPr>
          <w:rFonts w:ascii="Arial" w:hAnsi="Arial" w:cs="Arial"/>
          <w:bCs/>
          <w:sz w:val="20"/>
          <w:szCs w:val="20"/>
        </w:rPr>
        <w:t xml:space="preserve"> </w:t>
      </w:r>
      <w:r w:rsidRPr="00337BF5">
        <w:rPr>
          <w:rFonts w:ascii="Arial" w:hAnsi="Arial" w:cs="Arial"/>
          <w:bCs/>
          <w:sz w:val="20"/>
          <w:szCs w:val="20"/>
        </w:rPr>
        <w:t>amounting</w:t>
      </w:r>
      <w:r w:rsidR="00DE0993" w:rsidRPr="00337BF5">
        <w:rPr>
          <w:rFonts w:ascii="Arial" w:hAnsi="Arial" w:cs="Arial"/>
          <w:bCs/>
          <w:sz w:val="20"/>
          <w:szCs w:val="20"/>
        </w:rPr>
        <w:t xml:space="preserve"> </w:t>
      </w:r>
      <w:r w:rsidRPr="00337BF5">
        <w:rPr>
          <w:rFonts w:ascii="Arial" w:hAnsi="Arial" w:cs="Arial"/>
          <w:bCs/>
          <w:sz w:val="20"/>
          <w:szCs w:val="20"/>
        </w:rPr>
        <w:t>to billions of</w:t>
      </w:r>
      <w:r w:rsidR="00DE0993" w:rsidRPr="00337BF5">
        <w:rPr>
          <w:rFonts w:ascii="Arial" w:hAnsi="Arial" w:cs="Arial"/>
          <w:bCs/>
          <w:sz w:val="20"/>
          <w:szCs w:val="20"/>
        </w:rPr>
        <w:t xml:space="preserve"> </w:t>
      </w:r>
      <w:r w:rsidRPr="00337BF5">
        <w:rPr>
          <w:rFonts w:ascii="Arial" w:hAnsi="Arial" w:cs="Arial"/>
          <w:bCs/>
          <w:sz w:val="20"/>
          <w:szCs w:val="20"/>
        </w:rPr>
        <w:t>dollars and over many years.</w:t>
      </w:r>
    </w:p>
    <w:p w14:paraId="1ECFFC21" w14:textId="2DF8E3AC" w:rsidR="00DE0993" w:rsidRPr="00337BF5" w:rsidRDefault="00DE0993" w:rsidP="00E65A47">
      <w:pPr>
        <w:pStyle w:val="ListParagraph"/>
        <w:numPr>
          <w:ilvl w:val="0"/>
          <w:numId w:val="20"/>
        </w:numPr>
        <w:jc w:val="both"/>
        <w:rPr>
          <w:rFonts w:ascii="Arial" w:hAnsi="Arial" w:cs="Arial"/>
          <w:bCs/>
          <w:sz w:val="20"/>
          <w:szCs w:val="20"/>
        </w:rPr>
      </w:pPr>
      <w:r w:rsidRPr="00337BF5">
        <w:rPr>
          <w:rFonts w:ascii="Arial" w:hAnsi="Arial" w:cs="Arial"/>
          <w:bCs/>
          <w:sz w:val="20"/>
          <w:szCs w:val="20"/>
        </w:rPr>
        <w:t>Specifically related to COVID-19 implications, CEWA has existing</w:t>
      </w:r>
      <w:r w:rsidR="00E23283" w:rsidRPr="00337BF5">
        <w:rPr>
          <w:rFonts w:ascii="Arial" w:hAnsi="Arial" w:cs="Arial"/>
          <w:bCs/>
          <w:sz w:val="20"/>
          <w:szCs w:val="20"/>
        </w:rPr>
        <w:t xml:space="preserve"> system </w:t>
      </w:r>
      <w:r w:rsidRPr="00337BF5">
        <w:rPr>
          <w:rFonts w:ascii="Arial" w:hAnsi="Arial" w:cs="Arial"/>
          <w:bCs/>
          <w:sz w:val="20"/>
          <w:szCs w:val="20"/>
        </w:rPr>
        <w:t>risk management plans to minimise impact</w:t>
      </w:r>
      <w:r w:rsidR="00045E8A">
        <w:rPr>
          <w:rFonts w:ascii="Arial" w:hAnsi="Arial" w:cs="Arial"/>
          <w:bCs/>
          <w:sz w:val="20"/>
          <w:szCs w:val="20"/>
        </w:rPr>
        <w:t>. This includes specific protocols for schools which must be followed.</w:t>
      </w:r>
    </w:p>
    <w:p w14:paraId="2B7D6A1E" w14:textId="48B47025" w:rsidR="009B253C" w:rsidRDefault="00DE0993" w:rsidP="00564C32">
      <w:pPr>
        <w:rPr>
          <w:rFonts w:ascii="Calibri" w:eastAsia="Calibri" w:hAnsi="Calibri" w:cs="Calibri"/>
          <w:color w:val="FF0000"/>
          <w:szCs w:val="20"/>
        </w:rPr>
        <w:sectPr w:rsidR="009B253C" w:rsidSect="00D270E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169" w:gutter="0"/>
          <w:cols w:space="708"/>
          <w:docGrid w:linePitch="360"/>
        </w:sectPr>
      </w:pPr>
      <w:r w:rsidRPr="00337BF5">
        <w:rPr>
          <w:rFonts w:cs="Arial"/>
          <w:bCs/>
          <w:szCs w:val="20"/>
        </w:rPr>
        <w:t>In relation to the projects in the work plan, many projects which commenced in 2020 are continuing; this continuation is based on evaluations conducted, thereby reducing the potential risk</w:t>
      </w:r>
      <w:r w:rsidR="00045E8A">
        <w:rPr>
          <w:rFonts w:cs="Arial"/>
          <w:bCs/>
          <w:szCs w:val="20"/>
        </w:rPr>
        <w:t>s, particularly in not being able to fulfill project outcomes and accountability</w:t>
      </w:r>
      <w:r w:rsidR="009B253C">
        <w:rPr>
          <w:rFonts w:cs="Arial"/>
          <w:bCs/>
          <w:szCs w:val="20"/>
        </w:rPr>
        <w:t xml:space="preserve">. </w:t>
      </w:r>
      <w:r w:rsidR="00F23944">
        <w:rPr>
          <w:rFonts w:cs="Arial"/>
          <w:bCs/>
          <w:szCs w:val="20"/>
        </w:rPr>
        <w:t>This central risk framework means that individual risk management protocols for specific projects are not required to be provided.</w:t>
      </w:r>
    </w:p>
    <w:tbl>
      <w:tblPr>
        <w:tblStyle w:val="TableGrid"/>
        <w:tblW w:w="5191" w:type="pct"/>
        <w:tblInd w:w="-10" w:type="dxa"/>
        <w:tblLook w:val="04A0" w:firstRow="1" w:lastRow="0" w:firstColumn="1" w:lastColumn="0" w:noHBand="0" w:noVBand="1"/>
      </w:tblPr>
      <w:tblGrid>
        <w:gridCol w:w="4586"/>
        <w:gridCol w:w="4774"/>
      </w:tblGrid>
      <w:tr w:rsidR="000B0572" w:rsidRPr="00F85F4F" w14:paraId="4E7C797B" w14:textId="77777777" w:rsidTr="0022071A">
        <w:trPr>
          <w:trHeight w:val="133"/>
          <w:tblHeader/>
        </w:trPr>
        <w:tc>
          <w:tcPr>
            <w:tcW w:w="2450" w:type="pct"/>
            <w:tcBorders>
              <w:top w:val="single" w:sz="4" w:space="0" w:color="auto"/>
              <w:right w:val="nil"/>
            </w:tcBorders>
            <w:shd w:val="clear" w:color="auto" w:fill="B4C6E7" w:themeFill="accent1" w:themeFillTint="66"/>
          </w:tcPr>
          <w:p w14:paraId="79AD239B" w14:textId="77777777" w:rsidR="000B0572" w:rsidRPr="00564C32" w:rsidRDefault="000B0572" w:rsidP="000B0572">
            <w:pPr>
              <w:rPr>
                <w:rFonts w:asciiTheme="minorHAnsi" w:hAnsiTheme="minorHAnsi" w:cstheme="minorHAnsi"/>
                <w:b/>
              </w:rPr>
            </w:pPr>
            <w:r w:rsidRPr="00564C32">
              <w:rPr>
                <w:rFonts w:asciiTheme="minorHAnsi" w:hAnsiTheme="minorHAnsi" w:cstheme="minorHAnsi"/>
                <w:b/>
              </w:rPr>
              <w:lastRenderedPageBreak/>
              <w:t xml:space="preserve">Risk </w:t>
            </w:r>
          </w:p>
        </w:tc>
        <w:tc>
          <w:tcPr>
            <w:tcW w:w="2550" w:type="pct"/>
            <w:tcBorders>
              <w:top w:val="single" w:sz="4" w:space="0" w:color="auto"/>
              <w:left w:val="nil"/>
            </w:tcBorders>
            <w:shd w:val="clear" w:color="auto" w:fill="B4C6E7" w:themeFill="accent1" w:themeFillTint="66"/>
          </w:tcPr>
          <w:p w14:paraId="023BE2E7" w14:textId="77777777" w:rsidR="000B0572" w:rsidRPr="00564C32" w:rsidRDefault="000B0572" w:rsidP="000B0572">
            <w:pPr>
              <w:rPr>
                <w:rFonts w:asciiTheme="minorHAnsi" w:hAnsiTheme="minorHAnsi" w:cstheme="minorHAnsi"/>
                <w:b/>
              </w:rPr>
            </w:pPr>
            <w:r w:rsidRPr="00564C32">
              <w:rPr>
                <w:rFonts w:asciiTheme="minorHAnsi" w:hAnsiTheme="minorHAnsi" w:cstheme="minorHAnsi"/>
                <w:b/>
              </w:rPr>
              <w:t>How the risk will be managed</w:t>
            </w:r>
          </w:p>
        </w:tc>
      </w:tr>
      <w:tr w:rsidR="000B3C38" w:rsidRPr="000B3C38" w14:paraId="423E9AFD" w14:textId="77777777" w:rsidTr="0022071A">
        <w:trPr>
          <w:trHeight w:val="133"/>
          <w:tblHeader/>
        </w:trPr>
        <w:tc>
          <w:tcPr>
            <w:tcW w:w="2450" w:type="pct"/>
            <w:tcBorders>
              <w:right w:val="nil"/>
            </w:tcBorders>
          </w:tcPr>
          <w:p w14:paraId="718CD363" w14:textId="2C5BCC05" w:rsidR="00A741E4" w:rsidRPr="00E65A47" w:rsidRDefault="00AF7F32" w:rsidP="00E65A47">
            <w:pPr>
              <w:jc w:val="both"/>
              <w:rPr>
                <w:rFonts w:eastAsia="Calibri" w:cs="Arial"/>
                <w:szCs w:val="20"/>
                <w:lang w:eastAsia="en-US"/>
              </w:rPr>
            </w:pPr>
            <w:r>
              <w:rPr>
                <w:rFonts w:eastAsia="Calibri" w:cs="Arial"/>
                <w:szCs w:val="20"/>
                <w:lang w:eastAsia="en-US"/>
              </w:rPr>
              <w:t>R</w:t>
            </w:r>
            <w:r w:rsidR="00DD2437" w:rsidRPr="00E65A47">
              <w:rPr>
                <w:rFonts w:eastAsia="Calibri" w:cs="Arial"/>
                <w:szCs w:val="20"/>
                <w:lang w:eastAsia="en-US"/>
              </w:rPr>
              <w:t>eporting against projects and</w:t>
            </w:r>
            <w:r w:rsidR="000B3C38" w:rsidRPr="00E65A47">
              <w:rPr>
                <w:rFonts w:eastAsia="Calibri" w:cs="Arial"/>
                <w:szCs w:val="20"/>
                <w:lang w:eastAsia="en-US"/>
              </w:rPr>
              <w:t xml:space="preserve"> </w:t>
            </w:r>
            <w:r w:rsidR="00DD2437" w:rsidRPr="00E65A47">
              <w:rPr>
                <w:rFonts w:eastAsia="Calibri" w:cs="Arial"/>
                <w:szCs w:val="20"/>
                <w:lang w:eastAsia="en-US"/>
              </w:rPr>
              <w:t>success indicators not undertaken adequately</w:t>
            </w:r>
          </w:p>
          <w:p w14:paraId="1425F7E6" w14:textId="0FA4008F" w:rsidR="00A741E4" w:rsidRPr="00E65A47" w:rsidRDefault="00A741E4" w:rsidP="00E65A47">
            <w:pPr>
              <w:jc w:val="both"/>
              <w:rPr>
                <w:rFonts w:eastAsia="Calibri" w:cs="Arial"/>
                <w:szCs w:val="20"/>
                <w:lang w:eastAsia="en-US"/>
              </w:rPr>
            </w:pPr>
          </w:p>
          <w:p w14:paraId="21B624CD" w14:textId="77777777" w:rsidR="00A741E4" w:rsidRPr="00E65A47" w:rsidRDefault="00A741E4" w:rsidP="00E65A47">
            <w:pPr>
              <w:jc w:val="both"/>
              <w:rPr>
                <w:rFonts w:eastAsia="Calibri" w:cs="Arial"/>
                <w:szCs w:val="20"/>
                <w:lang w:eastAsia="en-US"/>
              </w:rPr>
            </w:pPr>
          </w:p>
          <w:p w14:paraId="5CAB59D7" w14:textId="19C16BBF" w:rsidR="00DD2437" w:rsidRPr="00E65A47" w:rsidRDefault="00DD2437" w:rsidP="00E65A47">
            <w:pPr>
              <w:jc w:val="both"/>
              <w:rPr>
                <w:rFonts w:eastAsia="Calibri" w:cs="Arial"/>
                <w:szCs w:val="20"/>
                <w:lang w:eastAsia="en-US"/>
              </w:rPr>
            </w:pPr>
            <w:r w:rsidRPr="00E65A47">
              <w:rPr>
                <w:rFonts w:eastAsia="Calibri" w:cs="Arial"/>
                <w:szCs w:val="20"/>
                <w:lang w:eastAsia="en-US"/>
              </w:rPr>
              <w:t>Schools fail to implement project initiatives as agreed and specified</w:t>
            </w:r>
          </w:p>
          <w:p w14:paraId="7CFC3A2D" w14:textId="6778D7D2" w:rsidR="00C06F1F" w:rsidRDefault="00C06F1F" w:rsidP="00E65A47">
            <w:pPr>
              <w:jc w:val="both"/>
              <w:rPr>
                <w:rFonts w:eastAsia="Calibri" w:cs="Arial"/>
                <w:szCs w:val="20"/>
                <w:lang w:eastAsia="en-US"/>
              </w:rPr>
            </w:pPr>
          </w:p>
          <w:p w14:paraId="21FC8E79" w14:textId="77777777" w:rsidR="009B253C" w:rsidRPr="00E65A47" w:rsidRDefault="009B253C" w:rsidP="00E65A47">
            <w:pPr>
              <w:jc w:val="both"/>
              <w:rPr>
                <w:rFonts w:eastAsia="Calibri" w:cs="Arial"/>
                <w:szCs w:val="20"/>
                <w:lang w:eastAsia="en-US"/>
              </w:rPr>
            </w:pPr>
          </w:p>
          <w:p w14:paraId="3104F01E" w14:textId="1E6061E0" w:rsidR="00BC5C8B" w:rsidRPr="00E65A47" w:rsidRDefault="00DD2437" w:rsidP="00AF7F32">
            <w:pPr>
              <w:rPr>
                <w:rFonts w:eastAsia="Calibri" w:cs="Arial"/>
                <w:szCs w:val="20"/>
                <w:lang w:eastAsia="en-US"/>
              </w:rPr>
            </w:pPr>
            <w:r w:rsidRPr="00E65A47">
              <w:rPr>
                <w:rFonts w:eastAsia="Calibri" w:cs="Arial"/>
                <w:szCs w:val="20"/>
                <w:lang w:eastAsia="en-US"/>
              </w:rPr>
              <w:t>Schools fail to spend or adequately account for funds received</w:t>
            </w:r>
            <w:r w:rsidR="000B3C38" w:rsidRPr="00E65A47">
              <w:rPr>
                <w:rFonts w:eastAsia="Calibri" w:cs="Arial"/>
                <w:szCs w:val="20"/>
                <w:lang w:eastAsia="en-US"/>
              </w:rPr>
              <w:t>; potential wastage of funds</w:t>
            </w:r>
            <w:r w:rsidR="009B253C">
              <w:rPr>
                <w:rFonts w:eastAsia="Calibri" w:cs="Arial"/>
                <w:szCs w:val="20"/>
                <w:lang w:eastAsia="en-US"/>
              </w:rPr>
              <w:br/>
            </w:r>
          </w:p>
          <w:p w14:paraId="7E6C9F79" w14:textId="66FF76E7" w:rsidR="004475D4" w:rsidRPr="00E65A47" w:rsidRDefault="00DD2437" w:rsidP="00AF7F32">
            <w:pPr>
              <w:rPr>
                <w:rFonts w:eastAsia="Calibri" w:cs="Arial"/>
                <w:szCs w:val="20"/>
                <w:lang w:eastAsia="en-US"/>
              </w:rPr>
            </w:pPr>
            <w:r w:rsidRPr="00E65A47">
              <w:rPr>
                <w:rFonts w:eastAsia="Calibri" w:cs="Arial"/>
                <w:szCs w:val="20"/>
                <w:lang w:eastAsia="en-US"/>
              </w:rPr>
              <w:t>School viability is challenged, threatening engagement in project</w:t>
            </w:r>
            <w:r w:rsidR="009B253C">
              <w:rPr>
                <w:rFonts w:eastAsia="Calibri" w:cs="Arial"/>
                <w:szCs w:val="20"/>
                <w:lang w:eastAsia="en-US"/>
              </w:rPr>
              <w:br/>
            </w:r>
            <w:r w:rsidR="009B253C">
              <w:rPr>
                <w:rFonts w:eastAsia="Calibri" w:cs="Arial"/>
                <w:szCs w:val="20"/>
                <w:lang w:eastAsia="en-US"/>
              </w:rPr>
              <w:br/>
            </w:r>
            <w:r w:rsidR="009B253C">
              <w:rPr>
                <w:rFonts w:eastAsia="Calibri" w:cs="Arial"/>
                <w:szCs w:val="20"/>
                <w:lang w:eastAsia="en-US"/>
              </w:rPr>
              <w:br/>
            </w:r>
          </w:p>
          <w:p w14:paraId="6265A1F3" w14:textId="213A6B9D" w:rsidR="00DD2437" w:rsidRPr="00E65A47" w:rsidRDefault="00DD2437" w:rsidP="00E65A47">
            <w:pPr>
              <w:jc w:val="both"/>
              <w:rPr>
                <w:rFonts w:eastAsia="Calibri" w:cs="Arial"/>
                <w:szCs w:val="20"/>
                <w:lang w:eastAsia="en-US"/>
              </w:rPr>
            </w:pPr>
            <w:r w:rsidRPr="00E65A47">
              <w:rPr>
                <w:rFonts w:eastAsia="Calibri" w:cs="Arial"/>
                <w:szCs w:val="20"/>
                <w:lang w:eastAsia="en-US"/>
              </w:rPr>
              <w:t>Work plan and CEWA processes are not flexible enough to accommodate urgent imperatives such as special purpose funding or ministerial priorities</w:t>
            </w:r>
          </w:p>
          <w:p w14:paraId="593F2F2A" w14:textId="77777777" w:rsidR="00F23944" w:rsidRPr="00E65A47" w:rsidRDefault="00F23944" w:rsidP="00E65A47">
            <w:pPr>
              <w:jc w:val="both"/>
              <w:rPr>
                <w:rFonts w:eastAsia="Calibri" w:cs="Arial"/>
                <w:szCs w:val="20"/>
                <w:lang w:eastAsia="en-US"/>
              </w:rPr>
            </w:pPr>
          </w:p>
          <w:p w14:paraId="4EF6B1AD" w14:textId="77777777" w:rsidR="004475D4" w:rsidRPr="00E65A47" w:rsidRDefault="004475D4" w:rsidP="00E65A47">
            <w:pPr>
              <w:jc w:val="both"/>
              <w:rPr>
                <w:rFonts w:eastAsia="Calibri" w:cs="Arial"/>
                <w:szCs w:val="20"/>
                <w:lang w:eastAsia="en-US"/>
              </w:rPr>
            </w:pPr>
          </w:p>
          <w:p w14:paraId="4D61F9AB" w14:textId="2E12F7D4" w:rsidR="00487370" w:rsidRPr="00E65A47" w:rsidRDefault="004475D4" w:rsidP="00EF076A">
            <w:pPr>
              <w:rPr>
                <w:rFonts w:eastAsia="Calibri" w:cs="Arial"/>
                <w:szCs w:val="20"/>
                <w:lang w:eastAsia="en-US"/>
              </w:rPr>
            </w:pPr>
            <w:r w:rsidRPr="00E65A47">
              <w:rPr>
                <w:rFonts w:eastAsia="Calibri" w:cs="Arial"/>
                <w:szCs w:val="20"/>
                <w:lang w:eastAsia="en-US"/>
              </w:rPr>
              <w:t>I</w:t>
            </w:r>
            <w:r w:rsidR="00DD2437" w:rsidRPr="00E65A47">
              <w:rPr>
                <w:rFonts w:eastAsia="Calibri" w:cs="Arial"/>
                <w:szCs w:val="20"/>
                <w:lang w:eastAsia="en-US"/>
              </w:rPr>
              <w:t>nsufficient expertise</w:t>
            </w:r>
            <w:r w:rsidR="000B3C38" w:rsidRPr="00E65A47">
              <w:rPr>
                <w:rFonts w:eastAsia="Calibri" w:cs="Arial"/>
                <w:szCs w:val="20"/>
                <w:lang w:eastAsia="en-US"/>
              </w:rPr>
              <w:t xml:space="preserve"> </w:t>
            </w:r>
            <w:r w:rsidR="00DD2437" w:rsidRPr="00E65A47">
              <w:rPr>
                <w:rFonts w:eastAsia="Calibri" w:cs="Arial"/>
                <w:szCs w:val="20"/>
                <w:lang w:eastAsia="en-US"/>
              </w:rPr>
              <w:t>exists in CEWA to effectively manage projects</w:t>
            </w:r>
            <w:r w:rsidR="000B3C38" w:rsidRPr="00E65A47">
              <w:rPr>
                <w:rFonts w:eastAsia="Calibri" w:cs="Arial"/>
                <w:szCs w:val="20"/>
                <w:lang w:eastAsia="en-US"/>
              </w:rPr>
              <w:t xml:space="preserve"> – office or schools</w:t>
            </w:r>
            <w:r w:rsidR="009B253C">
              <w:rPr>
                <w:rFonts w:eastAsia="Calibri" w:cs="Arial"/>
                <w:szCs w:val="20"/>
                <w:lang w:eastAsia="en-US"/>
              </w:rPr>
              <w:br/>
            </w:r>
          </w:p>
          <w:p w14:paraId="0FABF3C2" w14:textId="74DA9E98" w:rsidR="00487370" w:rsidRPr="00E65A47" w:rsidRDefault="000B3C38" w:rsidP="00E65A47">
            <w:pPr>
              <w:jc w:val="both"/>
              <w:rPr>
                <w:rFonts w:eastAsia="Calibri" w:cs="Arial"/>
                <w:szCs w:val="20"/>
                <w:lang w:eastAsia="en-US"/>
              </w:rPr>
            </w:pPr>
            <w:r w:rsidRPr="00E65A47">
              <w:rPr>
                <w:rFonts w:eastAsia="Calibri" w:cs="Arial"/>
                <w:szCs w:val="20"/>
                <w:lang w:eastAsia="en-US"/>
              </w:rPr>
              <w:t>Projects become less relevant in terms of contemporary practice and national and local priorities</w:t>
            </w:r>
            <w:r w:rsidR="009B253C">
              <w:rPr>
                <w:rFonts w:eastAsia="Calibri" w:cs="Arial"/>
                <w:szCs w:val="20"/>
                <w:lang w:eastAsia="en-US"/>
              </w:rPr>
              <w:br/>
            </w:r>
            <w:r w:rsidR="009B253C">
              <w:rPr>
                <w:rFonts w:eastAsia="Calibri" w:cs="Arial"/>
                <w:szCs w:val="20"/>
                <w:lang w:eastAsia="en-US"/>
              </w:rPr>
              <w:br/>
            </w:r>
            <w:r w:rsidR="009B253C">
              <w:rPr>
                <w:rFonts w:eastAsia="Calibri" w:cs="Arial"/>
                <w:szCs w:val="20"/>
                <w:lang w:eastAsia="en-US"/>
              </w:rPr>
              <w:br/>
            </w:r>
          </w:p>
          <w:p w14:paraId="7997B7FF" w14:textId="5113FFF7" w:rsidR="00CD7984" w:rsidRPr="00E65A47" w:rsidRDefault="000B3C38" w:rsidP="00E65A47">
            <w:pPr>
              <w:jc w:val="both"/>
              <w:rPr>
                <w:rFonts w:eastAsia="Calibri" w:cs="Arial"/>
                <w:szCs w:val="20"/>
                <w:lang w:eastAsia="en-US"/>
              </w:rPr>
            </w:pPr>
            <w:r w:rsidRPr="00E65A47">
              <w:rPr>
                <w:rFonts w:eastAsia="Calibri" w:cs="Arial"/>
                <w:szCs w:val="20"/>
                <w:lang w:eastAsia="en-US"/>
              </w:rPr>
              <w:t>Priorities within a participating school change such that participation is not as relevant</w:t>
            </w:r>
            <w:r w:rsidR="009B253C">
              <w:rPr>
                <w:rFonts w:eastAsia="Calibri" w:cs="Arial"/>
                <w:szCs w:val="20"/>
                <w:lang w:eastAsia="en-US"/>
              </w:rPr>
              <w:br/>
            </w:r>
          </w:p>
          <w:p w14:paraId="5574BC4F" w14:textId="5C1B25C0" w:rsidR="00A741E4" w:rsidRPr="00E65A47" w:rsidRDefault="000B3C38" w:rsidP="00E65A47">
            <w:pPr>
              <w:jc w:val="both"/>
              <w:rPr>
                <w:rFonts w:eastAsia="Calibri" w:cs="Arial"/>
                <w:szCs w:val="20"/>
                <w:lang w:eastAsia="en-US"/>
              </w:rPr>
            </w:pPr>
            <w:r w:rsidRPr="00E65A47">
              <w:rPr>
                <w:rFonts w:eastAsia="Calibri" w:cs="Arial"/>
                <w:szCs w:val="20"/>
                <w:lang w:eastAsia="en-US"/>
              </w:rPr>
              <w:t>COVID-19 significantly impacts on the capacity to deliver project outcomes and success indicators</w:t>
            </w:r>
            <w:r w:rsidR="009B253C">
              <w:rPr>
                <w:rFonts w:eastAsia="Calibri" w:cs="Arial"/>
                <w:szCs w:val="20"/>
                <w:lang w:eastAsia="en-US"/>
              </w:rPr>
              <w:br/>
            </w:r>
            <w:r w:rsidR="009B253C">
              <w:rPr>
                <w:rFonts w:eastAsia="Calibri" w:cs="Arial"/>
                <w:szCs w:val="20"/>
                <w:lang w:eastAsia="en-US"/>
              </w:rPr>
              <w:br/>
            </w:r>
          </w:p>
          <w:p w14:paraId="5D406C1A" w14:textId="5A7A62CD" w:rsidR="00F23944" w:rsidRPr="00E65A47" w:rsidRDefault="00A741E4" w:rsidP="00E65A47">
            <w:pPr>
              <w:jc w:val="both"/>
              <w:rPr>
                <w:rFonts w:eastAsia="Calibri" w:cs="Arial"/>
                <w:szCs w:val="20"/>
                <w:lang w:eastAsia="en-US"/>
              </w:rPr>
            </w:pPr>
            <w:r w:rsidRPr="00E65A47">
              <w:rPr>
                <w:rFonts w:eastAsia="Calibri" w:cs="Arial"/>
                <w:szCs w:val="20"/>
                <w:lang w:eastAsia="en-US"/>
              </w:rPr>
              <w:t>Inadequate school consultation processes exist to ensure needs of schools are met</w:t>
            </w:r>
            <w:r w:rsidR="00F95486" w:rsidRPr="00E65A47">
              <w:rPr>
                <w:rFonts w:eastAsia="Calibri" w:cs="Arial"/>
                <w:szCs w:val="20"/>
                <w:lang w:eastAsia="en-US"/>
              </w:rPr>
              <w:t xml:space="preserve"> equitably</w:t>
            </w:r>
            <w:r w:rsidR="009B253C">
              <w:rPr>
                <w:rFonts w:eastAsia="Calibri" w:cs="Arial"/>
                <w:szCs w:val="20"/>
                <w:lang w:eastAsia="en-US"/>
              </w:rPr>
              <w:br/>
            </w:r>
            <w:r w:rsidR="009B253C">
              <w:rPr>
                <w:rFonts w:eastAsia="Calibri" w:cs="Arial"/>
                <w:szCs w:val="20"/>
                <w:lang w:eastAsia="en-US"/>
              </w:rPr>
              <w:br/>
            </w:r>
          </w:p>
          <w:p w14:paraId="184D3B0E" w14:textId="0C571979" w:rsidR="00F23944" w:rsidRPr="00E65A47" w:rsidRDefault="00F23944" w:rsidP="00E65A47">
            <w:pPr>
              <w:jc w:val="both"/>
              <w:rPr>
                <w:rFonts w:eastAsia="Calibri" w:cs="Arial"/>
                <w:szCs w:val="20"/>
                <w:lang w:eastAsia="en-US"/>
              </w:rPr>
            </w:pPr>
            <w:r w:rsidRPr="00E65A47">
              <w:rPr>
                <w:rFonts w:eastAsia="Calibri" w:cs="Arial"/>
                <w:szCs w:val="20"/>
                <w:lang w:eastAsia="en-US"/>
              </w:rPr>
              <w:t>Projects may become unsustainable without CAF support beyond 2029</w:t>
            </w:r>
          </w:p>
        </w:tc>
        <w:tc>
          <w:tcPr>
            <w:tcW w:w="2550" w:type="pct"/>
            <w:tcBorders>
              <w:left w:val="nil"/>
            </w:tcBorders>
          </w:tcPr>
          <w:p w14:paraId="47A57BC3" w14:textId="34BBC068" w:rsidR="000B0572" w:rsidRPr="00E65A47" w:rsidRDefault="00C06F1F" w:rsidP="00E65A47">
            <w:pPr>
              <w:jc w:val="both"/>
              <w:rPr>
                <w:rFonts w:eastAsia="Calibri" w:cs="Arial"/>
                <w:szCs w:val="20"/>
                <w:lang w:eastAsia="en-US"/>
              </w:rPr>
            </w:pPr>
            <w:r w:rsidRPr="00E65A47">
              <w:rPr>
                <w:rFonts w:eastAsia="Calibri" w:cs="Arial"/>
                <w:szCs w:val="20"/>
                <w:lang w:eastAsia="en-US"/>
              </w:rPr>
              <w:t>CEWA has a comprehensive management and compliance process including consultants and managers specialising in the project area.</w:t>
            </w:r>
            <w:r w:rsidR="00A741E4" w:rsidRPr="00E65A47">
              <w:rPr>
                <w:rFonts w:eastAsia="Calibri" w:cs="Arial"/>
                <w:szCs w:val="20"/>
                <w:lang w:eastAsia="en-US"/>
              </w:rPr>
              <w:t xml:space="preserve"> Assessments of projects and budgets occurs regularly</w:t>
            </w:r>
          </w:p>
          <w:p w14:paraId="469B8743" w14:textId="08B02B43" w:rsidR="00C06F1F" w:rsidRPr="00E65A47" w:rsidRDefault="00C06F1F" w:rsidP="00E65A47">
            <w:pPr>
              <w:jc w:val="both"/>
              <w:rPr>
                <w:rFonts w:eastAsia="Calibri" w:cs="Arial"/>
                <w:szCs w:val="20"/>
                <w:lang w:eastAsia="en-US"/>
              </w:rPr>
            </w:pPr>
            <w:r w:rsidRPr="00E65A47">
              <w:rPr>
                <w:rFonts w:eastAsia="Calibri" w:cs="Arial"/>
                <w:szCs w:val="20"/>
                <w:lang w:eastAsia="en-US"/>
              </w:rPr>
              <w:t xml:space="preserve">Office consultants, </w:t>
            </w:r>
            <w:r w:rsidR="009B253C">
              <w:rPr>
                <w:rFonts w:eastAsia="Calibri" w:cs="Arial"/>
                <w:szCs w:val="20"/>
                <w:lang w:eastAsia="en-US"/>
              </w:rPr>
              <w:t xml:space="preserve">School </w:t>
            </w:r>
            <w:r w:rsidR="0088245F">
              <w:rPr>
                <w:rFonts w:eastAsia="Calibri" w:cs="Arial"/>
                <w:szCs w:val="20"/>
                <w:lang w:eastAsia="en-US"/>
              </w:rPr>
              <w:t>Improvement</w:t>
            </w:r>
            <w:r w:rsidR="005165A2">
              <w:rPr>
                <w:rFonts w:eastAsia="Calibri" w:cs="Arial"/>
                <w:szCs w:val="20"/>
                <w:lang w:eastAsia="en-US"/>
              </w:rPr>
              <w:t xml:space="preserve"> </w:t>
            </w:r>
            <w:r w:rsidR="0088245F">
              <w:rPr>
                <w:rFonts w:eastAsia="Calibri" w:cs="Arial"/>
                <w:szCs w:val="20"/>
                <w:lang w:eastAsia="en-US"/>
              </w:rPr>
              <w:t>Advisors</w:t>
            </w:r>
            <w:r w:rsidR="009B253C">
              <w:rPr>
                <w:rFonts w:eastAsia="Calibri" w:cs="Arial"/>
                <w:szCs w:val="20"/>
                <w:lang w:eastAsia="en-US"/>
              </w:rPr>
              <w:t xml:space="preserve"> (</w:t>
            </w:r>
            <w:r w:rsidRPr="00E65A47">
              <w:rPr>
                <w:rFonts w:eastAsia="Calibri" w:cs="Arial"/>
                <w:szCs w:val="20"/>
                <w:lang w:eastAsia="en-US"/>
              </w:rPr>
              <w:t>SIAs</w:t>
            </w:r>
            <w:r w:rsidR="009B253C">
              <w:rPr>
                <w:rFonts w:eastAsia="Calibri" w:cs="Arial"/>
                <w:szCs w:val="20"/>
                <w:lang w:eastAsia="en-US"/>
              </w:rPr>
              <w:t>)</w:t>
            </w:r>
            <w:r w:rsidRPr="00E65A47">
              <w:rPr>
                <w:rFonts w:eastAsia="Calibri" w:cs="Arial"/>
                <w:szCs w:val="20"/>
                <w:lang w:eastAsia="en-US"/>
              </w:rPr>
              <w:t xml:space="preserve"> and</w:t>
            </w:r>
            <w:r w:rsidR="009B253C">
              <w:rPr>
                <w:rFonts w:eastAsia="Calibri" w:cs="Arial"/>
                <w:szCs w:val="20"/>
                <w:lang w:eastAsia="en-US"/>
              </w:rPr>
              <w:t xml:space="preserve"> Regional Officers</w:t>
            </w:r>
            <w:r w:rsidRPr="00E65A47">
              <w:rPr>
                <w:rFonts w:eastAsia="Calibri" w:cs="Arial"/>
                <w:szCs w:val="20"/>
                <w:lang w:eastAsia="en-US"/>
              </w:rPr>
              <w:t xml:space="preserve"> </w:t>
            </w:r>
            <w:r w:rsidR="009B253C">
              <w:rPr>
                <w:rFonts w:eastAsia="Calibri" w:cs="Arial"/>
                <w:szCs w:val="20"/>
                <w:lang w:eastAsia="en-US"/>
              </w:rPr>
              <w:t>(</w:t>
            </w:r>
            <w:r w:rsidRPr="00E65A47">
              <w:rPr>
                <w:rFonts w:eastAsia="Calibri" w:cs="Arial"/>
                <w:szCs w:val="20"/>
                <w:lang w:eastAsia="en-US"/>
              </w:rPr>
              <w:t>R</w:t>
            </w:r>
            <w:r w:rsidR="009B253C" w:rsidRPr="00E65A47">
              <w:rPr>
                <w:rFonts w:eastAsia="Calibri" w:cs="Arial"/>
                <w:szCs w:val="20"/>
                <w:lang w:eastAsia="en-US"/>
              </w:rPr>
              <w:t>o</w:t>
            </w:r>
            <w:r w:rsidRPr="00E65A47">
              <w:rPr>
                <w:rFonts w:eastAsia="Calibri" w:cs="Arial"/>
                <w:szCs w:val="20"/>
                <w:lang w:eastAsia="en-US"/>
              </w:rPr>
              <w:t>s</w:t>
            </w:r>
            <w:r w:rsidR="009B253C">
              <w:rPr>
                <w:rFonts w:eastAsia="Calibri" w:cs="Arial"/>
                <w:szCs w:val="20"/>
                <w:lang w:eastAsia="en-US"/>
              </w:rPr>
              <w:t>)</w:t>
            </w:r>
            <w:r w:rsidRPr="00E65A47">
              <w:rPr>
                <w:rFonts w:eastAsia="Calibri" w:cs="Arial"/>
                <w:szCs w:val="20"/>
                <w:lang w:eastAsia="en-US"/>
              </w:rPr>
              <w:t xml:space="preserve"> in contact with schools; some projects require interim reports; Issues typically identified early, thus enabling intervention; most projects centrally run</w:t>
            </w:r>
            <w:r w:rsidR="00914F87">
              <w:rPr>
                <w:rFonts w:eastAsia="Calibri" w:cs="Arial"/>
                <w:szCs w:val="20"/>
                <w:lang w:eastAsia="en-US"/>
              </w:rPr>
              <w:t xml:space="preserve"> per plan.</w:t>
            </w:r>
          </w:p>
          <w:p w14:paraId="32F5EA98" w14:textId="1E85093B" w:rsidR="00C06F1F" w:rsidRPr="00E65A47" w:rsidRDefault="00C06F1F" w:rsidP="00E65A47">
            <w:pPr>
              <w:jc w:val="both"/>
              <w:rPr>
                <w:rFonts w:eastAsia="Calibri" w:cs="Arial"/>
                <w:szCs w:val="20"/>
                <w:lang w:eastAsia="en-US"/>
              </w:rPr>
            </w:pPr>
            <w:r w:rsidRPr="00E65A47">
              <w:rPr>
                <w:rFonts w:eastAsia="Calibri" w:cs="Arial"/>
                <w:szCs w:val="20"/>
                <w:lang w:eastAsia="en-US"/>
              </w:rPr>
              <w:t xml:space="preserve">All schools run common accounting systems and protocols; records examined periodically by CEWA staff; final audit and signoff by </w:t>
            </w:r>
            <w:r w:rsidR="00E65A47" w:rsidRPr="00E65A47">
              <w:rPr>
                <w:rFonts w:eastAsia="Calibri" w:cs="Arial"/>
                <w:szCs w:val="20"/>
                <w:lang w:eastAsia="en-US"/>
              </w:rPr>
              <w:t>Deloitte</w:t>
            </w:r>
          </w:p>
          <w:p w14:paraId="39386216" w14:textId="7AB9A4BB" w:rsidR="00BC5C8B" w:rsidRPr="00E65A47" w:rsidRDefault="00BC5C8B" w:rsidP="00E65A47">
            <w:pPr>
              <w:jc w:val="both"/>
              <w:rPr>
                <w:rFonts w:eastAsia="Calibri" w:cs="Arial"/>
                <w:szCs w:val="20"/>
                <w:lang w:eastAsia="en-US"/>
              </w:rPr>
            </w:pPr>
            <w:r w:rsidRPr="00E65A47">
              <w:rPr>
                <w:rFonts w:eastAsia="Calibri" w:cs="Arial"/>
                <w:szCs w:val="20"/>
                <w:lang w:eastAsia="en-US"/>
              </w:rPr>
              <w:t>No system school in CEWA would become non-viable such that CAF funds would be compromised; support funding and cross-subsidisation processes exi</w:t>
            </w:r>
            <w:r w:rsidR="004475D4" w:rsidRPr="00E65A47">
              <w:rPr>
                <w:rFonts w:eastAsia="Calibri" w:cs="Arial"/>
                <w:szCs w:val="20"/>
                <w:lang w:eastAsia="en-US"/>
              </w:rPr>
              <w:t>st</w:t>
            </w:r>
            <w:r w:rsidR="00A741E4" w:rsidRPr="00E65A47">
              <w:rPr>
                <w:rFonts w:eastAsia="Calibri" w:cs="Arial"/>
                <w:szCs w:val="20"/>
                <w:lang w:eastAsia="en-US"/>
              </w:rPr>
              <w:t>; monitoring of schools regularly undertaken.</w:t>
            </w:r>
          </w:p>
          <w:p w14:paraId="5DF60CC5" w14:textId="68CD2612" w:rsidR="004475D4" w:rsidRPr="00E65A47" w:rsidRDefault="004475D4" w:rsidP="00E65A47">
            <w:pPr>
              <w:jc w:val="both"/>
              <w:rPr>
                <w:rFonts w:eastAsia="Calibri" w:cs="Arial"/>
                <w:szCs w:val="20"/>
                <w:lang w:eastAsia="en-US"/>
              </w:rPr>
            </w:pPr>
            <w:r w:rsidRPr="00E65A47">
              <w:rPr>
                <w:rFonts w:eastAsia="Calibri" w:cs="Arial"/>
                <w:szCs w:val="20"/>
                <w:lang w:eastAsia="en-US"/>
              </w:rPr>
              <w:t>The management processes and oversight are agile and responsive; CEWA has the capacity to urgently reallocate funds or if necessary, run the funding into deficit – with DESE approval – and adjust for the next year.</w:t>
            </w:r>
            <w:r w:rsidR="00F23944" w:rsidRPr="00E65A47">
              <w:rPr>
                <w:rFonts w:eastAsia="Calibri" w:cs="Arial"/>
                <w:szCs w:val="20"/>
                <w:lang w:eastAsia="en-US"/>
              </w:rPr>
              <w:t xml:space="preserve"> Communication processes with schools are well developed.</w:t>
            </w:r>
          </w:p>
          <w:p w14:paraId="43DCC191" w14:textId="77777777" w:rsidR="00487370" w:rsidRPr="00E65A47" w:rsidRDefault="004475D4" w:rsidP="00E65A47">
            <w:pPr>
              <w:jc w:val="both"/>
              <w:rPr>
                <w:rFonts w:eastAsia="Calibri" w:cs="Arial"/>
                <w:szCs w:val="20"/>
                <w:lang w:eastAsia="en-US"/>
              </w:rPr>
            </w:pPr>
            <w:r w:rsidRPr="00E65A47">
              <w:rPr>
                <w:rFonts w:eastAsia="Calibri" w:cs="Arial"/>
                <w:szCs w:val="20"/>
                <w:lang w:eastAsia="en-US"/>
              </w:rPr>
              <w:t>Highly qualified and backup staff</w:t>
            </w:r>
            <w:r w:rsidR="00487370" w:rsidRPr="00E65A47">
              <w:rPr>
                <w:rFonts w:eastAsia="Calibri" w:cs="Arial"/>
                <w:szCs w:val="20"/>
                <w:lang w:eastAsia="en-US"/>
              </w:rPr>
              <w:t xml:space="preserve"> exist in offices; policies and procedures are well understood; few programs rely on one or two key staff in schools</w:t>
            </w:r>
          </w:p>
          <w:p w14:paraId="7D6C44E1" w14:textId="56F879A8" w:rsidR="00487370" w:rsidRPr="00E65A47" w:rsidRDefault="00487370" w:rsidP="00E65A47">
            <w:pPr>
              <w:jc w:val="both"/>
              <w:rPr>
                <w:rFonts w:eastAsia="Calibri" w:cs="Arial"/>
                <w:szCs w:val="20"/>
                <w:lang w:eastAsia="en-US"/>
              </w:rPr>
            </w:pPr>
            <w:r w:rsidRPr="00E65A47">
              <w:rPr>
                <w:rFonts w:eastAsia="Calibri" w:cs="Arial"/>
                <w:szCs w:val="20"/>
                <w:lang w:eastAsia="en-US"/>
              </w:rPr>
              <w:t xml:space="preserve">All projects closely address program priorities and other national strategically important initiatives; evaluations are undertaken; </w:t>
            </w:r>
            <w:r w:rsidR="00E65A47" w:rsidRPr="00E65A47">
              <w:rPr>
                <w:rFonts w:eastAsia="Calibri" w:cs="Arial"/>
                <w:szCs w:val="20"/>
                <w:lang w:eastAsia="en-US"/>
              </w:rPr>
              <w:t>evidence-based</w:t>
            </w:r>
            <w:r w:rsidRPr="00E65A47">
              <w:rPr>
                <w:rFonts w:eastAsia="Calibri" w:cs="Arial"/>
                <w:szCs w:val="20"/>
                <w:lang w:eastAsia="en-US"/>
              </w:rPr>
              <w:t xml:space="preserve"> practice used; being mainly centrally run, CEWA can adjust; notwithstanding, local context is important.</w:t>
            </w:r>
          </w:p>
          <w:p w14:paraId="181F8CC9" w14:textId="77777777" w:rsidR="00487370" w:rsidRPr="00E65A47" w:rsidRDefault="00487370" w:rsidP="00E65A47">
            <w:pPr>
              <w:jc w:val="both"/>
              <w:rPr>
                <w:rFonts w:eastAsia="Calibri" w:cs="Arial"/>
                <w:szCs w:val="20"/>
                <w:lang w:eastAsia="en-US"/>
              </w:rPr>
            </w:pPr>
            <w:r w:rsidRPr="00E65A47">
              <w:rPr>
                <w:rFonts w:eastAsia="Calibri" w:cs="Arial"/>
                <w:szCs w:val="20"/>
                <w:lang w:eastAsia="en-US"/>
              </w:rPr>
              <w:t>Schools close</w:t>
            </w:r>
            <w:r w:rsidR="00CD7984" w:rsidRPr="00E65A47">
              <w:rPr>
                <w:rFonts w:eastAsia="Calibri" w:cs="Arial"/>
                <w:szCs w:val="20"/>
                <w:lang w:eastAsia="en-US"/>
              </w:rPr>
              <w:t>l</w:t>
            </w:r>
            <w:r w:rsidRPr="00E65A47">
              <w:rPr>
                <w:rFonts w:eastAsia="Calibri" w:cs="Arial"/>
                <w:szCs w:val="20"/>
                <w:lang w:eastAsia="en-US"/>
              </w:rPr>
              <w:t xml:space="preserve">y monitored; capacity to withdraw school if needed; all projects </w:t>
            </w:r>
            <w:r w:rsidR="00CD7984" w:rsidRPr="00E65A47">
              <w:rPr>
                <w:rFonts w:eastAsia="Calibri" w:cs="Arial"/>
                <w:szCs w:val="20"/>
                <w:lang w:eastAsia="en-US"/>
              </w:rPr>
              <w:t>involve</w:t>
            </w:r>
            <w:r w:rsidRPr="00E65A47">
              <w:rPr>
                <w:rFonts w:eastAsia="Calibri" w:cs="Arial"/>
                <w:szCs w:val="20"/>
                <w:lang w:eastAsia="en-US"/>
              </w:rPr>
              <w:t xml:space="preserve"> numerous/all schools potentially</w:t>
            </w:r>
          </w:p>
          <w:p w14:paraId="43F9BB5C" w14:textId="77777777" w:rsidR="00CD7984" w:rsidRPr="00E65A47" w:rsidRDefault="00CD7984" w:rsidP="00E65A47">
            <w:pPr>
              <w:jc w:val="both"/>
              <w:rPr>
                <w:rFonts w:eastAsia="Calibri" w:cs="Arial"/>
                <w:szCs w:val="20"/>
                <w:lang w:eastAsia="en-US"/>
              </w:rPr>
            </w:pPr>
            <w:r w:rsidRPr="00E65A47">
              <w:rPr>
                <w:rFonts w:eastAsia="Calibri" w:cs="Arial"/>
                <w:szCs w:val="20"/>
                <w:lang w:eastAsia="en-US"/>
              </w:rPr>
              <w:t xml:space="preserve">CEWA has system COVID-19 contingency and risk management plan, as do all schools. Early issues were around access and a moratorium on hiring; the </w:t>
            </w:r>
            <w:proofErr w:type="spellStart"/>
            <w:r w:rsidRPr="00E65A47">
              <w:rPr>
                <w:rFonts w:eastAsia="Calibri" w:cs="Arial"/>
                <w:szCs w:val="20"/>
                <w:lang w:eastAsia="en-US"/>
              </w:rPr>
              <w:t>later</w:t>
            </w:r>
            <w:proofErr w:type="spellEnd"/>
            <w:r w:rsidRPr="00E65A47">
              <w:rPr>
                <w:rFonts w:eastAsia="Calibri" w:cs="Arial"/>
                <w:szCs w:val="20"/>
                <w:lang w:eastAsia="en-US"/>
              </w:rPr>
              <w:t xml:space="preserve"> is no longer an issue</w:t>
            </w:r>
          </w:p>
          <w:p w14:paraId="2B9BAEF5" w14:textId="77777777" w:rsidR="00A741E4" w:rsidRPr="00E65A47" w:rsidRDefault="00A741E4" w:rsidP="00E65A47">
            <w:pPr>
              <w:jc w:val="both"/>
              <w:rPr>
                <w:rFonts w:eastAsia="Calibri" w:cs="Arial"/>
                <w:szCs w:val="20"/>
                <w:lang w:eastAsia="en-US"/>
              </w:rPr>
            </w:pPr>
            <w:r w:rsidRPr="00E65A47">
              <w:rPr>
                <w:rFonts w:eastAsia="Calibri" w:cs="Arial"/>
                <w:szCs w:val="20"/>
                <w:lang w:eastAsia="en-US"/>
              </w:rPr>
              <w:t>Effective school consultation processes are maintained; see section on stakeholder engagement</w:t>
            </w:r>
            <w:r w:rsidR="00F23944" w:rsidRPr="00E65A47">
              <w:rPr>
                <w:rFonts w:eastAsia="Calibri" w:cs="Arial"/>
                <w:szCs w:val="20"/>
                <w:lang w:eastAsia="en-US"/>
              </w:rPr>
              <w:t>. Most projects provide potential access to all schools</w:t>
            </w:r>
          </w:p>
          <w:p w14:paraId="65DF4A9F" w14:textId="3D5180A9" w:rsidR="00F23944" w:rsidRPr="00E65A47" w:rsidRDefault="00F23944" w:rsidP="00E65A47">
            <w:pPr>
              <w:jc w:val="both"/>
              <w:rPr>
                <w:rFonts w:eastAsia="Calibri" w:cs="Arial"/>
                <w:szCs w:val="20"/>
                <w:lang w:eastAsia="en-US"/>
              </w:rPr>
            </w:pPr>
            <w:r w:rsidRPr="00E65A47">
              <w:rPr>
                <w:rFonts w:eastAsia="Calibri" w:cs="Arial"/>
                <w:szCs w:val="20"/>
                <w:lang w:eastAsia="en-US"/>
              </w:rPr>
              <w:t xml:space="preserve">Most projects relate closely to existing strategic plans and school and system priorities; focus </w:t>
            </w:r>
            <w:proofErr w:type="gramStart"/>
            <w:r w:rsidRPr="00E65A47">
              <w:rPr>
                <w:rFonts w:eastAsia="Calibri" w:cs="Arial"/>
                <w:szCs w:val="20"/>
                <w:lang w:eastAsia="en-US"/>
              </w:rPr>
              <w:t>in</w:t>
            </w:r>
            <w:proofErr w:type="gramEnd"/>
            <w:r w:rsidRPr="00E65A47">
              <w:rPr>
                <w:rFonts w:eastAsia="Calibri" w:cs="Arial"/>
                <w:szCs w:val="20"/>
                <w:lang w:eastAsia="en-US"/>
              </w:rPr>
              <w:t xml:space="preserve"> most projects is building long term capacity</w:t>
            </w:r>
            <w:r w:rsidR="005165A2">
              <w:rPr>
                <w:rFonts w:eastAsia="Calibri" w:cs="Arial"/>
                <w:szCs w:val="20"/>
                <w:lang w:eastAsia="en-US"/>
              </w:rPr>
              <w:t xml:space="preserve"> to continue beyond 2029.</w:t>
            </w:r>
          </w:p>
        </w:tc>
      </w:tr>
    </w:tbl>
    <w:p w14:paraId="1EFDD1E3" w14:textId="77777777" w:rsidR="009B253C" w:rsidRDefault="009B253C" w:rsidP="00564C32">
      <w:pPr>
        <w:rPr>
          <w:rFonts w:cstheme="minorHAnsi"/>
          <w:color w:val="FF0000"/>
          <w:szCs w:val="20"/>
        </w:rPr>
        <w:sectPr w:rsidR="009B253C" w:rsidSect="00AF7F32">
          <w:pgSz w:w="11906" w:h="16838"/>
          <w:pgMar w:top="1440" w:right="1440" w:bottom="1276" w:left="1440" w:header="708" w:footer="169" w:gutter="0"/>
          <w:cols w:space="708"/>
          <w:docGrid w:linePitch="360"/>
        </w:sectPr>
      </w:pPr>
    </w:p>
    <w:p w14:paraId="32C7E84D" w14:textId="774E4256" w:rsidR="002C78E9" w:rsidRPr="00E65A47" w:rsidRDefault="002C78E9" w:rsidP="007372B6">
      <w:pPr>
        <w:spacing w:line="240" w:lineRule="auto"/>
        <w:jc w:val="center"/>
        <w:rPr>
          <w:rFonts w:cstheme="minorHAnsi"/>
          <w:b/>
          <w:color w:val="000000" w:themeColor="text1"/>
          <w:sz w:val="24"/>
          <w:u w:val="single"/>
        </w:rPr>
      </w:pPr>
      <w:r w:rsidRPr="00E65A47">
        <w:rPr>
          <w:rFonts w:cstheme="minorHAnsi"/>
          <w:b/>
          <w:color w:val="000000" w:themeColor="text1"/>
          <w:sz w:val="24"/>
          <w:u w:val="single"/>
        </w:rPr>
        <w:lastRenderedPageBreak/>
        <w:t>Budget for 2022</w:t>
      </w:r>
      <w:r w:rsidR="0094555B" w:rsidRPr="00E65A47">
        <w:rPr>
          <w:rFonts w:cstheme="minorHAnsi"/>
          <w:b/>
          <w:color w:val="000000" w:themeColor="text1"/>
          <w:sz w:val="24"/>
          <w:u w:val="single"/>
        </w:rPr>
        <w:t>–</w:t>
      </w:r>
      <w:r w:rsidRPr="00E65A47">
        <w:rPr>
          <w:rFonts w:cstheme="minorHAnsi"/>
          <w:b/>
          <w:color w:val="000000" w:themeColor="text1"/>
          <w:sz w:val="24"/>
          <w:u w:val="single"/>
        </w:rPr>
        <w:t>2025</w:t>
      </w:r>
    </w:p>
    <w:tbl>
      <w:tblPr>
        <w:tblStyle w:val="TableGrid"/>
        <w:tblW w:w="4966" w:type="pct"/>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57"/>
        <w:gridCol w:w="1984"/>
        <w:gridCol w:w="1331"/>
        <w:gridCol w:w="1271"/>
        <w:gridCol w:w="1273"/>
        <w:gridCol w:w="1269"/>
      </w:tblGrid>
      <w:tr w:rsidR="009F1D75" w14:paraId="18D453D8" w14:textId="77777777" w:rsidTr="00EF076A">
        <w:trPr>
          <w:trHeight w:val="254"/>
          <w:tblHeader/>
        </w:trPr>
        <w:tc>
          <w:tcPr>
            <w:tcW w:w="1568" w:type="pct"/>
            <w:tcBorders>
              <w:left w:val="single" w:sz="4" w:space="0" w:color="auto"/>
              <w:bottom w:val="single" w:sz="4" w:space="0" w:color="auto"/>
            </w:tcBorders>
            <w:shd w:val="clear" w:color="auto" w:fill="B4C6E7" w:themeFill="accent1" w:themeFillTint="66"/>
            <w:vAlign w:val="center"/>
          </w:tcPr>
          <w:p w14:paraId="79B6AE96" w14:textId="341689D3" w:rsidR="00115319" w:rsidRPr="00037CD9" w:rsidRDefault="00115319" w:rsidP="00115319">
            <w:pPr>
              <w:spacing w:before="40" w:after="40" w:line="240" w:lineRule="auto"/>
              <w:rPr>
                <w:rFonts w:asciiTheme="minorHAnsi" w:hAnsiTheme="minorHAnsi" w:cstheme="minorHAnsi"/>
                <w:color w:val="FF0000"/>
                <w:szCs w:val="20"/>
              </w:rPr>
            </w:pPr>
            <w:bookmarkStart w:id="1" w:name="_Hlk83129953"/>
            <w:r w:rsidRPr="00037CD9">
              <w:rPr>
                <w:rFonts w:asciiTheme="minorHAnsi" w:hAnsiTheme="minorHAnsi" w:cstheme="minorHAnsi"/>
                <w:b/>
                <w:szCs w:val="20"/>
              </w:rPr>
              <w:t>Activities/Initiatives</w:t>
            </w:r>
          </w:p>
        </w:tc>
        <w:tc>
          <w:tcPr>
            <w:tcW w:w="955" w:type="pct"/>
            <w:tcBorders>
              <w:bottom w:val="single" w:sz="4" w:space="0" w:color="auto"/>
            </w:tcBorders>
            <w:shd w:val="clear" w:color="auto" w:fill="B4C6E7" w:themeFill="accent1" w:themeFillTint="66"/>
            <w:vAlign w:val="center"/>
          </w:tcPr>
          <w:p w14:paraId="7054A035" w14:textId="75AD9EE0" w:rsidR="00115319" w:rsidRPr="00037CD9" w:rsidRDefault="00115319" w:rsidP="00EF076A">
            <w:pPr>
              <w:spacing w:before="40" w:after="40" w:line="240" w:lineRule="auto"/>
              <w:ind w:right="26"/>
              <w:rPr>
                <w:rFonts w:asciiTheme="minorHAnsi" w:hAnsiTheme="minorHAnsi" w:cstheme="minorHAnsi"/>
                <w:b/>
                <w:szCs w:val="20"/>
              </w:rPr>
            </w:pPr>
            <w:r w:rsidRPr="00037CD9">
              <w:rPr>
                <w:rFonts w:asciiTheme="minorHAnsi" w:hAnsiTheme="minorHAnsi" w:cstheme="minorHAnsi"/>
                <w:b/>
                <w:szCs w:val="20"/>
              </w:rPr>
              <w:t>Expenditure type</w:t>
            </w:r>
            <w:r w:rsidRPr="00037CD9">
              <w:rPr>
                <w:rStyle w:val="FootnoteReference"/>
                <w:rFonts w:asciiTheme="minorHAnsi" w:hAnsiTheme="minorHAnsi" w:cstheme="minorHAnsi"/>
                <w:b/>
                <w:color w:val="FF0000"/>
                <w:szCs w:val="20"/>
              </w:rPr>
              <w:footnoteReference w:id="1"/>
            </w:r>
          </w:p>
        </w:tc>
        <w:tc>
          <w:tcPr>
            <w:tcW w:w="641" w:type="pct"/>
            <w:tcBorders>
              <w:bottom w:val="single" w:sz="4" w:space="0" w:color="auto"/>
            </w:tcBorders>
            <w:shd w:val="clear" w:color="auto" w:fill="B4C6E7" w:themeFill="accent1" w:themeFillTint="66"/>
            <w:vAlign w:val="center"/>
          </w:tcPr>
          <w:p w14:paraId="79930ADC" w14:textId="23C510C3" w:rsidR="00115319" w:rsidRPr="00037CD9" w:rsidRDefault="00115319" w:rsidP="00115319">
            <w:pPr>
              <w:spacing w:before="40" w:after="40" w:line="240" w:lineRule="auto"/>
              <w:jc w:val="center"/>
              <w:rPr>
                <w:rFonts w:asciiTheme="minorHAnsi" w:hAnsiTheme="minorHAnsi" w:cstheme="minorHAnsi"/>
                <w:color w:val="FF0000"/>
                <w:szCs w:val="20"/>
              </w:rPr>
            </w:pPr>
            <w:r w:rsidRPr="00037CD9">
              <w:rPr>
                <w:rFonts w:asciiTheme="minorHAnsi" w:hAnsiTheme="minorHAnsi" w:cstheme="minorHAnsi"/>
                <w:b/>
                <w:bCs/>
                <w:color w:val="000000" w:themeColor="text1"/>
                <w:szCs w:val="20"/>
              </w:rPr>
              <w:t>2022</w:t>
            </w:r>
          </w:p>
        </w:tc>
        <w:tc>
          <w:tcPr>
            <w:tcW w:w="612" w:type="pct"/>
            <w:tcBorders>
              <w:bottom w:val="single" w:sz="4" w:space="0" w:color="auto"/>
            </w:tcBorders>
            <w:shd w:val="clear" w:color="auto" w:fill="B4C6E7" w:themeFill="accent1" w:themeFillTint="66"/>
            <w:vAlign w:val="center"/>
          </w:tcPr>
          <w:p w14:paraId="191492A2" w14:textId="39B389BF" w:rsidR="00115319" w:rsidRPr="00037CD9" w:rsidRDefault="00115319" w:rsidP="00115319">
            <w:pPr>
              <w:spacing w:before="40" w:after="40" w:line="240" w:lineRule="auto"/>
              <w:jc w:val="center"/>
              <w:rPr>
                <w:rFonts w:asciiTheme="minorHAnsi" w:hAnsiTheme="minorHAnsi" w:cstheme="minorHAnsi"/>
                <w:color w:val="FF0000"/>
                <w:szCs w:val="20"/>
              </w:rPr>
            </w:pPr>
            <w:r w:rsidRPr="00037CD9">
              <w:rPr>
                <w:rFonts w:asciiTheme="minorHAnsi" w:hAnsiTheme="minorHAnsi" w:cstheme="minorHAnsi"/>
                <w:b/>
                <w:bCs/>
                <w:color w:val="000000" w:themeColor="text1"/>
                <w:szCs w:val="20"/>
              </w:rPr>
              <w:t>2023</w:t>
            </w:r>
          </w:p>
        </w:tc>
        <w:tc>
          <w:tcPr>
            <w:tcW w:w="613" w:type="pct"/>
            <w:tcBorders>
              <w:bottom w:val="single" w:sz="4" w:space="0" w:color="auto"/>
            </w:tcBorders>
            <w:shd w:val="clear" w:color="auto" w:fill="B4C6E7" w:themeFill="accent1" w:themeFillTint="66"/>
            <w:vAlign w:val="center"/>
          </w:tcPr>
          <w:p w14:paraId="454A1C4E" w14:textId="324947F8" w:rsidR="00115319" w:rsidRPr="00037CD9" w:rsidRDefault="00115319" w:rsidP="00115319">
            <w:pPr>
              <w:spacing w:before="40" w:after="40" w:line="240" w:lineRule="auto"/>
              <w:jc w:val="center"/>
              <w:rPr>
                <w:rFonts w:asciiTheme="minorHAnsi" w:hAnsiTheme="minorHAnsi" w:cstheme="minorHAnsi"/>
                <w:color w:val="FF0000"/>
                <w:szCs w:val="20"/>
              </w:rPr>
            </w:pPr>
            <w:r w:rsidRPr="00037CD9">
              <w:rPr>
                <w:rFonts w:asciiTheme="minorHAnsi" w:hAnsiTheme="minorHAnsi" w:cstheme="minorHAnsi"/>
                <w:b/>
                <w:bCs/>
                <w:color w:val="000000" w:themeColor="text1"/>
                <w:szCs w:val="20"/>
              </w:rPr>
              <w:t>2024</w:t>
            </w:r>
          </w:p>
        </w:tc>
        <w:tc>
          <w:tcPr>
            <w:tcW w:w="611" w:type="pct"/>
            <w:tcBorders>
              <w:bottom w:val="single" w:sz="4" w:space="0" w:color="auto"/>
              <w:right w:val="single" w:sz="4" w:space="0" w:color="auto"/>
            </w:tcBorders>
            <w:shd w:val="clear" w:color="auto" w:fill="B4C6E7" w:themeFill="accent1" w:themeFillTint="66"/>
            <w:vAlign w:val="center"/>
          </w:tcPr>
          <w:p w14:paraId="472CB2CE" w14:textId="72FBA3F2" w:rsidR="00115319" w:rsidRPr="00037CD9" w:rsidRDefault="00115319" w:rsidP="00115319">
            <w:pPr>
              <w:spacing w:before="40" w:after="40" w:line="240" w:lineRule="auto"/>
              <w:jc w:val="center"/>
              <w:rPr>
                <w:rFonts w:asciiTheme="minorHAnsi" w:hAnsiTheme="minorHAnsi" w:cstheme="minorHAnsi"/>
                <w:color w:val="FF0000"/>
                <w:szCs w:val="20"/>
              </w:rPr>
            </w:pPr>
            <w:r w:rsidRPr="00037CD9">
              <w:rPr>
                <w:rFonts w:asciiTheme="minorHAnsi" w:hAnsiTheme="minorHAnsi" w:cstheme="minorHAnsi"/>
                <w:b/>
                <w:bCs/>
                <w:color w:val="000000" w:themeColor="text1"/>
                <w:szCs w:val="20"/>
              </w:rPr>
              <w:t>2025</w:t>
            </w:r>
          </w:p>
        </w:tc>
      </w:tr>
      <w:tr w:rsidR="009F1D75" w14:paraId="730E8503" w14:textId="77777777" w:rsidTr="00EF076A">
        <w:trPr>
          <w:trHeight w:val="124"/>
        </w:trPr>
        <w:tc>
          <w:tcPr>
            <w:tcW w:w="5000" w:type="pct"/>
            <w:gridSpan w:val="6"/>
            <w:tcBorders>
              <w:left w:val="single" w:sz="4" w:space="0" w:color="auto"/>
              <w:bottom w:val="nil"/>
              <w:right w:val="single" w:sz="4" w:space="0" w:color="auto"/>
            </w:tcBorders>
            <w:vAlign w:val="center"/>
          </w:tcPr>
          <w:p w14:paraId="13605E4E" w14:textId="25AE9351" w:rsidR="006635E2" w:rsidRPr="008C02EE" w:rsidRDefault="006635E2" w:rsidP="006635E2">
            <w:pPr>
              <w:spacing w:before="40" w:after="40" w:line="240" w:lineRule="auto"/>
              <w:rPr>
                <w:rFonts w:asciiTheme="minorHAnsi" w:hAnsiTheme="minorHAnsi" w:cstheme="minorHAnsi"/>
                <w:color w:val="4472C4" w:themeColor="accent1"/>
                <w:szCs w:val="20"/>
              </w:rPr>
            </w:pPr>
            <w:r w:rsidRPr="00115319">
              <w:rPr>
                <w:rFonts w:asciiTheme="minorHAnsi" w:hAnsiTheme="minorHAnsi" w:cstheme="minorHAnsi"/>
                <w:b/>
                <w:bCs/>
                <w:szCs w:val="20"/>
                <w:u w:val="single"/>
              </w:rPr>
              <w:t>A – Choice and Affordability</w:t>
            </w:r>
          </w:p>
        </w:tc>
      </w:tr>
      <w:tr w:rsidR="009F1D75" w14:paraId="47A86670" w14:textId="77777777" w:rsidTr="00EF076A">
        <w:trPr>
          <w:trHeight w:val="124"/>
        </w:trPr>
        <w:tc>
          <w:tcPr>
            <w:tcW w:w="1568" w:type="pct"/>
            <w:vMerge w:val="restart"/>
            <w:tcBorders>
              <w:top w:val="nil"/>
              <w:left w:val="single" w:sz="4" w:space="0" w:color="auto"/>
            </w:tcBorders>
            <w:vAlign w:val="center"/>
          </w:tcPr>
          <w:p w14:paraId="5AB83396" w14:textId="573881ED" w:rsidR="0096038D" w:rsidRPr="00115319" w:rsidRDefault="0096038D" w:rsidP="0096038D">
            <w:pPr>
              <w:spacing w:before="40" w:after="40" w:line="240" w:lineRule="auto"/>
              <w:rPr>
                <w:rFonts w:asciiTheme="minorHAnsi" w:hAnsiTheme="minorHAnsi" w:cstheme="minorHAnsi"/>
                <w:i/>
                <w:color w:val="FF0000"/>
                <w:szCs w:val="20"/>
              </w:rPr>
            </w:pPr>
            <w:r w:rsidRPr="00F95486">
              <w:rPr>
                <w:rFonts w:asciiTheme="minorHAnsi" w:hAnsiTheme="minorHAnsi" w:cstheme="minorHAnsi"/>
                <w:i/>
                <w:szCs w:val="20"/>
              </w:rPr>
              <w:t>Affordable Schools</w:t>
            </w:r>
          </w:p>
        </w:tc>
        <w:tc>
          <w:tcPr>
            <w:tcW w:w="955" w:type="pct"/>
            <w:tcBorders>
              <w:top w:val="nil"/>
              <w:bottom w:val="nil"/>
            </w:tcBorders>
            <w:vAlign w:val="center"/>
          </w:tcPr>
          <w:p w14:paraId="679FF089" w14:textId="77777777" w:rsidR="0096038D" w:rsidRDefault="0096038D" w:rsidP="0096038D">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7DDBA469" w14:textId="21A34129"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2" w:type="pct"/>
            <w:tcBorders>
              <w:top w:val="nil"/>
              <w:bottom w:val="nil"/>
            </w:tcBorders>
            <w:vAlign w:val="center"/>
          </w:tcPr>
          <w:p w14:paraId="6E3F5EE1" w14:textId="0F077FCA"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3" w:type="pct"/>
            <w:tcBorders>
              <w:top w:val="nil"/>
              <w:bottom w:val="nil"/>
            </w:tcBorders>
            <w:vAlign w:val="center"/>
          </w:tcPr>
          <w:p w14:paraId="1027DEFE" w14:textId="2DBE1D35" w:rsidR="0096038D" w:rsidRDefault="0096038D" w:rsidP="0096038D">
            <w:pPr>
              <w:spacing w:before="40" w:after="40" w:line="240" w:lineRule="auto"/>
              <w:jc w:val="center"/>
              <w:rPr>
                <w:rFonts w:asciiTheme="minorHAnsi" w:hAnsiTheme="minorHAnsi" w:cstheme="minorHAnsi"/>
                <w:color w:val="FF0000"/>
                <w:szCs w:val="20"/>
              </w:rPr>
            </w:pPr>
            <w:r w:rsidRPr="008C02EE">
              <w:rPr>
                <w:rFonts w:asciiTheme="minorHAnsi" w:hAnsiTheme="minorHAnsi" w:cstheme="minorHAnsi"/>
                <w:color w:val="4472C4" w:themeColor="accent1"/>
                <w:szCs w:val="20"/>
              </w:rPr>
              <w:t>$</w:t>
            </w:r>
            <w:r>
              <w:rPr>
                <w:rFonts w:asciiTheme="minorHAnsi" w:hAnsiTheme="minorHAnsi" w:cstheme="minorHAnsi"/>
                <w:color w:val="4472C4" w:themeColor="accent1"/>
                <w:szCs w:val="20"/>
              </w:rPr>
              <w:t>0</w:t>
            </w:r>
          </w:p>
        </w:tc>
        <w:tc>
          <w:tcPr>
            <w:tcW w:w="611" w:type="pct"/>
            <w:tcBorders>
              <w:top w:val="nil"/>
              <w:bottom w:val="nil"/>
              <w:right w:val="single" w:sz="4" w:space="0" w:color="auto"/>
            </w:tcBorders>
            <w:vAlign w:val="center"/>
          </w:tcPr>
          <w:p w14:paraId="64A2767C" w14:textId="71735643"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r>
      <w:tr w:rsidR="009F1D75" w14:paraId="2EDE388B" w14:textId="77777777" w:rsidTr="00EF076A">
        <w:trPr>
          <w:trHeight w:val="124"/>
        </w:trPr>
        <w:tc>
          <w:tcPr>
            <w:tcW w:w="1568" w:type="pct"/>
            <w:vMerge/>
            <w:tcBorders>
              <w:top w:val="dashSmallGap" w:sz="4" w:space="0" w:color="auto"/>
              <w:left w:val="single" w:sz="4" w:space="0" w:color="auto"/>
              <w:bottom w:val="nil"/>
            </w:tcBorders>
            <w:vAlign w:val="center"/>
          </w:tcPr>
          <w:p w14:paraId="09E48ED3" w14:textId="77777777" w:rsidR="0096038D" w:rsidRPr="00115319" w:rsidRDefault="0096038D" w:rsidP="0096038D">
            <w:pPr>
              <w:spacing w:before="40" w:after="40" w:line="240" w:lineRule="auto"/>
              <w:rPr>
                <w:rFonts w:asciiTheme="minorHAnsi" w:hAnsiTheme="minorHAnsi" w:cstheme="minorHAnsi"/>
                <w:i/>
                <w:color w:val="FF0000"/>
                <w:szCs w:val="20"/>
              </w:rPr>
            </w:pPr>
          </w:p>
        </w:tc>
        <w:tc>
          <w:tcPr>
            <w:tcW w:w="955" w:type="pct"/>
            <w:tcBorders>
              <w:top w:val="nil"/>
              <w:bottom w:val="nil"/>
            </w:tcBorders>
            <w:vAlign w:val="center"/>
          </w:tcPr>
          <w:p w14:paraId="2047E92E" w14:textId="77777777" w:rsidR="0096038D" w:rsidRDefault="0096038D" w:rsidP="0096038D">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Distributed</w:t>
            </w:r>
          </w:p>
        </w:tc>
        <w:tc>
          <w:tcPr>
            <w:tcW w:w="641" w:type="pct"/>
            <w:tcBorders>
              <w:top w:val="nil"/>
              <w:bottom w:val="nil"/>
            </w:tcBorders>
            <w:vAlign w:val="center"/>
          </w:tcPr>
          <w:p w14:paraId="01C949DB" w14:textId="56E1A093"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$1,052,223</w:t>
            </w:r>
          </w:p>
        </w:tc>
        <w:tc>
          <w:tcPr>
            <w:tcW w:w="612" w:type="pct"/>
            <w:tcBorders>
              <w:top w:val="nil"/>
              <w:bottom w:val="nil"/>
            </w:tcBorders>
            <w:vAlign w:val="center"/>
          </w:tcPr>
          <w:p w14:paraId="2222F641" w14:textId="17A3C21D"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w:t>
            </w:r>
            <w:r w:rsidR="00B04FD2">
              <w:rPr>
                <w:rFonts w:asciiTheme="minorHAnsi" w:hAnsiTheme="minorHAnsi" w:cstheme="minorHAnsi"/>
                <w:color w:val="4472C4" w:themeColor="accent1"/>
                <w:szCs w:val="20"/>
              </w:rPr>
              <w:t>721,244</w:t>
            </w:r>
          </w:p>
        </w:tc>
        <w:tc>
          <w:tcPr>
            <w:tcW w:w="613" w:type="pct"/>
            <w:tcBorders>
              <w:top w:val="nil"/>
              <w:bottom w:val="nil"/>
            </w:tcBorders>
            <w:vAlign w:val="center"/>
          </w:tcPr>
          <w:p w14:paraId="324DEF16" w14:textId="133E1125" w:rsidR="0096038D" w:rsidRPr="00225E3A" w:rsidRDefault="0096038D" w:rsidP="0096038D">
            <w:pPr>
              <w:spacing w:before="40" w:after="40" w:line="240" w:lineRule="auto"/>
              <w:jc w:val="center"/>
              <w:rPr>
                <w:rFonts w:asciiTheme="minorHAnsi" w:hAnsiTheme="minorHAnsi" w:cstheme="minorHAnsi"/>
                <w:color w:val="FF0000"/>
                <w:szCs w:val="20"/>
              </w:rPr>
            </w:pPr>
            <w:r w:rsidRPr="00225E3A">
              <w:rPr>
                <w:rFonts w:asciiTheme="minorHAnsi" w:hAnsiTheme="minorHAnsi" w:cstheme="minorHAnsi"/>
                <w:color w:val="4472C4" w:themeColor="accent1"/>
                <w:szCs w:val="20"/>
              </w:rPr>
              <w:t>$</w:t>
            </w:r>
            <w:r w:rsidR="00AA2F21" w:rsidRPr="00225E3A">
              <w:rPr>
                <w:rFonts w:asciiTheme="minorHAnsi" w:hAnsiTheme="minorHAnsi" w:cstheme="minorHAnsi"/>
                <w:color w:val="4472C4" w:themeColor="accent1"/>
                <w:szCs w:val="20"/>
              </w:rPr>
              <w:t>742,882</w:t>
            </w:r>
          </w:p>
        </w:tc>
        <w:tc>
          <w:tcPr>
            <w:tcW w:w="611" w:type="pct"/>
            <w:tcBorders>
              <w:top w:val="nil"/>
              <w:bottom w:val="nil"/>
              <w:right w:val="single" w:sz="4" w:space="0" w:color="auto"/>
            </w:tcBorders>
            <w:vAlign w:val="center"/>
          </w:tcPr>
          <w:p w14:paraId="72D9F6CE" w14:textId="473EA8F5"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w:t>
            </w:r>
            <w:r w:rsidR="00B04FD2">
              <w:rPr>
                <w:rFonts w:asciiTheme="minorHAnsi" w:hAnsiTheme="minorHAnsi" w:cstheme="minorHAnsi"/>
                <w:color w:val="4472C4" w:themeColor="accent1"/>
                <w:szCs w:val="20"/>
              </w:rPr>
              <w:t>765,168</w:t>
            </w:r>
          </w:p>
        </w:tc>
      </w:tr>
      <w:tr w:rsidR="009F1D75" w14:paraId="14F6466F" w14:textId="77777777" w:rsidTr="00EF076A">
        <w:trPr>
          <w:trHeight w:val="124"/>
        </w:trPr>
        <w:tc>
          <w:tcPr>
            <w:tcW w:w="1568" w:type="pct"/>
            <w:vMerge w:val="restart"/>
            <w:tcBorders>
              <w:top w:val="nil"/>
              <w:left w:val="single" w:sz="4" w:space="0" w:color="auto"/>
            </w:tcBorders>
            <w:vAlign w:val="center"/>
          </w:tcPr>
          <w:p w14:paraId="7D68535F" w14:textId="029864E8" w:rsidR="0096038D" w:rsidRPr="00F95486" w:rsidRDefault="0096038D" w:rsidP="0096038D">
            <w:pPr>
              <w:spacing w:before="40" w:after="40" w:line="240" w:lineRule="auto"/>
              <w:rPr>
                <w:rFonts w:asciiTheme="minorHAnsi" w:hAnsiTheme="minorHAnsi" w:cstheme="minorHAnsi"/>
                <w:i/>
                <w:szCs w:val="20"/>
              </w:rPr>
            </w:pPr>
            <w:r w:rsidRPr="00F95486">
              <w:rPr>
                <w:rFonts w:asciiTheme="minorHAnsi" w:hAnsiTheme="minorHAnsi" w:cstheme="minorHAnsi"/>
                <w:i/>
                <w:szCs w:val="20"/>
              </w:rPr>
              <w:t>Virtual School Network (</w:t>
            </w:r>
            <w:proofErr w:type="spellStart"/>
            <w:r w:rsidRPr="00F95486">
              <w:rPr>
                <w:rFonts w:asciiTheme="minorHAnsi" w:hAnsiTheme="minorHAnsi" w:cstheme="minorHAnsi"/>
                <w:i/>
                <w:szCs w:val="20"/>
              </w:rPr>
              <w:t>ViSN</w:t>
            </w:r>
            <w:proofErr w:type="spellEnd"/>
            <w:r w:rsidRPr="00F95486">
              <w:rPr>
                <w:rFonts w:asciiTheme="minorHAnsi" w:hAnsiTheme="minorHAnsi" w:cstheme="minorHAnsi"/>
                <w:i/>
                <w:szCs w:val="20"/>
              </w:rPr>
              <w:t>)</w:t>
            </w:r>
          </w:p>
        </w:tc>
        <w:tc>
          <w:tcPr>
            <w:tcW w:w="955" w:type="pct"/>
            <w:tcBorders>
              <w:top w:val="nil"/>
              <w:bottom w:val="nil"/>
            </w:tcBorders>
            <w:vAlign w:val="center"/>
          </w:tcPr>
          <w:p w14:paraId="265368D0" w14:textId="77777777" w:rsidR="0096038D" w:rsidRDefault="0096038D" w:rsidP="0096038D">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68E8AC6E" w14:textId="0E753F43"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w:t>
            </w:r>
            <w:r w:rsidR="00B04FD2">
              <w:rPr>
                <w:rFonts w:asciiTheme="minorHAnsi" w:hAnsiTheme="minorHAnsi" w:cstheme="minorHAnsi"/>
                <w:color w:val="4472C4" w:themeColor="accent1"/>
                <w:szCs w:val="20"/>
              </w:rPr>
              <w:t>41,120</w:t>
            </w:r>
          </w:p>
        </w:tc>
        <w:tc>
          <w:tcPr>
            <w:tcW w:w="612" w:type="pct"/>
            <w:tcBorders>
              <w:top w:val="nil"/>
              <w:bottom w:val="nil"/>
            </w:tcBorders>
            <w:vAlign w:val="center"/>
          </w:tcPr>
          <w:p w14:paraId="412BF2FE" w14:textId="3C671CF7"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w:t>
            </w:r>
            <w:r w:rsidR="00B04FD2">
              <w:rPr>
                <w:rFonts w:asciiTheme="minorHAnsi" w:hAnsiTheme="minorHAnsi" w:cstheme="minorHAnsi"/>
                <w:color w:val="4472C4" w:themeColor="accent1"/>
                <w:szCs w:val="20"/>
              </w:rPr>
              <w:t>213,900</w:t>
            </w:r>
          </w:p>
        </w:tc>
        <w:tc>
          <w:tcPr>
            <w:tcW w:w="613" w:type="pct"/>
            <w:tcBorders>
              <w:top w:val="nil"/>
              <w:bottom w:val="nil"/>
            </w:tcBorders>
            <w:vAlign w:val="center"/>
          </w:tcPr>
          <w:p w14:paraId="4E15DDDA" w14:textId="1D5C3EB0" w:rsidR="0096038D" w:rsidRPr="00225E3A" w:rsidRDefault="0096038D" w:rsidP="0096038D">
            <w:pPr>
              <w:spacing w:before="40" w:after="40" w:line="240" w:lineRule="auto"/>
              <w:jc w:val="center"/>
              <w:rPr>
                <w:rFonts w:asciiTheme="minorHAnsi" w:hAnsiTheme="minorHAnsi" w:cstheme="minorHAnsi"/>
                <w:color w:val="FF0000"/>
                <w:szCs w:val="20"/>
              </w:rPr>
            </w:pPr>
            <w:r w:rsidRPr="00225E3A">
              <w:rPr>
                <w:rFonts w:asciiTheme="minorHAnsi" w:hAnsiTheme="minorHAnsi" w:cstheme="minorHAnsi"/>
                <w:color w:val="4472C4" w:themeColor="accent1"/>
                <w:szCs w:val="20"/>
              </w:rPr>
              <w:t>$</w:t>
            </w:r>
            <w:r w:rsidR="00B04FD2" w:rsidRPr="00225E3A">
              <w:rPr>
                <w:rFonts w:asciiTheme="minorHAnsi" w:hAnsiTheme="minorHAnsi" w:cstheme="minorHAnsi"/>
                <w:color w:val="4472C4" w:themeColor="accent1"/>
                <w:szCs w:val="20"/>
              </w:rPr>
              <w:t>220,317</w:t>
            </w:r>
          </w:p>
        </w:tc>
        <w:tc>
          <w:tcPr>
            <w:tcW w:w="611" w:type="pct"/>
            <w:tcBorders>
              <w:top w:val="nil"/>
              <w:bottom w:val="nil"/>
              <w:right w:val="single" w:sz="4" w:space="0" w:color="auto"/>
            </w:tcBorders>
            <w:vAlign w:val="center"/>
          </w:tcPr>
          <w:p w14:paraId="37ECDD65" w14:textId="76DDB6DB"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w:t>
            </w:r>
            <w:r w:rsidR="00B04FD2">
              <w:rPr>
                <w:rFonts w:asciiTheme="minorHAnsi" w:hAnsiTheme="minorHAnsi" w:cstheme="minorHAnsi"/>
                <w:color w:val="4472C4" w:themeColor="accent1"/>
                <w:szCs w:val="20"/>
              </w:rPr>
              <w:t>226,927</w:t>
            </w:r>
          </w:p>
        </w:tc>
      </w:tr>
      <w:tr w:rsidR="009F1D75" w14:paraId="338654BC" w14:textId="77777777" w:rsidTr="00EF076A">
        <w:trPr>
          <w:trHeight w:val="124"/>
        </w:trPr>
        <w:tc>
          <w:tcPr>
            <w:tcW w:w="1568" w:type="pct"/>
            <w:vMerge/>
            <w:tcBorders>
              <w:left w:val="single" w:sz="4" w:space="0" w:color="auto"/>
              <w:bottom w:val="nil"/>
            </w:tcBorders>
            <w:vAlign w:val="center"/>
          </w:tcPr>
          <w:p w14:paraId="504B8358" w14:textId="77777777" w:rsidR="0096038D" w:rsidRPr="005A3645" w:rsidRDefault="0096038D" w:rsidP="0096038D">
            <w:pPr>
              <w:spacing w:before="40" w:after="40" w:line="240" w:lineRule="auto"/>
              <w:rPr>
                <w:rFonts w:asciiTheme="minorHAnsi" w:hAnsiTheme="minorHAnsi" w:cstheme="minorHAnsi"/>
                <w:iCs/>
                <w:color w:val="FF0000"/>
                <w:szCs w:val="20"/>
              </w:rPr>
            </w:pPr>
          </w:p>
        </w:tc>
        <w:tc>
          <w:tcPr>
            <w:tcW w:w="955" w:type="pct"/>
            <w:tcBorders>
              <w:top w:val="nil"/>
              <w:bottom w:val="nil"/>
            </w:tcBorders>
            <w:vAlign w:val="center"/>
          </w:tcPr>
          <w:p w14:paraId="7BFA99B0" w14:textId="77777777" w:rsidR="0096038D" w:rsidRDefault="0096038D" w:rsidP="0096038D">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Distributed</w:t>
            </w:r>
          </w:p>
        </w:tc>
        <w:tc>
          <w:tcPr>
            <w:tcW w:w="641" w:type="pct"/>
            <w:tcBorders>
              <w:top w:val="nil"/>
              <w:bottom w:val="nil"/>
            </w:tcBorders>
            <w:vAlign w:val="center"/>
          </w:tcPr>
          <w:p w14:paraId="57E6E328" w14:textId="424AF608"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w:t>
            </w:r>
            <w:r w:rsidR="00B04FD2">
              <w:rPr>
                <w:rFonts w:asciiTheme="minorHAnsi" w:hAnsiTheme="minorHAnsi" w:cstheme="minorHAnsi"/>
                <w:color w:val="4472C4" w:themeColor="accent1"/>
                <w:szCs w:val="20"/>
              </w:rPr>
              <w:t>308,880</w:t>
            </w:r>
          </w:p>
        </w:tc>
        <w:tc>
          <w:tcPr>
            <w:tcW w:w="612" w:type="pct"/>
            <w:tcBorders>
              <w:top w:val="nil"/>
              <w:bottom w:val="nil"/>
            </w:tcBorders>
            <w:vAlign w:val="center"/>
          </w:tcPr>
          <w:p w14:paraId="4FA556DD" w14:textId="50CD5BAF"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w:t>
            </w:r>
            <w:r w:rsidR="00B04FD2">
              <w:rPr>
                <w:rFonts w:asciiTheme="minorHAnsi" w:hAnsiTheme="minorHAnsi" w:cstheme="minorHAnsi"/>
                <w:color w:val="4472C4" w:themeColor="accent1"/>
                <w:szCs w:val="20"/>
              </w:rPr>
              <w:t>405,480</w:t>
            </w:r>
          </w:p>
        </w:tc>
        <w:tc>
          <w:tcPr>
            <w:tcW w:w="613" w:type="pct"/>
            <w:tcBorders>
              <w:top w:val="nil"/>
              <w:bottom w:val="nil"/>
            </w:tcBorders>
            <w:vAlign w:val="center"/>
          </w:tcPr>
          <w:p w14:paraId="15023441" w14:textId="5F50D536" w:rsidR="0096038D" w:rsidRPr="00225E3A" w:rsidRDefault="00B04FD2" w:rsidP="0096038D">
            <w:pPr>
              <w:spacing w:before="40" w:after="40" w:line="240" w:lineRule="auto"/>
              <w:jc w:val="center"/>
              <w:rPr>
                <w:rFonts w:asciiTheme="minorHAnsi" w:hAnsiTheme="minorHAnsi" w:cstheme="minorHAnsi"/>
                <w:color w:val="FF0000"/>
                <w:szCs w:val="20"/>
              </w:rPr>
            </w:pPr>
            <w:r w:rsidRPr="00225E3A">
              <w:rPr>
                <w:rFonts w:asciiTheme="minorHAnsi" w:hAnsiTheme="minorHAnsi" w:cstheme="minorHAnsi"/>
                <w:color w:val="4472C4" w:themeColor="accent1"/>
                <w:szCs w:val="20"/>
              </w:rPr>
              <w:t>$417,644</w:t>
            </w:r>
          </w:p>
        </w:tc>
        <w:tc>
          <w:tcPr>
            <w:tcW w:w="611" w:type="pct"/>
            <w:tcBorders>
              <w:top w:val="nil"/>
              <w:bottom w:val="nil"/>
              <w:right w:val="single" w:sz="4" w:space="0" w:color="auto"/>
            </w:tcBorders>
            <w:vAlign w:val="center"/>
          </w:tcPr>
          <w:p w14:paraId="109B5E89" w14:textId="7DA72296"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w:t>
            </w:r>
            <w:r w:rsidR="00B04FD2">
              <w:rPr>
                <w:rFonts w:asciiTheme="minorHAnsi" w:hAnsiTheme="minorHAnsi" w:cstheme="minorHAnsi"/>
                <w:color w:val="4472C4" w:themeColor="accent1"/>
                <w:szCs w:val="20"/>
              </w:rPr>
              <w:t>430,174</w:t>
            </w:r>
          </w:p>
        </w:tc>
      </w:tr>
      <w:tr w:rsidR="009F1D75" w14:paraId="282A0F42" w14:textId="77777777" w:rsidTr="00EF076A">
        <w:trPr>
          <w:trHeight w:val="124"/>
        </w:trPr>
        <w:tc>
          <w:tcPr>
            <w:tcW w:w="1568" w:type="pct"/>
            <w:vMerge w:val="restart"/>
            <w:tcBorders>
              <w:top w:val="nil"/>
              <w:left w:val="single" w:sz="4" w:space="0" w:color="auto"/>
            </w:tcBorders>
            <w:shd w:val="clear" w:color="auto" w:fill="F2F2F2" w:themeFill="background1" w:themeFillShade="F2"/>
            <w:vAlign w:val="center"/>
          </w:tcPr>
          <w:p w14:paraId="570CD95A" w14:textId="3FC27C7E" w:rsidR="0096038D" w:rsidRPr="00115319" w:rsidRDefault="0096038D" w:rsidP="0096038D">
            <w:pPr>
              <w:spacing w:before="40" w:after="40" w:line="240" w:lineRule="auto"/>
              <w:rPr>
                <w:rFonts w:asciiTheme="minorHAnsi" w:hAnsiTheme="minorHAnsi" w:cstheme="minorHAnsi"/>
                <w:color w:val="FF0000"/>
                <w:szCs w:val="20"/>
              </w:rPr>
            </w:pPr>
            <w:r w:rsidRPr="00115319">
              <w:rPr>
                <w:rFonts w:asciiTheme="minorHAnsi" w:hAnsiTheme="minorHAnsi" w:cstheme="minorHAnsi"/>
                <w:b/>
                <w:bCs/>
                <w:szCs w:val="20"/>
              </w:rPr>
              <w:t>Total for Priority A</w:t>
            </w:r>
            <w:r w:rsidRPr="00115319">
              <w:rPr>
                <w:rFonts w:asciiTheme="minorHAnsi" w:hAnsiTheme="minorHAnsi" w:cstheme="minorHAnsi"/>
                <w:b/>
                <w:bCs/>
              </w:rPr>
              <w:t xml:space="preserve"> </w:t>
            </w:r>
          </w:p>
        </w:tc>
        <w:tc>
          <w:tcPr>
            <w:tcW w:w="955" w:type="pct"/>
            <w:tcBorders>
              <w:top w:val="nil"/>
              <w:bottom w:val="nil"/>
            </w:tcBorders>
            <w:shd w:val="clear" w:color="auto" w:fill="F2F2F2" w:themeFill="background1" w:themeFillShade="F2"/>
            <w:vAlign w:val="center"/>
          </w:tcPr>
          <w:p w14:paraId="22FB48D5" w14:textId="5C827C06" w:rsidR="0096038D" w:rsidRPr="00115319" w:rsidRDefault="0096038D" w:rsidP="0096038D">
            <w:pPr>
              <w:spacing w:before="40" w:after="40" w:line="240" w:lineRule="auto"/>
              <w:rPr>
                <w:rFonts w:asciiTheme="minorHAnsi" w:hAnsiTheme="minorHAnsi" w:cstheme="minorHAnsi"/>
                <w:b/>
                <w:bCs/>
                <w:color w:val="FF0000"/>
                <w:szCs w:val="20"/>
              </w:rPr>
            </w:pPr>
            <w:r w:rsidRPr="00115319">
              <w:rPr>
                <w:rFonts w:asciiTheme="minorHAnsi" w:hAnsiTheme="minorHAnsi" w:cstheme="minorHAnsi"/>
                <w:b/>
                <w:bCs/>
                <w:szCs w:val="20"/>
              </w:rPr>
              <w:t>Centralised</w:t>
            </w:r>
          </w:p>
        </w:tc>
        <w:tc>
          <w:tcPr>
            <w:tcW w:w="641" w:type="pct"/>
            <w:tcBorders>
              <w:top w:val="nil"/>
              <w:bottom w:val="nil"/>
            </w:tcBorders>
            <w:shd w:val="clear" w:color="auto" w:fill="F2F2F2" w:themeFill="background1" w:themeFillShade="F2"/>
            <w:vAlign w:val="center"/>
          </w:tcPr>
          <w:p w14:paraId="1D25E5E1" w14:textId="1C09BE78" w:rsidR="0096038D" w:rsidRPr="00115319" w:rsidRDefault="0096038D" w:rsidP="0096038D">
            <w:pPr>
              <w:spacing w:before="40" w:after="40" w:line="240" w:lineRule="auto"/>
              <w:jc w:val="center"/>
              <w:rPr>
                <w:rFonts w:asciiTheme="minorHAnsi" w:hAnsiTheme="minorHAnsi" w:cstheme="minorHAnsi"/>
                <w:b/>
                <w:bCs/>
                <w:color w:val="FF0000"/>
                <w:szCs w:val="20"/>
              </w:rPr>
            </w:pPr>
            <w:r>
              <w:rPr>
                <w:rFonts w:asciiTheme="minorHAnsi" w:hAnsiTheme="minorHAnsi" w:cstheme="minorHAnsi"/>
                <w:b/>
                <w:bCs/>
                <w:color w:val="4472C4" w:themeColor="accent1"/>
                <w:szCs w:val="20"/>
              </w:rPr>
              <w:t>$</w:t>
            </w:r>
            <w:r w:rsidR="00B04FD2">
              <w:rPr>
                <w:rFonts w:asciiTheme="minorHAnsi" w:hAnsiTheme="minorHAnsi" w:cstheme="minorHAnsi"/>
                <w:b/>
                <w:bCs/>
                <w:color w:val="4472C4" w:themeColor="accent1"/>
                <w:szCs w:val="20"/>
              </w:rPr>
              <w:t>41,120</w:t>
            </w:r>
          </w:p>
        </w:tc>
        <w:tc>
          <w:tcPr>
            <w:tcW w:w="612" w:type="pct"/>
            <w:tcBorders>
              <w:top w:val="nil"/>
              <w:bottom w:val="nil"/>
            </w:tcBorders>
            <w:shd w:val="clear" w:color="auto" w:fill="F2F2F2" w:themeFill="background1" w:themeFillShade="F2"/>
            <w:vAlign w:val="center"/>
          </w:tcPr>
          <w:p w14:paraId="51F09BB0" w14:textId="3CDCC627" w:rsidR="0096038D" w:rsidRPr="00115319" w:rsidRDefault="0096038D" w:rsidP="0096038D">
            <w:pPr>
              <w:spacing w:before="40" w:after="40" w:line="240" w:lineRule="auto"/>
              <w:jc w:val="center"/>
              <w:rPr>
                <w:rFonts w:asciiTheme="minorHAnsi" w:hAnsiTheme="minorHAnsi" w:cstheme="minorHAnsi"/>
                <w:b/>
                <w:bCs/>
                <w:color w:val="FF0000"/>
                <w:szCs w:val="20"/>
              </w:rPr>
            </w:pPr>
            <w:r>
              <w:rPr>
                <w:rFonts w:asciiTheme="minorHAnsi" w:hAnsiTheme="minorHAnsi" w:cstheme="minorHAnsi"/>
                <w:b/>
                <w:bCs/>
                <w:color w:val="4472C4" w:themeColor="accent1"/>
                <w:szCs w:val="20"/>
              </w:rPr>
              <w:t>$</w:t>
            </w:r>
            <w:r w:rsidR="00B04FD2">
              <w:rPr>
                <w:rFonts w:asciiTheme="minorHAnsi" w:hAnsiTheme="minorHAnsi" w:cstheme="minorHAnsi"/>
                <w:b/>
                <w:bCs/>
                <w:color w:val="4472C4" w:themeColor="accent1"/>
                <w:szCs w:val="20"/>
              </w:rPr>
              <w:t>213,900</w:t>
            </w:r>
          </w:p>
        </w:tc>
        <w:tc>
          <w:tcPr>
            <w:tcW w:w="613" w:type="pct"/>
            <w:tcBorders>
              <w:top w:val="nil"/>
              <w:bottom w:val="nil"/>
            </w:tcBorders>
            <w:shd w:val="clear" w:color="auto" w:fill="F2F2F2" w:themeFill="background1" w:themeFillShade="F2"/>
            <w:vAlign w:val="center"/>
          </w:tcPr>
          <w:p w14:paraId="16919C8F" w14:textId="7CAAA7B9" w:rsidR="0096038D" w:rsidRPr="00115319" w:rsidRDefault="0096038D" w:rsidP="0096038D">
            <w:pPr>
              <w:spacing w:before="40" w:after="40" w:line="240" w:lineRule="auto"/>
              <w:jc w:val="center"/>
              <w:rPr>
                <w:rFonts w:asciiTheme="minorHAnsi" w:hAnsiTheme="minorHAnsi" w:cstheme="minorHAnsi"/>
                <w:b/>
                <w:bCs/>
                <w:color w:val="FF0000"/>
                <w:szCs w:val="20"/>
              </w:rPr>
            </w:pPr>
            <w:r>
              <w:rPr>
                <w:rFonts w:asciiTheme="minorHAnsi" w:hAnsiTheme="minorHAnsi" w:cstheme="minorHAnsi"/>
                <w:b/>
                <w:bCs/>
                <w:color w:val="4472C4" w:themeColor="accent1"/>
                <w:szCs w:val="20"/>
              </w:rPr>
              <w:t>$</w:t>
            </w:r>
            <w:r w:rsidR="00B04FD2">
              <w:rPr>
                <w:rFonts w:asciiTheme="minorHAnsi" w:hAnsiTheme="minorHAnsi" w:cstheme="minorHAnsi"/>
                <w:b/>
                <w:bCs/>
                <w:color w:val="4472C4" w:themeColor="accent1"/>
                <w:szCs w:val="20"/>
              </w:rPr>
              <w:t>220,317</w:t>
            </w:r>
          </w:p>
        </w:tc>
        <w:tc>
          <w:tcPr>
            <w:tcW w:w="611" w:type="pct"/>
            <w:tcBorders>
              <w:top w:val="nil"/>
              <w:bottom w:val="nil"/>
              <w:right w:val="single" w:sz="4" w:space="0" w:color="auto"/>
            </w:tcBorders>
            <w:shd w:val="clear" w:color="auto" w:fill="F2F2F2" w:themeFill="background1" w:themeFillShade="F2"/>
            <w:vAlign w:val="center"/>
          </w:tcPr>
          <w:p w14:paraId="6B2FE9D2" w14:textId="39F15114" w:rsidR="0096038D" w:rsidRPr="00115319" w:rsidRDefault="0096038D" w:rsidP="0096038D">
            <w:pPr>
              <w:spacing w:before="40" w:after="40" w:line="240" w:lineRule="auto"/>
              <w:jc w:val="center"/>
              <w:rPr>
                <w:rFonts w:asciiTheme="minorHAnsi" w:hAnsiTheme="minorHAnsi" w:cstheme="minorHAnsi"/>
                <w:b/>
                <w:bCs/>
                <w:color w:val="FF0000"/>
                <w:szCs w:val="20"/>
              </w:rPr>
            </w:pPr>
            <w:r>
              <w:rPr>
                <w:rFonts w:asciiTheme="minorHAnsi" w:hAnsiTheme="minorHAnsi" w:cstheme="minorHAnsi"/>
                <w:b/>
                <w:bCs/>
                <w:color w:val="4472C4" w:themeColor="accent1"/>
                <w:szCs w:val="20"/>
              </w:rPr>
              <w:t>$</w:t>
            </w:r>
            <w:r w:rsidR="00B04FD2">
              <w:rPr>
                <w:rFonts w:asciiTheme="minorHAnsi" w:hAnsiTheme="minorHAnsi" w:cstheme="minorHAnsi"/>
                <w:b/>
                <w:bCs/>
                <w:color w:val="4472C4" w:themeColor="accent1"/>
                <w:szCs w:val="20"/>
              </w:rPr>
              <w:t>226,927</w:t>
            </w:r>
          </w:p>
        </w:tc>
      </w:tr>
      <w:tr w:rsidR="009F1D75" w14:paraId="7254C013" w14:textId="77777777" w:rsidTr="00EF076A">
        <w:trPr>
          <w:trHeight w:val="124"/>
        </w:trPr>
        <w:tc>
          <w:tcPr>
            <w:tcW w:w="1568" w:type="pct"/>
            <w:vMerge/>
            <w:tcBorders>
              <w:left w:val="single" w:sz="4" w:space="0" w:color="auto"/>
              <w:bottom w:val="single" w:sz="4" w:space="0" w:color="auto"/>
            </w:tcBorders>
            <w:shd w:val="clear" w:color="auto" w:fill="F2F2F2" w:themeFill="background1" w:themeFillShade="F2"/>
            <w:vAlign w:val="center"/>
          </w:tcPr>
          <w:p w14:paraId="156E0373" w14:textId="77777777" w:rsidR="0096038D" w:rsidRPr="00115319" w:rsidRDefault="0096038D" w:rsidP="0096038D">
            <w:pPr>
              <w:spacing w:before="40" w:after="40" w:line="240" w:lineRule="auto"/>
              <w:rPr>
                <w:rFonts w:asciiTheme="minorHAnsi" w:hAnsiTheme="minorHAnsi" w:cstheme="minorHAnsi"/>
                <w:color w:val="FF0000"/>
                <w:szCs w:val="20"/>
              </w:rPr>
            </w:pPr>
          </w:p>
        </w:tc>
        <w:tc>
          <w:tcPr>
            <w:tcW w:w="955" w:type="pct"/>
            <w:tcBorders>
              <w:top w:val="nil"/>
              <w:bottom w:val="single" w:sz="4" w:space="0" w:color="auto"/>
            </w:tcBorders>
            <w:shd w:val="clear" w:color="auto" w:fill="F2F2F2" w:themeFill="background1" w:themeFillShade="F2"/>
            <w:vAlign w:val="center"/>
          </w:tcPr>
          <w:p w14:paraId="3887226D" w14:textId="7F0494A2" w:rsidR="0096038D" w:rsidRPr="00115319" w:rsidRDefault="0096038D" w:rsidP="0096038D">
            <w:pPr>
              <w:spacing w:before="40" w:after="40" w:line="240" w:lineRule="auto"/>
              <w:rPr>
                <w:rFonts w:asciiTheme="minorHAnsi" w:hAnsiTheme="minorHAnsi" w:cstheme="minorHAnsi"/>
                <w:b/>
                <w:bCs/>
                <w:color w:val="FF0000"/>
                <w:szCs w:val="20"/>
              </w:rPr>
            </w:pPr>
            <w:r w:rsidRPr="00115319">
              <w:rPr>
                <w:rFonts w:asciiTheme="minorHAnsi" w:hAnsiTheme="minorHAnsi" w:cstheme="minorHAnsi"/>
                <w:b/>
                <w:bCs/>
                <w:szCs w:val="20"/>
              </w:rPr>
              <w:t>Distributed</w:t>
            </w:r>
          </w:p>
        </w:tc>
        <w:tc>
          <w:tcPr>
            <w:tcW w:w="641" w:type="pct"/>
            <w:tcBorders>
              <w:top w:val="nil"/>
              <w:bottom w:val="single" w:sz="4" w:space="0" w:color="auto"/>
            </w:tcBorders>
            <w:shd w:val="clear" w:color="auto" w:fill="F2F2F2" w:themeFill="background1" w:themeFillShade="F2"/>
            <w:vAlign w:val="center"/>
          </w:tcPr>
          <w:p w14:paraId="33408CA9" w14:textId="5FE11065" w:rsidR="0096038D" w:rsidRPr="00115319" w:rsidRDefault="0096038D" w:rsidP="0096038D">
            <w:pPr>
              <w:spacing w:before="40" w:after="40" w:line="240" w:lineRule="auto"/>
              <w:jc w:val="center"/>
              <w:rPr>
                <w:rFonts w:asciiTheme="minorHAnsi" w:hAnsiTheme="minorHAnsi" w:cstheme="minorHAnsi"/>
                <w:b/>
                <w:bCs/>
                <w:color w:val="FF0000"/>
                <w:szCs w:val="20"/>
              </w:rPr>
            </w:pPr>
            <w:r>
              <w:rPr>
                <w:rFonts w:asciiTheme="minorHAnsi" w:hAnsiTheme="minorHAnsi" w:cstheme="minorHAnsi"/>
                <w:b/>
                <w:bCs/>
                <w:color w:val="4472C4" w:themeColor="accent1"/>
                <w:szCs w:val="20"/>
              </w:rPr>
              <w:t>$</w:t>
            </w:r>
            <w:r w:rsidR="00B04FD2">
              <w:rPr>
                <w:rFonts w:asciiTheme="minorHAnsi" w:hAnsiTheme="minorHAnsi" w:cstheme="minorHAnsi"/>
                <w:b/>
                <w:bCs/>
                <w:color w:val="4472C4" w:themeColor="accent1"/>
                <w:szCs w:val="20"/>
              </w:rPr>
              <w:t>1,361,103</w:t>
            </w:r>
          </w:p>
        </w:tc>
        <w:tc>
          <w:tcPr>
            <w:tcW w:w="612" w:type="pct"/>
            <w:tcBorders>
              <w:top w:val="nil"/>
              <w:bottom w:val="single" w:sz="4" w:space="0" w:color="auto"/>
            </w:tcBorders>
            <w:shd w:val="clear" w:color="auto" w:fill="F2F2F2" w:themeFill="background1" w:themeFillShade="F2"/>
            <w:vAlign w:val="center"/>
          </w:tcPr>
          <w:p w14:paraId="4E60F9CC" w14:textId="583ECF3A" w:rsidR="0096038D" w:rsidRPr="00115319" w:rsidRDefault="0096038D" w:rsidP="0096038D">
            <w:pPr>
              <w:spacing w:before="40" w:after="40" w:line="240" w:lineRule="auto"/>
              <w:jc w:val="center"/>
              <w:rPr>
                <w:rFonts w:asciiTheme="minorHAnsi" w:hAnsiTheme="minorHAnsi" w:cstheme="minorHAnsi"/>
                <w:b/>
                <w:bCs/>
                <w:color w:val="FF0000"/>
                <w:szCs w:val="20"/>
              </w:rPr>
            </w:pPr>
            <w:r>
              <w:rPr>
                <w:rFonts w:asciiTheme="minorHAnsi" w:hAnsiTheme="minorHAnsi" w:cstheme="minorHAnsi"/>
                <w:b/>
                <w:bCs/>
                <w:color w:val="4472C4" w:themeColor="accent1"/>
                <w:szCs w:val="20"/>
              </w:rPr>
              <w:t>$</w:t>
            </w:r>
            <w:r w:rsidR="00B04FD2">
              <w:rPr>
                <w:rFonts w:asciiTheme="minorHAnsi" w:hAnsiTheme="minorHAnsi" w:cstheme="minorHAnsi"/>
                <w:b/>
                <w:bCs/>
                <w:color w:val="4472C4" w:themeColor="accent1"/>
                <w:szCs w:val="20"/>
              </w:rPr>
              <w:t>1,126,724</w:t>
            </w:r>
          </w:p>
        </w:tc>
        <w:tc>
          <w:tcPr>
            <w:tcW w:w="613" w:type="pct"/>
            <w:tcBorders>
              <w:top w:val="nil"/>
              <w:bottom w:val="single" w:sz="4" w:space="0" w:color="auto"/>
            </w:tcBorders>
            <w:shd w:val="clear" w:color="auto" w:fill="F2F2F2" w:themeFill="background1" w:themeFillShade="F2"/>
            <w:vAlign w:val="center"/>
          </w:tcPr>
          <w:p w14:paraId="795BEF1B" w14:textId="7CA0CA6B" w:rsidR="0096038D" w:rsidRPr="00115319" w:rsidRDefault="0096038D" w:rsidP="0096038D">
            <w:pPr>
              <w:spacing w:before="40" w:after="40" w:line="240" w:lineRule="auto"/>
              <w:jc w:val="center"/>
              <w:rPr>
                <w:rFonts w:asciiTheme="minorHAnsi" w:hAnsiTheme="minorHAnsi" w:cstheme="minorHAnsi"/>
                <w:b/>
                <w:bCs/>
                <w:color w:val="FF0000"/>
                <w:szCs w:val="20"/>
              </w:rPr>
            </w:pPr>
            <w:r>
              <w:rPr>
                <w:rFonts w:asciiTheme="minorHAnsi" w:hAnsiTheme="minorHAnsi" w:cstheme="minorHAnsi"/>
                <w:b/>
                <w:bCs/>
                <w:color w:val="4472C4" w:themeColor="accent1"/>
                <w:szCs w:val="20"/>
              </w:rPr>
              <w:t>$</w:t>
            </w:r>
            <w:r w:rsidR="00B04FD2">
              <w:rPr>
                <w:rFonts w:asciiTheme="minorHAnsi" w:hAnsiTheme="minorHAnsi" w:cstheme="minorHAnsi"/>
                <w:b/>
                <w:bCs/>
                <w:color w:val="4472C4" w:themeColor="accent1"/>
                <w:szCs w:val="20"/>
              </w:rPr>
              <w:t>1,160,526</w:t>
            </w:r>
          </w:p>
        </w:tc>
        <w:tc>
          <w:tcPr>
            <w:tcW w:w="611" w:type="pct"/>
            <w:tcBorders>
              <w:top w:val="nil"/>
              <w:bottom w:val="single" w:sz="4" w:space="0" w:color="auto"/>
              <w:right w:val="single" w:sz="4" w:space="0" w:color="auto"/>
            </w:tcBorders>
            <w:shd w:val="clear" w:color="auto" w:fill="F2F2F2" w:themeFill="background1" w:themeFillShade="F2"/>
            <w:vAlign w:val="center"/>
          </w:tcPr>
          <w:p w14:paraId="56F0E381" w14:textId="3F826FB8" w:rsidR="0096038D" w:rsidRPr="00115319" w:rsidRDefault="0096038D" w:rsidP="0096038D">
            <w:pPr>
              <w:spacing w:before="40" w:after="40" w:line="240" w:lineRule="auto"/>
              <w:jc w:val="center"/>
              <w:rPr>
                <w:rFonts w:asciiTheme="minorHAnsi" w:hAnsiTheme="minorHAnsi" w:cstheme="minorHAnsi"/>
                <w:b/>
                <w:bCs/>
                <w:color w:val="FF0000"/>
                <w:szCs w:val="20"/>
              </w:rPr>
            </w:pPr>
            <w:r>
              <w:rPr>
                <w:rFonts w:asciiTheme="minorHAnsi" w:hAnsiTheme="minorHAnsi" w:cstheme="minorHAnsi"/>
                <w:b/>
                <w:bCs/>
                <w:color w:val="4472C4" w:themeColor="accent1"/>
                <w:szCs w:val="20"/>
              </w:rPr>
              <w:t>$</w:t>
            </w:r>
            <w:r w:rsidR="00B04FD2">
              <w:rPr>
                <w:rFonts w:asciiTheme="minorHAnsi" w:hAnsiTheme="minorHAnsi" w:cstheme="minorHAnsi"/>
                <w:b/>
                <w:bCs/>
                <w:color w:val="4472C4" w:themeColor="accent1"/>
                <w:szCs w:val="20"/>
              </w:rPr>
              <w:t>1,195,341</w:t>
            </w:r>
          </w:p>
        </w:tc>
      </w:tr>
      <w:tr w:rsidR="009F1D75" w14:paraId="54CBAF95" w14:textId="77777777" w:rsidTr="00EF076A">
        <w:trPr>
          <w:trHeight w:val="121"/>
        </w:trPr>
        <w:tc>
          <w:tcPr>
            <w:tcW w:w="5000" w:type="pct"/>
            <w:gridSpan w:val="6"/>
            <w:tcBorders>
              <w:left w:val="single" w:sz="4" w:space="0" w:color="auto"/>
              <w:bottom w:val="nil"/>
              <w:right w:val="single" w:sz="4" w:space="0" w:color="auto"/>
            </w:tcBorders>
            <w:vAlign w:val="center"/>
          </w:tcPr>
          <w:p w14:paraId="6E051A37" w14:textId="0E1BAC75" w:rsidR="0096038D" w:rsidRPr="008C02EE" w:rsidRDefault="0096038D" w:rsidP="0096038D">
            <w:pPr>
              <w:spacing w:before="40" w:after="40" w:line="240" w:lineRule="auto"/>
              <w:rPr>
                <w:rFonts w:asciiTheme="minorHAnsi" w:hAnsiTheme="minorHAnsi" w:cstheme="minorHAnsi"/>
                <w:color w:val="4472C4" w:themeColor="accent1"/>
                <w:szCs w:val="20"/>
              </w:rPr>
            </w:pPr>
            <w:r w:rsidRPr="006635E2">
              <w:rPr>
                <w:rFonts w:asciiTheme="minorHAnsi" w:hAnsiTheme="minorHAnsi" w:cstheme="minorHAnsi"/>
                <w:b/>
                <w:bCs/>
                <w:szCs w:val="20"/>
                <w:u w:val="single"/>
              </w:rPr>
              <w:t>B – Transition Assistance</w:t>
            </w:r>
            <w:r w:rsidRPr="00555CC4">
              <w:rPr>
                <w:rStyle w:val="FootnoteReference"/>
                <w:rFonts w:asciiTheme="minorHAnsi" w:hAnsiTheme="minorHAnsi" w:cstheme="minorHAnsi"/>
                <w:b/>
                <w:bCs/>
                <w:color w:val="FF0000"/>
                <w:szCs w:val="20"/>
              </w:rPr>
              <w:footnoteReference w:id="2"/>
            </w:r>
          </w:p>
        </w:tc>
      </w:tr>
      <w:tr w:rsidR="009F1D75" w14:paraId="1E485006" w14:textId="77777777" w:rsidTr="00EF076A">
        <w:trPr>
          <w:trHeight w:val="121"/>
        </w:trPr>
        <w:tc>
          <w:tcPr>
            <w:tcW w:w="1568" w:type="pct"/>
            <w:vMerge w:val="restart"/>
            <w:tcBorders>
              <w:top w:val="nil"/>
              <w:left w:val="single" w:sz="4" w:space="0" w:color="auto"/>
            </w:tcBorders>
            <w:vAlign w:val="center"/>
          </w:tcPr>
          <w:p w14:paraId="35444AF3" w14:textId="51937EC8" w:rsidR="0096038D" w:rsidRPr="00F95486" w:rsidRDefault="0096038D" w:rsidP="0096038D">
            <w:pPr>
              <w:spacing w:before="40" w:after="40" w:line="240" w:lineRule="auto"/>
              <w:rPr>
                <w:rFonts w:asciiTheme="minorHAnsi" w:hAnsiTheme="minorHAnsi" w:cstheme="minorHAnsi"/>
                <w:i/>
                <w:szCs w:val="20"/>
              </w:rPr>
            </w:pPr>
            <w:r w:rsidRPr="00F95486">
              <w:rPr>
                <w:rFonts w:asciiTheme="minorHAnsi" w:hAnsiTheme="minorHAnsi" w:cstheme="minorHAnsi"/>
                <w:i/>
                <w:szCs w:val="20"/>
              </w:rPr>
              <w:t>Transition Assistance</w:t>
            </w:r>
          </w:p>
        </w:tc>
        <w:tc>
          <w:tcPr>
            <w:tcW w:w="955" w:type="pct"/>
            <w:tcBorders>
              <w:top w:val="nil"/>
              <w:bottom w:val="nil"/>
            </w:tcBorders>
            <w:vAlign w:val="center"/>
          </w:tcPr>
          <w:p w14:paraId="17FC1782" w14:textId="77777777" w:rsidR="0096038D" w:rsidRDefault="0096038D" w:rsidP="0096038D">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3D1E97CA" w14:textId="76D26AC7"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2" w:type="pct"/>
            <w:tcBorders>
              <w:top w:val="nil"/>
              <w:bottom w:val="nil"/>
            </w:tcBorders>
            <w:vAlign w:val="center"/>
          </w:tcPr>
          <w:p w14:paraId="59B1F7BF" w14:textId="0C8B3252"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3" w:type="pct"/>
            <w:tcBorders>
              <w:top w:val="nil"/>
              <w:bottom w:val="nil"/>
            </w:tcBorders>
            <w:vAlign w:val="center"/>
          </w:tcPr>
          <w:p w14:paraId="1B7A52A6" w14:textId="14BF0F70" w:rsidR="0096038D" w:rsidRDefault="0096038D" w:rsidP="0096038D">
            <w:pPr>
              <w:spacing w:before="40" w:after="40" w:line="240" w:lineRule="auto"/>
              <w:jc w:val="center"/>
              <w:rPr>
                <w:rFonts w:asciiTheme="minorHAnsi" w:hAnsiTheme="minorHAnsi" w:cstheme="minorHAnsi"/>
                <w:color w:val="FF0000"/>
                <w:szCs w:val="20"/>
              </w:rPr>
            </w:pPr>
            <w:r w:rsidRPr="008C02EE">
              <w:rPr>
                <w:rFonts w:asciiTheme="minorHAnsi" w:hAnsiTheme="minorHAnsi" w:cstheme="minorHAnsi"/>
                <w:color w:val="4472C4" w:themeColor="accent1"/>
                <w:szCs w:val="20"/>
              </w:rPr>
              <w:t>$</w:t>
            </w:r>
            <w:r>
              <w:rPr>
                <w:rFonts w:asciiTheme="minorHAnsi" w:hAnsiTheme="minorHAnsi" w:cstheme="minorHAnsi"/>
                <w:color w:val="4472C4" w:themeColor="accent1"/>
                <w:szCs w:val="20"/>
              </w:rPr>
              <w:t>0</w:t>
            </w:r>
          </w:p>
        </w:tc>
        <w:tc>
          <w:tcPr>
            <w:tcW w:w="611" w:type="pct"/>
            <w:tcBorders>
              <w:top w:val="nil"/>
              <w:bottom w:val="nil"/>
              <w:right w:val="single" w:sz="4" w:space="0" w:color="auto"/>
            </w:tcBorders>
            <w:vAlign w:val="center"/>
          </w:tcPr>
          <w:p w14:paraId="3EC1723C" w14:textId="6151ECE1" w:rsidR="0096038D" w:rsidRDefault="0096038D" w:rsidP="0096038D">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r>
      <w:tr w:rsidR="009F1D75" w14:paraId="4534ED1E" w14:textId="77777777" w:rsidTr="00EF076A">
        <w:trPr>
          <w:trHeight w:val="121"/>
        </w:trPr>
        <w:tc>
          <w:tcPr>
            <w:tcW w:w="1568" w:type="pct"/>
            <w:vMerge/>
            <w:tcBorders>
              <w:left w:val="single" w:sz="4" w:space="0" w:color="auto"/>
              <w:bottom w:val="nil"/>
            </w:tcBorders>
            <w:vAlign w:val="center"/>
          </w:tcPr>
          <w:p w14:paraId="5171D7DC" w14:textId="77777777" w:rsidR="00EB7A5F" w:rsidRPr="00F95486" w:rsidRDefault="00EB7A5F" w:rsidP="00EB7A5F">
            <w:pPr>
              <w:spacing w:before="40" w:after="40" w:line="240" w:lineRule="auto"/>
              <w:rPr>
                <w:rFonts w:asciiTheme="minorHAnsi" w:hAnsiTheme="minorHAnsi" w:cstheme="minorHAnsi"/>
                <w:i/>
                <w:szCs w:val="20"/>
              </w:rPr>
            </w:pPr>
          </w:p>
        </w:tc>
        <w:tc>
          <w:tcPr>
            <w:tcW w:w="955" w:type="pct"/>
            <w:tcBorders>
              <w:top w:val="nil"/>
              <w:bottom w:val="nil"/>
            </w:tcBorders>
            <w:vAlign w:val="center"/>
          </w:tcPr>
          <w:p w14:paraId="177302B8" w14:textId="77777777" w:rsidR="00EB7A5F" w:rsidRDefault="00EB7A5F" w:rsidP="00EB7A5F">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Distributed</w:t>
            </w:r>
          </w:p>
        </w:tc>
        <w:tc>
          <w:tcPr>
            <w:tcW w:w="641" w:type="pct"/>
            <w:tcBorders>
              <w:top w:val="nil"/>
              <w:bottom w:val="nil"/>
            </w:tcBorders>
            <w:vAlign w:val="center"/>
          </w:tcPr>
          <w:p w14:paraId="323C009F" w14:textId="2970E229" w:rsidR="00EB7A5F" w:rsidRDefault="00EB7A5F" w:rsidP="00EB7A5F">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2" w:type="pct"/>
            <w:tcBorders>
              <w:top w:val="nil"/>
              <w:bottom w:val="nil"/>
            </w:tcBorders>
            <w:vAlign w:val="center"/>
          </w:tcPr>
          <w:p w14:paraId="42F09AF2" w14:textId="6AA114FC" w:rsidR="00EB7A5F" w:rsidRDefault="00EB7A5F" w:rsidP="00EB7A5F">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3" w:type="pct"/>
            <w:tcBorders>
              <w:top w:val="nil"/>
              <w:bottom w:val="nil"/>
            </w:tcBorders>
            <w:vAlign w:val="center"/>
          </w:tcPr>
          <w:p w14:paraId="2374FED2" w14:textId="2F964CC1" w:rsidR="00EB7A5F" w:rsidRDefault="00EB7A5F" w:rsidP="00EB7A5F">
            <w:pPr>
              <w:spacing w:before="40" w:after="40" w:line="240" w:lineRule="auto"/>
              <w:jc w:val="center"/>
              <w:rPr>
                <w:rFonts w:asciiTheme="minorHAnsi" w:hAnsiTheme="minorHAnsi" w:cstheme="minorHAnsi"/>
                <w:color w:val="FF0000"/>
                <w:szCs w:val="20"/>
              </w:rPr>
            </w:pPr>
            <w:r w:rsidRPr="008C02EE">
              <w:rPr>
                <w:rFonts w:asciiTheme="minorHAnsi" w:hAnsiTheme="minorHAnsi" w:cstheme="minorHAnsi"/>
                <w:color w:val="4472C4" w:themeColor="accent1"/>
                <w:szCs w:val="20"/>
              </w:rPr>
              <w:t>$</w:t>
            </w:r>
            <w:r w:rsidR="00B04FD2">
              <w:rPr>
                <w:rFonts w:asciiTheme="minorHAnsi" w:hAnsiTheme="minorHAnsi" w:cstheme="minorHAnsi"/>
                <w:color w:val="4472C4" w:themeColor="accent1"/>
                <w:szCs w:val="20"/>
              </w:rPr>
              <w:t>3,075,542</w:t>
            </w:r>
          </w:p>
        </w:tc>
        <w:tc>
          <w:tcPr>
            <w:tcW w:w="611" w:type="pct"/>
            <w:tcBorders>
              <w:top w:val="nil"/>
              <w:bottom w:val="nil"/>
              <w:right w:val="single" w:sz="4" w:space="0" w:color="auto"/>
            </w:tcBorders>
            <w:vAlign w:val="center"/>
          </w:tcPr>
          <w:p w14:paraId="5A608E03" w14:textId="31721991" w:rsidR="00EB7A5F" w:rsidRDefault="00B04FD2" w:rsidP="00112964">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$3,131,286</w:t>
            </w:r>
          </w:p>
        </w:tc>
      </w:tr>
      <w:tr w:rsidR="009F1D75" w14:paraId="12B50B06" w14:textId="77777777" w:rsidTr="00EF076A">
        <w:trPr>
          <w:trHeight w:val="121"/>
        </w:trPr>
        <w:tc>
          <w:tcPr>
            <w:tcW w:w="1568" w:type="pct"/>
            <w:vMerge w:val="restart"/>
            <w:tcBorders>
              <w:top w:val="nil"/>
              <w:left w:val="single" w:sz="4" w:space="0" w:color="auto"/>
            </w:tcBorders>
            <w:vAlign w:val="center"/>
          </w:tcPr>
          <w:p w14:paraId="42190894" w14:textId="3AECAF93" w:rsidR="00EB7A5F" w:rsidRPr="00F95486" w:rsidRDefault="00EB7A5F" w:rsidP="00EB7A5F">
            <w:pPr>
              <w:spacing w:before="40" w:after="40" w:line="240" w:lineRule="auto"/>
              <w:rPr>
                <w:rFonts w:asciiTheme="minorHAnsi" w:hAnsiTheme="minorHAnsi" w:cstheme="minorHAnsi"/>
                <w:i/>
                <w:szCs w:val="20"/>
              </w:rPr>
            </w:pPr>
            <w:r w:rsidRPr="00F95486">
              <w:rPr>
                <w:rFonts w:asciiTheme="minorHAnsi" w:hAnsiTheme="minorHAnsi" w:cstheme="minorHAnsi"/>
                <w:i/>
                <w:szCs w:val="20"/>
              </w:rPr>
              <w:t>Regional Transition Support</w:t>
            </w:r>
          </w:p>
        </w:tc>
        <w:tc>
          <w:tcPr>
            <w:tcW w:w="955" w:type="pct"/>
            <w:tcBorders>
              <w:top w:val="nil"/>
              <w:bottom w:val="nil"/>
            </w:tcBorders>
            <w:vAlign w:val="center"/>
          </w:tcPr>
          <w:p w14:paraId="556AF107" w14:textId="77777777" w:rsidR="00EB7A5F" w:rsidRDefault="00EB7A5F" w:rsidP="00EB7A5F">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02AD7C87" w14:textId="6BE7C214" w:rsidR="00EB7A5F" w:rsidRDefault="00EB7A5F" w:rsidP="00EB7A5F">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2" w:type="pct"/>
            <w:tcBorders>
              <w:top w:val="nil"/>
              <w:bottom w:val="nil"/>
            </w:tcBorders>
            <w:vAlign w:val="center"/>
          </w:tcPr>
          <w:p w14:paraId="548EF87F" w14:textId="5CE0919E" w:rsidR="00EB7A5F" w:rsidRDefault="00EB7A5F" w:rsidP="00EB7A5F">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3" w:type="pct"/>
            <w:tcBorders>
              <w:top w:val="nil"/>
              <w:bottom w:val="nil"/>
            </w:tcBorders>
            <w:vAlign w:val="center"/>
          </w:tcPr>
          <w:p w14:paraId="0BDFF57C" w14:textId="4CFCD4B7" w:rsidR="00EB7A5F" w:rsidRDefault="00EB7A5F" w:rsidP="00EB7A5F">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1" w:type="pct"/>
            <w:tcBorders>
              <w:top w:val="nil"/>
              <w:bottom w:val="nil"/>
              <w:right w:val="single" w:sz="4" w:space="0" w:color="auto"/>
            </w:tcBorders>
            <w:vAlign w:val="center"/>
          </w:tcPr>
          <w:p w14:paraId="29D95C42" w14:textId="3B0DD2FC" w:rsidR="00EB7A5F" w:rsidRDefault="00EB7A5F" w:rsidP="00EB7A5F">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r>
      <w:tr w:rsidR="009F1D75" w14:paraId="3D4D8814" w14:textId="77777777" w:rsidTr="00EF076A">
        <w:trPr>
          <w:trHeight w:val="121"/>
        </w:trPr>
        <w:tc>
          <w:tcPr>
            <w:tcW w:w="1568" w:type="pct"/>
            <w:vMerge/>
            <w:tcBorders>
              <w:left w:val="single" w:sz="4" w:space="0" w:color="auto"/>
              <w:bottom w:val="nil"/>
            </w:tcBorders>
            <w:vAlign w:val="center"/>
          </w:tcPr>
          <w:p w14:paraId="02D4ADEA" w14:textId="77777777" w:rsidR="00EB7A5F" w:rsidRPr="005A3645" w:rsidRDefault="00EB7A5F" w:rsidP="00EB7A5F">
            <w:pPr>
              <w:spacing w:before="40" w:after="40" w:line="240" w:lineRule="auto"/>
              <w:rPr>
                <w:rFonts w:asciiTheme="minorHAnsi" w:hAnsiTheme="minorHAnsi" w:cstheme="minorHAnsi"/>
                <w:iCs/>
                <w:color w:val="FF0000"/>
                <w:szCs w:val="20"/>
              </w:rPr>
            </w:pPr>
          </w:p>
        </w:tc>
        <w:tc>
          <w:tcPr>
            <w:tcW w:w="955" w:type="pct"/>
            <w:tcBorders>
              <w:top w:val="nil"/>
              <w:bottom w:val="nil"/>
            </w:tcBorders>
            <w:vAlign w:val="center"/>
          </w:tcPr>
          <w:p w14:paraId="34209159" w14:textId="77777777" w:rsidR="00EB7A5F" w:rsidRDefault="00EB7A5F" w:rsidP="00EB7A5F">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Distributed</w:t>
            </w:r>
          </w:p>
        </w:tc>
        <w:tc>
          <w:tcPr>
            <w:tcW w:w="641" w:type="pct"/>
            <w:tcBorders>
              <w:top w:val="nil"/>
              <w:bottom w:val="nil"/>
            </w:tcBorders>
            <w:vAlign w:val="center"/>
          </w:tcPr>
          <w:p w14:paraId="6074C4AC" w14:textId="4D253E68" w:rsidR="00EB7A5F" w:rsidRDefault="00EB7A5F" w:rsidP="00EB7A5F">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$408,215</w:t>
            </w:r>
          </w:p>
        </w:tc>
        <w:tc>
          <w:tcPr>
            <w:tcW w:w="612" w:type="pct"/>
            <w:tcBorders>
              <w:top w:val="nil"/>
              <w:bottom w:val="nil"/>
            </w:tcBorders>
            <w:vAlign w:val="center"/>
          </w:tcPr>
          <w:p w14:paraId="7AA9D3F2" w14:textId="7FA34A2E" w:rsidR="00EB7A5F" w:rsidRDefault="00EB7A5F" w:rsidP="00EB7A5F">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$144,130</w:t>
            </w:r>
          </w:p>
        </w:tc>
        <w:tc>
          <w:tcPr>
            <w:tcW w:w="613" w:type="pct"/>
            <w:tcBorders>
              <w:top w:val="nil"/>
              <w:bottom w:val="nil"/>
            </w:tcBorders>
            <w:vAlign w:val="center"/>
          </w:tcPr>
          <w:p w14:paraId="6034E678" w14:textId="60B129D3" w:rsidR="00EB7A5F" w:rsidRDefault="00EB7A5F" w:rsidP="00EB7A5F">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$148,454</w:t>
            </w:r>
          </w:p>
        </w:tc>
        <w:tc>
          <w:tcPr>
            <w:tcW w:w="611" w:type="pct"/>
            <w:tcBorders>
              <w:top w:val="nil"/>
              <w:bottom w:val="nil"/>
              <w:right w:val="single" w:sz="4" w:space="0" w:color="auto"/>
            </w:tcBorders>
            <w:vAlign w:val="center"/>
          </w:tcPr>
          <w:p w14:paraId="687A77A9" w14:textId="632788EA" w:rsidR="00EB7A5F" w:rsidRDefault="00EB7A5F" w:rsidP="00EB7A5F">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$152,908</w:t>
            </w:r>
          </w:p>
        </w:tc>
      </w:tr>
      <w:tr w:rsidR="009F1D75" w14:paraId="1E9053ED" w14:textId="77777777" w:rsidTr="00EF076A">
        <w:trPr>
          <w:trHeight w:val="121"/>
        </w:trPr>
        <w:tc>
          <w:tcPr>
            <w:tcW w:w="1568" w:type="pct"/>
            <w:vMerge w:val="restart"/>
            <w:tcBorders>
              <w:top w:val="nil"/>
              <w:left w:val="single" w:sz="4" w:space="0" w:color="auto"/>
            </w:tcBorders>
            <w:shd w:val="clear" w:color="auto" w:fill="F2F2F2" w:themeFill="background1" w:themeFillShade="F2"/>
            <w:vAlign w:val="center"/>
          </w:tcPr>
          <w:p w14:paraId="5EBE24DD" w14:textId="3322635F" w:rsidR="00EB7A5F" w:rsidRPr="005A3645" w:rsidRDefault="00EB7A5F" w:rsidP="00EB7A5F">
            <w:pPr>
              <w:spacing w:before="40" w:after="40" w:line="240" w:lineRule="auto"/>
              <w:rPr>
                <w:rFonts w:asciiTheme="minorHAnsi" w:hAnsiTheme="minorHAnsi" w:cstheme="minorHAnsi"/>
                <w:iCs/>
                <w:color w:val="FF0000"/>
                <w:szCs w:val="20"/>
              </w:rPr>
            </w:pPr>
            <w:r w:rsidRPr="00115319">
              <w:rPr>
                <w:rFonts w:asciiTheme="minorHAnsi" w:hAnsiTheme="minorHAnsi" w:cstheme="minorHAnsi"/>
                <w:b/>
                <w:bCs/>
                <w:i/>
                <w:iCs/>
                <w:szCs w:val="20"/>
              </w:rPr>
              <w:t xml:space="preserve">Total for Priority </w:t>
            </w:r>
            <w:r>
              <w:rPr>
                <w:rFonts w:asciiTheme="minorHAnsi" w:hAnsiTheme="minorHAnsi" w:cstheme="minorHAnsi"/>
                <w:b/>
                <w:bCs/>
                <w:i/>
                <w:iCs/>
                <w:szCs w:val="20"/>
              </w:rPr>
              <w:t>B</w:t>
            </w:r>
            <w:r w:rsidRPr="00115319">
              <w:rPr>
                <w:rFonts w:asciiTheme="minorHAnsi" w:hAnsiTheme="minorHAnsi" w:cstheme="minorHAnsi"/>
                <w:b/>
                <w:bCs/>
              </w:rPr>
              <w:t xml:space="preserve"> </w:t>
            </w:r>
          </w:p>
        </w:tc>
        <w:tc>
          <w:tcPr>
            <w:tcW w:w="955" w:type="pct"/>
            <w:tcBorders>
              <w:top w:val="nil"/>
              <w:bottom w:val="nil"/>
            </w:tcBorders>
            <w:shd w:val="clear" w:color="auto" w:fill="F2F2F2" w:themeFill="background1" w:themeFillShade="F2"/>
            <w:vAlign w:val="center"/>
          </w:tcPr>
          <w:p w14:paraId="3F991F3B" w14:textId="1EE0CA56" w:rsidR="00EB7A5F" w:rsidRPr="00115319" w:rsidRDefault="00EB7A5F" w:rsidP="00EB7A5F">
            <w:pPr>
              <w:spacing w:before="40" w:after="40" w:line="240" w:lineRule="auto"/>
              <w:rPr>
                <w:rFonts w:asciiTheme="minorHAnsi" w:hAnsiTheme="minorHAnsi" w:cstheme="minorHAnsi"/>
                <w:b/>
                <w:bCs/>
                <w:i/>
                <w:iCs/>
                <w:color w:val="FF0000"/>
                <w:szCs w:val="20"/>
              </w:rPr>
            </w:pPr>
            <w:r w:rsidRPr="00115319">
              <w:rPr>
                <w:rFonts w:asciiTheme="minorHAnsi" w:hAnsiTheme="minorHAnsi" w:cstheme="minorHAnsi"/>
                <w:b/>
                <w:bCs/>
                <w:i/>
                <w:iCs/>
                <w:szCs w:val="20"/>
              </w:rPr>
              <w:t>Centralised</w:t>
            </w:r>
          </w:p>
        </w:tc>
        <w:tc>
          <w:tcPr>
            <w:tcW w:w="641" w:type="pct"/>
            <w:tcBorders>
              <w:top w:val="nil"/>
              <w:bottom w:val="nil"/>
            </w:tcBorders>
            <w:shd w:val="clear" w:color="auto" w:fill="F2F2F2" w:themeFill="background1" w:themeFillShade="F2"/>
            <w:vAlign w:val="center"/>
          </w:tcPr>
          <w:p w14:paraId="704FF851" w14:textId="78A2B03A" w:rsidR="00EB7A5F" w:rsidRPr="00115319" w:rsidRDefault="00EB7A5F" w:rsidP="00EB7A5F">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$0</w:t>
            </w:r>
          </w:p>
        </w:tc>
        <w:tc>
          <w:tcPr>
            <w:tcW w:w="612" w:type="pct"/>
            <w:tcBorders>
              <w:top w:val="nil"/>
              <w:bottom w:val="nil"/>
            </w:tcBorders>
            <w:shd w:val="clear" w:color="auto" w:fill="F2F2F2" w:themeFill="background1" w:themeFillShade="F2"/>
            <w:vAlign w:val="center"/>
          </w:tcPr>
          <w:p w14:paraId="46F62C1E" w14:textId="4C302018" w:rsidR="00EB7A5F" w:rsidRPr="00115319" w:rsidRDefault="00EB7A5F" w:rsidP="00EB7A5F">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$0</w:t>
            </w:r>
          </w:p>
        </w:tc>
        <w:tc>
          <w:tcPr>
            <w:tcW w:w="613" w:type="pct"/>
            <w:tcBorders>
              <w:top w:val="nil"/>
              <w:bottom w:val="nil"/>
            </w:tcBorders>
            <w:shd w:val="clear" w:color="auto" w:fill="F2F2F2" w:themeFill="background1" w:themeFillShade="F2"/>
            <w:vAlign w:val="center"/>
          </w:tcPr>
          <w:p w14:paraId="6D075BEE" w14:textId="18CA3CA2" w:rsidR="00EB7A5F" w:rsidRPr="00115319" w:rsidRDefault="00EB7A5F" w:rsidP="00EB7A5F">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$0</w:t>
            </w:r>
          </w:p>
        </w:tc>
        <w:tc>
          <w:tcPr>
            <w:tcW w:w="611" w:type="pct"/>
            <w:tcBorders>
              <w:top w:val="nil"/>
              <w:bottom w:val="nil"/>
              <w:right w:val="single" w:sz="4" w:space="0" w:color="auto"/>
            </w:tcBorders>
            <w:shd w:val="clear" w:color="auto" w:fill="F2F2F2" w:themeFill="background1" w:themeFillShade="F2"/>
            <w:vAlign w:val="center"/>
          </w:tcPr>
          <w:p w14:paraId="4E5E9BEB" w14:textId="02372276" w:rsidR="00EB7A5F" w:rsidRPr="00115319" w:rsidRDefault="00EB7A5F" w:rsidP="00EB7A5F">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$0</w:t>
            </w:r>
          </w:p>
        </w:tc>
      </w:tr>
      <w:tr w:rsidR="009F1D75" w14:paraId="5C93EFBE" w14:textId="77777777" w:rsidTr="00EF076A">
        <w:trPr>
          <w:trHeight w:val="121"/>
        </w:trPr>
        <w:tc>
          <w:tcPr>
            <w:tcW w:w="1568" w:type="pct"/>
            <w:vMerge/>
            <w:tcBorders>
              <w:left w:val="single" w:sz="4" w:space="0" w:color="auto"/>
              <w:bottom w:val="single" w:sz="4" w:space="0" w:color="auto"/>
            </w:tcBorders>
            <w:shd w:val="clear" w:color="auto" w:fill="F2F2F2" w:themeFill="background1" w:themeFillShade="F2"/>
            <w:vAlign w:val="center"/>
          </w:tcPr>
          <w:p w14:paraId="1D661F35" w14:textId="77777777" w:rsidR="00EB7A5F" w:rsidRPr="005A3645" w:rsidRDefault="00EB7A5F" w:rsidP="00EB7A5F">
            <w:pPr>
              <w:spacing w:before="40" w:after="40" w:line="240" w:lineRule="auto"/>
              <w:rPr>
                <w:rFonts w:asciiTheme="minorHAnsi" w:hAnsiTheme="minorHAnsi" w:cstheme="minorHAnsi"/>
                <w:iCs/>
                <w:color w:val="FF0000"/>
                <w:szCs w:val="20"/>
              </w:rPr>
            </w:pPr>
          </w:p>
        </w:tc>
        <w:tc>
          <w:tcPr>
            <w:tcW w:w="955" w:type="pct"/>
            <w:tcBorders>
              <w:top w:val="nil"/>
              <w:bottom w:val="single" w:sz="4" w:space="0" w:color="auto"/>
            </w:tcBorders>
            <w:shd w:val="clear" w:color="auto" w:fill="F2F2F2" w:themeFill="background1" w:themeFillShade="F2"/>
            <w:vAlign w:val="center"/>
          </w:tcPr>
          <w:p w14:paraId="71C7EB66" w14:textId="6CC27E93" w:rsidR="00EB7A5F" w:rsidRPr="00115319" w:rsidRDefault="00EB7A5F" w:rsidP="00EB7A5F">
            <w:pPr>
              <w:spacing w:before="40" w:after="40" w:line="240" w:lineRule="auto"/>
              <w:rPr>
                <w:rFonts w:asciiTheme="minorHAnsi" w:hAnsiTheme="minorHAnsi" w:cstheme="minorHAnsi"/>
                <w:b/>
                <w:bCs/>
                <w:i/>
                <w:iCs/>
                <w:color w:val="FF0000"/>
                <w:szCs w:val="20"/>
              </w:rPr>
            </w:pPr>
            <w:r w:rsidRPr="00115319">
              <w:rPr>
                <w:rFonts w:asciiTheme="minorHAnsi" w:hAnsiTheme="minorHAnsi" w:cstheme="minorHAnsi"/>
                <w:b/>
                <w:bCs/>
                <w:i/>
                <w:iCs/>
                <w:szCs w:val="20"/>
              </w:rPr>
              <w:t>Distributed</w:t>
            </w:r>
          </w:p>
        </w:tc>
        <w:tc>
          <w:tcPr>
            <w:tcW w:w="641" w:type="pct"/>
            <w:tcBorders>
              <w:top w:val="nil"/>
              <w:bottom w:val="single" w:sz="4" w:space="0" w:color="auto"/>
            </w:tcBorders>
            <w:shd w:val="clear" w:color="auto" w:fill="F2F2F2" w:themeFill="background1" w:themeFillShade="F2"/>
            <w:vAlign w:val="center"/>
          </w:tcPr>
          <w:p w14:paraId="1D9E9C45" w14:textId="47300C59" w:rsidR="00EB7A5F" w:rsidRPr="00115319" w:rsidRDefault="00EB7A5F" w:rsidP="00EB7A5F">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$408,215</w:t>
            </w:r>
          </w:p>
        </w:tc>
        <w:tc>
          <w:tcPr>
            <w:tcW w:w="612" w:type="pct"/>
            <w:tcBorders>
              <w:top w:val="nil"/>
              <w:bottom w:val="single" w:sz="4" w:space="0" w:color="auto"/>
            </w:tcBorders>
            <w:shd w:val="clear" w:color="auto" w:fill="F2F2F2" w:themeFill="background1" w:themeFillShade="F2"/>
            <w:vAlign w:val="center"/>
          </w:tcPr>
          <w:p w14:paraId="68DDD26A" w14:textId="2B4043A5" w:rsidR="00EB7A5F" w:rsidRPr="00115319" w:rsidRDefault="00EB7A5F" w:rsidP="00EB7A5F">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$144,130</w:t>
            </w:r>
          </w:p>
        </w:tc>
        <w:tc>
          <w:tcPr>
            <w:tcW w:w="613" w:type="pct"/>
            <w:tcBorders>
              <w:top w:val="nil"/>
              <w:bottom w:val="single" w:sz="4" w:space="0" w:color="auto"/>
            </w:tcBorders>
            <w:shd w:val="clear" w:color="auto" w:fill="F2F2F2" w:themeFill="background1" w:themeFillShade="F2"/>
            <w:vAlign w:val="center"/>
          </w:tcPr>
          <w:p w14:paraId="20DE1410" w14:textId="014BA1A7" w:rsidR="00EB7A5F" w:rsidRPr="00115319" w:rsidRDefault="00112964" w:rsidP="00EB7A5F">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w:t>
            </w:r>
            <w:r w:rsidR="00B04FD2">
              <w:rPr>
                <w:rFonts w:asciiTheme="minorHAnsi" w:hAnsiTheme="minorHAnsi" w:cstheme="minorHAnsi"/>
                <w:b/>
                <w:bCs/>
                <w:i/>
                <w:iCs/>
                <w:color w:val="4472C4" w:themeColor="accent1"/>
                <w:szCs w:val="20"/>
              </w:rPr>
              <w:t>3,223,996</w:t>
            </w:r>
          </w:p>
        </w:tc>
        <w:tc>
          <w:tcPr>
            <w:tcW w:w="611" w:type="pct"/>
            <w:tcBorders>
              <w:top w:val="nil"/>
              <w:bottom w:val="single" w:sz="4" w:space="0" w:color="auto"/>
              <w:right w:val="single" w:sz="4" w:space="0" w:color="auto"/>
            </w:tcBorders>
            <w:shd w:val="clear" w:color="auto" w:fill="F2F2F2" w:themeFill="background1" w:themeFillShade="F2"/>
            <w:vAlign w:val="center"/>
          </w:tcPr>
          <w:p w14:paraId="02B45E57" w14:textId="4D852C34" w:rsidR="00EB7A5F" w:rsidRPr="00115319" w:rsidRDefault="00112964" w:rsidP="00EB7A5F">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w:t>
            </w:r>
            <w:r w:rsidR="00B04FD2">
              <w:rPr>
                <w:rFonts w:asciiTheme="minorHAnsi" w:hAnsiTheme="minorHAnsi" w:cstheme="minorHAnsi"/>
                <w:b/>
                <w:bCs/>
                <w:i/>
                <w:iCs/>
                <w:color w:val="4472C4" w:themeColor="accent1"/>
                <w:szCs w:val="20"/>
              </w:rPr>
              <w:t>3,284,193</w:t>
            </w:r>
          </w:p>
        </w:tc>
      </w:tr>
      <w:tr w:rsidR="009F1D75" w14:paraId="75DC62B3" w14:textId="77777777" w:rsidTr="00EF076A">
        <w:trPr>
          <w:trHeight w:val="314"/>
        </w:trPr>
        <w:tc>
          <w:tcPr>
            <w:tcW w:w="5000" w:type="pct"/>
            <w:gridSpan w:val="6"/>
            <w:tcBorders>
              <w:left w:val="single" w:sz="4" w:space="0" w:color="auto"/>
              <w:bottom w:val="nil"/>
              <w:right w:val="single" w:sz="4" w:space="0" w:color="auto"/>
            </w:tcBorders>
            <w:vAlign w:val="center"/>
          </w:tcPr>
          <w:p w14:paraId="045CC41E" w14:textId="0922F64F" w:rsidR="00EB7A5F" w:rsidRPr="00FF3389" w:rsidRDefault="00EB7A5F" w:rsidP="00EB7A5F">
            <w:pPr>
              <w:spacing w:before="40" w:after="40" w:line="240" w:lineRule="auto"/>
              <w:rPr>
                <w:rFonts w:asciiTheme="minorHAnsi" w:hAnsiTheme="minorHAnsi" w:cstheme="minorHAnsi"/>
                <w:b/>
                <w:bCs/>
                <w:szCs w:val="20"/>
                <w:u w:val="single"/>
              </w:rPr>
            </w:pPr>
            <w:r w:rsidRPr="006635E2">
              <w:rPr>
                <w:rFonts w:asciiTheme="minorHAnsi" w:hAnsiTheme="minorHAnsi" w:cstheme="minorHAnsi"/>
                <w:b/>
                <w:bCs/>
                <w:color w:val="000000" w:themeColor="text1"/>
                <w:szCs w:val="20"/>
                <w:u w:val="single"/>
              </w:rPr>
              <w:t xml:space="preserve">D – Strengthening </w:t>
            </w:r>
            <w:r w:rsidRPr="006635E2">
              <w:rPr>
                <w:rFonts w:asciiTheme="minorHAnsi" w:hAnsiTheme="minorHAnsi" w:cstheme="minorHAnsi"/>
                <w:b/>
                <w:bCs/>
                <w:szCs w:val="20"/>
                <w:u w:val="single"/>
              </w:rPr>
              <w:t>outcomes for schools and educationally disadvantaged schools and students</w:t>
            </w:r>
          </w:p>
        </w:tc>
      </w:tr>
      <w:tr w:rsidR="009F1D75" w14:paraId="294F3CEA" w14:textId="77777777" w:rsidTr="00EF076A">
        <w:trPr>
          <w:trHeight w:val="314"/>
        </w:trPr>
        <w:tc>
          <w:tcPr>
            <w:tcW w:w="1568" w:type="pct"/>
            <w:vMerge w:val="restart"/>
            <w:tcBorders>
              <w:top w:val="nil"/>
              <w:left w:val="single" w:sz="4" w:space="0" w:color="auto"/>
            </w:tcBorders>
            <w:vAlign w:val="center"/>
          </w:tcPr>
          <w:p w14:paraId="1F6CFBB4" w14:textId="1ABE6E49" w:rsidR="00B04FD2" w:rsidRPr="00225E3A" w:rsidRDefault="00B04FD2" w:rsidP="00B04FD2">
            <w:pPr>
              <w:spacing w:before="40" w:after="40" w:line="240" w:lineRule="auto"/>
              <w:rPr>
                <w:rFonts w:asciiTheme="minorHAnsi" w:hAnsiTheme="minorHAnsi" w:cstheme="minorHAnsi"/>
                <w:i/>
                <w:szCs w:val="20"/>
              </w:rPr>
            </w:pPr>
            <w:r w:rsidRPr="00357BB4">
              <w:rPr>
                <w:rFonts w:asciiTheme="minorHAnsi" w:hAnsiTheme="minorHAnsi" w:cstheme="minorHAnsi"/>
                <w:i/>
                <w:szCs w:val="20"/>
              </w:rPr>
              <w:t>CARE School support</w:t>
            </w:r>
          </w:p>
        </w:tc>
        <w:tc>
          <w:tcPr>
            <w:tcW w:w="955" w:type="pct"/>
            <w:tcBorders>
              <w:top w:val="nil"/>
              <w:bottom w:val="nil"/>
            </w:tcBorders>
            <w:vAlign w:val="center"/>
          </w:tcPr>
          <w:p w14:paraId="3300F797" w14:textId="77777777" w:rsidR="00B04FD2" w:rsidRPr="00225E3A" w:rsidRDefault="00B04FD2" w:rsidP="00B04FD2">
            <w:pPr>
              <w:spacing w:before="40" w:after="40" w:line="240" w:lineRule="auto"/>
              <w:rPr>
                <w:rFonts w:asciiTheme="minorHAnsi" w:hAnsiTheme="minorHAnsi" w:cstheme="minorHAnsi"/>
                <w:szCs w:val="20"/>
              </w:rPr>
            </w:pPr>
            <w:r w:rsidRPr="00357BB4">
              <w:rPr>
                <w:rFonts w:asciiTheme="minorHAnsi" w:hAnsiTheme="minorHAnsi" w:cstheme="minorHAnsi"/>
                <w:szCs w:val="20"/>
              </w:rPr>
              <w:t>Centralised</w:t>
            </w:r>
          </w:p>
        </w:tc>
        <w:tc>
          <w:tcPr>
            <w:tcW w:w="641" w:type="pct"/>
            <w:tcBorders>
              <w:top w:val="nil"/>
              <w:bottom w:val="nil"/>
            </w:tcBorders>
            <w:vAlign w:val="center"/>
          </w:tcPr>
          <w:p w14:paraId="47273578" w14:textId="3A3051B5"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357BB4">
              <w:rPr>
                <w:rFonts w:asciiTheme="minorHAnsi" w:hAnsiTheme="minorHAnsi" w:cstheme="minorHAnsi"/>
                <w:color w:val="4472C4" w:themeColor="accent1"/>
                <w:szCs w:val="20"/>
              </w:rPr>
              <w:t>$0</w:t>
            </w:r>
          </w:p>
        </w:tc>
        <w:tc>
          <w:tcPr>
            <w:tcW w:w="612" w:type="pct"/>
            <w:tcBorders>
              <w:top w:val="nil"/>
              <w:bottom w:val="nil"/>
            </w:tcBorders>
          </w:tcPr>
          <w:p w14:paraId="463B1FB9" w14:textId="08FDAB00"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c>
          <w:tcPr>
            <w:tcW w:w="613" w:type="pct"/>
            <w:tcBorders>
              <w:top w:val="nil"/>
              <w:bottom w:val="nil"/>
            </w:tcBorders>
          </w:tcPr>
          <w:p w14:paraId="653CE1F5" w14:textId="0695D15B"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c>
          <w:tcPr>
            <w:tcW w:w="611" w:type="pct"/>
            <w:tcBorders>
              <w:top w:val="nil"/>
              <w:bottom w:val="nil"/>
              <w:right w:val="single" w:sz="4" w:space="0" w:color="auto"/>
            </w:tcBorders>
          </w:tcPr>
          <w:p w14:paraId="6BB56777" w14:textId="3C8D45EF"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r>
      <w:tr w:rsidR="009F1D75" w14:paraId="25CE818E" w14:textId="77777777" w:rsidTr="00EF076A">
        <w:trPr>
          <w:trHeight w:val="314"/>
        </w:trPr>
        <w:tc>
          <w:tcPr>
            <w:tcW w:w="1568" w:type="pct"/>
            <w:vMerge/>
            <w:tcBorders>
              <w:left w:val="single" w:sz="4" w:space="0" w:color="auto"/>
              <w:bottom w:val="nil"/>
            </w:tcBorders>
            <w:vAlign w:val="center"/>
          </w:tcPr>
          <w:p w14:paraId="4683A62A" w14:textId="77777777" w:rsidR="00B04FD2" w:rsidRPr="00225E3A" w:rsidRDefault="00B04FD2" w:rsidP="00B04FD2">
            <w:pPr>
              <w:spacing w:before="40" w:after="40" w:line="240" w:lineRule="auto"/>
              <w:rPr>
                <w:rFonts w:asciiTheme="minorHAnsi" w:hAnsiTheme="minorHAnsi" w:cstheme="minorHAnsi"/>
                <w:iCs/>
                <w:szCs w:val="20"/>
              </w:rPr>
            </w:pPr>
          </w:p>
        </w:tc>
        <w:tc>
          <w:tcPr>
            <w:tcW w:w="955" w:type="pct"/>
            <w:tcBorders>
              <w:top w:val="nil"/>
              <w:bottom w:val="nil"/>
            </w:tcBorders>
            <w:vAlign w:val="center"/>
          </w:tcPr>
          <w:p w14:paraId="438A7C3D" w14:textId="77777777" w:rsidR="00B04FD2" w:rsidRPr="00225E3A" w:rsidRDefault="00B04FD2" w:rsidP="00B04FD2">
            <w:pPr>
              <w:spacing w:before="40" w:after="40" w:line="240" w:lineRule="auto"/>
              <w:rPr>
                <w:rFonts w:asciiTheme="minorHAnsi" w:hAnsiTheme="minorHAnsi" w:cstheme="minorHAnsi"/>
                <w:szCs w:val="20"/>
              </w:rPr>
            </w:pPr>
            <w:r w:rsidRPr="00357BB4">
              <w:rPr>
                <w:rFonts w:asciiTheme="minorHAnsi" w:hAnsiTheme="minorHAnsi" w:cstheme="minorHAnsi"/>
                <w:szCs w:val="20"/>
              </w:rPr>
              <w:t>Distributed</w:t>
            </w:r>
          </w:p>
        </w:tc>
        <w:tc>
          <w:tcPr>
            <w:tcW w:w="641" w:type="pct"/>
            <w:tcBorders>
              <w:top w:val="nil"/>
              <w:bottom w:val="nil"/>
            </w:tcBorders>
            <w:vAlign w:val="center"/>
          </w:tcPr>
          <w:p w14:paraId="32CD07FA" w14:textId="6AFD4C2D"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357BB4">
              <w:rPr>
                <w:rFonts w:asciiTheme="minorHAnsi" w:hAnsiTheme="minorHAnsi" w:cstheme="minorHAnsi"/>
                <w:color w:val="4472C4" w:themeColor="accent1"/>
                <w:szCs w:val="20"/>
              </w:rPr>
              <w:t>$110,000</w:t>
            </w:r>
          </w:p>
        </w:tc>
        <w:tc>
          <w:tcPr>
            <w:tcW w:w="612" w:type="pct"/>
            <w:tcBorders>
              <w:top w:val="nil"/>
              <w:bottom w:val="nil"/>
            </w:tcBorders>
          </w:tcPr>
          <w:p w14:paraId="7EB7D729" w14:textId="12C0AC4E"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$50,000</w:t>
            </w:r>
          </w:p>
        </w:tc>
        <w:tc>
          <w:tcPr>
            <w:tcW w:w="613" w:type="pct"/>
            <w:tcBorders>
              <w:top w:val="nil"/>
              <w:bottom w:val="nil"/>
            </w:tcBorders>
          </w:tcPr>
          <w:p w14:paraId="6DC63BD3" w14:textId="478F7C5A"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$5</w:t>
            </w:r>
            <w:r w:rsidR="00357BB4" w:rsidRPr="00225E3A">
              <w:rPr>
                <w:rFonts w:asciiTheme="minorHAnsi" w:hAnsiTheme="minorHAnsi" w:cstheme="minorHAnsi"/>
                <w:color w:val="4472C4" w:themeColor="accent1"/>
                <w:szCs w:val="20"/>
              </w:rPr>
              <w:t>1,500</w:t>
            </w:r>
          </w:p>
        </w:tc>
        <w:tc>
          <w:tcPr>
            <w:tcW w:w="611" w:type="pct"/>
            <w:tcBorders>
              <w:top w:val="nil"/>
              <w:bottom w:val="nil"/>
              <w:right w:val="single" w:sz="4" w:space="0" w:color="auto"/>
            </w:tcBorders>
          </w:tcPr>
          <w:p w14:paraId="68F1F846" w14:textId="0142F592" w:rsidR="00B04FD2" w:rsidRPr="00357BB4"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$5</w:t>
            </w:r>
            <w:r w:rsidR="00357BB4" w:rsidRPr="00225E3A">
              <w:rPr>
                <w:rFonts w:asciiTheme="minorHAnsi" w:hAnsiTheme="minorHAnsi" w:cstheme="minorHAnsi"/>
                <w:color w:val="4472C4" w:themeColor="accent1"/>
                <w:szCs w:val="20"/>
              </w:rPr>
              <w:t>3,045</w:t>
            </w:r>
          </w:p>
        </w:tc>
      </w:tr>
      <w:tr w:rsidR="009F1D75" w14:paraId="1CFB83C9" w14:textId="77777777" w:rsidTr="00EF076A">
        <w:trPr>
          <w:trHeight w:val="314"/>
        </w:trPr>
        <w:tc>
          <w:tcPr>
            <w:tcW w:w="1568" w:type="pct"/>
            <w:vMerge w:val="restart"/>
            <w:tcBorders>
              <w:top w:val="nil"/>
              <w:left w:val="single" w:sz="4" w:space="0" w:color="auto"/>
            </w:tcBorders>
            <w:vAlign w:val="center"/>
          </w:tcPr>
          <w:p w14:paraId="4A6FD45B" w14:textId="362DE46F" w:rsidR="00B04FD2" w:rsidRPr="007C3865" w:rsidRDefault="00B04FD2" w:rsidP="00B04FD2">
            <w:pPr>
              <w:spacing w:before="40" w:after="40" w:line="240" w:lineRule="auto"/>
              <w:rPr>
                <w:rFonts w:asciiTheme="minorHAnsi" w:hAnsiTheme="minorHAnsi" w:cstheme="minorHAnsi"/>
                <w:i/>
                <w:color w:val="FF0000"/>
                <w:szCs w:val="20"/>
              </w:rPr>
            </w:pPr>
            <w:bookmarkStart w:id="2" w:name="_Hlk86216140"/>
            <w:proofErr w:type="spellStart"/>
            <w:r w:rsidRPr="007C3865">
              <w:rPr>
                <w:rFonts w:asciiTheme="minorHAnsi" w:hAnsiTheme="minorHAnsi" w:cstheme="minorHAnsi"/>
                <w:i/>
                <w:szCs w:val="20"/>
              </w:rPr>
              <w:t>AFaFE</w:t>
            </w:r>
            <w:proofErr w:type="spellEnd"/>
          </w:p>
        </w:tc>
        <w:tc>
          <w:tcPr>
            <w:tcW w:w="955" w:type="pct"/>
            <w:tcBorders>
              <w:top w:val="nil"/>
              <w:bottom w:val="nil"/>
            </w:tcBorders>
            <w:vAlign w:val="center"/>
          </w:tcPr>
          <w:p w14:paraId="3F3275CF" w14:textId="77777777" w:rsidR="00B04FD2" w:rsidRDefault="00B04FD2" w:rsidP="00B04FD2">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0DDE5C5F" w14:textId="32BFC3D7" w:rsidR="00B04FD2" w:rsidRDefault="00B04FD2" w:rsidP="00B04FD2">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$342,000</w:t>
            </w:r>
          </w:p>
        </w:tc>
        <w:tc>
          <w:tcPr>
            <w:tcW w:w="612" w:type="pct"/>
            <w:tcBorders>
              <w:top w:val="nil"/>
              <w:bottom w:val="nil"/>
            </w:tcBorders>
          </w:tcPr>
          <w:p w14:paraId="268A57A5" w14:textId="00D39C30"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$266,422 </w:t>
            </w:r>
          </w:p>
        </w:tc>
        <w:tc>
          <w:tcPr>
            <w:tcW w:w="613" w:type="pct"/>
            <w:tcBorders>
              <w:top w:val="nil"/>
              <w:bottom w:val="nil"/>
            </w:tcBorders>
          </w:tcPr>
          <w:p w14:paraId="24511216" w14:textId="511B8F1E"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$274,415 </w:t>
            </w:r>
          </w:p>
        </w:tc>
        <w:tc>
          <w:tcPr>
            <w:tcW w:w="611" w:type="pct"/>
            <w:tcBorders>
              <w:top w:val="nil"/>
              <w:bottom w:val="nil"/>
              <w:right w:val="single" w:sz="4" w:space="0" w:color="auto"/>
            </w:tcBorders>
          </w:tcPr>
          <w:p w14:paraId="552F91DC" w14:textId="294E4149"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$282,647 </w:t>
            </w:r>
          </w:p>
        </w:tc>
      </w:tr>
      <w:tr w:rsidR="009F1D75" w14:paraId="56BAFEAF" w14:textId="77777777" w:rsidTr="00EF076A">
        <w:trPr>
          <w:trHeight w:val="314"/>
        </w:trPr>
        <w:tc>
          <w:tcPr>
            <w:tcW w:w="1568" w:type="pct"/>
            <w:vMerge/>
            <w:tcBorders>
              <w:left w:val="single" w:sz="4" w:space="0" w:color="auto"/>
              <w:bottom w:val="nil"/>
            </w:tcBorders>
            <w:vAlign w:val="center"/>
          </w:tcPr>
          <w:p w14:paraId="77FB67D8" w14:textId="77777777" w:rsidR="00B04FD2" w:rsidRPr="005A3645" w:rsidRDefault="00B04FD2" w:rsidP="00B04FD2">
            <w:pPr>
              <w:spacing w:before="40" w:after="40" w:line="240" w:lineRule="auto"/>
              <w:rPr>
                <w:rFonts w:asciiTheme="minorHAnsi" w:hAnsiTheme="minorHAnsi" w:cstheme="minorHAnsi"/>
                <w:iCs/>
                <w:color w:val="FF0000"/>
                <w:szCs w:val="20"/>
              </w:rPr>
            </w:pPr>
          </w:p>
        </w:tc>
        <w:tc>
          <w:tcPr>
            <w:tcW w:w="955" w:type="pct"/>
            <w:tcBorders>
              <w:top w:val="nil"/>
              <w:bottom w:val="nil"/>
            </w:tcBorders>
            <w:vAlign w:val="center"/>
          </w:tcPr>
          <w:p w14:paraId="02CBC1A8" w14:textId="77777777" w:rsidR="00B04FD2" w:rsidRDefault="00B04FD2" w:rsidP="00B04FD2">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Distributed</w:t>
            </w:r>
          </w:p>
        </w:tc>
        <w:tc>
          <w:tcPr>
            <w:tcW w:w="641" w:type="pct"/>
            <w:tcBorders>
              <w:top w:val="nil"/>
              <w:bottom w:val="nil"/>
            </w:tcBorders>
            <w:vAlign w:val="center"/>
          </w:tcPr>
          <w:p w14:paraId="5DD10AFE" w14:textId="10B3089F" w:rsidR="00B04FD2" w:rsidRDefault="00B04FD2" w:rsidP="00B04FD2">
            <w:pPr>
              <w:spacing w:before="40" w:after="40" w:line="240" w:lineRule="auto"/>
              <w:jc w:val="center"/>
              <w:rPr>
                <w:rFonts w:asciiTheme="minorHAnsi" w:hAnsiTheme="minorHAnsi" w:cstheme="minorHAnsi"/>
                <w:color w:val="FF0000"/>
                <w:szCs w:val="20"/>
              </w:rPr>
            </w:pPr>
            <w:r w:rsidRPr="008C02EE">
              <w:rPr>
                <w:rFonts w:asciiTheme="minorHAnsi" w:hAnsiTheme="minorHAnsi" w:cstheme="minorHAnsi"/>
                <w:color w:val="4472C4" w:themeColor="accent1"/>
                <w:szCs w:val="20"/>
              </w:rPr>
              <w:t>$</w:t>
            </w:r>
            <w:r>
              <w:rPr>
                <w:rFonts w:asciiTheme="minorHAnsi" w:hAnsiTheme="minorHAnsi" w:cstheme="minorHAnsi"/>
                <w:color w:val="4472C4" w:themeColor="accent1"/>
                <w:szCs w:val="20"/>
              </w:rPr>
              <w:t>458,000</w:t>
            </w:r>
          </w:p>
        </w:tc>
        <w:tc>
          <w:tcPr>
            <w:tcW w:w="612" w:type="pct"/>
            <w:tcBorders>
              <w:top w:val="nil"/>
              <w:bottom w:val="nil"/>
            </w:tcBorders>
          </w:tcPr>
          <w:p w14:paraId="379F9E9F" w14:textId="3A2B4E68"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$533,578 </w:t>
            </w:r>
          </w:p>
        </w:tc>
        <w:tc>
          <w:tcPr>
            <w:tcW w:w="613" w:type="pct"/>
            <w:tcBorders>
              <w:top w:val="nil"/>
              <w:bottom w:val="nil"/>
            </w:tcBorders>
          </w:tcPr>
          <w:p w14:paraId="01951D45" w14:textId="2A6BD129"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$549,585 </w:t>
            </w:r>
          </w:p>
        </w:tc>
        <w:tc>
          <w:tcPr>
            <w:tcW w:w="611" w:type="pct"/>
            <w:tcBorders>
              <w:top w:val="nil"/>
              <w:bottom w:val="nil"/>
              <w:right w:val="single" w:sz="4" w:space="0" w:color="auto"/>
            </w:tcBorders>
          </w:tcPr>
          <w:p w14:paraId="50909BEF" w14:textId="0543E285"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$566,073 </w:t>
            </w:r>
          </w:p>
        </w:tc>
      </w:tr>
      <w:tr w:rsidR="009F1D75" w14:paraId="4431B3AC" w14:textId="77777777" w:rsidTr="00EF076A">
        <w:trPr>
          <w:trHeight w:val="314"/>
        </w:trPr>
        <w:tc>
          <w:tcPr>
            <w:tcW w:w="1568" w:type="pct"/>
            <w:vMerge w:val="restart"/>
            <w:tcBorders>
              <w:top w:val="nil"/>
              <w:left w:val="single" w:sz="4" w:space="0" w:color="auto"/>
            </w:tcBorders>
            <w:vAlign w:val="center"/>
          </w:tcPr>
          <w:p w14:paraId="7B79FC7B" w14:textId="6EF87193" w:rsidR="00B04FD2" w:rsidRPr="007C3865" w:rsidRDefault="00B04FD2" w:rsidP="00B04FD2">
            <w:pPr>
              <w:spacing w:before="40" w:after="40" w:line="240" w:lineRule="auto"/>
              <w:rPr>
                <w:rFonts w:asciiTheme="minorHAnsi" w:hAnsiTheme="minorHAnsi" w:cstheme="minorHAnsi"/>
                <w:i/>
                <w:color w:val="FF0000"/>
                <w:szCs w:val="20"/>
              </w:rPr>
            </w:pPr>
            <w:r>
              <w:rPr>
                <w:rFonts w:asciiTheme="minorHAnsi" w:hAnsiTheme="minorHAnsi" w:cstheme="minorHAnsi"/>
                <w:i/>
                <w:szCs w:val="20"/>
              </w:rPr>
              <w:t>ATA Up</w:t>
            </w:r>
            <w:r w:rsidRPr="007C3865">
              <w:rPr>
                <w:rFonts w:asciiTheme="minorHAnsi" w:hAnsiTheme="minorHAnsi" w:cstheme="minorHAnsi"/>
                <w:i/>
                <w:szCs w:val="20"/>
              </w:rPr>
              <w:t>skilling</w:t>
            </w:r>
          </w:p>
        </w:tc>
        <w:tc>
          <w:tcPr>
            <w:tcW w:w="955" w:type="pct"/>
            <w:tcBorders>
              <w:top w:val="nil"/>
              <w:bottom w:val="nil"/>
            </w:tcBorders>
            <w:vAlign w:val="center"/>
          </w:tcPr>
          <w:p w14:paraId="11D7E9F5" w14:textId="77777777" w:rsidR="00B04FD2" w:rsidRDefault="00B04FD2" w:rsidP="00B04FD2">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23370571" w14:textId="0523725B" w:rsidR="00B04FD2" w:rsidRDefault="00B04FD2" w:rsidP="00B04FD2">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$100,000</w:t>
            </w:r>
          </w:p>
        </w:tc>
        <w:tc>
          <w:tcPr>
            <w:tcW w:w="612" w:type="pct"/>
            <w:tcBorders>
              <w:top w:val="nil"/>
              <w:bottom w:val="nil"/>
            </w:tcBorders>
          </w:tcPr>
          <w:p w14:paraId="10D884B0" w14:textId="1855CCE1"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$120,000</w:t>
            </w:r>
          </w:p>
        </w:tc>
        <w:tc>
          <w:tcPr>
            <w:tcW w:w="613" w:type="pct"/>
            <w:tcBorders>
              <w:top w:val="nil"/>
              <w:bottom w:val="nil"/>
            </w:tcBorders>
          </w:tcPr>
          <w:p w14:paraId="5D671619" w14:textId="2EA18EEF"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$123,600</w:t>
            </w:r>
          </w:p>
        </w:tc>
        <w:tc>
          <w:tcPr>
            <w:tcW w:w="611" w:type="pct"/>
            <w:tcBorders>
              <w:top w:val="nil"/>
              <w:bottom w:val="nil"/>
              <w:right w:val="single" w:sz="4" w:space="0" w:color="auto"/>
            </w:tcBorders>
          </w:tcPr>
          <w:p w14:paraId="56C7A5D5" w14:textId="06F52D56"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$127,308</w:t>
            </w:r>
          </w:p>
        </w:tc>
      </w:tr>
      <w:tr w:rsidR="009F1D75" w14:paraId="6BC31118" w14:textId="77777777" w:rsidTr="00EF076A">
        <w:trPr>
          <w:trHeight w:val="314"/>
        </w:trPr>
        <w:tc>
          <w:tcPr>
            <w:tcW w:w="1568" w:type="pct"/>
            <w:vMerge/>
            <w:tcBorders>
              <w:left w:val="single" w:sz="4" w:space="0" w:color="auto"/>
              <w:bottom w:val="nil"/>
            </w:tcBorders>
            <w:vAlign w:val="center"/>
          </w:tcPr>
          <w:p w14:paraId="41C6986A" w14:textId="77777777" w:rsidR="00B04FD2" w:rsidRPr="005A3645" w:rsidRDefault="00B04FD2" w:rsidP="00B04FD2">
            <w:pPr>
              <w:spacing w:before="40" w:after="40" w:line="240" w:lineRule="auto"/>
              <w:rPr>
                <w:rFonts w:asciiTheme="minorHAnsi" w:hAnsiTheme="minorHAnsi" w:cstheme="minorHAnsi"/>
                <w:iCs/>
                <w:color w:val="FF0000"/>
                <w:szCs w:val="20"/>
              </w:rPr>
            </w:pPr>
          </w:p>
        </w:tc>
        <w:tc>
          <w:tcPr>
            <w:tcW w:w="955" w:type="pct"/>
            <w:tcBorders>
              <w:top w:val="nil"/>
              <w:bottom w:val="nil"/>
            </w:tcBorders>
            <w:vAlign w:val="center"/>
          </w:tcPr>
          <w:p w14:paraId="7AD1E68F" w14:textId="77777777" w:rsidR="00B04FD2" w:rsidRDefault="00B04FD2" w:rsidP="00B04FD2">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Distributed</w:t>
            </w:r>
          </w:p>
        </w:tc>
        <w:tc>
          <w:tcPr>
            <w:tcW w:w="641" w:type="pct"/>
            <w:tcBorders>
              <w:top w:val="nil"/>
              <w:bottom w:val="nil"/>
            </w:tcBorders>
            <w:vAlign w:val="center"/>
          </w:tcPr>
          <w:p w14:paraId="6186E3CC" w14:textId="73977428" w:rsidR="00B04FD2" w:rsidRDefault="00B04FD2" w:rsidP="00B04FD2">
            <w:pPr>
              <w:spacing w:before="40" w:after="40" w:line="240" w:lineRule="auto"/>
              <w:jc w:val="center"/>
              <w:rPr>
                <w:rFonts w:asciiTheme="minorHAnsi" w:hAnsiTheme="minorHAnsi" w:cstheme="minorHAnsi"/>
                <w:color w:val="FF0000"/>
                <w:szCs w:val="20"/>
              </w:rPr>
            </w:pPr>
            <w:r w:rsidRPr="008C02EE">
              <w:rPr>
                <w:rFonts w:asciiTheme="minorHAnsi" w:hAnsiTheme="minorHAnsi" w:cstheme="minorHAnsi"/>
                <w:color w:val="4472C4" w:themeColor="accent1"/>
                <w:szCs w:val="20"/>
              </w:rPr>
              <w:t>$</w:t>
            </w:r>
            <w:r>
              <w:rPr>
                <w:rFonts w:asciiTheme="minorHAnsi" w:hAnsiTheme="minorHAnsi" w:cstheme="minorHAnsi"/>
                <w:color w:val="4472C4" w:themeColor="accent1"/>
                <w:szCs w:val="20"/>
              </w:rPr>
              <w:t>0</w:t>
            </w:r>
          </w:p>
        </w:tc>
        <w:tc>
          <w:tcPr>
            <w:tcW w:w="612" w:type="pct"/>
            <w:tcBorders>
              <w:top w:val="nil"/>
              <w:bottom w:val="nil"/>
            </w:tcBorders>
          </w:tcPr>
          <w:p w14:paraId="0EDE0006" w14:textId="06D8ECCD"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c>
          <w:tcPr>
            <w:tcW w:w="613" w:type="pct"/>
            <w:tcBorders>
              <w:top w:val="nil"/>
              <w:bottom w:val="nil"/>
            </w:tcBorders>
          </w:tcPr>
          <w:p w14:paraId="75B3A3C5" w14:textId="4B011C8F"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c>
          <w:tcPr>
            <w:tcW w:w="611" w:type="pct"/>
            <w:tcBorders>
              <w:top w:val="nil"/>
              <w:bottom w:val="nil"/>
              <w:right w:val="single" w:sz="4" w:space="0" w:color="auto"/>
            </w:tcBorders>
          </w:tcPr>
          <w:p w14:paraId="079EA23F" w14:textId="04B17A9C"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r>
      <w:tr w:rsidR="009F1D75" w14:paraId="6DD337D4" w14:textId="77777777" w:rsidTr="00EF076A">
        <w:trPr>
          <w:trHeight w:val="314"/>
        </w:trPr>
        <w:tc>
          <w:tcPr>
            <w:tcW w:w="1568" w:type="pct"/>
            <w:vMerge w:val="restart"/>
            <w:tcBorders>
              <w:top w:val="nil"/>
              <w:left w:val="single" w:sz="4" w:space="0" w:color="auto"/>
            </w:tcBorders>
            <w:vAlign w:val="center"/>
          </w:tcPr>
          <w:p w14:paraId="5EC9633A" w14:textId="332153B9" w:rsidR="00B04FD2" w:rsidRPr="007C3865" w:rsidRDefault="00B04FD2" w:rsidP="00B04FD2">
            <w:pPr>
              <w:spacing w:before="40" w:after="40" w:line="240" w:lineRule="auto"/>
              <w:rPr>
                <w:rFonts w:asciiTheme="minorHAnsi" w:hAnsiTheme="minorHAnsi" w:cstheme="minorHAnsi"/>
                <w:i/>
                <w:color w:val="FF0000"/>
                <w:szCs w:val="20"/>
              </w:rPr>
            </w:pPr>
            <w:r w:rsidRPr="007C3865">
              <w:rPr>
                <w:rFonts w:asciiTheme="minorHAnsi" w:hAnsiTheme="minorHAnsi" w:cstheme="minorHAnsi"/>
                <w:i/>
                <w:szCs w:val="20"/>
              </w:rPr>
              <w:t>Mentor Support Rural Remote</w:t>
            </w:r>
          </w:p>
        </w:tc>
        <w:tc>
          <w:tcPr>
            <w:tcW w:w="955" w:type="pct"/>
            <w:tcBorders>
              <w:top w:val="nil"/>
              <w:bottom w:val="nil"/>
            </w:tcBorders>
            <w:vAlign w:val="center"/>
          </w:tcPr>
          <w:p w14:paraId="6EF0983C" w14:textId="77777777" w:rsidR="00B04FD2" w:rsidRDefault="00B04FD2" w:rsidP="00B04FD2">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1F0D32C8" w14:textId="24A7C182" w:rsidR="00B04FD2" w:rsidRDefault="00B04FD2" w:rsidP="00B04FD2">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$35,000</w:t>
            </w:r>
          </w:p>
        </w:tc>
        <w:tc>
          <w:tcPr>
            <w:tcW w:w="612" w:type="pct"/>
            <w:tcBorders>
              <w:top w:val="nil"/>
              <w:bottom w:val="nil"/>
            </w:tcBorders>
          </w:tcPr>
          <w:p w14:paraId="5861D53B" w14:textId="27B9724A"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c>
          <w:tcPr>
            <w:tcW w:w="613" w:type="pct"/>
            <w:tcBorders>
              <w:top w:val="nil"/>
              <w:bottom w:val="nil"/>
            </w:tcBorders>
          </w:tcPr>
          <w:p w14:paraId="3C3E2993" w14:textId="10623C87"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c>
          <w:tcPr>
            <w:tcW w:w="611" w:type="pct"/>
            <w:tcBorders>
              <w:top w:val="nil"/>
              <w:bottom w:val="nil"/>
              <w:right w:val="single" w:sz="4" w:space="0" w:color="auto"/>
            </w:tcBorders>
          </w:tcPr>
          <w:p w14:paraId="37CDD0E2" w14:textId="23B8D100"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r>
      <w:tr w:rsidR="009F1D75" w14:paraId="5F347BB0" w14:textId="77777777" w:rsidTr="00EF076A">
        <w:trPr>
          <w:trHeight w:val="314"/>
        </w:trPr>
        <w:tc>
          <w:tcPr>
            <w:tcW w:w="1568" w:type="pct"/>
            <w:vMerge/>
            <w:tcBorders>
              <w:left w:val="single" w:sz="4" w:space="0" w:color="auto"/>
              <w:bottom w:val="nil"/>
            </w:tcBorders>
            <w:vAlign w:val="center"/>
          </w:tcPr>
          <w:p w14:paraId="5B11B607" w14:textId="77777777" w:rsidR="00B04FD2" w:rsidRPr="005A3645" w:rsidRDefault="00B04FD2" w:rsidP="00B04FD2">
            <w:pPr>
              <w:spacing w:before="40" w:after="40" w:line="240" w:lineRule="auto"/>
              <w:rPr>
                <w:rFonts w:asciiTheme="minorHAnsi" w:hAnsiTheme="minorHAnsi" w:cstheme="minorHAnsi"/>
                <w:iCs/>
                <w:color w:val="FF0000"/>
                <w:szCs w:val="20"/>
              </w:rPr>
            </w:pPr>
          </w:p>
        </w:tc>
        <w:tc>
          <w:tcPr>
            <w:tcW w:w="955" w:type="pct"/>
            <w:tcBorders>
              <w:top w:val="nil"/>
              <w:bottom w:val="nil"/>
            </w:tcBorders>
            <w:vAlign w:val="center"/>
          </w:tcPr>
          <w:p w14:paraId="518107AE" w14:textId="77777777" w:rsidR="00B04FD2" w:rsidRDefault="00B04FD2" w:rsidP="00B04FD2">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Distributed</w:t>
            </w:r>
          </w:p>
        </w:tc>
        <w:tc>
          <w:tcPr>
            <w:tcW w:w="641" w:type="pct"/>
            <w:tcBorders>
              <w:top w:val="nil"/>
              <w:bottom w:val="nil"/>
            </w:tcBorders>
            <w:vAlign w:val="center"/>
          </w:tcPr>
          <w:p w14:paraId="5E106F95" w14:textId="0E3214B9" w:rsidR="00B04FD2" w:rsidRDefault="00B04FD2" w:rsidP="00B04FD2">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2" w:type="pct"/>
            <w:tcBorders>
              <w:top w:val="nil"/>
              <w:bottom w:val="nil"/>
            </w:tcBorders>
          </w:tcPr>
          <w:p w14:paraId="37958B02" w14:textId="0436AB32"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c>
          <w:tcPr>
            <w:tcW w:w="613" w:type="pct"/>
            <w:tcBorders>
              <w:top w:val="nil"/>
              <w:bottom w:val="nil"/>
            </w:tcBorders>
          </w:tcPr>
          <w:p w14:paraId="7F02AA6F" w14:textId="40524780"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c>
          <w:tcPr>
            <w:tcW w:w="611" w:type="pct"/>
            <w:tcBorders>
              <w:top w:val="nil"/>
              <w:bottom w:val="nil"/>
              <w:right w:val="single" w:sz="4" w:space="0" w:color="auto"/>
            </w:tcBorders>
          </w:tcPr>
          <w:p w14:paraId="245154F2" w14:textId="2F8DC507"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$0</w:t>
            </w:r>
          </w:p>
        </w:tc>
      </w:tr>
      <w:tr w:rsidR="009F1D75" w14:paraId="320861DB" w14:textId="77777777" w:rsidTr="00EF076A">
        <w:trPr>
          <w:trHeight w:val="314"/>
        </w:trPr>
        <w:tc>
          <w:tcPr>
            <w:tcW w:w="1568" w:type="pct"/>
            <w:vMerge w:val="restart"/>
            <w:tcBorders>
              <w:top w:val="nil"/>
              <w:left w:val="single" w:sz="4" w:space="0" w:color="auto"/>
            </w:tcBorders>
            <w:vAlign w:val="center"/>
          </w:tcPr>
          <w:p w14:paraId="3B9DDA19" w14:textId="7083708F" w:rsidR="00B04FD2" w:rsidRPr="007C3865" w:rsidRDefault="00B04FD2" w:rsidP="00B04FD2">
            <w:pPr>
              <w:spacing w:before="40" w:after="40" w:line="240" w:lineRule="auto"/>
              <w:rPr>
                <w:rFonts w:asciiTheme="minorHAnsi" w:hAnsiTheme="minorHAnsi" w:cstheme="minorHAnsi"/>
                <w:i/>
                <w:szCs w:val="20"/>
              </w:rPr>
            </w:pPr>
            <w:r w:rsidRPr="007C3865">
              <w:rPr>
                <w:rFonts w:asciiTheme="minorHAnsi" w:hAnsiTheme="minorHAnsi" w:cstheme="minorHAnsi"/>
                <w:i/>
                <w:szCs w:val="20"/>
              </w:rPr>
              <w:t>Kimberley IT Support</w:t>
            </w:r>
          </w:p>
        </w:tc>
        <w:tc>
          <w:tcPr>
            <w:tcW w:w="955" w:type="pct"/>
            <w:tcBorders>
              <w:top w:val="nil"/>
              <w:bottom w:val="nil"/>
            </w:tcBorders>
            <w:vAlign w:val="center"/>
          </w:tcPr>
          <w:p w14:paraId="31C4C2AE" w14:textId="1C3EE6F7" w:rsidR="00B04FD2" w:rsidRDefault="00B04FD2" w:rsidP="00B04FD2">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646D5FA1" w14:textId="6CCC7AFA" w:rsidR="00B04FD2" w:rsidRDefault="00B04FD2" w:rsidP="00B04FD2">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$359,600</w:t>
            </w:r>
          </w:p>
        </w:tc>
        <w:tc>
          <w:tcPr>
            <w:tcW w:w="612" w:type="pct"/>
            <w:tcBorders>
              <w:top w:val="nil"/>
              <w:bottom w:val="nil"/>
            </w:tcBorders>
          </w:tcPr>
          <w:p w14:paraId="52FA9C32" w14:textId="7B96B610"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$409,600 </w:t>
            </w:r>
          </w:p>
        </w:tc>
        <w:tc>
          <w:tcPr>
            <w:tcW w:w="613" w:type="pct"/>
            <w:tcBorders>
              <w:top w:val="nil"/>
              <w:bottom w:val="nil"/>
            </w:tcBorders>
          </w:tcPr>
          <w:p w14:paraId="73471BE7" w14:textId="5FD37DB8"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$421,888 </w:t>
            </w:r>
          </w:p>
        </w:tc>
        <w:tc>
          <w:tcPr>
            <w:tcW w:w="611" w:type="pct"/>
            <w:tcBorders>
              <w:top w:val="nil"/>
              <w:bottom w:val="nil"/>
              <w:right w:val="single" w:sz="4" w:space="0" w:color="auto"/>
            </w:tcBorders>
          </w:tcPr>
          <w:p w14:paraId="0A0662C9" w14:textId="4F8AEA10"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$434,545 </w:t>
            </w:r>
          </w:p>
        </w:tc>
      </w:tr>
      <w:tr w:rsidR="009F1D75" w14:paraId="19CE0136" w14:textId="77777777" w:rsidTr="00EF076A">
        <w:trPr>
          <w:trHeight w:val="314"/>
        </w:trPr>
        <w:tc>
          <w:tcPr>
            <w:tcW w:w="1568" w:type="pct"/>
            <w:vMerge/>
            <w:tcBorders>
              <w:left w:val="single" w:sz="4" w:space="0" w:color="auto"/>
              <w:bottom w:val="nil"/>
            </w:tcBorders>
            <w:vAlign w:val="center"/>
          </w:tcPr>
          <w:p w14:paraId="193DC31E" w14:textId="77777777" w:rsidR="00B04FD2" w:rsidRPr="005A3645" w:rsidRDefault="00B04FD2" w:rsidP="00B04FD2">
            <w:pPr>
              <w:spacing w:before="40" w:after="40" w:line="240" w:lineRule="auto"/>
              <w:rPr>
                <w:rFonts w:asciiTheme="minorHAnsi" w:hAnsiTheme="minorHAnsi" w:cstheme="minorHAnsi"/>
                <w:iCs/>
                <w:color w:val="FF0000"/>
                <w:szCs w:val="20"/>
              </w:rPr>
            </w:pPr>
          </w:p>
        </w:tc>
        <w:tc>
          <w:tcPr>
            <w:tcW w:w="955" w:type="pct"/>
            <w:tcBorders>
              <w:top w:val="nil"/>
              <w:bottom w:val="nil"/>
            </w:tcBorders>
            <w:vAlign w:val="center"/>
          </w:tcPr>
          <w:p w14:paraId="71731549" w14:textId="64B91689" w:rsidR="00B04FD2" w:rsidRDefault="00B04FD2" w:rsidP="00B04FD2">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Distributed</w:t>
            </w:r>
          </w:p>
        </w:tc>
        <w:tc>
          <w:tcPr>
            <w:tcW w:w="641" w:type="pct"/>
            <w:tcBorders>
              <w:top w:val="nil"/>
              <w:bottom w:val="nil"/>
            </w:tcBorders>
            <w:vAlign w:val="center"/>
          </w:tcPr>
          <w:p w14:paraId="670484FB" w14:textId="1F424912" w:rsidR="00B04FD2" w:rsidRDefault="00B04FD2" w:rsidP="00B04FD2">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$50,400</w:t>
            </w:r>
          </w:p>
        </w:tc>
        <w:tc>
          <w:tcPr>
            <w:tcW w:w="612" w:type="pct"/>
            <w:tcBorders>
              <w:top w:val="nil"/>
              <w:bottom w:val="nil"/>
            </w:tcBorders>
          </w:tcPr>
          <w:p w14:paraId="336E8DF1" w14:textId="4CFA0889"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$50,400 </w:t>
            </w:r>
          </w:p>
        </w:tc>
        <w:tc>
          <w:tcPr>
            <w:tcW w:w="613" w:type="pct"/>
            <w:tcBorders>
              <w:top w:val="nil"/>
              <w:bottom w:val="nil"/>
            </w:tcBorders>
          </w:tcPr>
          <w:p w14:paraId="33481A96" w14:textId="2F26572C"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$51,912 </w:t>
            </w:r>
          </w:p>
        </w:tc>
        <w:tc>
          <w:tcPr>
            <w:tcW w:w="611" w:type="pct"/>
            <w:tcBorders>
              <w:top w:val="nil"/>
              <w:bottom w:val="nil"/>
              <w:right w:val="single" w:sz="4" w:space="0" w:color="auto"/>
            </w:tcBorders>
          </w:tcPr>
          <w:p w14:paraId="7030C3A2" w14:textId="6CEAFFEF" w:rsidR="00B04FD2" w:rsidRPr="00225E3A" w:rsidRDefault="00B04FD2" w:rsidP="00B04FD2">
            <w:pPr>
              <w:spacing w:before="40" w:after="40" w:line="240" w:lineRule="auto"/>
              <w:jc w:val="center"/>
              <w:rPr>
                <w:rFonts w:asciiTheme="minorHAnsi" w:hAnsiTheme="minorHAnsi" w:cstheme="minorHAnsi"/>
                <w:color w:val="4472C4" w:themeColor="accent1"/>
                <w:szCs w:val="20"/>
              </w:rPr>
            </w:pPr>
            <w:r w:rsidRPr="00225E3A">
              <w:rPr>
                <w:rFonts w:asciiTheme="minorHAnsi" w:hAnsiTheme="minorHAnsi" w:cstheme="minorHAnsi"/>
                <w:color w:val="4472C4" w:themeColor="accent1"/>
                <w:szCs w:val="20"/>
              </w:rPr>
              <w:t xml:space="preserve"> $53,469 </w:t>
            </w:r>
          </w:p>
        </w:tc>
      </w:tr>
      <w:bookmarkEnd w:id="2"/>
      <w:tr w:rsidR="009F1D75" w14:paraId="30F54145" w14:textId="77777777" w:rsidTr="009F1D75">
        <w:trPr>
          <w:trHeight w:val="314"/>
        </w:trPr>
        <w:tc>
          <w:tcPr>
            <w:tcW w:w="1568" w:type="pct"/>
            <w:vMerge w:val="restart"/>
            <w:tcBorders>
              <w:top w:val="nil"/>
              <w:left w:val="single" w:sz="4" w:space="0" w:color="auto"/>
            </w:tcBorders>
            <w:shd w:val="clear" w:color="auto" w:fill="F2F2F2" w:themeFill="background1" w:themeFillShade="F2"/>
            <w:vAlign w:val="center"/>
          </w:tcPr>
          <w:p w14:paraId="2DE1248D" w14:textId="19BC1265" w:rsidR="00B04FD2" w:rsidRPr="005A3645" w:rsidRDefault="00B04FD2" w:rsidP="00B04FD2">
            <w:pPr>
              <w:spacing w:before="40" w:after="40" w:line="240" w:lineRule="auto"/>
              <w:rPr>
                <w:rFonts w:asciiTheme="minorHAnsi" w:hAnsiTheme="minorHAnsi" w:cstheme="minorHAnsi"/>
                <w:iCs/>
                <w:color w:val="FF0000"/>
                <w:szCs w:val="20"/>
              </w:rPr>
            </w:pPr>
            <w:r w:rsidRPr="00115319">
              <w:rPr>
                <w:rFonts w:asciiTheme="minorHAnsi" w:hAnsiTheme="minorHAnsi" w:cstheme="minorHAnsi"/>
                <w:b/>
                <w:bCs/>
                <w:i/>
                <w:iCs/>
                <w:szCs w:val="20"/>
              </w:rPr>
              <w:t xml:space="preserve">Total for Priority </w:t>
            </w:r>
            <w:r>
              <w:rPr>
                <w:rFonts w:asciiTheme="minorHAnsi" w:hAnsiTheme="minorHAnsi" w:cstheme="minorHAnsi"/>
                <w:b/>
                <w:bCs/>
                <w:i/>
                <w:iCs/>
                <w:szCs w:val="20"/>
              </w:rPr>
              <w:t>D</w:t>
            </w:r>
          </w:p>
        </w:tc>
        <w:tc>
          <w:tcPr>
            <w:tcW w:w="955" w:type="pct"/>
            <w:tcBorders>
              <w:top w:val="nil"/>
              <w:bottom w:val="nil"/>
            </w:tcBorders>
            <w:shd w:val="clear" w:color="auto" w:fill="F2F2F2" w:themeFill="background1" w:themeFillShade="F2"/>
            <w:vAlign w:val="center"/>
          </w:tcPr>
          <w:p w14:paraId="3144077F" w14:textId="77777777" w:rsidR="00B04FD2" w:rsidRPr="00115319" w:rsidRDefault="00B04FD2" w:rsidP="00B04FD2">
            <w:pPr>
              <w:spacing w:before="40" w:after="40" w:line="240" w:lineRule="auto"/>
              <w:rPr>
                <w:rFonts w:asciiTheme="minorHAnsi" w:hAnsiTheme="minorHAnsi" w:cstheme="minorHAnsi"/>
                <w:b/>
                <w:bCs/>
                <w:i/>
                <w:iCs/>
                <w:color w:val="FF0000"/>
                <w:szCs w:val="20"/>
              </w:rPr>
            </w:pPr>
            <w:r w:rsidRPr="00115319">
              <w:rPr>
                <w:rFonts w:asciiTheme="minorHAnsi" w:hAnsiTheme="minorHAnsi" w:cstheme="minorHAnsi"/>
                <w:b/>
                <w:bCs/>
                <w:i/>
                <w:iCs/>
                <w:szCs w:val="20"/>
              </w:rPr>
              <w:t>Centralised</w:t>
            </w:r>
          </w:p>
        </w:tc>
        <w:tc>
          <w:tcPr>
            <w:tcW w:w="641" w:type="pct"/>
            <w:tcBorders>
              <w:top w:val="nil"/>
              <w:bottom w:val="nil"/>
            </w:tcBorders>
            <w:shd w:val="clear" w:color="auto" w:fill="F2F2F2" w:themeFill="background1" w:themeFillShade="F2"/>
            <w:vAlign w:val="center"/>
          </w:tcPr>
          <w:p w14:paraId="19E0578D" w14:textId="13FE9737" w:rsidR="00B04FD2" w:rsidRPr="00115319" w:rsidRDefault="00B04FD2" w:rsidP="00B04FD2">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$836,600</w:t>
            </w:r>
          </w:p>
        </w:tc>
        <w:tc>
          <w:tcPr>
            <w:tcW w:w="612" w:type="pct"/>
            <w:tcBorders>
              <w:top w:val="nil"/>
              <w:bottom w:val="nil"/>
            </w:tcBorders>
            <w:shd w:val="clear" w:color="auto" w:fill="F2F2F2" w:themeFill="background1" w:themeFillShade="F2"/>
          </w:tcPr>
          <w:p w14:paraId="4E8B697B" w14:textId="28FBD7C6" w:rsidR="00B04FD2" w:rsidRPr="00115319" w:rsidRDefault="00B04FD2" w:rsidP="00B04FD2">
            <w:pPr>
              <w:spacing w:before="40" w:after="40" w:line="240" w:lineRule="auto"/>
              <w:jc w:val="center"/>
              <w:rPr>
                <w:rFonts w:asciiTheme="minorHAnsi" w:hAnsiTheme="minorHAnsi" w:cstheme="minorHAnsi"/>
                <w:b/>
                <w:bCs/>
                <w:i/>
                <w:iCs/>
                <w:color w:val="FF0000"/>
                <w:szCs w:val="20"/>
              </w:rPr>
            </w:pPr>
            <w:r w:rsidRPr="005E0301">
              <w:rPr>
                <w:rFonts w:asciiTheme="minorHAnsi" w:hAnsiTheme="minorHAnsi" w:cstheme="minorHAnsi"/>
                <w:b/>
                <w:bCs/>
                <w:i/>
                <w:iCs/>
                <w:color w:val="4472C4" w:themeColor="accent1"/>
                <w:szCs w:val="20"/>
              </w:rPr>
              <w:t xml:space="preserve"> $796,022 </w:t>
            </w:r>
          </w:p>
        </w:tc>
        <w:tc>
          <w:tcPr>
            <w:tcW w:w="613" w:type="pct"/>
            <w:tcBorders>
              <w:top w:val="nil"/>
              <w:bottom w:val="nil"/>
            </w:tcBorders>
            <w:shd w:val="clear" w:color="auto" w:fill="F2F2F2" w:themeFill="background1" w:themeFillShade="F2"/>
          </w:tcPr>
          <w:p w14:paraId="555A626F" w14:textId="609182A5" w:rsidR="00B04FD2" w:rsidRPr="00115319" w:rsidRDefault="00B04FD2" w:rsidP="00B04FD2">
            <w:pPr>
              <w:spacing w:before="40" w:after="40" w:line="240" w:lineRule="auto"/>
              <w:jc w:val="center"/>
              <w:rPr>
                <w:rFonts w:asciiTheme="minorHAnsi" w:hAnsiTheme="minorHAnsi" w:cstheme="minorHAnsi"/>
                <w:b/>
                <w:bCs/>
                <w:i/>
                <w:iCs/>
                <w:color w:val="FF0000"/>
                <w:szCs w:val="20"/>
              </w:rPr>
            </w:pPr>
            <w:r w:rsidRPr="005E0301">
              <w:rPr>
                <w:rFonts w:asciiTheme="minorHAnsi" w:hAnsiTheme="minorHAnsi" w:cstheme="minorHAnsi"/>
                <w:b/>
                <w:bCs/>
                <w:i/>
                <w:iCs/>
                <w:color w:val="4472C4" w:themeColor="accent1"/>
                <w:szCs w:val="20"/>
              </w:rPr>
              <w:t xml:space="preserve"> $819,903 </w:t>
            </w:r>
          </w:p>
        </w:tc>
        <w:tc>
          <w:tcPr>
            <w:tcW w:w="611" w:type="pct"/>
            <w:tcBorders>
              <w:top w:val="nil"/>
              <w:bottom w:val="nil"/>
              <w:right w:val="single" w:sz="4" w:space="0" w:color="auto"/>
            </w:tcBorders>
            <w:shd w:val="clear" w:color="auto" w:fill="F2F2F2" w:themeFill="background1" w:themeFillShade="F2"/>
          </w:tcPr>
          <w:p w14:paraId="077F127F" w14:textId="494DEB3A" w:rsidR="00B04FD2" w:rsidRPr="00115319" w:rsidRDefault="00B04FD2" w:rsidP="00B04FD2">
            <w:pPr>
              <w:spacing w:before="40" w:after="40" w:line="240" w:lineRule="auto"/>
              <w:jc w:val="center"/>
              <w:rPr>
                <w:rFonts w:asciiTheme="minorHAnsi" w:hAnsiTheme="minorHAnsi" w:cstheme="minorHAnsi"/>
                <w:b/>
                <w:bCs/>
                <w:i/>
                <w:iCs/>
                <w:color w:val="FF0000"/>
                <w:szCs w:val="20"/>
              </w:rPr>
            </w:pPr>
            <w:r w:rsidRPr="005E0301">
              <w:rPr>
                <w:rFonts w:asciiTheme="minorHAnsi" w:hAnsiTheme="minorHAnsi" w:cstheme="minorHAnsi"/>
                <w:b/>
                <w:bCs/>
                <w:i/>
                <w:iCs/>
                <w:color w:val="4472C4" w:themeColor="accent1"/>
                <w:szCs w:val="20"/>
              </w:rPr>
              <w:t xml:space="preserve"> $844,500 </w:t>
            </w:r>
          </w:p>
        </w:tc>
      </w:tr>
      <w:tr w:rsidR="009F1D75" w14:paraId="5E4A3009" w14:textId="77777777" w:rsidTr="009F1D75">
        <w:trPr>
          <w:trHeight w:val="314"/>
        </w:trPr>
        <w:tc>
          <w:tcPr>
            <w:tcW w:w="1568" w:type="pct"/>
            <w:vMerge/>
            <w:tcBorders>
              <w:left w:val="single" w:sz="4" w:space="0" w:color="auto"/>
              <w:bottom w:val="single" w:sz="4" w:space="0" w:color="auto"/>
            </w:tcBorders>
            <w:shd w:val="clear" w:color="auto" w:fill="F2F2F2" w:themeFill="background1" w:themeFillShade="F2"/>
            <w:vAlign w:val="center"/>
          </w:tcPr>
          <w:p w14:paraId="5FFC207C" w14:textId="77777777" w:rsidR="00B04FD2" w:rsidRPr="005A3645" w:rsidRDefault="00B04FD2" w:rsidP="00B04FD2">
            <w:pPr>
              <w:spacing w:before="40" w:after="40" w:line="240" w:lineRule="auto"/>
              <w:rPr>
                <w:rFonts w:asciiTheme="minorHAnsi" w:hAnsiTheme="minorHAnsi" w:cstheme="minorHAnsi"/>
                <w:iCs/>
                <w:color w:val="FF0000"/>
                <w:szCs w:val="20"/>
              </w:rPr>
            </w:pPr>
          </w:p>
        </w:tc>
        <w:tc>
          <w:tcPr>
            <w:tcW w:w="955" w:type="pct"/>
            <w:tcBorders>
              <w:top w:val="nil"/>
              <w:bottom w:val="single" w:sz="4" w:space="0" w:color="auto"/>
            </w:tcBorders>
            <w:shd w:val="clear" w:color="auto" w:fill="F2F2F2" w:themeFill="background1" w:themeFillShade="F2"/>
            <w:vAlign w:val="center"/>
          </w:tcPr>
          <w:p w14:paraId="667713E7" w14:textId="77777777" w:rsidR="00B04FD2" w:rsidRPr="00115319" w:rsidRDefault="00B04FD2" w:rsidP="00B04FD2">
            <w:pPr>
              <w:spacing w:before="40" w:after="40" w:line="240" w:lineRule="auto"/>
              <w:rPr>
                <w:rFonts w:asciiTheme="minorHAnsi" w:hAnsiTheme="minorHAnsi" w:cstheme="minorHAnsi"/>
                <w:b/>
                <w:bCs/>
                <w:i/>
                <w:iCs/>
                <w:color w:val="FF0000"/>
                <w:szCs w:val="20"/>
              </w:rPr>
            </w:pPr>
            <w:r w:rsidRPr="00115319">
              <w:rPr>
                <w:rFonts w:asciiTheme="minorHAnsi" w:hAnsiTheme="minorHAnsi" w:cstheme="minorHAnsi"/>
                <w:b/>
                <w:bCs/>
                <w:i/>
                <w:iCs/>
                <w:szCs w:val="20"/>
              </w:rPr>
              <w:t>Distributed</w:t>
            </w:r>
          </w:p>
        </w:tc>
        <w:tc>
          <w:tcPr>
            <w:tcW w:w="641" w:type="pct"/>
            <w:tcBorders>
              <w:top w:val="nil"/>
              <w:bottom w:val="single" w:sz="4" w:space="0" w:color="auto"/>
            </w:tcBorders>
            <w:shd w:val="clear" w:color="auto" w:fill="F2F2F2" w:themeFill="background1" w:themeFillShade="F2"/>
            <w:vAlign w:val="center"/>
          </w:tcPr>
          <w:p w14:paraId="0143837A" w14:textId="4D45F081" w:rsidR="00B04FD2" w:rsidRPr="00115319" w:rsidRDefault="00B04FD2" w:rsidP="00B04FD2">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$618,400</w:t>
            </w:r>
          </w:p>
        </w:tc>
        <w:tc>
          <w:tcPr>
            <w:tcW w:w="612" w:type="pct"/>
            <w:tcBorders>
              <w:top w:val="nil"/>
              <w:bottom w:val="single" w:sz="4" w:space="0" w:color="auto"/>
            </w:tcBorders>
            <w:shd w:val="clear" w:color="auto" w:fill="F2F2F2" w:themeFill="background1" w:themeFillShade="F2"/>
          </w:tcPr>
          <w:p w14:paraId="16178AC8" w14:textId="0F2855F0" w:rsidR="00B04FD2" w:rsidRPr="00115319" w:rsidRDefault="00B04FD2" w:rsidP="00B04FD2">
            <w:pPr>
              <w:spacing w:before="40" w:after="40" w:line="240" w:lineRule="auto"/>
              <w:jc w:val="center"/>
              <w:rPr>
                <w:rFonts w:asciiTheme="minorHAnsi" w:hAnsiTheme="minorHAnsi" w:cstheme="minorHAnsi"/>
                <w:b/>
                <w:bCs/>
                <w:i/>
                <w:iCs/>
                <w:color w:val="FF0000"/>
                <w:szCs w:val="20"/>
              </w:rPr>
            </w:pPr>
            <w:r w:rsidRPr="005E0301">
              <w:rPr>
                <w:rFonts w:asciiTheme="minorHAnsi" w:hAnsiTheme="minorHAnsi" w:cstheme="minorHAnsi"/>
                <w:b/>
                <w:bCs/>
                <w:i/>
                <w:iCs/>
                <w:color w:val="4472C4" w:themeColor="accent1"/>
                <w:szCs w:val="20"/>
              </w:rPr>
              <w:t xml:space="preserve"> $633,978 </w:t>
            </w:r>
          </w:p>
        </w:tc>
        <w:tc>
          <w:tcPr>
            <w:tcW w:w="613" w:type="pct"/>
            <w:tcBorders>
              <w:top w:val="nil"/>
              <w:bottom w:val="single" w:sz="4" w:space="0" w:color="auto"/>
            </w:tcBorders>
            <w:shd w:val="clear" w:color="auto" w:fill="F2F2F2" w:themeFill="background1" w:themeFillShade="F2"/>
          </w:tcPr>
          <w:p w14:paraId="2033DB9F" w14:textId="1975A032" w:rsidR="00B04FD2" w:rsidRPr="00115319" w:rsidRDefault="00B04FD2" w:rsidP="00B04FD2">
            <w:pPr>
              <w:spacing w:before="40" w:after="40" w:line="240" w:lineRule="auto"/>
              <w:jc w:val="center"/>
              <w:rPr>
                <w:rFonts w:asciiTheme="minorHAnsi" w:hAnsiTheme="minorHAnsi" w:cstheme="minorHAnsi"/>
                <w:b/>
                <w:bCs/>
                <w:i/>
                <w:iCs/>
                <w:color w:val="FF0000"/>
                <w:szCs w:val="20"/>
              </w:rPr>
            </w:pPr>
            <w:r w:rsidRPr="005E0301">
              <w:rPr>
                <w:rFonts w:asciiTheme="minorHAnsi" w:hAnsiTheme="minorHAnsi" w:cstheme="minorHAnsi"/>
                <w:b/>
                <w:bCs/>
                <w:i/>
                <w:iCs/>
                <w:color w:val="4472C4" w:themeColor="accent1"/>
                <w:szCs w:val="20"/>
              </w:rPr>
              <w:t xml:space="preserve"> $652,997 </w:t>
            </w:r>
          </w:p>
        </w:tc>
        <w:tc>
          <w:tcPr>
            <w:tcW w:w="611" w:type="pct"/>
            <w:tcBorders>
              <w:top w:val="nil"/>
              <w:bottom w:val="single" w:sz="4" w:space="0" w:color="auto"/>
              <w:right w:val="single" w:sz="4" w:space="0" w:color="auto"/>
            </w:tcBorders>
            <w:shd w:val="clear" w:color="auto" w:fill="F2F2F2" w:themeFill="background1" w:themeFillShade="F2"/>
          </w:tcPr>
          <w:p w14:paraId="007D3440" w14:textId="508F66FE" w:rsidR="00B04FD2" w:rsidRPr="00115319" w:rsidRDefault="00B04FD2" w:rsidP="00B04FD2">
            <w:pPr>
              <w:spacing w:before="40" w:after="40" w:line="240" w:lineRule="auto"/>
              <w:jc w:val="center"/>
              <w:rPr>
                <w:rFonts w:asciiTheme="minorHAnsi" w:hAnsiTheme="minorHAnsi" w:cstheme="minorHAnsi"/>
                <w:b/>
                <w:bCs/>
                <w:i/>
                <w:iCs/>
                <w:color w:val="FF0000"/>
                <w:szCs w:val="20"/>
              </w:rPr>
            </w:pPr>
            <w:r w:rsidRPr="005E0301">
              <w:rPr>
                <w:rFonts w:asciiTheme="minorHAnsi" w:hAnsiTheme="minorHAnsi" w:cstheme="minorHAnsi"/>
                <w:b/>
                <w:bCs/>
                <w:i/>
                <w:iCs/>
                <w:color w:val="4472C4" w:themeColor="accent1"/>
                <w:szCs w:val="20"/>
              </w:rPr>
              <w:t xml:space="preserve"> $672,587 </w:t>
            </w:r>
          </w:p>
        </w:tc>
      </w:tr>
      <w:tr w:rsidR="009F1D75" w14:paraId="1E92FC75" w14:textId="77777777" w:rsidTr="00225E3A">
        <w:trPr>
          <w:trHeight w:val="124"/>
        </w:trPr>
        <w:tc>
          <w:tcPr>
            <w:tcW w:w="5000" w:type="pct"/>
            <w:gridSpan w:val="6"/>
            <w:tcBorders>
              <w:left w:val="single" w:sz="4" w:space="0" w:color="auto"/>
              <w:bottom w:val="nil"/>
              <w:right w:val="single" w:sz="4" w:space="0" w:color="auto"/>
            </w:tcBorders>
            <w:vAlign w:val="center"/>
          </w:tcPr>
          <w:p w14:paraId="5943F175" w14:textId="5E7CFF1E" w:rsidR="00EB7A5F" w:rsidRPr="006635E2" w:rsidRDefault="00EB7A5F" w:rsidP="00EB7A5F">
            <w:pPr>
              <w:spacing w:before="40" w:after="40" w:line="240" w:lineRule="auto"/>
              <w:rPr>
                <w:rFonts w:asciiTheme="minorHAnsi" w:hAnsiTheme="minorHAnsi" w:cstheme="minorHAnsi"/>
                <w:color w:val="4472C4" w:themeColor="accent1"/>
                <w:szCs w:val="20"/>
                <w:u w:val="single"/>
              </w:rPr>
            </w:pPr>
            <w:r w:rsidRPr="006635E2">
              <w:rPr>
                <w:rFonts w:asciiTheme="minorHAnsi" w:hAnsiTheme="minorHAnsi" w:cstheme="minorHAnsi"/>
                <w:b/>
                <w:bCs/>
                <w:color w:val="000000" w:themeColor="text1"/>
                <w:szCs w:val="20"/>
                <w:u w:val="single"/>
              </w:rPr>
              <w:t xml:space="preserve">E – Student </w:t>
            </w:r>
            <w:r w:rsidRPr="006635E2">
              <w:rPr>
                <w:rFonts w:asciiTheme="minorHAnsi" w:hAnsiTheme="minorHAnsi" w:cstheme="minorHAnsi"/>
                <w:b/>
                <w:bCs/>
                <w:szCs w:val="20"/>
                <w:u w:val="single"/>
              </w:rPr>
              <w:t>wellbeing and support</w:t>
            </w:r>
          </w:p>
        </w:tc>
      </w:tr>
      <w:tr w:rsidR="009F1D75" w14:paraId="41AF151C" w14:textId="77777777" w:rsidTr="00225E3A">
        <w:trPr>
          <w:trHeight w:val="314"/>
        </w:trPr>
        <w:tc>
          <w:tcPr>
            <w:tcW w:w="1568" w:type="pct"/>
            <w:vMerge w:val="restart"/>
            <w:tcBorders>
              <w:top w:val="nil"/>
              <w:left w:val="single" w:sz="4" w:space="0" w:color="auto"/>
            </w:tcBorders>
            <w:vAlign w:val="center"/>
          </w:tcPr>
          <w:p w14:paraId="3573A720" w14:textId="6FC0C9C7" w:rsidR="00982AE7" w:rsidRPr="007C3865" w:rsidRDefault="00982AE7" w:rsidP="00982AE7">
            <w:pPr>
              <w:spacing w:before="40" w:after="40" w:line="240" w:lineRule="auto"/>
              <w:rPr>
                <w:rFonts w:asciiTheme="minorHAnsi" w:hAnsiTheme="minorHAnsi" w:cstheme="minorHAnsi"/>
                <w:i/>
                <w:color w:val="FF0000"/>
                <w:szCs w:val="20"/>
              </w:rPr>
            </w:pPr>
            <w:r w:rsidRPr="007C3865">
              <w:rPr>
                <w:rFonts w:asciiTheme="minorHAnsi" w:hAnsiTheme="minorHAnsi" w:cstheme="minorHAnsi"/>
                <w:i/>
                <w:szCs w:val="20"/>
              </w:rPr>
              <w:t>Student Wellbeing</w:t>
            </w:r>
          </w:p>
        </w:tc>
        <w:tc>
          <w:tcPr>
            <w:tcW w:w="955" w:type="pct"/>
            <w:tcBorders>
              <w:top w:val="nil"/>
              <w:bottom w:val="nil"/>
            </w:tcBorders>
            <w:vAlign w:val="center"/>
          </w:tcPr>
          <w:p w14:paraId="30DF558F" w14:textId="77777777" w:rsidR="00982AE7" w:rsidRDefault="00982AE7" w:rsidP="00982AE7">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02E22E1D" w14:textId="286F0D65"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$1,155,400</w:t>
            </w:r>
          </w:p>
        </w:tc>
        <w:tc>
          <w:tcPr>
            <w:tcW w:w="612" w:type="pct"/>
            <w:tcBorders>
              <w:top w:val="nil"/>
              <w:bottom w:val="nil"/>
            </w:tcBorders>
            <w:vAlign w:val="center"/>
          </w:tcPr>
          <w:p w14:paraId="3A0FB5E0" w14:textId="47619D7A" w:rsidR="00982AE7" w:rsidRDefault="00982AE7" w:rsidP="00982AE7">
            <w:pPr>
              <w:spacing w:before="40" w:after="40" w:line="240" w:lineRule="auto"/>
              <w:jc w:val="center"/>
              <w:rPr>
                <w:rFonts w:asciiTheme="minorHAnsi" w:hAnsiTheme="minorHAnsi" w:cstheme="minorHAnsi"/>
                <w:color w:val="FF0000"/>
                <w:szCs w:val="20"/>
              </w:rPr>
            </w:pPr>
            <w:r w:rsidRPr="007A3742">
              <w:rPr>
                <w:rFonts w:asciiTheme="minorHAnsi" w:hAnsiTheme="minorHAnsi" w:cstheme="minorHAnsi"/>
                <w:color w:val="4472C4" w:themeColor="accent1"/>
                <w:szCs w:val="20"/>
              </w:rPr>
              <w:t>$882,891</w:t>
            </w:r>
          </w:p>
        </w:tc>
        <w:tc>
          <w:tcPr>
            <w:tcW w:w="613" w:type="pct"/>
            <w:tcBorders>
              <w:top w:val="nil"/>
              <w:bottom w:val="nil"/>
            </w:tcBorders>
            <w:vAlign w:val="center"/>
          </w:tcPr>
          <w:p w14:paraId="07C113B8" w14:textId="06E33D98"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$909,378</w:t>
            </w:r>
          </w:p>
        </w:tc>
        <w:tc>
          <w:tcPr>
            <w:tcW w:w="611" w:type="pct"/>
            <w:tcBorders>
              <w:top w:val="nil"/>
              <w:bottom w:val="nil"/>
              <w:right w:val="single" w:sz="4" w:space="0" w:color="auto"/>
            </w:tcBorders>
            <w:vAlign w:val="center"/>
          </w:tcPr>
          <w:p w14:paraId="151E2CF3" w14:textId="56BEB5C0"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$936,659</w:t>
            </w:r>
          </w:p>
        </w:tc>
      </w:tr>
      <w:tr w:rsidR="009F1D75" w14:paraId="6BE11F93" w14:textId="77777777" w:rsidTr="00225E3A">
        <w:trPr>
          <w:trHeight w:val="314"/>
        </w:trPr>
        <w:tc>
          <w:tcPr>
            <w:tcW w:w="1568" w:type="pct"/>
            <w:vMerge/>
            <w:tcBorders>
              <w:left w:val="single" w:sz="4" w:space="0" w:color="auto"/>
              <w:bottom w:val="nil"/>
            </w:tcBorders>
            <w:vAlign w:val="center"/>
          </w:tcPr>
          <w:p w14:paraId="74C99ACD" w14:textId="77777777" w:rsidR="00982AE7" w:rsidRPr="005A3645" w:rsidRDefault="00982AE7" w:rsidP="00982AE7">
            <w:pPr>
              <w:spacing w:before="40" w:after="40" w:line="240" w:lineRule="auto"/>
              <w:rPr>
                <w:rFonts w:asciiTheme="minorHAnsi" w:hAnsiTheme="minorHAnsi" w:cstheme="minorHAnsi"/>
                <w:iCs/>
                <w:color w:val="FF0000"/>
                <w:szCs w:val="20"/>
              </w:rPr>
            </w:pPr>
          </w:p>
        </w:tc>
        <w:tc>
          <w:tcPr>
            <w:tcW w:w="955" w:type="pct"/>
            <w:tcBorders>
              <w:top w:val="nil"/>
              <w:bottom w:val="nil"/>
            </w:tcBorders>
            <w:vAlign w:val="center"/>
          </w:tcPr>
          <w:p w14:paraId="75449D2F" w14:textId="77777777" w:rsidR="00982AE7" w:rsidRDefault="00982AE7" w:rsidP="00982AE7">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Distributed</w:t>
            </w:r>
          </w:p>
        </w:tc>
        <w:tc>
          <w:tcPr>
            <w:tcW w:w="641" w:type="pct"/>
            <w:tcBorders>
              <w:top w:val="nil"/>
              <w:bottom w:val="nil"/>
            </w:tcBorders>
            <w:vAlign w:val="center"/>
          </w:tcPr>
          <w:p w14:paraId="644F17DF" w14:textId="6D4F762A"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2" w:type="pct"/>
            <w:tcBorders>
              <w:top w:val="nil"/>
              <w:bottom w:val="nil"/>
            </w:tcBorders>
            <w:vAlign w:val="center"/>
          </w:tcPr>
          <w:p w14:paraId="4953B355" w14:textId="1C752D49" w:rsidR="00982AE7" w:rsidRDefault="00982AE7" w:rsidP="00982AE7">
            <w:pPr>
              <w:spacing w:before="40" w:after="40" w:line="240" w:lineRule="auto"/>
              <w:jc w:val="center"/>
              <w:rPr>
                <w:rFonts w:asciiTheme="minorHAnsi" w:hAnsiTheme="minorHAnsi" w:cstheme="minorHAnsi"/>
                <w:color w:val="FF0000"/>
                <w:szCs w:val="20"/>
              </w:rPr>
            </w:pPr>
            <w:r w:rsidRPr="007A3742">
              <w:rPr>
                <w:rFonts w:asciiTheme="minorHAnsi" w:hAnsiTheme="minorHAnsi" w:cstheme="minorHAnsi"/>
                <w:color w:val="4472C4" w:themeColor="accent1"/>
                <w:szCs w:val="20"/>
              </w:rPr>
              <w:t>$0</w:t>
            </w:r>
          </w:p>
        </w:tc>
        <w:tc>
          <w:tcPr>
            <w:tcW w:w="613" w:type="pct"/>
            <w:tcBorders>
              <w:top w:val="nil"/>
              <w:bottom w:val="nil"/>
            </w:tcBorders>
            <w:vAlign w:val="center"/>
          </w:tcPr>
          <w:p w14:paraId="2B139E3E" w14:textId="5656FF18"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1" w:type="pct"/>
            <w:tcBorders>
              <w:top w:val="nil"/>
              <w:bottom w:val="nil"/>
              <w:right w:val="single" w:sz="4" w:space="0" w:color="auto"/>
            </w:tcBorders>
            <w:vAlign w:val="center"/>
          </w:tcPr>
          <w:p w14:paraId="2AAA8C9D" w14:textId="628510B0"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r>
      <w:tr w:rsidR="009F1D75" w14:paraId="28A871C1" w14:textId="77777777" w:rsidTr="00225E3A">
        <w:trPr>
          <w:trHeight w:val="314"/>
        </w:trPr>
        <w:tc>
          <w:tcPr>
            <w:tcW w:w="1568" w:type="pct"/>
            <w:vMerge w:val="restart"/>
            <w:tcBorders>
              <w:top w:val="nil"/>
              <w:left w:val="single" w:sz="4" w:space="0" w:color="auto"/>
            </w:tcBorders>
            <w:vAlign w:val="center"/>
          </w:tcPr>
          <w:p w14:paraId="3685419D" w14:textId="55038AF6" w:rsidR="00982AE7" w:rsidRPr="007C3865" w:rsidRDefault="00982AE7" w:rsidP="00982AE7">
            <w:pPr>
              <w:spacing w:before="40" w:after="40" w:line="240" w:lineRule="auto"/>
              <w:rPr>
                <w:rFonts w:asciiTheme="minorHAnsi" w:hAnsiTheme="minorHAnsi" w:cstheme="minorHAnsi"/>
                <w:i/>
                <w:color w:val="FF0000"/>
                <w:szCs w:val="20"/>
              </w:rPr>
            </w:pPr>
            <w:r w:rsidRPr="007C3865">
              <w:rPr>
                <w:rFonts w:asciiTheme="minorHAnsi" w:hAnsiTheme="minorHAnsi" w:cstheme="minorHAnsi"/>
                <w:i/>
                <w:szCs w:val="20"/>
              </w:rPr>
              <w:t>Transforming Lives Engagement</w:t>
            </w:r>
          </w:p>
        </w:tc>
        <w:tc>
          <w:tcPr>
            <w:tcW w:w="955" w:type="pct"/>
            <w:tcBorders>
              <w:top w:val="nil"/>
              <w:bottom w:val="nil"/>
            </w:tcBorders>
            <w:vAlign w:val="center"/>
          </w:tcPr>
          <w:p w14:paraId="3132FD93" w14:textId="77777777" w:rsidR="00982AE7" w:rsidRDefault="00982AE7" w:rsidP="00982AE7">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0C36CC91" w14:textId="25DE0907" w:rsidR="00982AE7" w:rsidRDefault="00982AE7" w:rsidP="00982AE7">
            <w:pPr>
              <w:spacing w:before="40" w:after="40" w:line="240" w:lineRule="auto"/>
              <w:jc w:val="center"/>
              <w:rPr>
                <w:rFonts w:asciiTheme="minorHAnsi" w:hAnsiTheme="minorHAnsi" w:cstheme="minorHAnsi"/>
                <w:color w:val="FF0000"/>
                <w:szCs w:val="20"/>
              </w:rPr>
            </w:pPr>
            <w:r w:rsidRPr="007A3742">
              <w:rPr>
                <w:rFonts w:asciiTheme="minorHAnsi" w:hAnsiTheme="minorHAnsi" w:cstheme="minorHAnsi"/>
                <w:color w:val="4472C4" w:themeColor="accent1"/>
                <w:szCs w:val="20"/>
              </w:rPr>
              <w:t>$375,000</w:t>
            </w:r>
          </w:p>
        </w:tc>
        <w:tc>
          <w:tcPr>
            <w:tcW w:w="612" w:type="pct"/>
            <w:tcBorders>
              <w:top w:val="nil"/>
              <w:bottom w:val="nil"/>
            </w:tcBorders>
            <w:vAlign w:val="center"/>
          </w:tcPr>
          <w:p w14:paraId="2D529A30" w14:textId="520D2A42" w:rsidR="00982AE7" w:rsidRDefault="00982AE7" w:rsidP="00982AE7">
            <w:pPr>
              <w:spacing w:before="40" w:after="40" w:line="240" w:lineRule="auto"/>
              <w:jc w:val="center"/>
              <w:rPr>
                <w:rFonts w:asciiTheme="minorHAnsi" w:hAnsiTheme="minorHAnsi" w:cstheme="minorHAnsi"/>
                <w:color w:val="FF0000"/>
                <w:szCs w:val="20"/>
              </w:rPr>
            </w:pPr>
            <w:r w:rsidRPr="007A3742">
              <w:rPr>
                <w:rFonts w:asciiTheme="minorHAnsi" w:hAnsiTheme="minorHAnsi" w:cstheme="minorHAnsi"/>
                <w:color w:val="4472C4" w:themeColor="accent1"/>
                <w:szCs w:val="20"/>
              </w:rPr>
              <w:t>$150,233</w:t>
            </w:r>
          </w:p>
        </w:tc>
        <w:tc>
          <w:tcPr>
            <w:tcW w:w="613" w:type="pct"/>
            <w:tcBorders>
              <w:top w:val="nil"/>
              <w:bottom w:val="nil"/>
            </w:tcBorders>
            <w:vAlign w:val="center"/>
          </w:tcPr>
          <w:p w14:paraId="54F1F02A" w14:textId="5E1B0236"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$154,740</w:t>
            </w:r>
          </w:p>
        </w:tc>
        <w:tc>
          <w:tcPr>
            <w:tcW w:w="611" w:type="pct"/>
            <w:tcBorders>
              <w:top w:val="nil"/>
              <w:bottom w:val="nil"/>
              <w:right w:val="single" w:sz="4" w:space="0" w:color="auto"/>
            </w:tcBorders>
            <w:vAlign w:val="center"/>
          </w:tcPr>
          <w:p w14:paraId="60975518" w14:textId="4D30C275"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$159,382</w:t>
            </w:r>
          </w:p>
        </w:tc>
      </w:tr>
      <w:tr w:rsidR="009F1D75" w14:paraId="79B56125" w14:textId="77777777" w:rsidTr="00225E3A">
        <w:trPr>
          <w:trHeight w:val="314"/>
        </w:trPr>
        <w:tc>
          <w:tcPr>
            <w:tcW w:w="1568" w:type="pct"/>
            <w:vMerge/>
            <w:tcBorders>
              <w:left w:val="single" w:sz="4" w:space="0" w:color="auto"/>
              <w:bottom w:val="nil"/>
            </w:tcBorders>
            <w:vAlign w:val="center"/>
          </w:tcPr>
          <w:p w14:paraId="6120D280" w14:textId="77777777" w:rsidR="00982AE7" w:rsidRPr="005A3645" w:rsidRDefault="00982AE7" w:rsidP="00982AE7">
            <w:pPr>
              <w:spacing w:before="40" w:after="40" w:line="240" w:lineRule="auto"/>
              <w:rPr>
                <w:rFonts w:asciiTheme="minorHAnsi" w:hAnsiTheme="minorHAnsi" w:cstheme="minorHAnsi"/>
                <w:iCs/>
                <w:color w:val="FF0000"/>
                <w:szCs w:val="20"/>
              </w:rPr>
            </w:pPr>
          </w:p>
        </w:tc>
        <w:tc>
          <w:tcPr>
            <w:tcW w:w="955" w:type="pct"/>
            <w:tcBorders>
              <w:top w:val="nil"/>
              <w:bottom w:val="nil"/>
            </w:tcBorders>
            <w:vAlign w:val="center"/>
          </w:tcPr>
          <w:p w14:paraId="43386D17" w14:textId="77777777" w:rsidR="00982AE7" w:rsidRDefault="00982AE7" w:rsidP="00982AE7">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Distributed</w:t>
            </w:r>
          </w:p>
        </w:tc>
        <w:tc>
          <w:tcPr>
            <w:tcW w:w="641" w:type="pct"/>
            <w:tcBorders>
              <w:top w:val="nil"/>
              <w:bottom w:val="nil"/>
            </w:tcBorders>
            <w:vAlign w:val="center"/>
          </w:tcPr>
          <w:p w14:paraId="66BDD71B" w14:textId="62A0F179"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2" w:type="pct"/>
            <w:tcBorders>
              <w:top w:val="nil"/>
              <w:bottom w:val="nil"/>
            </w:tcBorders>
            <w:vAlign w:val="center"/>
          </w:tcPr>
          <w:p w14:paraId="1BF21927" w14:textId="535C892B"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3" w:type="pct"/>
            <w:tcBorders>
              <w:top w:val="nil"/>
              <w:bottom w:val="nil"/>
            </w:tcBorders>
            <w:vAlign w:val="center"/>
          </w:tcPr>
          <w:p w14:paraId="31BBA7B0" w14:textId="20072B23"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c>
          <w:tcPr>
            <w:tcW w:w="611" w:type="pct"/>
            <w:tcBorders>
              <w:top w:val="nil"/>
              <w:bottom w:val="nil"/>
              <w:right w:val="single" w:sz="4" w:space="0" w:color="auto"/>
            </w:tcBorders>
            <w:vAlign w:val="center"/>
          </w:tcPr>
          <w:p w14:paraId="071CDF76" w14:textId="4E0EA280"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$0</w:t>
            </w:r>
          </w:p>
        </w:tc>
      </w:tr>
      <w:tr w:rsidR="009F1D75" w14:paraId="577D1D60" w14:textId="77777777" w:rsidTr="00225E3A">
        <w:trPr>
          <w:trHeight w:val="124"/>
        </w:trPr>
        <w:tc>
          <w:tcPr>
            <w:tcW w:w="1568" w:type="pct"/>
            <w:vMerge w:val="restart"/>
            <w:tcBorders>
              <w:top w:val="nil"/>
              <w:left w:val="single" w:sz="4" w:space="0" w:color="auto"/>
            </w:tcBorders>
            <w:vAlign w:val="center"/>
          </w:tcPr>
          <w:p w14:paraId="28D26E90" w14:textId="0743203E" w:rsidR="00982AE7" w:rsidRPr="007C3865" w:rsidRDefault="00982AE7" w:rsidP="00982AE7">
            <w:pPr>
              <w:spacing w:before="40" w:after="40" w:line="240" w:lineRule="auto"/>
              <w:rPr>
                <w:rFonts w:asciiTheme="minorHAnsi" w:hAnsiTheme="minorHAnsi" w:cstheme="minorHAnsi"/>
                <w:i/>
                <w:color w:val="4472C4" w:themeColor="accent1"/>
                <w:szCs w:val="20"/>
              </w:rPr>
            </w:pPr>
            <w:r w:rsidRPr="007C3865">
              <w:rPr>
                <w:rFonts w:asciiTheme="minorHAnsi" w:hAnsiTheme="minorHAnsi" w:cstheme="minorHAnsi"/>
                <w:i/>
                <w:szCs w:val="20"/>
              </w:rPr>
              <w:t>Child Safety</w:t>
            </w:r>
          </w:p>
        </w:tc>
        <w:tc>
          <w:tcPr>
            <w:tcW w:w="955" w:type="pct"/>
            <w:tcBorders>
              <w:top w:val="nil"/>
              <w:bottom w:val="nil"/>
            </w:tcBorders>
            <w:vAlign w:val="center"/>
          </w:tcPr>
          <w:p w14:paraId="2BE85252" w14:textId="77777777" w:rsidR="00982AE7" w:rsidRDefault="00982AE7" w:rsidP="00982AE7">
            <w:pPr>
              <w:spacing w:before="40" w:after="40" w:line="240" w:lineRule="auto"/>
              <w:rPr>
                <w:rFonts w:asciiTheme="minorHAnsi" w:hAnsiTheme="minorHAnsi" w:cstheme="minorHAnsi"/>
                <w:color w:val="FF0000"/>
                <w:szCs w:val="20"/>
              </w:rPr>
            </w:pPr>
            <w:r w:rsidRPr="00156303">
              <w:rPr>
                <w:rFonts w:asciiTheme="minorHAnsi" w:hAnsiTheme="minorHAnsi" w:cstheme="minorHAnsi"/>
                <w:szCs w:val="20"/>
              </w:rPr>
              <w:t>Centralised</w:t>
            </w:r>
          </w:p>
        </w:tc>
        <w:tc>
          <w:tcPr>
            <w:tcW w:w="641" w:type="pct"/>
            <w:tcBorders>
              <w:top w:val="nil"/>
              <w:bottom w:val="nil"/>
            </w:tcBorders>
            <w:vAlign w:val="center"/>
          </w:tcPr>
          <w:p w14:paraId="0AAADC9F" w14:textId="227CD89A" w:rsidR="00982AE7" w:rsidRDefault="00982AE7" w:rsidP="00982AE7">
            <w:pPr>
              <w:spacing w:before="40" w:after="40" w:line="240" w:lineRule="auto"/>
              <w:jc w:val="center"/>
              <w:rPr>
                <w:rFonts w:asciiTheme="minorHAnsi" w:hAnsiTheme="minorHAnsi" w:cstheme="minorHAnsi"/>
                <w:color w:val="FF0000"/>
                <w:szCs w:val="20"/>
              </w:rPr>
            </w:pPr>
            <w:r>
              <w:rPr>
                <w:rFonts w:asciiTheme="minorHAnsi" w:hAnsiTheme="minorHAnsi" w:cstheme="minorHAnsi"/>
                <w:color w:val="4472C4" w:themeColor="accent1"/>
                <w:szCs w:val="20"/>
              </w:rPr>
              <w:t>$100,000</w:t>
            </w:r>
          </w:p>
        </w:tc>
        <w:tc>
          <w:tcPr>
            <w:tcW w:w="612" w:type="pct"/>
            <w:tcBorders>
              <w:top w:val="nil"/>
              <w:bottom w:val="nil"/>
            </w:tcBorders>
            <w:vAlign w:val="center"/>
          </w:tcPr>
          <w:p w14:paraId="57DE8884" w14:textId="2A8E4617" w:rsidR="00982AE7" w:rsidRDefault="00982AE7" w:rsidP="00982AE7">
            <w:pPr>
              <w:spacing w:before="40" w:after="40" w:line="240" w:lineRule="auto"/>
              <w:jc w:val="center"/>
              <w:rPr>
                <w:rFonts w:asciiTheme="minorHAnsi" w:hAnsiTheme="minorHAnsi" w:cstheme="minorHAnsi"/>
                <w:color w:val="FF0000"/>
                <w:szCs w:val="20"/>
              </w:rPr>
            </w:pPr>
            <w:r w:rsidRPr="007A3742">
              <w:rPr>
                <w:rFonts w:asciiTheme="minorHAnsi" w:hAnsiTheme="minorHAnsi" w:cstheme="minorHAnsi"/>
                <w:color w:val="4472C4" w:themeColor="accent1"/>
                <w:szCs w:val="20"/>
              </w:rPr>
              <w:t>$109,258</w:t>
            </w:r>
          </w:p>
        </w:tc>
        <w:tc>
          <w:tcPr>
            <w:tcW w:w="613" w:type="pct"/>
            <w:tcBorders>
              <w:top w:val="nil"/>
              <w:bottom w:val="nil"/>
            </w:tcBorders>
            <w:vAlign w:val="center"/>
          </w:tcPr>
          <w:p w14:paraId="0F28181B" w14:textId="0865E4F2" w:rsidR="00982AE7" w:rsidRPr="00225E3A" w:rsidRDefault="00982AE7" w:rsidP="00982AE7">
            <w:pPr>
              <w:spacing w:before="40" w:after="40" w:line="240" w:lineRule="auto"/>
              <w:jc w:val="center"/>
              <w:rPr>
                <w:rFonts w:asciiTheme="minorHAnsi" w:hAnsiTheme="minorHAnsi" w:cstheme="minorHAnsi"/>
                <w:color w:val="4472C4" w:themeColor="accent1"/>
                <w:szCs w:val="20"/>
              </w:rPr>
            </w:pPr>
            <w:r w:rsidRPr="0050617E">
              <w:rPr>
                <w:rFonts w:asciiTheme="minorHAnsi" w:hAnsiTheme="minorHAnsi" w:cstheme="minorHAnsi"/>
                <w:color w:val="4472C4" w:themeColor="accent1"/>
                <w:szCs w:val="20"/>
              </w:rPr>
              <w:t>$</w:t>
            </w:r>
            <w:r w:rsidR="00F92B36" w:rsidRPr="00225E3A">
              <w:rPr>
                <w:rFonts w:asciiTheme="minorHAnsi" w:hAnsiTheme="minorHAnsi" w:cstheme="minorHAnsi"/>
                <w:color w:val="4472C4" w:themeColor="accent1"/>
                <w:szCs w:val="20"/>
              </w:rPr>
              <w:t>112,536</w:t>
            </w:r>
          </w:p>
        </w:tc>
        <w:tc>
          <w:tcPr>
            <w:tcW w:w="611" w:type="pct"/>
            <w:tcBorders>
              <w:top w:val="nil"/>
              <w:bottom w:val="nil"/>
              <w:right w:val="single" w:sz="4" w:space="0" w:color="auto"/>
            </w:tcBorders>
            <w:vAlign w:val="center"/>
          </w:tcPr>
          <w:p w14:paraId="103189B8" w14:textId="6C953EA9" w:rsidR="00982AE7" w:rsidRPr="00914F87" w:rsidRDefault="00982AE7" w:rsidP="00982AE7">
            <w:pPr>
              <w:spacing w:before="40" w:after="40" w:line="240" w:lineRule="auto"/>
              <w:jc w:val="center"/>
              <w:rPr>
                <w:rFonts w:asciiTheme="minorHAnsi" w:hAnsiTheme="minorHAnsi" w:cstheme="minorHAnsi"/>
                <w:color w:val="FF0000"/>
                <w:szCs w:val="20"/>
              </w:rPr>
            </w:pPr>
            <w:r w:rsidRPr="0050617E">
              <w:rPr>
                <w:rFonts w:asciiTheme="minorHAnsi" w:hAnsiTheme="minorHAnsi" w:cstheme="minorHAnsi"/>
                <w:color w:val="4472C4" w:themeColor="accent1"/>
                <w:szCs w:val="20"/>
              </w:rPr>
              <w:t>$</w:t>
            </w:r>
            <w:r w:rsidR="00F92B36" w:rsidRPr="00225E3A">
              <w:rPr>
                <w:rFonts w:asciiTheme="minorHAnsi" w:hAnsiTheme="minorHAnsi" w:cstheme="minorHAnsi"/>
                <w:color w:val="4472C4" w:themeColor="accent1"/>
                <w:szCs w:val="20"/>
              </w:rPr>
              <w:t>115,912</w:t>
            </w:r>
          </w:p>
        </w:tc>
      </w:tr>
      <w:tr w:rsidR="009F1D75" w:rsidRPr="008C02EE" w14:paraId="52FEEE29" w14:textId="77777777" w:rsidTr="00225E3A">
        <w:trPr>
          <w:trHeight w:val="124"/>
        </w:trPr>
        <w:tc>
          <w:tcPr>
            <w:tcW w:w="1568" w:type="pct"/>
            <w:vMerge/>
            <w:tcBorders>
              <w:left w:val="single" w:sz="4" w:space="0" w:color="auto"/>
              <w:bottom w:val="single" w:sz="4" w:space="0" w:color="auto"/>
            </w:tcBorders>
          </w:tcPr>
          <w:p w14:paraId="34D5A9E8" w14:textId="77777777" w:rsidR="00982AE7" w:rsidRPr="005A3645" w:rsidRDefault="00982AE7" w:rsidP="00982AE7">
            <w:pPr>
              <w:spacing w:before="40" w:after="40" w:line="240" w:lineRule="auto"/>
              <w:rPr>
                <w:rFonts w:asciiTheme="minorHAnsi" w:hAnsiTheme="minorHAnsi" w:cstheme="minorHAnsi"/>
                <w:i/>
                <w:color w:val="4472C4" w:themeColor="accent1"/>
                <w:szCs w:val="20"/>
              </w:rPr>
            </w:pPr>
          </w:p>
        </w:tc>
        <w:tc>
          <w:tcPr>
            <w:tcW w:w="955" w:type="pct"/>
            <w:tcBorders>
              <w:top w:val="nil"/>
              <w:bottom w:val="single" w:sz="4" w:space="0" w:color="auto"/>
            </w:tcBorders>
            <w:vAlign w:val="center"/>
          </w:tcPr>
          <w:p w14:paraId="03E40539" w14:textId="77777777" w:rsidR="00982AE7" w:rsidRPr="00156303" w:rsidRDefault="00982AE7" w:rsidP="00982AE7">
            <w:pPr>
              <w:spacing w:before="40" w:after="40" w:line="240" w:lineRule="auto"/>
              <w:rPr>
                <w:rFonts w:asciiTheme="minorHAnsi" w:hAnsiTheme="minorHAnsi" w:cstheme="minorHAnsi"/>
                <w:szCs w:val="20"/>
              </w:rPr>
            </w:pPr>
            <w:r w:rsidRPr="00156303">
              <w:rPr>
                <w:rFonts w:asciiTheme="minorHAnsi" w:hAnsiTheme="minorHAnsi" w:cstheme="minorHAnsi"/>
                <w:szCs w:val="20"/>
              </w:rPr>
              <w:t>Distributed</w:t>
            </w:r>
          </w:p>
        </w:tc>
        <w:tc>
          <w:tcPr>
            <w:tcW w:w="641" w:type="pct"/>
            <w:tcBorders>
              <w:top w:val="nil"/>
              <w:bottom w:val="single" w:sz="4" w:space="0" w:color="auto"/>
            </w:tcBorders>
            <w:vAlign w:val="center"/>
          </w:tcPr>
          <w:p w14:paraId="5DA90A50" w14:textId="3491C78A" w:rsidR="00982AE7" w:rsidRPr="008C02EE" w:rsidRDefault="00982AE7" w:rsidP="00982AE7">
            <w:pPr>
              <w:spacing w:before="40" w:after="4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12" w:type="pct"/>
            <w:tcBorders>
              <w:top w:val="nil"/>
              <w:bottom w:val="single" w:sz="4" w:space="0" w:color="auto"/>
            </w:tcBorders>
            <w:vAlign w:val="center"/>
          </w:tcPr>
          <w:p w14:paraId="38FD7827" w14:textId="57A0D392" w:rsidR="00982AE7" w:rsidRPr="008C02EE" w:rsidRDefault="00982AE7" w:rsidP="00982AE7">
            <w:pPr>
              <w:spacing w:before="40" w:after="4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13" w:type="pct"/>
            <w:tcBorders>
              <w:top w:val="nil"/>
              <w:bottom w:val="single" w:sz="4" w:space="0" w:color="auto"/>
            </w:tcBorders>
            <w:vAlign w:val="center"/>
          </w:tcPr>
          <w:p w14:paraId="6EF748E1" w14:textId="4FE16B18" w:rsidR="00982AE7" w:rsidRPr="008C02EE" w:rsidRDefault="00982AE7" w:rsidP="00982AE7">
            <w:pPr>
              <w:spacing w:before="40" w:after="4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11" w:type="pct"/>
            <w:tcBorders>
              <w:top w:val="nil"/>
              <w:bottom w:val="single" w:sz="4" w:space="0" w:color="auto"/>
              <w:right w:val="single" w:sz="4" w:space="0" w:color="auto"/>
            </w:tcBorders>
            <w:vAlign w:val="center"/>
          </w:tcPr>
          <w:p w14:paraId="1FB3E257" w14:textId="15D65682" w:rsidR="00982AE7" w:rsidRPr="008C02EE" w:rsidRDefault="00982AE7" w:rsidP="00982AE7">
            <w:pPr>
              <w:spacing w:before="40" w:after="4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r>
      <w:tr w:rsidR="009F1D75" w14:paraId="0184B2E4" w14:textId="77777777" w:rsidTr="009F1D75">
        <w:trPr>
          <w:trHeight w:val="124"/>
        </w:trPr>
        <w:tc>
          <w:tcPr>
            <w:tcW w:w="1568" w:type="pct"/>
            <w:vMerge w:val="restart"/>
            <w:tcBorders>
              <w:top w:val="single" w:sz="4" w:space="0" w:color="auto"/>
              <w:left w:val="single" w:sz="4" w:space="0" w:color="auto"/>
            </w:tcBorders>
            <w:shd w:val="clear" w:color="auto" w:fill="F2F2F2" w:themeFill="background1" w:themeFillShade="F2"/>
            <w:vAlign w:val="center"/>
          </w:tcPr>
          <w:p w14:paraId="0B25A48E" w14:textId="104A01D4" w:rsidR="00982AE7" w:rsidRPr="0058029D" w:rsidRDefault="00982AE7" w:rsidP="00982AE7">
            <w:pPr>
              <w:spacing w:before="40" w:after="40" w:line="240" w:lineRule="auto"/>
              <w:rPr>
                <w:rFonts w:asciiTheme="minorHAnsi" w:hAnsiTheme="minorHAnsi" w:cstheme="minorHAnsi"/>
                <w:iCs/>
                <w:color w:val="4472C4" w:themeColor="accent1"/>
                <w:szCs w:val="20"/>
              </w:rPr>
            </w:pPr>
            <w:r w:rsidRPr="00115319">
              <w:rPr>
                <w:rFonts w:asciiTheme="minorHAnsi" w:hAnsiTheme="minorHAnsi" w:cstheme="minorHAnsi"/>
                <w:b/>
                <w:bCs/>
                <w:i/>
                <w:iCs/>
                <w:szCs w:val="20"/>
              </w:rPr>
              <w:t xml:space="preserve">Total for Priority </w:t>
            </w:r>
            <w:r>
              <w:rPr>
                <w:rFonts w:asciiTheme="minorHAnsi" w:hAnsiTheme="minorHAnsi" w:cstheme="minorHAnsi"/>
                <w:b/>
                <w:bCs/>
                <w:i/>
                <w:iCs/>
                <w:szCs w:val="20"/>
              </w:rPr>
              <w:t>E</w:t>
            </w:r>
            <w:r w:rsidRPr="00115319">
              <w:rPr>
                <w:rFonts w:asciiTheme="minorHAnsi" w:hAnsiTheme="minorHAnsi" w:cstheme="minorHAnsi"/>
                <w:b/>
                <w:bCs/>
              </w:rPr>
              <w:t xml:space="preserve"> </w:t>
            </w:r>
          </w:p>
        </w:tc>
        <w:tc>
          <w:tcPr>
            <w:tcW w:w="955" w:type="pct"/>
            <w:tcBorders>
              <w:top w:val="single" w:sz="4" w:space="0" w:color="auto"/>
              <w:bottom w:val="nil"/>
            </w:tcBorders>
            <w:shd w:val="clear" w:color="auto" w:fill="F2F2F2" w:themeFill="background1" w:themeFillShade="F2"/>
            <w:vAlign w:val="center"/>
          </w:tcPr>
          <w:p w14:paraId="3E26A3BE" w14:textId="77777777" w:rsidR="00982AE7" w:rsidRPr="00115319" w:rsidRDefault="00982AE7" w:rsidP="00982AE7">
            <w:pPr>
              <w:spacing w:before="40" w:after="40" w:line="240" w:lineRule="auto"/>
              <w:rPr>
                <w:rFonts w:asciiTheme="minorHAnsi" w:hAnsiTheme="minorHAnsi" w:cstheme="minorHAnsi"/>
                <w:b/>
                <w:bCs/>
                <w:i/>
                <w:iCs/>
                <w:color w:val="FF0000"/>
                <w:szCs w:val="20"/>
              </w:rPr>
            </w:pPr>
            <w:r w:rsidRPr="00115319">
              <w:rPr>
                <w:rFonts w:asciiTheme="minorHAnsi" w:hAnsiTheme="minorHAnsi" w:cstheme="minorHAnsi"/>
                <w:b/>
                <w:bCs/>
                <w:i/>
                <w:iCs/>
                <w:szCs w:val="20"/>
              </w:rPr>
              <w:t>Centralised</w:t>
            </w:r>
          </w:p>
        </w:tc>
        <w:tc>
          <w:tcPr>
            <w:tcW w:w="641" w:type="pct"/>
            <w:tcBorders>
              <w:top w:val="single" w:sz="4" w:space="0" w:color="auto"/>
              <w:bottom w:val="nil"/>
            </w:tcBorders>
            <w:shd w:val="clear" w:color="auto" w:fill="F2F2F2" w:themeFill="background1" w:themeFillShade="F2"/>
            <w:vAlign w:val="center"/>
          </w:tcPr>
          <w:p w14:paraId="6B6486CA" w14:textId="0560064F" w:rsidR="00982AE7" w:rsidRPr="00115319" w:rsidRDefault="00982AE7" w:rsidP="00982AE7">
            <w:pPr>
              <w:spacing w:before="40" w:after="40" w:line="240" w:lineRule="auto"/>
              <w:jc w:val="center"/>
              <w:rPr>
                <w:rFonts w:asciiTheme="minorHAnsi" w:hAnsiTheme="minorHAnsi" w:cstheme="minorHAnsi"/>
                <w:b/>
                <w:bCs/>
                <w:i/>
                <w:iCs/>
                <w:color w:val="FF0000"/>
                <w:szCs w:val="20"/>
              </w:rPr>
            </w:pPr>
            <w:r>
              <w:rPr>
                <w:rFonts w:asciiTheme="minorHAnsi" w:hAnsiTheme="minorHAnsi" w:cstheme="minorHAnsi"/>
                <w:b/>
                <w:bCs/>
                <w:i/>
                <w:iCs/>
                <w:color w:val="4472C4" w:themeColor="accent1"/>
                <w:szCs w:val="20"/>
              </w:rPr>
              <w:t>$1,630,400</w:t>
            </w:r>
          </w:p>
        </w:tc>
        <w:tc>
          <w:tcPr>
            <w:tcW w:w="612" w:type="pct"/>
            <w:tcBorders>
              <w:top w:val="single" w:sz="4" w:space="0" w:color="auto"/>
              <w:bottom w:val="nil"/>
            </w:tcBorders>
            <w:shd w:val="clear" w:color="auto" w:fill="F2F2F2" w:themeFill="background1" w:themeFillShade="F2"/>
          </w:tcPr>
          <w:p w14:paraId="0A93DA43" w14:textId="5AC16416" w:rsidR="00982AE7" w:rsidRPr="00115319" w:rsidRDefault="00982AE7" w:rsidP="00982AE7">
            <w:pPr>
              <w:spacing w:before="40" w:after="40" w:line="240" w:lineRule="auto"/>
              <w:jc w:val="center"/>
              <w:rPr>
                <w:rFonts w:asciiTheme="minorHAnsi" w:hAnsiTheme="minorHAnsi" w:cstheme="minorHAnsi"/>
                <w:b/>
                <w:bCs/>
                <w:i/>
                <w:iCs/>
                <w:color w:val="FF0000"/>
                <w:szCs w:val="20"/>
              </w:rPr>
            </w:pPr>
            <w:r w:rsidRPr="005E0301">
              <w:rPr>
                <w:rFonts w:asciiTheme="minorHAnsi" w:hAnsiTheme="minorHAnsi" w:cstheme="minorHAnsi"/>
                <w:b/>
                <w:bCs/>
                <w:i/>
                <w:iCs/>
                <w:color w:val="4472C4" w:themeColor="accent1"/>
                <w:szCs w:val="20"/>
              </w:rPr>
              <w:t xml:space="preserve"> $1,142,382 </w:t>
            </w:r>
          </w:p>
        </w:tc>
        <w:tc>
          <w:tcPr>
            <w:tcW w:w="613" w:type="pct"/>
            <w:tcBorders>
              <w:top w:val="single" w:sz="4" w:space="0" w:color="auto"/>
              <w:bottom w:val="nil"/>
            </w:tcBorders>
            <w:shd w:val="clear" w:color="auto" w:fill="F2F2F2" w:themeFill="background1" w:themeFillShade="F2"/>
          </w:tcPr>
          <w:p w14:paraId="6528FEF3" w14:textId="482975EF" w:rsidR="00982AE7" w:rsidRPr="00115319" w:rsidRDefault="00982AE7" w:rsidP="00982AE7">
            <w:pPr>
              <w:spacing w:before="40" w:after="40" w:line="240" w:lineRule="auto"/>
              <w:jc w:val="center"/>
              <w:rPr>
                <w:rFonts w:asciiTheme="minorHAnsi" w:hAnsiTheme="minorHAnsi" w:cstheme="minorHAnsi"/>
                <w:b/>
                <w:bCs/>
                <w:i/>
                <w:iCs/>
                <w:color w:val="FF0000"/>
                <w:szCs w:val="20"/>
              </w:rPr>
            </w:pPr>
            <w:r w:rsidRPr="005E0301">
              <w:rPr>
                <w:rFonts w:asciiTheme="minorHAnsi" w:hAnsiTheme="minorHAnsi" w:cstheme="minorHAnsi"/>
                <w:b/>
                <w:bCs/>
                <w:i/>
                <w:iCs/>
                <w:color w:val="4472C4" w:themeColor="accent1"/>
                <w:szCs w:val="20"/>
              </w:rPr>
              <w:t xml:space="preserve"> $1,176,653 </w:t>
            </w:r>
          </w:p>
        </w:tc>
        <w:tc>
          <w:tcPr>
            <w:tcW w:w="611" w:type="pct"/>
            <w:tcBorders>
              <w:top w:val="single" w:sz="4" w:space="0" w:color="auto"/>
              <w:bottom w:val="nil"/>
              <w:right w:val="single" w:sz="4" w:space="0" w:color="auto"/>
            </w:tcBorders>
            <w:shd w:val="clear" w:color="auto" w:fill="F2F2F2" w:themeFill="background1" w:themeFillShade="F2"/>
          </w:tcPr>
          <w:p w14:paraId="70C99C79" w14:textId="799E38C6" w:rsidR="00982AE7" w:rsidRPr="00115319" w:rsidRDefault="00982AE7" w:rsidP="00982AE7">
            <w:pPr>
              <w:spacing w:before="40" w:after="40" w:line="240" w:lineRule="auto"/>
              <w:jc w:val="center"/>
              <w:rPr>
                <w:rFonts w:asciiTheme="minorHAnsi" w:hAnsiTheme="minorHAnsi" w:cstheme="minorHAnsi"/>
                <w:b/>
                <w:bCs/>
                <w:i/>
                <w:iCs/>
                <w:color w:val="FF0000"/>
                <w:szCs w:val="20"/>
              </w:rPr>
            </w:pPr>
            <w:r w:rsidRPr="005E0301">
              <w:rPr>
                <w:rFonts w:asciiTheme="minorHAnsi" w:hAnsiTheme="minorHAnsi" w:cstheme="minorHAnsi"/>
                <w:b/>
                <w:bCs/>
                <w:i/>
                <w:iCs/>
                <w:color w:val="4472C4" w:themeColor="accent1"/>
                <w:szCs w:val="20"/>
              </w:rPr>
              <w:t xml:space="preserve"> $1,211,953 </w:t>
            </w:r>
          </w:p>
        </w:tc>
      </w:tr>
      <w:tr w:rsidR="00225E3A" w14:paraId="3458E88D" w14:textId="77777777" w:rsidTr="00225E3A">
        <w:trPr>
          <w:trHeight w:val="124"/>
        </w:trPr>
        <w:tc>
          <w:tcPr>
            <w:tcW w:w="1568" w:type="pct"/>
            <w:vMerge/>
            <w:tcBorders>
              <w:left w:val="single" w:sz="4" w:space="0" w:color="auto"/>
              <w:bottom w:val="single" w:sz="4" w:space="0" w:color="auto"/>
            </w:tcBorders>
            <w:shd w:val="clear" w:color="auto" w:fill="F2F2F2" w:themeFill="background1" w:themeFillShade="F2"/>
          </w:tcPr>
          <w:p w14:paraId="408344D8" w14:textId="77777777" w:rsidR="00EB7A5F" w:rsidRPr="005A3645" w:rsidRDefault="00EB7A5F" w:rsidP="00EB7A5F">
            <w:pPr>
              <w:spacing w:before="40" w:after="40" w:line="240" w:lineRule="auto"/>
              <w:rPr>
                <w:rFonts w:asciiTheme="minorHAnsi" w:hAnsiTheme="minorHAnsi" w:cstheme="minorHAnsi"/>
                <w:i/>
                <w:color w:val="4472C4" w:themeColor="accent1"/>
                <w:szCs w:val="20"/>
              </w:rPr>
            </w:pPr>
          </w:p>
        </w:tc>
        <w:tc>
          <w:tcPr>
            <w:tcW w:w="955" w:type="pct"/>
            <w:tcBorders>
              <w:top w:val="nil"/>
              <w:bottom w:val="single" w:sz="4" w:space="0" w:color="auto"/>
            </w:tcBorders>
            <w:shd w:val="clear" w:color="auto" w:fill="F2F2F2" w:themeFill="background1" w:themeFillShade="F2"/>
            <w:vAlign w:val="center"/>
          </w:tcPr>
          <w:p w14:paraId="06F4D9E1" w14:textId="25FE54EC" w:rsidR="00EB7A5F" w:rsidRPr="00115319" w:rsidRDefault="00EB7A5F" w:rsidP="00EB7A5F">
            <w:pPr>
              <w:spacing w:before="40" w:after="40" w:line="240" w:lineRule="auto"/>
              <w:rPr>
                <w:rFonts w:asciiTheme="minorHAnsi" w:hAnsiTheme="minorHAnsi" w:cstheme="minorHAnsi"/>
                <w:b/>
                <w:bCs/>
                <w:i/>
                <w:iCs/>
                <w:szCs w:val="20"/>
              </w:rPr>
            </w:pPr>
            <w:r w:rsidRPr="00115319">
              <w:rPr>
                <w:rFonts w:asciiTheme="minorHAnsi" w:hAnsiTheme="minorHAnsi" w:cstheme="minorHAnsi"/>
                <w:b/>
                <w:bCs/>
                <w:i/>
                <w:iCs/>
                <w:szCs w:val="20"/>
              </w:rPr>
              <w:t>Distributed</w:t>
            </w:r>
          </w:p>
        </w:tc>
        <w:tc>
          <w:tcPr>
            <w:tcW w:w="641" w:type="pct"/>
            <w:tcBorders>
              <w:top w:val="nil"/>
            </w:tcBorders>
            <w:shd w:val="clear" w:color="auto" w:fill="F2F2F2" w:themeFill="background1" w:themeFillShade="F2"/>
            <w:vAlign w:val="center"/>
          </w:tcPr>
          <w:p w14:paraId="7A57442F" w14:textId="1A54CBF3" w:rsidR="00EB7A5F" w:rsidRPr="00115319" w:rsidRDefault="00EB7A5F"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b/>
                <w:bCs/>
                <w:i/>
                <w:iCs/>
                <w:color w:val="4472C4" w:themeColor="accent1"/>
                <w:szCs w:val="20"/>
              </w:rPr>
              <w:t>$0</w:t>
            </w:r>
          </w:p>
        </w:tc>
        <w:tc>
          <w:tcPr>
            <w:tcW w:w="612" w:type="pct"/>
            <w:tcBorders>
              <w:top w:val="nil"/>
            </w:tcBorders>
            <w:shd w:val="clear" w:color="auto" w:fill="F2F2F2" w:themeFill="background1" w:themeFillShade="F2"/>
            <w:vAlign w:val="center"/>
          </w:tcPr>
          <w:p w14:paraId="00DFA8CD" w14:textId="220AC24B" w:rsidR="00EB7A5F" w:rsidRPr="00115319" w:rsidRDefault="00EB7A5F"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b/>
                <w:bCs/>
                <w:i/>
                <w:iCs/>
                <w:color w:val="4472C4" w:themeColor="accent1"/>
                <w:szCs w:val="20"/>
              </w:rPr>
              <w:t>$0</w:t>
            </w:r>
          </w:p>
        </w:tc>
        <w:tc>
          <w:tcPr>
            <w:tcW w:w="613" w:type="pct"/>
            <w:tcBorders>
              <w:top w:val="nil"/>
            </w:tcBorders>
            <w:shd w:val="clear" w:color="auto" w:fill="F2F2F2" w:themeFill="background1" w:themeFillShade="F2"/>
            <w:vAlign w:val="center"/>
          </w:tcPr>
          <w:p w14:paraId="1F5B7F57" w14:textId="6A6C09C6" w:rsidR="00EB7A5F" w:rsidRPr="00115319" w:rsidRDefault="00EB7A5F"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b/>
                <w:bCs/>
                <w:i/>
                <w:iCs/>
                <w:color w:val="4472C4" w:themeColor="accent1"/>
                <w:szCs w:val="20"/>
              </w:rPr>
              <w:t>$0</w:t>
            </w:r>
          </w:p>
        </w:tc>
        <w:tc>
          <w:tcPr>
            <w:tcW w:w="611" w:type="pct"/>
            <w:tcBorders>
              <w:top w:val="nil"/>
              <w:right w:val="single" w:sz="4" w:space="0" w:color="auto"/>
            </w:tcBorders>
            <w:shd w:val="clear" w:color="auto" w:fill="F2F2F2" w:themeFill="background1" w:themeFillShade="F2"/>
            <w:vAlign w:val="center"/>
          </w:tcPr>
          <w:p w14:paraId="1430EF4C" w14:textId="542E5E14" w:rsidR="00EB7A5F" w:rsidRPr="00115319" w:rsidRDefault="00EB7A5F"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b/>
                <w:bCs/>
                <w:i/>
                <w:iCs/>
                <w:color w:val="4472C4" w:themeColor="accent1"/>
                <w:szCs w:val="20"/>
              </w:rPr>
              <w:t>$0</w:t>
            </w:r>
          </w:p>
        </w:tc>
      </w:tr>
      <w:tr w:rsidR="009F1D75" w14:paraId="75233063" w14:textId="77777777" w:rsidTr="00225E3A">
        <w:trPr>
          <w:trHeight w:val="124"/>
        </w:trPr>
        <w:tc>
          <w:tcPr>
            <w:tcW w:w="1568" w:type="pct"/>
            <w:tcBorders>
              <w:top w:val="single" w:sz="4" w:space="0" w:color="auto"/>
              <w:left w:val="nil"/>
              <w:bottom w:val="nil"/>
              <w:right w:val="single" w:sz="4" w:space="0" w:color="auto"/>
            </w:tcBorders>
            <w:shd w:val="clear" w:color="auto" w:fill="auto"/>
          </w:tcPr>
          <w:p w14:paraId="52B03877" w14:textId="77777777" w:rsidR="00EB7A5F" w:rsidRPr="005A3645" w:rsidRDefault="00EB7A5F" w:rsidP="00EB7A5F">
            <w:pPr>
              <w:spacing w:before="40" w:after="40" w:line="240" w:lineRule="auto"/>
              <w:rPr>
                <w:rFonts w:asciiTheme="minorHAnsi" w:hAnsiTheme="minorHAnsi" w:cstheme="minorHAnsi"/>
                <w:i/>
                <w:color w:val="4472C4" w:themeColor="accent1"/>
                <w:szCs w:val="20"/>
              </w:rPr>
            </w:pPr>
          </w:p>
        </w:tc>
        <w:tc>
          <w:tcPr>
            <w:tcW w:w="955" w:type="pct"/>
            <w:tcBorders>
              <w:top w:val="single" w:sz="4" w:space="0" w:color="auto"/>
              <w:left w:val="single" w:sz="4" w:space="0" w:color="auto"/>
            </w:tcBorders>
            <w:shd w:val="clear" w:color="auto" w:fill="auto"/>
          </w:tcPr>
          <w:p w14:paraId="4D72FE9A" w14:textId="2222DDF0" w:rsidR="00EB7A5F" w:rsidRPr="00115319" w:rsidRDefault="00EB7A5F" w:rsidP="00EB7A5F">
            <w:pPr>
              <w:spacing w:before="40" w:after="40" w:line="240" w:lineRule="auto"/>
              <w:rPr>
                <w:rFonts w:asciiTheme="minorHAnsi" w:hAnsiTheme="minorHAnsi" w:cstheme="minorHAnsi"/>
                <w:b/>
                <w:bCs/>
                <w:i/>
                <w:iCs/>
                <w:szCs w:val="20"/>
              </w:rPr>
            </w:pPr>
            <w:r w:rsidRPr="00D05544">
              <w:rPr>
                <w:rFonts w:asciiTheme="minorHAnsi" w:hAnsiTheme="minorHAnsi" w:cstheme="minorHAnsi"/>
                <w:b/>
                <w:bCs/>
                <w:szCs w:val="20"/>
              </w:rPr>
              <w:t>Administrative costs</w:t>
            </w:r>
            <w:r w:rsidRPr="008C02EE">
              <w:rPr>
                <w:rStyle w:val="FootnoteReference"/>
                <w:rFonts w:asciiTheme="minorHAnsi" w:hAnsiTheme="minorHAnsi" w:cstheme="minorHAnsi"/>
                <w:color w:val="FF0000"/>
                <w:szCs w:val="20"/>
              </w:rPr>
              <w:footnoteReference w:id="3"/>
            </w:r>
          </w:p>
        </w:tc>
        <w:tc>
          <w:tcPr>
            <w:tcW w:w="641" w:type="pct"/>
            <w:tcBorders>
              <w:top w:val="nil"/>
            </w:tcBorders>
            <w:shd w:val="clear" w:color="auto" w:fill="auto"/>
            <w:vAlign w:val="center"/>
          </w:tcPr>
          <w:p w14:paraId="4F9E3DD3" w14:textId="65216A82" w:rsidR="00EB7A5F" w:rsidRPr="00115319" w:rsidRDefault="00EB7A5F"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color w:val="4472C4" w:themeColor="accent1"/>
                <w:szCs w:val="20"/>
              </w:rPr>
              <w:t>$116,132</w:t>
            </w:r>
          </w:p>
        </w:tc>
        <w:tc>
          <w:tcPr>
            <w:tcW w:w="612" w:type="pct"/>
            <w:tcBorders>
              <w:top w:val="nil"/>
            </w:tcBorders>
            <w:shd w:val="clear" w:color="auto" w:fill="auto"/>
            <w:vAlign w:val="center"/>
          </w:tcPr>
          <w:p w14:paraId="04B6A65E" w14:textId="6FCA00B8" w:rsidR="00EB7A5F" w:rsidRPr="00115319" w:rsidRDefault="00EB7A5F"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color w:val="4472C4" w:themeColor="accent1"/>
                <w:szCs w:val="20"/>
              </w:rPr>
              <w:t>$119,616</w:t>
            </w:r>
          </w:p>
        </w:tc>
        <w:tc>
          <w:tcPr>
            <w:tcW w:w="613" w:type="pct"/>
            <w:tcBorders>
              <w:top w:val="nil"/>
            </w:tcBorders>
            <w:shd w:val="clear" w:color="auto" w:fill="auto"/>
            <w:vAlign w:val="center"/>
          </w:tcPr>
          <w:p w14:paraId="6E190809" w14:textId="6294AF02" w:rsidR="00EB7A5F" w:rsidRPr="00115319" w:rsidRDefault="00EB7A5F"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color w:val="4472C4" w:themeColor="accent1"/>
                <w:szCs w:val="20"/>
              </w:rPr>
              <w:t>$123,205</w:t>
            </w:r>
          </w:p>
        </w:tc>
        <w:tc>
          <w:tcPr>
            <w:tcW w:w="611" w:type="pct"/>
            <w:tcBorders>
              <w:top w:val="nil"/>
              <w:right w:val="single" w:sz="4" w:space="0" w:color="auto"/>
            </w:tcBorders>
            <w:shd w:val="clear" w:color="auto" w:fill="auto"/>
            <w:vAlign w:val="center"/>
          </w:tcPr>
          <w:p w14:paraId="515641B2" w14:textId="1F586308" w:rsidR="00EB7A5F" w:rsidRPr="00115319" w:rsidRDefault="00EB7A5F"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color w:val="4472C4" w:themeColor="accent1"/>
                <w:szCs w:val="20"/>
              </w:rPr>
              <w:t>$126,901</w:t>
            </w:r>
          </w:p>
        </w:tc>
      </w:tr>
      <w:tr w:rsidR="009F1D75" w14:paraId="5668C7AE" w14:textId="77777777" w:rsidTr="00225E3A">
        <w:trPr>
          <w:trHeight w:val="124"/>
        </w:trPr>
        <w:tc>
          <w:tcPr>
            <w:tcW w:w="1568" w:type="pct"/>
            <w:tcBorders>
              <w:top w:val="nil"/>
              <w:left w:val="nil"/>
              <w:bottom w:val="nil"/>
              <w:right w:val="single" w:sz="4" w:space="0" w:color="auto"/>
            </w:tcBorders>
            <w:shd w:val="clear" w:color="auto" w:fill="auto"/>
          </w:tcPr>
          <w:p w14:paraId="4E27E6D8" w14:textId="77777777" w:rsidR="00982AE7" w:rsidRPr="005A3645" w:rsidRDefault="00982AE7" w:rsidP="00982AE7">
            <w:pPr>
              <w:spacing w:before="40" w:after="40" w:line="240" w:lineRule="auto"/>
              <w:rPr>
                <w:rFonts w:asciiTheme="minorHAnsi" w:hAnsiTheme="minorHAnsi" w:cstheme="minorHAnsi"/>
                <w:i/>
                <w:color w:val="4472C4" w:themeColor="accent1"/>
                <w:szCs w:val="20"/>
              </w:rPr>
            </w:pPr>
          </w:p>
        </w:tc>
        <w:tc>
          <w:tcPr>
            <w:tcW w:w="955" w:type="pct"/>
            <w:tcBorders>
              <w:top w:val="single" w:sz="4" w:space="0" w:color="auto"/>
              <w:left w:val="single" w:sz="4" w:space="0" w:color="auto"/>
            </w:tcBorders>
            <w:shd w:val="clear" w:color="auto" w:fill="auto"/>
          </w:tcPr>
          <w:p w14:paraId="6BCFCA34" w14:textId="23C0A51C" w:rsidR="00982AE7" w:rsidRPr="00115319" w:rsidRDefault="00982AE7" w:rsidP="00982AE7">
            <w:pPr>
              <w:spacing w:before="40" w:after="40" w:line="240" w:lineRule="auto"/>
              <w:rPr>
                <w:rFonts w:asciiTheme="minorHAnsi" w:hAnsiTheme="minorHAnsi" w:cstheme="minorHAnsi"/>
                <w:b/>
                <w:bCs/>
                <w:i/>
                <w:iCs/>
                <w:szCs w:val="20"/>
              </w:rPr>
            </w:pPr>
            <w:r w:rsidRPr="001D4104">
              <w:rPr>
                <w:rFonts w:asciiTheme="minorHAnsi" w:hAnsiTheme="minorHAnsi" w:cstheme="minorHAnsi"/>
                <w:b/>
                <w:bCs/>
                <w:szCs w:val="20"/>
              </w:rPr>
              <w:t>Total expenditure</w:t>
            </w:r>
            <w:r w:rsidRPr="008C02EE">
              <w:rPr>
                <w:rStyle w:val="FootnoteReference"/>
                <w:rFonts w:asciiTheme="minorHAnsi" w:hAnsiTheme="minorHAnsi" w:cstheme="minorHAnsi"/>
                <w:color w:val="FF0000"/>
                <w:szCs w:val="20"/>
              </w:rPr>
              <w:footnoteReference w:id="4"/>
            </w:r>
            <w:r>
              <w:rPr>
                <w:rFonts w:asciiTheme="minorHAnsi" w:hAnsiTheme="minorHAnsi" w:cstheme="minorHAnsi"/>
                <w:b/>
                <w:bCs/>
                <w:szCs w:val="20"/>
              </w:rPr>
              <w:t xml:space="preserve"> </w:t>
            </w:r>
          </w:p>
        </w:tc>
        <w:tc>
          <w:tcPr>
            <w:tcW w:w="641" w:type="pct"/>
            <w:tcBorders>
              <w:top w:val="nil"/>
            </w:tcBorders>
            <w:shd w:val="clear" w:color="auto" w:fill="auto"/>
          </w:tcPr>
          <w:p w14:paraId="1D8D0FA6" w14:textId="5ADCAE71" w:rsidR="00982AE7" w:rsidRPr="00115319" w:rsidRDefault="00982AE7" w:rsidP="00982AE7">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color w:val="4472C4" w:themeColor="accent1"/>
                <w:szCs w:val="20"/>
              </w:rPr>
              <w:t>$5,011,971</w:t>
            </w:r>
          </w:p>
        </w:tc>
        <w:tc>
          <w:tcPr>
            <w:tcW w:w="612" w:type="pct"/>
            <w:tcBorders>
              <w:top w:val="nil"/>
            </w:tcBorders>
            <w:shd w:val="clear" w:color="auto" w:fill="auto"/>
          </w:tcPr>
          <w:p w14:paraId="479E165E" w14:textId="45F4F3CC" w:rsidR="00982AE7" w:rsidRPr="00115319" w:rsidRDefault="00982AE7" w:rsidP="00982AE7">
            <w:pPr>
              <w:spacing w:before="40" w:after="40" w:line="240" w:lineRule="auto"/>
              <w:jc w:val="center"/>
              <w:rPr>
                <w:rFonts w:asciiTheme="minorHAnsi" w:hAnsiTheme="minorHAnsi" w:cstheme="minorHAnsi"/>
                <w:b/>
                <w:bCs/>
                <w:i/>
                <w:iCs/>
                <w:color w:val="4472C4" w:themeColor="accent1"/>
                <w:szCs w:val="20"/>
              </w:rPr>
            </w:pPr>
            <w:r w:rsidRPr="00A6017C">
              <w:rPr>
                <w:rFonts w:asciiTheme="minorHAnsi" w:hAnsiTheme="minorHAnsi" w:cstheme="minorHAnsi"/>
                <w:color w:val="4472C4" w:themeColor="accent1"/>
                <w:szCs w:val="20"/>
              </w:rPr>
              <w:t>$4,176,752</w:t>
            </w:r>
          </w:p>
        </w:tc>
        <w:tc>
          <w:tcPr>
            <w:tcW w:w="613" w:type="pct"/>
            <w:tcBorders>
              <w:top w:val="nil"/>
            </w:tcBorders>
            <w:shd w:val="clear" w:color="auto" w:fill="auto"/>
          </w:tcPr>
          <w:p w14:paraId="16CCDD6E" w14:textId="6139BA4A" w:rsidR="00982AE7" w:rsidRPr="00115319" w:rsidRDefault="00982AE7" w:rsidP="00982AE7">
            <w:pPr>
              <w:spacing w:before="40" w:after="40" w:line="240" w:lineRule="auto"/>
              <w:jc w:val="center"/>
              <w:rPr>
                <w:rFonts w:asciiTheme="minorHAnsi" w:hAnsiTheme="minorHAnsi" w:cstheme="minorHAnsi"/>
                <w:b/>
                <w:bCs/>
                <w:i/>
                <w:iCs/>
                <w:color w:val="4472C4" w:themeColor="accent1"/>
                <w:szCs w:val="20"/>
              </w:rPr>
            </w:pPr>
            <w:r w:rsidRPr="005E0301">
              <w:rPr>
                <w:rFonts w:asciiTheme="minorHAnsi" w:hAnsiTheme="minorHAnsi" w:cstheme="minorHAnsi"/>
                <w:color w:val="4472C4" w:themeColor="accent1"/>
                <w:szCs w:val="20"/>
              </w:rPr>
              <w:t xml:space="preserve"> $7,377,597 </w:t>
            </w:r>
          </w:p>
        </w:tc>
        <w:tc>
          <w:tcPr>
            <w:tcW w:w="611" w:type="pct"/>
            <w:tcBorders>
              <w:top w:val="nil"/>
              <w:right w:val="single" w:sz="4" w:space="0" w:color="auto"/>
            </w:tcBorders>
            <w:shd w:val="clear" w:color="auto" w:fill="auto"/>
          </w:tcPr>
          <w:p w14:paraId="4C57912A" w14:textId="7EAC9946" w:rsidR="00982AE7" w:rsidRPr="00115319" w:rsidRDefault="00982AE7" w:rsidP="00982AE7">
            <w:pPr>
              <w:spacing w:before="40" w:after="40" w:line="240" w:lineRule="auto"/>
              <w:jc w:val="center"/>
              <w:rPr>
                <w:rFonts w:asciiTheme="minorHAnsi" w:hAnsiTheme="minorHAnsi" w:cstheme="minorHAnsi"/>
                <w:b/>
                <w:bCs/>
                <w:i/>
                <w:iCs/>
                <w:color w:val="4472C4" w:themeColor="accent1"/>
                <w:szCs w:val="20"/>
              </w:rPr>
            </w:pPr>
            <w:r w:rsidRPr="005E0301">
              <w:rPr>
                <w:rFonts w:asciiTheme="minorHAnsi" w:hAnsiTheme="minorHAnsi" w:cstheme="minorHAnsi"/>
                <w:color w:val="4472C4" w:themeColor="accent1"/>
                <w:szCs w:val="20"/>
              </w:rPr>
              <w:t xml:space="preserve"> $7,562,402 </w:t>
            </w:r>
          </w:p>
        </w:tc>
      </w:tr>
      <w:tr w:rsidR="009F1D75" w14:paraId="1CBAB86D" w14:textId="77777777" w:rsidTr="00225E3A">
        <w:trPr>
          <w:trHeight w:val="124"/>
        </w:trPr>
        <w:tc>
          <w:tcPr>
            <w:tcW w:w="1568" w:type="pct"/>
            <w:tcBorders>
              <w:top w:val="nil"/>
              <w:left w:val="nil"/>
              <w:bottom w:val="nil"/>
              <w:right w:val="single" w:sz="4" w:space="0" w:color="auto"/>
            </w:tcBorders>
            <w:shd w:val="clear" w:color="auto" w:fill="auto"/>
          </w:tcPr>
          <w:p w14:paraId="27A263D9" w14:textId="77777777" w:rsidR="00EB7A5F" w:rsidRPr="005A3645" w:rsidRDefault="00EB7A5F" w:rsidP="00EB7A5F">
            <w:pPr>
              <w:spacing w:before="40" w:after="40" w:line="240" w:lineRule="auto"/>
              <w:rPr>
                <w:rFonts w:asciiTheme="minorHAnsi" w:hAnsiTheme="minorHAnsi" w:cstheme="minorHAnsi"/>
                <w:i/>
                <w:color w:val="4472C4" w:themeColor="accent1"/>
                <w:szCs w:val="20"/>
              </w:rPr>
            </w:pPr>
          </w:p>
        </w:tc>
        <w:tc>
          <w:tcPr>
            <w:tcW w:w="955" w:type="pct"/>
            <w:tcBorders>
              <w:top w:val="single" w:sz="4" w:space="0" w:color="auto"/>
              <w:left w:val="single" w:sz="4" w:space="0" w:color="auto"/>
            </w:tcBorders>
            <w:shd w:val="clear" w:color="auto" w:fill="auto"/>
          </w:tcPr>
          <w:p w14:paraId="1BDD4FFB" w14:textId="5EA912CE" w:rsidR="00EB7A5F" w:rsidRPr="00115319" w:rsidRDefault="00EB7A5F" w:rsidP="00EB7A5F">
            <w:pPr>
              <w:spacing w:before="40" w:after="40" w:line="240" w:lineRule="auto"/>
              <w:rPr>
                <w:rFonts w:asciiTheme="minorHAnsi" w:hAnsiTheme="minorHAnsi" w:cstheme="minorHAnsi"/>
                <w:b/>
                <w:bCs/>
                <w:i/>
                <w:iCs/>
                <w:szCs w:val="20"/>
              </w:rPr>
            </w:pPr>
            <w:r w:rsidRPr="00D05544">
              <w:rPr>
                <w:rFonts w:asciiTheme="minorHAnsi" w:hAnsiTheme="minorHAnsi" w:cstheme="minorHAnsi"/>
                <w:b/>
                <w:bCs/>
                <w:szCs w:val="20"/>
              </w:rPr>
              <w:t xml:space="preserve">Deferred </w:t>
            </w:r>
            <w:r>
              <w:rPr>
                <w:rFonts w:asciiTheme="minorHAnsi" w:hAnsiTheme="minorHAnsi" w:cstheme="minorHAnsi"/>
                <w:b/>
                <w:bCs/>
                <w:szCs w:val="20"/>
              </w:rPr>
              <w:t>funding</w:t>
            </w:r>
          </w:p>
        </w:tc>
        <w:tc>
          <w:tcPr>
            <w:tcW w:w="641" w:type="pct"/>
            <w:tcBorders>
              <w:top w:val="nil"/>
            </w:tcBorders>
            <w:shd w:val="clear" w:color="auto" w:fill="auto"/>
          </w:tcPr>
          <w:p w14:paraId="145202FD" w14:textId="79FB0C09" w:rsidR="00EB7A5F" w:rsidRPr="00115319" w:rsidRDefault="007A7268"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color w:val="4472C4" w:themeColor="accent1"/>
                <w:szCs w:val="20"/>
              </w:rPr>
              <w:t>$794,645</w:t>
            </w:r>
          </w:p>
        </w:tc>
        <w:tc>
          <w:tcPr>
            <w:tcW w:w="612" w:type="pct"/>
            <w:tcBorders>
              <w:top w:val="nil"/>
            </w:tcBorders>
            <w:shd w:val="clear" w:color="auto" w:fill="auto"/>
          </w:tcPr>
          <w:p w14:paraId="29495D3B" w14:textId="65C282B3" w:rsidR="00EB7A5F" w:rsidRPr="00115319" w:rsidRDefault="00EB7A5F" w:rsidP="007A7268">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color w:val="4472C4" w:themeColor="accent1"/>
                <w:szCs w:val="20"/>
              </w:rPr>
              <w:t>$</w:t>
            </w:r>
            <w:r w:rsidR="00982AE7">
              <w:rPr>
                <w:rFonts w:asciiTheme="minorHAnsi" w:hAnsiTheme="minorHAnsi" w:cstheme="minorHAnsi"/>
                <w:color w:val="4472C4" w:themeColor="accent1"/>
                <w:szCs w:val="20"/>
              </w:rPr>
              <w:t>1,804,064</w:t>
            </w:r>
          </w:p>
        </w:tc>
        <w:tc>
          <w:tcPr>
            <w:tcW w:w="613" w:type="pct"/>
            <w:tcBorders>
              <w:top w:val="nil"/>
            </w:tcBorders>
            <w:shd w:val="clear" w:color="auto" w:fill="auto"/>
          </w:tcPr>
          <w:p w14:paraId="7E8A788C" w14:textId="4B2C4E43" w:rsidR="00EB7A5F" w:rsidRPr="00115319" w:rsidRDefault="00EB7A5F"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color w:val="4472C4" w:themeColor="accent1"/>
                <w:szCs w:val="20"/>
              </w:rPr>
              <w:t>$0</w:t>
            </w:r>
          </w:p>
        </w:tc>
        <w:tc>
          <w:tcPr>
            <w:tcW w:w="611" w:type="pct"/>
            <w:tcBorders>
              <w:top w:val="nil"/>
              <w:right w:val="single" w:sz="4" w:space="0" w:color="auto"/>
            </w:tcBorders>
            <w:shd w:val="clear" w:color="auto" w:fill="auto"/>
          </w:tcPr>
          <w:p w14:paraId="213F8414" w14:textId="47145771" w:rsidR="00EB7A5F" w:rsidRPr="00115319" w:rsidRDefault="00EB7A5F" w:rsidP="00EB7A5F">
            <w:pPr>
              <w:spacing w:before="40" w:after="40" w:line="240" w:lineRule="auto"/>
              <w:jc w:val="center"/>
              <w:rPr>
                <w:rFonts w:asciiTheme="minorHAnsi" w:hAnsiTheme="minorHAnsi" w:cstheme="minorHAnsi"/>
                <w:b/>
                <w:bCs/>
                <w:i/>
                <w:iCs/>
                <w:color w:val="4472C4" w:themeColor="accent1"/>
                <w:szCs w:val="20"/>
              </w:rPr>
            </w:pPr>
            <w:r>
              <w:rPr>
                <w:rFonts w:asciiTheme="minorHAnsi" w:hAnsiTheme="minorHAnsi" w:cstheme="minorHAnsi"/>
                <w:color w:val="4472C4" w:themeColor="accent1"/>
                <w:szCs w:val="20"/>
              </w:rPr>
              <w:t>$0</w:t>
            </w:r>
          </w:p>
        </w:tc>
      </w:tr>
      <w:bookmarkEnd w:id="1"/>
    </w:tbl>
    <w:p w14:paraId="4CD14A2A" w14:textId="77777777" w:rsidR="002C78E9" w:rsidRDefault="002C78E9" w:rsidP="008C02EE">
      <w:pPr>
        <w:spacing w:line="240" w:lineRule="auto"/>
        <w:ind w:left="426"/>
        <w:rPr>
          <w:rFonts w:cstheme="minorHAnsi"/>
          <w:b/>
          <w:color w:val="000000" w:themeColor="text1"/>
          <w:sz w:val="22"/>
          <w:szCs w:val="28"/>
        </w:rPr>
        <w:sectPr w:rsidR="002C78E9" w:rsidSect="00115319">
          <w:pgSz w:w="11906" w:h="16838"/>
          <w:pgMar w:top="720" w:right="720" w:bottom="720" w:left="720" w:header="708" w:footer="169" w:gutter="0"/>
          <w:cols w:space="708"/>
          <w:docGrid w:linePitch="360"/>
        </w:sectPr>
      </w:pPr>
    </w:p>
    <w:p w14:paraId="265768BD" w14:textId="24311FF1" w:rsidR="00BB3A36" w:rsidRDefault="00750881" w:rsidP="001B36EE">
      <w:pPr>
        <w:spacing w:line="240" w:lineRule="auto"/>
        <w:rPr>
          <w:rFonts w:cstheme="minorHAnsi"/>
          <w:b/>
          <w:color w:val="000000" w:themeColor="text1"/>
          <w:sz w:val="22"/>
          <w:szCs w:val="28"/>
        </w:rPr>
      </w:pPr>
      <w:r w:rsidRPr="003A4A65">
        <w:rPr>
          <w:rFonts w:cstheme="minorHAnsi"/>
          <w:b/>
          <w:color w:val="000000" w:themeColor="text1"/>
          <w:sz w:val="22"/>
          <w:szCs w:val="28"/>
        </w:rPr>
        <w:lastRenderedPageBreak/>
        <w:t>Expenditure Profile</w:t>
      </w:r>
      <w:r w:rsidR="0077256F">
        <w:rPr>
          <w:rFonts w:cstheme="minorHAnsi"/>
          <w:b/>
          <w:color w:val="000000" w:themeColor="text1"/>
          <w:sz w:val="22"/>
          <w:szCs w:val="28"/>
        </w:rPr>
        <w:t xml:space="preserve"> for</w:t>
      </w:r>
      <w:r w:rsidRPr="003A4A65">
        <w:rPr>
          <w:rFonts w:cstheme="minorHAnsi"/>
          <w:b/>
          <w:color w:val="000000" w:themeColor="text1"/>
          <w:sz w:val="22"/>
          <w:szCs w:val="28"/>
        </w:rPr>
        <w:t xml:space="preserve"> </w:t>
      </w:r>
      <w:r w:rsidR="00A04452">
        <w:rPr>
          <w:rFonts w:cstheme="minorHAnsi"/>
          <w:b/>
          <w:color w:val="000000" w:themeColor="text1"/>
          <w:sz w:val="22"/>
          <w:szCs w:val="28"/>
        </w:rPr>
        <w:t>2022</w:t>
      </w:r>
      <w:r w:rsidR="0094555B">
        <w:rPr>
          <w:rFonts w:cstheme="minorHAnsi"/>
          <w:b/>
          <w:color w:val="000000" w:themeColor="text1"/>
          <w:sz w:val="22"/>
          <w:szCs w:val="28"/>
        </w:rPr>
        <w:t>–</w:t>
      </w:r>
      <w:r w:rsidR="008B7AE1" w:rsidRPr="003A4A65">
        <w:rPr>
          <w:rFonts w:cstheme="minorHAnsi"/>
          <w:b/>
          <w:color w:val="000000" w:themeColor="text1"/>
          <w:sz w:val="22"/>
          <w:szCs w:val="28"/>
        </w:rPr>
        <w:t>2029</w:t>
      </w:r>
    </w:p>
    <w:p w14:paraId="2ECAEF1F" w14:textId="1F648C09" w:rsidR="00B64CB7" w:rsidRPr="003A4A65" w:rsidRDefault="00B64CB7" w:rsidP="001B36EE">
      <w:pPr>
        <w:spacing w:line="240" w:lineRule="auto"/>
        <w:rPr>
          <w:rFonts w:cstheme="minorHAnsi"/>
          <w:b/>
          <w:color w:val="000000" w:themeColor="text1"/>
          <w:sz w:val="22"/>
          <w:szCs w:val="28"/>
        </w:rPr>
      </w:pPr>
    </w:p>
    <w:tbl>
      <w:tblPr>
        <w:tblStyle w:val="TableGrid"/>
        <w:tblW w:w="4983" w:type="pct"/>
        <w:tblInd w:w="0" w:type="dxa"/>
        <w:tblLayout w:type="fixed"/>
        <w:tblLook w:val="04A0" w:firstRow="1" w:lastRow="0" w:firstColumn="1" w:lastColumn="0" w:noHBand="0" w:noVBand="1"/>
      </w:tblPr>
      <w:tblGrid>
        <w:gridCol w:w="4343"/>
        <w:gridCol w:w="2010"/>
        <w:gridCol w:w="1310"/>
        <w:gridCol w:w="1276"/>
        <w:gridCol w:w="1270"/>
        <w:gridCol w:w="1276"/>
        <w:gridCol w:w="1273"/>
        <w:gridCol w:w="1276"/>
        <w:gridCol w:w="1307"/>
      </w:tblGrid>
      <w:tr w:rsidR="009F1D75" w:rsidRPr="00156303" w14:paraId="64F9A5AD" w14:textId="77777777" w:rsidTr="009F1D75">
        <w:trPr>
          <w:tblHeader/>
        </w:trPr>
        <w:tc>
          <w:tcPr>
            <w:tcW w:w="1415" w:type="pct"/>
            <w:tcBorders>
              <w:top w:val="nil"/>
              <w:left w:val="nil"/>
              <w:bottom w:val="single" w:sz="4" w:space="0" w:color="auto"/>
              <w:right w:val="single" w:sz="4" w:space="0" w:color="auto"/>
            </w:tcBorders>
          </w:tcPr>
          <w:p w14:paraId="7D130665" w14:textId="77777777" w:rsidR="008B7AE1" w:rsidRPr="00156303" w:rsidRDefault="008B7AE1" w:rsidP="008D027C">
            <w:pPr>
              <w:rPr>
                <w:rFonts w:asciiTheme="minorHAnsi" w:hAnsiTheme="minorHAnsi" w:cstheme="minorHAnsi"/>
                <w:b/>
                <w:szCs w:val="20"/>
              </w:rPr>
            </w:pPr>
            <w:bookmarkStart w:id="4" w:name="_Hlk83130906"/>
          </w:p>
        </w:tc>
        <w:tc>
          <w:tcPr>
            <w:tcW w:w="655" w:type="pct"/>
            <w:tcBorders>
              <w:top w:val="single" w:sz="4" w:space="0" w:color="auto"/>
              <w:left w:val="single" w:sz="4" w:space="0" w:color="auto"/>
              <w:bottom w:val="single" w:sz="4" w:space="0" w:color="auto"/>
              <w:right w:val="nil"/>
            </w:tcBorders>
            <w:shd w:val="clear" w:color="auto" w:fill="B4C6E7" w:themeFill="accent1" w:themeFillTint="66"/>
          </w:tcPr>
          <w:p w14:paraId="5594C362" w14:textId="20187815" w:rsidR="008B7AE1" w:rsidRPr="001A1CC1" w:rsidRDefault="008B7AE1" w:rsidP="005C3BEF">
            <w:pPr>
              <w:jc w:val="right"/>
              <w:rPr>
                <w:rFonts w:asciiTheme="minorHAnsi" w:hAnsiTheme="minorHAnsi" w:cstheme="minorHAnsi"/>
                <w:b/>
                <w:szCs w:val="20"/>
              </w:rPr>
            </w:pPr>
            <w:r w:rsidRPr="00156303">
              <w:rPr>
                <w:rFonts w:asciiTheme="minorHAnsi" w:hAnsiTheme="minorHAnsi" w:cstheme="minorHAnsi"/>
                <w:b/>
                <w:szCs w:val="20"/>
              </w:rPr>
              <w:t>2022</w:t>
            </w:r>
          </w:p>
        </w:tc>
        <w:tc>
          <w:tcPr>
            <w:tcW w:w="427" w:type="pct"/>
            <w:tcBorders>
              <w:top w:val="single" w:sz="4" w:space="0" w:color="auto"/>
              <w:left w:val="nil"/>
              <w:bottom w:val="single" w:sz="4" w:space="0" w:color="auto"/>
              <w:right w:val="nil"/>
            </w:tcBorders>
            <w:shd w:val="clear" w:color="auto" w:fill="B4C6E7" w:themeFill="accent1" w:themeFillTint="66"/>
          </w:tcPr>
          <w:p w14:paraId="47186649" w14:textId="6672ECE6" w:rsidR="008B7AE1" w:rsidRPr="001A1CC1" w:rsidRDefault="008B7AE1" w:rsidP="005C3BEF">
            <w:pPr>
              <w:jc w:val="right"/>
              <w:rPr>
                <w:rFonts w:asciiTheme="minorHAnsi" w:hAnsiTheme="minorHAnsi" w:cstheme="minorHAnsi"/>
                <w:b/>
                <w:szCs w:val="20"/>
              </w:rPr>
            </w:pPr>
            <w:r w:rsidRPr="00156303">
              <w:rPr>
                <w:rFonts w:asciiTheme="minorHAnsi" w:hAnsiTheme="minorHAnsi" w:cstheme="minorHAnsi"/>
                <w:b/>
                <w:szCs w:val="20"/>
              </w:rPr>
              <w:t>2023</w:t>
            </w:r>
          </w:p>
        </w:tc>
        <w:tc>
          <w:tcPr>
            <w:tcW w:w="416" w:type="pct"/>
            <w:tcBorders>
              <w:top w:val="single" w:sz="4" w:space="0" w:color="auto"/>
              <w:left w:val="nil"/>
              <w:bottom w:val="single" w:sz="4" w:space="0" w:color="auto"/>
              <w:right w:val="nil"/>
            </w:tcBorders>
            <w:shd w:val="clear" w:color="auto" w:fill="B4C6E7" w:themeFill="accent1" w:themeFillTint="66"/>
          </w:tcPr>
          <w:p w14:paraId="0E18D6A3" w14:textId="7D865B30" w:rsidR="008B7AE1" w:rsidRPr="001A1CC1" w:rsidRDefault="008B7AE1" w:rsidP="005C3BEF">
            <w:pPr>
              <w:jc w:val="right"/>
              <w:rPr>
                <w:rFonts w:asciiTheme="minorHAnsi" w:hAnsiTheme="minorHAnsi" w:cstheme="minorHAnsi"/>
                <w:b/>
                <w:szCs w:val="20"/>
              </w:rPr>
            </w:pPr>
            <w:r w:rsidRPr="00156303">
              <w:rPr>
                <w:rFonts w:asciiTheme="minorHAnsi" w:hAnsiTheme="minorHAnsi" w:cstheme="minorHAnsi"/>
                <w:b/>
                <w:szCs w:val="20"/>
              </w:rPr>
              <w:t>2024</w:t>
            </w:r>
          </w:p>
        </w:tc>
        <w:tc>
          <w:tcPr>
            <w:tcW w:w="414" w:type="pct"/>
            <w:tcBorders>
              <w:top w:val="single" w:sz="4" w:space="0" w:color="auto"/>
              <w:left w:val="nil"/>
              <w:bottom w:val="single" w:sz="4" w:space="0" w:color="auto"/>
              <w:right w:val="nil"/>
            </w:tcBorders>
            <w:shd w:val="clear" w:color="auto" w:fill="B4C6E7" w:themeFill="accent1" w:themeFillTint="66"/>
          </w:tcPr>
          <w:p w14:paraId="69EEF611" w14:textId="482AC189" w:rsidR="008B7AE1" w:rsidRPr="001A1CC1" w:rsidRDefault="008B7AE1" w:rsidP="005C3BEF">
            <w:pPr>
              <w:jc w:val="right"/>
              <w:rPr>
                <w:rFonts w:asciiTheme="minorHAnsi" w:hAnsiTheme="minorHAnsi" w:cstheme="minorHAnsi"/>
                <w:b/>
                <w:szCs w:val="20"/>
              </w:rPr>
            </w:pPr>
            <w:r w:rsidRPr="00156303">
              <w:rPr>
                <w:rFonts w:asciiTheme="minorHAnsi" w:hAnsiTheme="minorHAnsi" w:cstheme="minorHAnsi"/>
                <w:b/>
                <w:szCs w:val="20"/>
              </w:rPr>
              <w:t>2025</w:t>
            </w:r>
          </w:p>
        </w:tc>
        <w:tc>
          <w:tcPr>
            <w:tcW w:w="416" w:type="pct"/>
            <w:tcBorders>
              <w:top w:val="single" w:sz="4" w:space="0" w:color="auto"/>
              <w:left w:val="nil"/>
              <w:bottom w:val="single" w:sz="4" w:space="0" w:color="auto"/>
              <w:right w:val="nil"/>
            </w:tcBorders>
            <w:shd w:val="clear" w:color="auto" w:fill="B4C6E7" w:themeFill="accent1" w:themeFillTint="66"/>
          </w:tcPr>
          <w:p w14:paraId="0F62D5A0" w14:textId="5C267775" w:rsidR="008B7AE1" w:rsidRPr="001A1CC1" w:rsidRDefault="008B7AE1" w:rsidP="005C3BEF">
            <w:pPr>
              <w:jc w:val="right"/>
              <w:rPr>
                <w:rFonts w:asciiTheme="minorHAnsi" w:hAnsiTheme="minorHAnsi" w:cstheme="minorHAnsi"/>
                <w:b/>
                <w:szCs w:val="20"/>
              </w:rPr>
            </w:pPr>
            <w:r w:rsidRPr="00156303">
              <w:rPr>
                <w:rFonts w:asciiTheme="minorHAnsi" w:hAnsiTheme="minorHAnsi" w:cstheme="minorHAnsi"/>
                <w:b/>
                <w:szCs w:val="20"/>
              </w:rPr>
              <w:t>2026</w:t>
            </w:r>
            <w:r w:rsidR="00431421">
              <w:rPr>
                <w:rFonts w:asciiTheme="minorHAnsi" w:hAnsiTheme="minorHAnsi" w:cstheme="minorHAnsi"/>
                <w:b/>
                <w:szCs w:val="20"/>
              </w:rPr>
              <w:t>*</w:t>
            </w:r>
          </w:p>
        </w:tc>
        <w:tc>
          <w:tcPr>
            <w:tcW w:w="415" w:type="pct"/>
            <w:tcBorders>
              <w:top w:val="single" w:sz="4" w:space="0" w:color="auto"/>
              <w:left w:val="nil"/>
              <w:bottom w:val="single" w:sz="4" w:space="0" w:color="auto"/>
              <w:right w:val="nil"/>
            </w:tcBorders>
            <w:shd w:val="clear" w:color="auto" w:fill="B4C6E7" w:themeFill="accent1" w:themeFillTint="66"/>
          </w:tcPr>
          <w:p w14:paraId="5DAA20BB" w14:textId="4AC1B3AC" w:rsidR="008B7AE1" w:rsidRPr="001A1CC1" w:rsidRDefault="008B7AE1" w:rsidP="005C3BEF">
            <w:pPr>
              <w:jc w:val="right"/>
              <w:rPr>
                <w:rFonts w:asciiTheme="minorHAnsi" w:hAnsiTheme="minorHAnsi" w:cstheme="minorHAnsi"/>
                <w:b/>
                <w:szCs w:val="20"/>
              </w:rPr>
            </w:pPr>
            <w:r w:rsidRPr="00156303">
              <w:rPr>
                <w:rFonts w:asciiTheme="minorHAnsi" w:hAnsiTheme="minorHAnsi" w:cstheme="minorHAnsi"/>
                <w:b/>
                <w:szCs w:val="20"/>
              </w:rPr>
              <w:t>2027</w:t>
            </w:r>
            <w:r w:rsidR="00431421">
              <w:rPr>
                <w:rFonts w:asciiTheme="minorHAnsi" w:hAnsiTheme="minorHAnsi" w:cstheme="minorHAnsi"/>
                <w:b/>
                <w:szCs w:val="20"/>
              </w:rPr>
              <w:t>*</w:t>
            </w:r>
          </w:p>
        </w:tc>
        <w:tc>
          <w:tcPr>
            <w:tcW w:w="416" w:type="pct"/>
            <w:tcBorders>
              <w:top w:val="single" w:sz="4" w:space="0" w:color="auto"/>
              <w:left w:val="nil"/>
              <w:bottom w:val="single" w:sz="4" w:space="0" w:color="auto"/>
              <w:right w:val="nil"/>
            </w:tcBorders>
            <w:shd w:val="clear" w:color="auto" w:fill="B4C6E7" w:themeFill="accent1" w:themeFillTint="66"/>
          </w:tcPr>
          <w:p w14:paraId="62B69C52" w14:textId="0416A41B" w:rsidR="008B7AE1" w:rsidRPr="001A1CC1" w:rsidRDefault="008B7AE1" w:rsidP="005C3BEF">
            <w:pPr>
              <w:jc w:val="right"/>
              <w:rPr>
                <w:rFonts w:asciiTheme="minorHAnsi" w:hAnsiTheme="minorHAnsi" w:cstheme="minorHAnsi"/>
                <w:b/>
                <w:szCs w:val="20"/>
              </w:rPr>
            </w:pPr>
            <w:r w:rsidRPr="00156303">
              <w:rPr>
                <w:rFonts w:asciiTheme="minorHAnsi" w:hAnsiTheme="minorHAnsi" w:cstheme="minorHAnsi"/>
                <w:b/>
                <w:szCs w:val="20"/>
              </w:rPr>
              <w:t>2028</w:t>
            </w:r>
            <w:r w:rsidR="00431421">
              <w:rPr>
                <w:rFonts w:asciiTheme="minorHAnsi" w:hAnsiTheme="minorHAnsi" w:cstheme="minorHAnsi"/>
                <w:b/>
                <w:szCs w:val="20"/>
              </w:rPr>
              <w:t>*</w:t>
            </w:r>
          </w:p>
        </w:tc>
        <w:tc>
          <w:tcPr>
            <w:tcW w:w="426" w:type="pct"/>
            <w:tcBorders>
              <w:top w:val="single" w:sz="4" w:space="0" w:color="auto"/>
              <w:left w:val="nil"/>
              <w:bottom w:val="single" w:sz="4" w:space="0" w:color="auto"/>
              <w:right w:val="single" w:sz="4" w:space="0" w:color="auto"/>
            </w:tcBorders>
            <w:shd w:val="clear" w:color="auto" w:fill="B4C6E7" w:themeFill="accent1" w:themeFillTint="66"/>
          </w:tcPr>
          <w:p w14:paraId="1297CF55" w14:textId="73A25262" w:rsidR="008B7AE1" w:rsidRPr="001A1CC1" w:rsidRDefault="008B7AE1" w:rsidP="005C3BEF">
            <w:pPr>
              <w:jc w:val="right"/>
              <w:rPr>
                <w:rFonts w:asciiTheme="minorHAnsi" w:hAnsiTheme="minorHAnsi" w:cstheme="minorHAnsi"/>
                <w:b/>
                <w:szCs w:val="20"/>
              </w:rPr>
            </w:pPr>
            <w:r w:rsidRPr="00156303">
              <w:rPr>
                <w:rFonts w:asciiTheme="minorHAnsi" w:hAnsiTheme="minorHAnsi" w:cstheme="minorHAnsi"/>
                <w:b/>
                <w:szCs w:val="20"/>
              </w:rPr>
              <w:t>2029</w:t>
            </w:r>
            <w:r w:rsidR="00431421">
              <w:rPr>
                <w:rFonts w:asciiTheme="minorHAnsi" w:hAnsiTheme="minorHAnsi" w:cstheme="minorHAnsi"/>
                <w:b/>
                <w:szCs w:val="20"/>
              </w:rPr>
              <w:t>*</w:t>
            </w:r>
          </w:p>
        </w:tc>
      </w:tr>
      <w:tr w:rsidR="009F1D75" w:rsidRPr="00156303" w14:paraId="4D234FCA" w14:textId="77777777" w:rsidTr="005C3BEF">
        <w:tc>
          <w:tcPr>
            <w:tcW w:w="1415" w:type="pct"/>
            <w:tcBorders>
              <w:top w:val="single" w:sz="4" w:space="0" w:color="auto"/>
              <w:left w:val="single" w:sz="4" w:space="0" w:color="auto"/>
              <w:bottom w:val="single" w:sz="4" w:space="0" w:color="auto"/>
              <w:right w:val="nil"/>
            </w:tcBorders>
            <w:vAlign w:val="center"/>
          </w:tcPr>
          <w:p w14:paraId="5855C7B8" w14:textId="68E82FAA" w:rsidR="005A0E34" w:rsidRPr="00156303" w:rsidRDefault="005A0E34" w:rsidP="005A0E34">
            <w:pPr>
              <w:spacing w:before="60" w:after="60" w:line="240" w:lineRule="auto"/>
              <w:ind w:left="26"/>
              <w:rPr>
                <w:rFonts w:asciiTheme="minorHAnsi" w:hAnsiTheme="minorHAnsi" w:cstheme="minorHAnsi"/>
                <w:szCs w:val="20"/>
              </w:rPr>
            </w:pPr>
            <w:r w:rsidRPr="00156303">
              <w:rPr>
                <w:rFonts w:asciiTheme="minorHAnsi" w:hAnsiTheme="minorHAnsi" w:cstheme="minorHAnsi"/>
                <w:szCs w:val="20"/>
              </w:rPr>
              <w:t xml:space="preserve">NGRB’s </w:t>
            </w:r>
            <w:r>
              <w:rPr>
                <w:rFonts w:asciiTheme="minorHAnsi" w:hAnsiTheme="minorHAnsi" w:cstheme="minorHAnsi"/>
                <w:szCs w:val="20"/>
              </w:rPr>
              <w:t xml:space="preserve">total </w:t>
            </w:r>
            <w:r w:rsidRPr="00156303">
              <w:rPr>
                <w:rFonts w:asciiTheme="minorHAnsi" w:hAnsiTheme="minorHAnsi" w:cstheme="minorHAnsi"/>
                <w:szCs w:val="20"/>
              </w:rPr>
              <w:t>estimated funding allocation as advised by the department</w:t>
            </w:r>
          </w:p>
        </w:tc>
        <w:tc>
          <w:tcPr>
            <w:tcW w:w="655" w:type="pct"/>
            <w:tcBorders>
              <w:top w:val="single" w:sz="4" w:space="0" w:color="auto"/>
              <w:left w:val="nil"/>
              <w:bottom w:val="single" w:sz="4" w:space="0" w:color="auto"/>
              <w:right w:val="nil"/>
            </w:tcBorders>
            <w:vAlign w:val="center"/>
          </w:tcPr>
          <w:p w14:paraId="6F365D81" w14:textId="19870AE3" w:rsidR="005A0E34" w:rsidRPr="007F27D4" w:rsidRDefault="005A0E34" w:rsidP="005C3BEF">
            <w:pPr>
              <w:jc w:val="right"/>
              <w:rPr>
                <w:rFonts w:ascii="Calibri" w:hAnsi="Calibri" w:cs="Calibri"/>
                <w:bCs/>
                <w:color w:val="FF0000"/>
                <w:szCs w:val="20"/>
              </w:rPr>
            </w:pPr>
            <w:r>
              <w:rPr>
                <w:rFonts w:ascii="Calibri" w:hAnsi="Calibri" w:cs="Calibri"/>
                <w:color w:val="000000"/>
                <w:szCs w:val="20"/>
              </w:rPr>
              <w:t>$</w:t>
            </w:r>
            <w:r w:rsidRPr="00F3326C">
              <w:rPr>
                <w:rFonts w:ascii="Calibri" w:hAnsi="Calibri" w:cs="Calibri"/>
                <w:color w:val="000000"/>
                <w:szCs w:val="20"/>
              </w:rPr>
              <w:t>5,806,616</w:t>
            </w:r>
          </w:p>
        </w:tc>
        <w:tc>
          <w:tcPr>
            <w:tcW w:w="427" w:type="pct"/>
            <w:tcBorders>
              <w:top w:val="single" w:sz="4" w:space="0" w:color="auto"/>
              <w:left w:val="nil"/>
              <w:bottom w:val="single" w:sz="4" w:space="0" w:color="auto"/>
              <w:right w:val="nil"/>
            </w:tcBorders>
            <w:vAlign w:val="center"/>
          </w:tcPr>
          <w:p w14:paraId="13ADFE39" w14:textId="6CB96D7F" w:rsidR="005A0E34" w:rsidRPr="007F27D4" w:rsidRDefault="005A0E34" w:rsidP="005C3BEF">
            <w:pPr>
              <w:jc w:val="right"/>
              <w:rPr>
                <w:rFonts w:ascii="Calibri" w:hAnsi="Calibri" w:cs="Calibri"/>
                <w:bCs/>
                <w:color w:val="FF0000"/>
                <w:szCs w:val="20"/>
              </w:rPr>
            </w:pPr>
            <w:r>
              <w:rPr>
                <w:rFonts w:ascii="Calibri" w:hAnsi="Calibri" w:cs="Calibri"/>
                <w:color w:val="000000"/>
                <w:szCs w:val="20"/>
              </w:rPr>
              <w:t>$</w:t>
            </w:r>
            <w:r w:rsidRPr="00F3326C">
              <w:rPr>
                <w:rFonts w:ascii="Calibri" w:hAnsi="Calibri" w:cs="Calibri"/>
                <w:color w:val="000000"/>
                <w:szCs w:val="20"/>
              </w:rPr>
              <w:t>5,980,816</w:t>
            </w:r>
          </w:p>
        </w:tc>
        <w:tc>
          <w:tcPr>
            <w:tcW w:w="416" w:type="pct"/>
            <w:tcBorders>
              <w:top w:val="single" w:sz="4" w:space="0" w:color="auto"/>
              <w:left w:val="nil"/>
              <w:bottom w:val="single" w:sz="4" w:space="0" w:color="auto"/>
              <w:right w:val="nil"/>
            </w:tcBorders>
            <w:vAlign w:val="center"/>
          </w:tcPr>
          <w:p w14:paraId="14FE9AF7" w14:textId="20AA8279" w:rsidR="005A0E34" w:rsidRPr="007F27D4" w:rsidRDefault="005A0E34" w:rsidP="005C3BEF">
            <w:pPr>
              <w:jc w:val="right"/>
              <w:rPr>
                <w:rFonts w:ascii="Calibri" w:hAnsi="Calibri" w:cs="Calibri"/>
                <w:bCs/>
                <w:color w:val="FF0000"/>
                <w:szCs w:val="20"/>
              </w:rPr>
            </w:pPr>
            <w:r>
              <w:rPr>
                <w:rFonts w:ascii="Calibri" w:hAnsi="Calibri" w:cs="Calibri"/>
                <w:color w:val="000000"/>
                <w:szCs w:val="20"/>
              </w:rPr>
              <w:t>$</w:t>
            </w:r>
            <w:r w:rsidRPr="00F3326C">
              <w:rPr>
                <w:rFonts w:ascii="Calibri" w:hAnsi="Calibri" w:cs="Calibri"/>
                <w:color w:val="000000"/>
                <w:szCs w:val="20"/>
              </w:rPr>
              <w:t>6,160,242</w:t>
            </w:r>
          </w:p>
        </w:tc>
        <w:tc>
          <w:tcPr>
            <w:tcW w:w="414" w:type="pct"/>
            <w:tcBorders>
              <w:top w:val="single" w:sz="4" w:space="0" w:color="auto"/>
              <w:left w:val="nil"/>
              <w:bottom w:val="single" w:sz="4" w:space="0" w:color="auto"/>
              <w:right w:val="nil"/>
            </w:tcBorders>
            <w:vAlign w:val="center"/>
          </w:tcPr>
          <w:p w14:paraId="068BA96F" w14:textId="485C0DA2" w:rsidR="005A0E34" w:rsidRPr="007F27D4" w:rsidRDefault="005A0E34" w:rsidP="005C3BEF">
            <w:pPr>
              <w:jc w:val="right"/>
              <w:rPr>
                <w:rFonts w:ascii="Calibri" w:hAnsi="Calibri" w:cs="Calibri"/>
                <w:bCs/>
                <w:color w:val="FF0000"/>
                <w:szCs w:val="20"/>
              </w:rPr>
            </w:pPr>
            <w:r>
              <w:rPr>
                <w:rFonts w:ascii="Calibri" w:hAnsi="Calibri" w:cs="Calibri"/>
                <w:color w:val="000000"/>
                <w:szCs w:val="20"/>
              </w:rPr>
              <w:t>$</w:t>
            </w:r>
            <w:r w:rsidRPr="00F3326C">
              <w:rPr>
                <w:rFonts w:ascii="Calibri" w:hAnsi="Calibri" w:cs="Calibri"/>
                <w:color w:val="000000"/>
                <w:szCs w:val="20"/>
              </w:rPr>
              <w:t>6,345,048</w:t>
            </w:r>
          </w:p>
        </w:tc>
        <w:tc>
          <w:tcPr>
            <w:tcW w:w="416" w:type="pct"/>
            <w:tcBorders>
              <w:top w:val="single" w:sz="4" w:space="0" w:color="auto"/>
              <w:left w:val="nil"/>
              <w:bottom w:val="single" w:sz="4" w:space="0" w:color="auto"/>
              <w:right w:val="nil"/>
            </w:tcBorders>
            <w:vAlign w:val="center"/>
          </w:tcPr>
          <w:p w14:paraId="36EFC78A" w14:textId="0E83EA1A" w:rsidR="005A0E34" w:rsidRPr="007F27D4" w:rsidRDefault="005A0E34" w:rsidP="005C3BEF">
            <w:pPr>
              <w:jc w:val="right"/>
              <w:rPr>
                <w:rFonts w:ascii="Calibri" w:hAnsi="Calibri" w:cs="Calibri"/>
                <w:bCs/>
                <w:color w:val="FF0000"/>
                <w:szCs w:val="20"/>
              </w:rPr>
            </w:pPr>
            <w:r>
              <w:rPr>
                <w:rFonts w:ascii="Calibri" w:hAnsi="Calibri" w:cs="Calibri"/>
                <w:color w:val="000000"/>
                <w:szCs w:val="20"/>
              </w:rPr>
              <w:t>$</w:t>
            </w:r>
            <w:r w:rsidRPr="00F3326C">
              <w:rPr>
                <w:rFonts w:ascii="Calibri" w:hAnsi="Calibri" w:cs="Calibri"/>
                <w:color w:val="000000"/>
                <w:szCs w:val="20"/>
              </w:rPr>
              <w:t>6,535,398</w:t>
            </w:r>
          </w:p>
        </w:tc>
        <w:tc>
          <w:tcPr>
            <w:tcW w:w="415" w:type="pct"/>
            <w:tcBorders>
              <w:top w:val="single" w:sz="4" w:space="0" w:color="auto"/>
              <w:left w:val="nil"/>
              <w:bottom w:val="single" w:sz="4" w:space="0" w:color="auto"/>
              <w:right w:val="nil"/>
            </w:tcBorders>
            <w:vAlign w:val="center"/>
          </w:tcPr>
          <w:p w14:paraId="27C6C629" w14:textId="75B8B0A6" w:rsidR="005A0E34" w:rsidRPr="007F27D4" w:rsidRDefault="005A0E34" w:rsidP="005C3BEF">
            <w:pPr>
              <w:jc w:val="right"/>
              <w:rPr>
                <w:rFonts w:ascii="Calibri" w:hAnsi="Calibri" w:cs="Calibri"/>
                <w:bCs/>
                <w:color w:val="FF0000"/>
                <w:szCs w:val="20"/>
              </w:rPr>
            </w:pPr>
            <w:r>
              <w:rPr>
                <w:rFonts w:ascii="Calibri" w:hAnsi="Calibri" w:cs="Calibri"/>
                <w:color w:val="000000"/>
                <w:szCs w:val="20"/>
              </w:rPr>
              <w:t>$</w:t>
            </w:r>
            <w:r w:rsidRPr="00F3326C">
              <w:rPr>
                <w:rFonts w:ascii="Calibri" w:hAnsi="Calibri" w:cs="Calibri"/>
                <w:color w:val="000000"/>
                <w:szCs w:val="20"/>
              </w:rPr>
              <w:t>6,731,462</w:t>
            </w:r>
          </w:p>
        </w:tc>
        <w:tc>
          <w:tcPr>
            <w:tcW w:w="416" w:type="pct"/>
            <w:tcBorders>
              <w:top w:val="single" w:sz="4" w:space="0" w:color="auto"/>
              <w:left w:val="nil"/>
              <w:bottom w:val="single" w:sz="4" w:space="0" w:color="auto"/>
              <w:right w:val="nil"/>
            </w:tcBorders>
            <w:vAlign w:val="center"/>
          </w:tcPr>
          <w:p w14:paraId="0FACE23F" w14:textId="495DBBE7" w:rsidR="005A0E34" w:rsidRPr="007F27D4" w:rsidRDefault="005A0E34" w:rsidP="005C3BEF">
            <w:pPr>
              <w:jc w:val="right"/>
              <w:rPr>
                <w:rFonts w:ascii="Calibri" w:hAnsi="Calibri" w:cs="Calibri"/>
                <w:bCs/>
                <w:color w:val="FF0000"/>
                <w:szCs w:val="20"/>
              </w:rPr>
            </w:pPr>
            <w:r>
              <w:rPr>
                <w:rFonts w:ascii="Calibri" w:hAnsi="Calibri" w:cs="Calibri"/>
                <w:color w:val="000000"/>
                <w:szCs w:val="20"/>
              </w:rPr>
              <w:t>$</w:t>
            </w:r>
            <w:r w:rsidRPr="00F3326C">
              <w:rPr>
                <w:rFonts w:ascii="Calibri" w:hAnsi="Calibri" w:cs="Calibri"/>
                <w:color w:val="000000"/>
                <w:szCs w:val="20"/>
              </w:rPr>
              <w:t>6,933,404</w:t>
            </w:r>
          </w:p>
        </w:tc>
        <w:tc>
          <w:tcPr>
            <w:tcW w:w="426" w:type="pct"/>
            <w:tcBorders>
              <w:top w:val="single" w:sz="4" w:space="0" w:color="auto"/>
              <w:left w:val="nil"/>
              <w:bottom w:val="single" w:sz="4" w:space="0" w:color="auto"/>
              <w:right w:val="single" w:sz="4" w:space="0" w:color="auto"/>
            </w:tcBorders>
            <w:vAlign w:val="center"/>
          </w:tcPr>
          <w:p w14:paraId="76704C12" w14:textId="2BFE6077" w:rsidR="005A0E34" w:rsidRPr="007F27D4" w:rsidRDefault="005A0E34" w:rsidP="005C3BEF">
            <w:pPr>
              <w:jc w:val="right"/>
              <w:rPr>
                <w:rFonts w:ascii="Calibri" w:hAnsi="Calibri" w:cs="Calibri"/>
                <w:bCs/>
                <w:color w:val="FF0000"/>
                <w:szCs w:val="20"/>
              </w:rPr>
            </w:pPr>
            <w:r>
              <w:rPr>
                <w:rFonts w:ascii="Calibri" w:hAnsi="Calibri" w:cs="Calibri"/>
                <w:color w:val="000000"/>
                <w:szCs w:val="20"/>
              </w:rPr>
              <w:t>$</w:t>
            </w:r>
            <w:r w:rsidRPr="00F3326C">
              <w:rPr>
                <w:rFonts w:ascii="Calibri" w:hAnsi="Calibri" w:cs="Calibri"/>
                <w:color w:val="000000"/>
                <w:szCs w:val="20"/>
              </w:rPr>
              <w:t>7,141,406</w:t>
            </w:r>
          </w:p>
        </w:tc>
      </w:tr>
      <w:tr w:rsidR="009F1D75" w:rsidRPr="00156303" w14:paraId="4BA7C9B2" w14:textId="77777777" w:rsidTr="005C3BEF">
        <w:tc>
          <w:tcPr>
            <w:tcW w:w="1415" w:type="pct"/>
            <w:tcBorders>
              <w:top w:val="single" w:sz="4" w:space="0" w:color="auto"/>
              <w:left w:val="single" w:sz="4" w:space="0" w:color="auto"/>
              <w:bottom w:val="single" w:sz="4" w:space="0" w:color="auto"/>
              <w:right w:val="nil"/>
            </w:tcBorders>
            <w:vAlign w:val="center"/>
          </w:tcPr>
          <w:p w14:paraId="3EDB51FB" w14:textId="2E798D09" w:rsidR="005A0E34" w:rsidRPr="00156303" w:rsidRDefault="005A0E34" w:rsidP="005A0E34">
            <w:pPr>
              <w:spacing w:before="60" w:after="60" w:line="240" w:lineRule="auto"/>
              <w:rPr>
                <w:rFonts w:asciiTheme="minorHAnsi" w:hAnsiTheme="minorHAnsi" w:cstheme="minorHAnsi"/>
                <w:szCs w:val="20"/>
              </w:rPr>
            </w:pPr>
            <w:r w:rsidRPr="00156303">
              <w:rPr>
                <w:rFonts w:asciiTheme="minorHAnsi" w:hAnsiTheme="minorHAnsi" w:cstheme="minorHAnsi"/>
                <w:szCs w:val="20"/>
              </w:rPr>
              <w:t>NGRB’s estimated Regional Transition Assistance funding allocation as advised by the department</w:t>
            </w:r>
          </w:p>
        </w:tc>
        <w:tc>
          <w:tcPr>
            <w:tcW w:w="655" w:type="pct"/>
            <w:tcBorders>
              <w:top w:val="single" w:sz="4" w:space="0" w:color="auto"/>
              <w:left w:val="nil"/>
              <w:bottom w:val="single" w:sz="4" w:space="0" w:color="auto"/>
              <w:right w:val="nil"/>
            </w:tcBorders>
            <w:vAlign w:val="center"/>
          </w:tcPr>
          <w:p w14:paraId="2F1D9F91" w14:textId="58C77D03" w:rsidR="005A0E34" w:rsidRPr="00767262" w:rsidRDefault="005A0E34" w:rsidP="005C3BEF">
            <w:pPr>
              <w:jc w:val="right"/>
              <w:rPr>
                <w:rFonts w:ascii="Calibri" w:hAnsi="Calibri" w:cs="Calibri"/>
                <w:color w:val="000000"/>
              </w:rPr>
            </w:pPr>
            <w:r>
              <w:rPr>
                <w:rFonts w:ascii="Calibri" w:hAnsi="Calibri" w:cs="Calibri"/>
                <w:color w:val="000000"/>
                <w:szCs w:val="20"/>
              </w:rPr>
              <w:t>$</w:t>
            </w:r>
            <w:r w:rsidRPr="00F3326C">
              <w:rPr>
                <w:rFonts w:ascii="Calibri" w:hAnsi="Calibri" w:cs="Calibri"/>
                <w:color w:val="000000"/>
                <w:szCs w:val="20"/>
              </w:rPr>
              <w:t>139,932</w:t>
            </w:r>
          </w:p>
        </w:tc>
        <w:tc>
          <w:tcPr>
            <w:tcW w:w="427" w:type="pct"/>
            <w:tcBorders>
              <w:top w:val="single" w:sz="4" w:space="0" w:color="auto"/>
              <w:left w:val="nil"/>
              <w:bottom w:val="single" w:sz="4" w:space="0" w:color="auto"/>
              <w:right w:val="nil"/>
            </w:tcBorders>
            <w:vAlign w:val="center"/>
          </w:tcPr>
          <w:p w14:paraId="1E7F4F46" w14:textId="7813B660" w:rsidR="005A0E34" w:rsidRPr="00767262" w:rsidRDefault="005A0E34" w:rsidP="005C3BEF">
            <w:pPr>
              <w:jc w:val="right"/>
              <w:rPr>
                <w:rFonts w:ascii="Calibri" w:hAnsi="Calibri" w:cs="Calibri"/>
                <w:color w:val="000000"/>
              </w:rPr>
            </w:pPr>
            <w:r>
              <w:rPr>
                <w:rFonts w:ascii="Calibri" w:hAnsi="Calibri" w:cs="Calibri"/>
                <w:color w:val="000000"/>
                <w:szCs w:val="20"/>
              </w:rPr>
              <w:t>$</w:t>
            </w:r>
            <w:r w:rsidRPr="00F3326C">
              <w:rPr>
                <w:rFonts w:ascii="Calibri" w:hAnsi="Calibri" w:cs="Calibri"/>
                <w:color w:val="000000"/>
                <w:szCs w:val="20"/>
              </w:rPr>
              <w:t>144,130</w:t>
            </w:r>
          </w:p>
        </w:tc>
        <w:tc>
          <w:tcPr>
            <w:tcW w:w="416" w:type="pct"/>
            <w:tcBorders>
              <w:top w:val="single" w:sz="4" w:space="0" w:color="auto"/>
              <w:left w:val="nil"/>
              <w:bottom w:val="single" w:sz="4" w:space="0" w:color="auto"/>
              <w:right w:val="nil"/>
            </w:tcBorders>
            <w:vAlign w:val="center"/>
          </w:tcPr>
          <w:p w14:paraId="151102DB" w14:textId="27487C5C" w:rsidR="005A0E34" w:rsidRPr="00767262" w:rsidRDefault="005A0E34" w:rsidP="005C3BEF">
            <w:pPr>
              <w:jc w:val="right"/>
              <w:rPr>
                <w:rFonts w:ascii="Calibri" w:hAnsi="Calibri" w:cs="Calibri"/>
                <w:color w:val="000000"/>
              </w:rPr>
            </w:pPr>
            <w:r>
              <w:rPr>
                <w:rFonts w:ascii="Calibri" w:hAnsi="Calibri" w:cs="Calibri"/>
                <w:color w:val="000000"/>
                <w:szCs w:val="20"/>
              </w:rPr>
              <w:t>$</w:t>
            </w:r>
            <w:r w:rsidRPr="00F3326C">
              <w:rPr>
                <w:rFonts w:ascii="Calibri" w:hAnsi="Calibri" w:cs="Calibri"/>
                <w:color w:val="000000"/>
                <w:szCs w:val="20"/>
              </w:rPr>
              <w:t>148,454</w:t>
            </w:r>
          </w:p>
        </w:tc>
        <w:tc>
          <w:tcPr>
            <w:tcW w:w="414" w:type="pct"/>
            <w:tcBorders>
              <w:top w:val="single" w:sz="4" w:space="0" w:color="auto"/>
              <w:left w:val="nil"/>
              <w:bottom w:val="single" w:sz="4" w:space="0" w:color="auto"/>
              <w:right w:val="nil"/>
            </w:tcBorders>
            <w:vAlign w:val="center"/>
          </w:tcPr>
          <w:p w14:paraId="48A7378B" w14:textId="22D79616" w:rsidR="005A0E34" w:rsidRPr="00767262" w:rsidRDefault="005A0E34" w:rsidP="005C3BEF">
            <w:pPr>
              <w:jc w:val="right"/>
              <w:rPr>
                <w:rFonts w:ascii="Calibri" w:hAnsi="Calibri" w:cs="Calibri"/>
                <w:color w:val="000000"/>
              </w:rPr>
            </w:pPr>
            <w:r>
              <w:rPr>
                <w:rFonts w:ascii="Calibri" w:hAnsi="Calibri" w:cs="Calibri"/>
                <w:color w:val="000000"/>
                <w:szCs w:val="20"/>
              </w:rPr>
              <w:t>$</w:t>
            </w:r>
            <w:r w:rsidRPr="00F3326C">
              <w:rPr>
                <w:rFonts w:ascii="Calibri" w:hAnsi="Calibri" w:cs="Calibri"/>
                <w:color w:val="000000"/>
                <w:szCs w:val="20"/>
              </w:rPr>
              <w:t>152,908</w:t>
            </w:r>
          </w:p>
        </w:tc>
        <w:tc>
          <w:tcPr>
            <w:tcW w:w="416" w:type="pct"/>
            <w:tcBorders>
              <w:top w:val="single" w:sz="4" w:space="0" w:color="auto"/>
              <w:left w:val="nil"/>
              <w:bottom w:val="single" w:sz="4" w:space="0" w:color="auto"/>
              <w:right w:val="nil"/>
            </w:tcBorders>
            <w:vAlign w:val="center"/>
          </w:tcPr>
          <w:p w14:paraId="520A9AE0" w14:textId="43A59A77" w:rsidR="005A0E34" w:rsidRPr="00767262" w:rsidRDefault="005A0E34" w:rsidP="005C3BEF">
            <w:pPr>
              <w:jc w:val="right"/>
              <w:rPr>
                <w:rFonts w:ascii="Calibri" w:hAnsi="Calibri" w:cs="Calibri"/>
                <w:color w:val="000000"/>
              </w:rPr>
            </w:pPr>
            <w:r>
              <w:rPr>
                <w:rFonts w:ascii="Calibri" w:hAnsi="Calibri" w:cs="Calibri"/>
                <w:color w:val="000000"/>
                <w:szCs w:val="20"/>
              </w:rPr>
              <w:t>$</w:t>
            </w:r>
            <w:r w:rsidRPr="00F3326C">
              <w:rPr>
                <w:rFonts w:ascii="Calibri" w:hAnsi="Calibri" w:cs="Calibri"/>
                <w:color w:val="000000"/>
                <w:szCs w:val="20"/>
              </w:rPr>
              <w:t>157,494</w:t>
            </w:r>
          </w:p>
        </w:tc>
        <w:tc>
          <w:tcPr>
            <w:tcW w:w="415" w:type="pct"/>
            <w:tcBorders>
              <w:top w:val="single" w:sz="4" w:space="0" w:color="auto"/>
              <w:left w:val="nil"/>
              <w:bottom w:val="single" w:sz="4" w:space="0" w:color="auto"/>
              <w:right w:val="nil"/>
            </w:tcBorders>
            <w:vAlign w:val="center"/>
          </w:tcPr>
          <w:p w14:paraId="7BE452DF" w14:textId="4323A437" w:rsidR="005A0E34" w:rsidRPr="00767262" w:rsidRDefault="005A0E34" w:rsidP="005C3BEF">
            <w:pPr>
              <w:jc w:val="right"/>
              <w:rPr>
                <w:rFonts w:ascii="Calibri" w:hAnsi="Calibri" w:cs="Calibri"/>
                <w:color w:val="000000"/>
              </w:rPr>
            </w:pPr>
            <w:r>
              <w:rPr>
                <w:rFonts w:ascii="Calibri" w:hAnsi="Calibri" w:cs="Calibri"/>
                <w:color w:val="000000"/>
                <w:szCs w:val="20"/>
              </w:rPr>
              <w:t>$</w:t>
            </w:r>
            <w:r w:rsidRPr="00F3326C">
              <w:rPr>
                <w:rFonts w:ascii="Calibri" w:hAnsi="Calibri" w:cs="Calibri"/>
                <w:color w:val="000000"/>
                <w:szCs w:val="20"/>
              </w:rPr>
              <w:t>162,220</w:t>
            </w:r>
          </w:p>
        </w:tc>
        <w:tc>
          <w:tcPr>
            <w:tcW w:w="416" w:type="pct"/>
            <w:tcBorders>
              <w:top w:val="single" w:sz="4" w:space="0" w:color="auto"/>
              <w:left w:val="nil"/>
              <w:bottom w:val="single" w:sz="4" w:space="0" w:color="auto"/>
              <w:right w:val="nil"/>
            </w:tcBorders>
            <w:vAlign w:val="center"/>
          </w:tcPr>
          <w:p w14:paraId="014C2A81" w14:textId="495FBBC7" w:rsidR="005A0E34" w:rsidRPr="00767262" w:rsidRDefault="005A0E34" w:rsidP="005C3BEF">
            <w:pPr>
              <w:jc w:val="right"/>
              <w:rPr>
                <w:rFonts w:ascii="Calibri" w:hAnsi="Calibri" w:cs="Calibri"/>
                <w:color w:val="000000"/>
              </w:rPr>
            </w:pPr>
            <w:r>
              <w:rPr>
                <w:rFonts w:ascii="Calibri" w:hAnsi="Calibri" w:cs="Calibri"/>
                <w:color w:val="000000"/>
                <w:szCs w:val="20"/>
              </w:rPr>
              <w:t>$</w:t>
            </w:r>
            <w:r w:rsidRPr="00F3326C">
              <w:rPr>
                <w:rFonts w:ascii="Calibri" w:hAnsi="Calibri" w:cs="Calibri"/>
                <w:color w:val="000000"/>
                <w:szCs w:val="20"/>
              </w:rPr>
              <w:t>167,086</w:t>
            </w:r>
          </w:p>
        </w:tc>
        <w:tc>
          <w:tcPr>
            <w:tcW w:w="426" w:type="pct"/>
            <w:tcBorders>
              <w:top w:val="single" w:sz="4" w:space="0" w:color="auto"/>
              <w:left w:val="nil"/>
              <w:bottom w:val="single" w:sz="4" w:space="0" w:color="auto"/>
              <w:right w:val="single" w:sz="4" w:space="0" w:color="auto"/>
            </w:tcBorders>
            <w:vAlign w:val="center"/>
          </w:tcPr>
          <w:p w14:paraId="62074325" w14:textId="78B3AD69" w:rsidR="005A0E34" w:rsidRPr="00767262" w:rsidRDefault="005A0E34" w:rsidP="005C3BEF">
            <w:pPr>
              <w:jc w:val="right"/>
              <w:rPr>
                <w:rFonts w:ascii="Calibri" w:hAnsi="Calibri" w:cs="Calibri"/>
                <w:color w:val="000000"/>
              </w:rPr>
            </w:pPr>
            <w:r>
              <w:rPr>
                <w:rFonts w:ascii="Calibri" w:hAnsi="Calibri" w:cs="Calibri"/>
                <w:color w:val="000000"/>
                <w:szCs w:val="20"/>
              </w:rPr>
              <w:t>$</w:t>
            </w:r>
            <w:r w:rsidRPr="00F3326C">
              <w:rPr>
                <w:rFonts w:ascii="Calibri" w:hAnsi="Calibri" w:cs="Calibri"/>
                <w:color w:val="000000"/>
                <w:szCs w:val="20"/>
              </w:rPr>
              <w:t>172,098</w:t>
            </w:r>
          </w:p>
        </w:tc>
      </w:tr>
      <w:tr w:rsidR="009F1D75" w:rsidRPr="00156303" w14:paraId="18B764E7" w14:textId="77777777" w:rsidTr="005C3BEF">
        <w:tc>
          <w:tcPr>
            <w:tcW w:w="1415" w:type="pct"/>
            <w:tcBorders>
              <w:top w:val="single" w:sz="4" w:space="0" w:color="auto"/>
              <w:left w:val="nil"/>
              <w:bottom w:val="single" w:sz="4" w:space="0" w:color="auto"/>
              <w:right w:val="nil"/>
            </w:tcBorders>
            <w:vAlign w:val="center"/>
          </w:tcPr>
          <w:p w14:paraId="05F7C46C" w14:textId="77777777" w:rsidR="00403A6B" w:rsidRPr="00583F34" w:rsidRDefault="00403A6B" w:rsidP="00403A6B">
            <w:pPr>
              <w:spacing w:before="0" w:after="0" w:line="240" w:lineRule="auto"/>
              <w:rPr>
                <w:rFonts w:asciiTheme="minorHAnsi" w:hAnsiTheme="minorHAnsi" w:cstheme="minorHAnsi"/>
                <w:sz w:val="12"/>
                <w:szCs w:val="12"/>
              </w:rPr>
            </w:pPr>
          </w:p>
        </w:tc>
        <w:tc>
          <w:tcPr>
            <w:tcW w:w="655" w:type="pct"/>
            <w:tcBorders>
              <w:top w:val="single" w:sz="4" w:space="0" w:color="auto"/>
              <w:left w:val="nil"/>
              <w:bottom w:val="single" w:sz="4" w:space="0" w:color="auto"/>
              <w:right w:val="nil"/>
            </w:tcBorders>
            <w:vAlign w:val="center"/>
          </w:tcPr>
          <w:p w14:paraId="0D37240D" w14:textId="77777777" w:rsidR="00403A6B" w:rsidRPr="00403A6B" w:rsidRDefault="00403A6B" w:rsidP="005C3BEF">
            <w:pPr>
              <w:spacing w:before="0" w:after="0" w:line="240" w:lineRule="auto"/>
              <w:jc w:val="right"/>
              <w:rPr>
                <w:rFonts w:asciiTheme="minorHAnsi" w:hAnsiTheme="minorHAnsi" w:cstheme="minorHAnsi"/>
                <w:color w:val="4472C4" w:themeColor="accent1"/>
                <w:sz w:val="8"/>
                <w:szCs w:val="8"/>
              </w:rPr>
            </w:pPr>
          </w:p>
        </w:tc>
        <w:tc>
          <w:tcPr>
            <w:tcW w:w="427" w:type="pct"/>
            <w:tcBorders>
              <w:top w:val="single" w:sz="4" w:space="0" w:color="auto"/>
              <w:left w:val="nil"/>
              <w:bottom w:val="nil"/>
              <w:right w:val="nil"/>
            </w:tcBorders>
            <w:shd w:val="clear" w:color="auto" w:fill="auto"/>
            <w:vAlign w:val="center"/>
          </w:tcPr>
          <w:p w14:paraId="176EBEC6" w14:textId="77777777" w:rsidR="00403A6B" w:rsidRPr="00403A6B" w:rsidRDefault="00403A6B" w:rsidP="005C3BEF">
            <w:pPr>
              <w:spacing w:before="0" w:after="0" w:line="240" w:lineRule="auto"/>
              <w:jc w:val="right"/>
              <w:rPr>
                <w:rFonts w:asciiTheme="minorHAnsi" w:hAnsiTheme="minorHAnsi" w:cstheme="minorHAnsi"/>
                <w:bCs/>
                <w:color w:val="4472C4" w:themeColor="accent1"/>
                <w:sz w:val="8"/>
                <w:szCs w:val="8"/>
              </w:rPr>
            </w:pPr>
          </w:p>
        </w:tc>
        <w:tc>
          <w:tcPr>
            <w:tcW w:w="416" w:type="pct"/>
            <w:tcBorders>
              <w:top w:val="single" w:sz="4" w:space="0" w:color="auto"/>
              <w:left w:val="nil"/>
              <w:bottom w:val="nil"/>
              <w:right w:val="nil"/>
            </w:tcBorders>
            <w:shd w:val="clear" w:color="auto" w:fill="auto"/>
            <w:vAlign w:val="center"/>
          </w:tcPr>
          <w:p w14:paraId="0E996050" w14:textId="77777777" w:rsidR="00403A6B" w:rsidRPr="00403A6B" w:rsidRDefault="00403A6B" w:rsidP="005C3BEF">
            <w:pPr>
              <w:spacing w:before="0" w:after="0" w:line="240" w:lineRule="auto"/>
              <w:jc w:val="right"/>
              <w:rPr>
                <w:rFonts w:asciiTheme="minorHAnsi" w:hAnsiTheme="minorHAnsi" w:cstheme="minorHAnsi"/>
                <w:bCs/>
                <w:color w:val="4472C4" w:themeColor="accent1"/>
                <w:sz w:val="8"/>
                <w:szCs w:val="8"/>
              </w:rPr>
            </w:pPr>
          </w:p>
        </w:tc>
        <w:tc>
          <w:tcPr>
            <w:tcW w:w="414" w:type="pct"/>
            <w:tcBorders>
              <w:top w:val="single" w:sz="4" w:space="0" w:color="auto"/>
              <w:left w:val="nil"/>
              <w:bottom w:val="nil"/>
              <w:right w:val="nil"/>
            </w:tcBorders>
            <w:shd w:val="clear" w:color="auto" w:fill="auto"/>
            <w:vAlign w:val="center"/>
          </w:tcPr>
          <w:p w14:paraId="2D10A140" w14:textId="77777777" w:rsidR="00403A6B" w:rsidRPr="00403A6B" w:rsidRDefault="00403A6B" w:rsidP="005C3BEF">
            <w:pPr>
              <w:spacing w:before="0" w:after="0" w:line="240" w:lineRule="auto"/>
              <w:jc w:val="right"/>
              <w:rPr>
                <w:rFonts w:asciiTheme="minorHAnsi" w:hAnsiTheme="minorHAnsi" w:cstheme="minorHAnsi"/>
                <w:bCs/>
                <w:color w:val="4472C4" w:themeColor="accent1"/>
                <w:sz w:val="8"/>
                <w:szCs w:val="8"/>
              </w:rPr>
            </w:pPr>
          </w:p>
        </w:tc>
        <w:tc>
          <w:tcPr>
            <w:tcW w:w="416" w:type="pct"/>
            <w:tcBorders>
              <w:top w:val="single" w:sz="4" w:space="0" w:color="auto"/>
              <w:left w:val="nil"/>
              <w:bottom w:val="nil"/>
              <w:right w:val="nil"/>
            </w:tcBorders>
            <w:shd w:val="clear" w:color="auto" w:fill="auto"/>
            <w:vAlign w:val="center"/>
          </w:tcPr>
          <w:p w14:paraId="7206D2F6" w14:textId="77777777" w:rsidR="00403A6B" w:rsidRPr="00403A6B" w:rsidRDefault="00403A6B" w:rsidP="005C3BEF">
            <w:pPr>
              <w:spacing w:before="0" w:after="0" w:line="240" w:lineRule="auto"/>
              <w:jc w:val="right"/>
              <w:rPr>
                <w:rFonts w:asciiTheme="minorHAnsi" w:hAnsiTheme="minorHAnsi" w:cstheme="minorHAnsi"/>
                <w:bCs/>
                <w:color w:val="4472C4" w:themeColor="accent1"/>
                <w:sz w:val="8"/>
                <w:szCs w:val="8"/>
              </w:rPr>
            </w:pPr>
          </w:p>
        </w:tc>
        <w:tc>
          <w:tcPr>
            <w:tcW w:w="415" w:type="pct"/>
            <w:tcBorders>
              <w:top w:val="single" w:sz="4" w:space="0" w:color="auto"/>
              <w:left w:val="nil"/>
              <w:bottom w:val="nil"/>
              <w:right w:val="nil"/>
            </w:tcBorders>
            <w:shd w:val="clear" w:color="auto" w:fill="auto"/>
            <w:vAlign w:val="center"/>
          </w:tcPr>
          <w:p w14:paraId="0AD828D9" w14:textId="77777777" w:rsidR="00403A6B" w:rsidRPr="00403A6B" w:rsidRDefault="00403A6B" w:rsidP="005C3BEF">
            <w:pPr>
              <w:spacing w:before="0" w:after="0" w:line="240" w:lineRule="auto"/>
              <w:jc w:val="right"/>
              <w:rPr>
                <w:rFonts w:asciiTheme="minorHAnsi" w:hAnsiTheme="minorHAnsi" w:cstheme="minorHAnsi"/>
                <w:bCs/>
                <w:color w:val="4472C4" w:themeColor="accent1"/>
                <w:sz w:val="8"/>
                <w:szCs w:val="8"/>
              </w:rPr>
            </w:pPr>
          </w:p>
        </w:tc>
        <w:tc>
          <w:tcPr>
            <w:tcW w:w="416" w:type="pct"/>
            <w:tcBorders>
              <w:top w:val="single" w:sz="4" w:space="0" w:color="auto"/>
              <w:left w:val="nil"/>
              <w:bottom w:val="nil"/>
              <w:right w:val="nil"/>
            </w:tcBorders>
            <w:shd w:val="clear" w:color="auto" w:fill="auto"/>
            <w:vAlign w:val="center"/>
          </w:tcPr>
          <w:p w14:paraId="21A3BB84" w14:textId="77777777" w:rsidR="00403A6B" w:rsidRPr="00403A6B" w:rsidRDefault="00403A6B" w:rsidP="005C3BEF">
            <w:pPr>
              <w:spacing w:before="0" w:after="0" w:line="240" w:lineRule="auto"/>
              <w:jc w:val="right"/>
              <w:rPr>
                <w:rFonts w:asciiTheme="minorHAnsi" w:hAnsiTheme="minorHAnsi" w:cstheme="minorHAnsi"/>
                <w:bCs/>
                <w:color w:val="4472C4" w:themeColor="accent1"/>
                <w:sz w:val="8"/>
                <w:szCs w:val="8"/>
              </w:rPr>
            </w:pPr>
          </w:p>
        </w:tc>
        <w:tc>
          <w:tcPr>
            <w:tcW w:w="426" w:type="pct"/>
            <w:tcBorders>
              <w:top w:val="single" w:sz="4" w:space="0" w:color="auto"/>
              <w:left w:val="nil"/>
              <w:bottom w:val="nil"/>
              <w:right w:val="nil"/>
            </w:tcBorders>
            <w:shd w:val="clear" w:color="auto" w:fill="auto"/>
            <w:vAlign w:val="center"/>
          </w:tcPr>
          <w:p w14:paraId="215D70A6" w14:textId="77777777" w:rsidR="00403A6B" w:rsidRPr="00403A6B" w:rsidRDefault="00403A6B" w:rsidP="005C3BEF">
            <w:pPr>
              <w:spacing w:before="0" w:after="0" w:line="240" w:lineRule="auto"/>
              <w:jc w:val="right"/>
              <w:rPr>
                <w:rFonts w:asciiTheme="minorHAnsi" w:hAnsiTheme="minorHAnsi" w:cstheme="minorHAnsi"/>
                <w:bCs/>
                <w:color w:val="4472C4" w:themeColor="accent1"/>
                <w:sz w:val="8"/>
                <w:szCs w:val="8"/>
              </w:rPr>
            </w:pPr>
          </w:p>
        </w:tc>
      </w:tr>
      <w:tr w:rsidR="005C3BEF" w:rsidRPr="00156303" w14:paraId="1499F743" w14:textId="281AA833" w:rsidTr="005C3BEF">
        <w:tc>
          <w:tcPr>
            <w:tcW w:w="1415" w:type="pct"/>
            <w:tcBorders>
              <w:top w:val="single" w:sz="4" w:space="0" w:color="auto"/>
              <w:left w:val="single" w:sz="4" w:space="0" w:color="auto"/>
              <w:bottom w:val="single" w:sz="4" w:space="0" w:color="auto"/>
              <w:right w:val="nil"/>
            </w:tcBorders>
            <w:vAlign w:val="center"/>
          </w:tcPr>
          <w:p w14:paraId="2B969A59" w14:textId="09B2A656" w:rsidR="003C2788" w:rsidRPr="00156303" w:rsidRDefault="004C6D41" w:rsidP="00425BD0">
            <w:pPr>
              <w:spacing w:before="60" w:after="60" w:line="240" w:lineRule="auto"/>
              <w:rPr>
                <w:rFonts w:asciiTheme="minorHAnsi" w:hAnsiTheme="minorHAnsi" w:cstheme="minorHAnsi"/>
                <w:szCs w:val="20"/>
              </w:rPr>
            </w:pPr>
            <w:r>
              <w:rPr>
                <w:rFonts w:asciiTheme="minorHAnsi" w:hAnsiTheme="minorHAnsi" w:cstheme="minorHAnsi"/>
                <w:szCs w:val="20"/>
              </w:rPr>
              <w:t xml:space="preserve">Accrued deferred </w:t>
            </w:r>
            <w:r w:rsidR="00F46520" w:rsidRPr="00F46520">
              <w:rPr>
                <w:rFonts w:asciiTheme="minorHAnsi" w:hAnsiTheme="minorHAnsi" w:cstheme="minorHAnsi"/>
                <w:szCs w:val="20"/>
              </w:rPr>
              <w:t xml:space="preserve">funding </w:t>
            </w:r>
            <w:r>
              <w:rPr>
                <w:rFonts w:asciiTheme="minorHAnsi" w:hAnsiTheme="minorHAnsi" w:cstheme="minorHAnsi"/>
                <w:szCs w:val="20"/>
              </w:rPr>
              <w:t>from</w:t>
            </w:r>
            <w:r w:rsidR="003C2788">
              <w:rPr>
                <w:rFonts w:asciiTheme="minorHAnsi" w:hAnsiTheme="minorHAnsi" w:cstheme="minorHAnsi"/>
                <w:szCs w:val="20"/>
              </w:rPr>
              <w:t xml:space="preserve"> 2020</w:t>
            </w:r>
            <w:r w:rsidR="00202B77">
              <w:rPr>
                <w:rFonts w:asciiTheme="minorHAnsi" w:hAnsiTheme="minorHAnsi" w:cstheme="minorHAnsi"/>
                <w:szCs w:val="20"/>
              </w:rPr>
              <w:t xml:space="preserve"> and 20</w:t>
            </w:r>
            <w:r w:rsidR="003C2788">
              <w:rPr>
                <w:rFonts w:asciiTheme="minorHAnsi" w:hAnsiTheme="minorHAnsi" w:cstheme="minorHAnsi"/>
                <w:szCs w:val="20"/>
              </w:rPr>
              <w:t>21</w:t>
            </w:r>
            <w:r w:rsidR="00425BD0">
              <w:rPr>
                <w:rFonts w:asciiTheme="minorHAnsi" w:hAnsiTheme="minorHAnsi" w:cstheme="minorHAnsi"/>
                <w:szCs w:val="20"/>
              </w:rPr>
              <w:t xml:space="preserve"> to be carried forward to 2022</w:t>
            </w:r>
            <w:r w:rsidR="00A97F4B" w:rsidRPr="008C02EE">
              <w:rPr>
                <w:rStyle w:val="FootnoteReference"/>
                <w:rFonts w:asciiTheme="minorHAnsi" w:hAnsiTheme="minorHAnsi" w:cstheme="minorHAnsi"/>
                <w:color w:val="FF0000"/>
                <w:szCs w:val="20"/>
              </w:rPr>
              <w:footnoteReference w:id="5"/>
            </w:r>
          </w:p>
        </w:tc>
        <w:tc>
          <w:tcPr>
            <w:tcW w:w="655" w:type="pct"/>
            <w:tcBorders>
              <w:top w:val="single" w:sz="4" w:space="0" w:color="auto"/>
              <w:left w:val="nil"/>
              <w:bottom w:val="single" w:sz="4" w:space="0" w:color="auto"/>
              <w:right w:val="single" w:sz="4" w:space="0" w:color="auto"/>
            </w:tcBorders>
            <w:vAlign w:val="center"/>
          </w:tcPr>
          <w:p w14:paraId="58249D84" w14:textId="7078C91B" w:rsidR="003C2788" w:rsidRPr="008C02EE" w:rsidRDefault="006E1BC4" w:rsidP="005C3BEF">
            <w:pPr>
              <w:jc w:val="right"/>
              <w:rPr>
                <w:rFonts w:asciiTheme="minorHAnsi" w:hAnsiTheme="minorHAnsi" w:cstheme="minorHAnsi"/>
                <w:b/>
                <w:color w:val="4472C4" w:themeColor="accent1"/>
                <w:szCs w:val="20"/>
              </w:rPr>
            </w:pPr>
            <w:r>
              <w:rPr>
                <w:rFonts w:asciiTheme="minorHAnsi" w:hAnsiTheme="minorHAnsi" w:cstheme="minorHAnsi"/>
                <w:color w:val="4472C4" w:themeColor="accent1"/>
                <w:szCs w:val="20"/>
              </w:rPr>
              <w:t>$4,</w:t>
            </w:r>
            <w:r w:rsidR="00982AE7">
              <w:rPr>
                <w:rFonts w:asciiTheme="minorHAnsi" w:hAnsiTheme="minorHAnsi" w:cstheme="minorHAnsi"/>
                <w:color w:val="4472C4" w:themeColor="accent1"/>
                <w:szCs w:val="20"/>
              </w:rPr>
              <w:t>705,417</w:t>
            </w:r>
          </w:p>
        </w:tc>
        <w:tc>
          <w:tcPr>
            <w:tcW w:w="427" w:type="pct"/>
            <w:tcBorders>
              <w:top w:val="nil"/>
              <w:left w:val="single" w:sz="4" w:space="0" w:color="auto"/>
              <w:bottom w:val="nil"/>
              <w:right w:val="nil"/>
            </w:tcBorders>
            <w:shd w:val="clear" w:color="auto" w:fill="auto"/>
            <w:vAlign w:val="center"/>
          </w:tcPr>
          <w:p w14:paraId="0FBBA866" w14:textId="3A21D515" w:rsidR="003C2788" w:rsidRPr="008C02EE" w:rsidRDefault="003C2788" w:rsidP="005C3BEF">
            <w:pPr>
              <w:jc w:val="right"/>
              <w:rPr>
                <w:rFonts w:asciiTheme="minorHAnsi" w:hAnsiTheme="minorHAnsi" w:cstheme="minorHAnsi"/>
                <w:bCs/>
                <w:color w:val="4472C4" w:themeColor="accent1"/>
                <w:szCs w:val="20"/>
              </w:rPr>
            </w:pPr>
          </w:p>
        </w:tc>
        <w:tc>
          <w:tcPr>
            <w:tcW w:w="416" w:type="pct"/>
            <w:tcBorders>
              <w:top w:val="nil"/>
              <w:left w:val="nil"/>
              <w:bottom w:val="nil"/>
              <w:right w:val="nil"/>
            </w:tcBorders>
            <w:shd w:val="clear" w:color="auto" w:fill="auto"/>
            <w:vAlign w:val="center"/>
          </w:tcPr>
          <w:p w14:paraId="2D38038F" w14:textId="7CE3618A" w:rsidR="003C2788" w:rsidRPr="008C02EE" w:rsidRDefault="003C2788" w:rsidP="005C3BEF">
            <w:pPr>
              <w:jc w:val="right"/>
              <w:rPr>
                <w:rFonts w:asciiTheme="minorHAnsi" w:hAnsiTheme="minorHAnsi" w:cstheme="minorHAnsi"/>
                <w:bCs/>
                <w:color w:val="4472C4" w:themeColor="accent1"/>
                <w:szCs w:val="20"/>
              </w:rPr>
            </w:pPr>
          </w:p>
        </w:tc>
        <w:tc>
          <w:tcPr>
            <w:tcW w:w="414" w:type="pct"/>
            <w:tcBorders>
              <w:top w:val="nil"/>
              <w:left w:val="nil"/>
              <w:bottom w:val="nil"/>
              <w:right w:val="nil"/>
            </w:tcBorders>
            <w:shd w:val="clear" w:color="auto" w:fill="auto"/>
            <w:vAlign w:val="center"/>
          </w:tcPr>
          <w:p w14:paraId="58ED48C2" w14:textId="23DD53C5" w:rsidR="003C2788" w:rsidRPr="008C02EE" w:rsidRDefault="003C2788" w:rsidP="005C3BEF">
            <w:pPr>
              <w:jc w:val="right"/>
              <w:rPr>
                <w:rFonts w:asciiTheme="minorHAnsi" w:hAnsiTheme="minorHAnsi" w:cstheme="minorHAnsi"/>
                <w:bCs/>
                <w:color w:val="4472C4" w:themeColor="accent1"/>
                <w:szCs w:val="20"/>
              </w:rPr>
            </w:pPr>
          </w:p>
        </w:tc>
        <w:tc>
          <w:tcPr>
            <w:tcW w:w="416" w:type="pct"/>
            <w:tcBorders>
              <w:top w:val="nil"/>
              <w:left w:val="nil"/>
              <w:bottom w:val="nil"/>
              <w:right w:val="nil"/>
            </w:tcBorders>
            <w:shd w:val="clear" w:color="auto" w:fill="auto"/>
            <w:vAlign w:val="center"/>
          </w:tcPr>
          <w:p w14:paraId="220D2314" w14:textId="7E0BC04D" w:rsidR="003C2788" w:rsidRPr="008C02EE" w:rsidRDefault="003C2788" w:rsidP="005C3BEF">
            <w:pPr>
              <w:jc w:val="right"/>
              <w:rPr>
                <w:rFonts w:asciiTheme="minorHAnsi" w:hAnsiTheme="minorHAnsi" w:cstheme="minorHAnsi"/>
                <w:bCs/>
                <w:color w:val="4472C4" w:themeColor="accent1"/>
                <w:szCs w:val="20"/>
              </w:rPr>
            </w:pPr>
          </w:p>
        </w:tc>
        <w:tc>
          <w:tcPr>
            <w:tcW w:w="415" w:type="pct"/>
            <w:tcBorders>
              <w:top w:val="nil"/>
              <w:left w:val="nil"/>
              <w:bottom w:val="nil"/>
              <w:right w:val="nil"/>
            </w:tcBorders>
            <w:shd w:val="clear" w:color="auto" w:fill="auto"/>
            <w:vAlign w:val="center"/>
          </w:tcPr>
          <w:p w14:paraId="6D077F9E" w14:textId="7C525820" w:rsidR="003C2788" w:rsidRPr="008C02EE" w:rsidRDefault="003C2788" w:rsidP="005C3BEF">
            <w:pPr>
              <w:jc w:val="right"/>
              <w:rPr>
                <w:rFonts w:asciiTheme="minorHAnsi" w:hAnsiTheme="minorHAnsi" w:cstheme="minorHAnsi"/>
                <w:bCs/>
                <w:color w:val="4472C4" w:themeColor="accent1"/>
                <w:szCs w:val="20"/>
              </w:rPr>
            </w:pPr>
          </w:p>
        </w:tc>
        <w:tc>
          <w:tcPr>
            <w:tcW w:w="416" w:type="pct"/>
            <w:tcBorders>
              <w:top w:val="nil"/>
              <w:left w:val="nil"/>
              <w:bottom w:val="nil"/>
              <w:right w:val="nil"/>
            </w:tcBorders>
            <w:shd w:val="clear" w:color="auto" w:fill="auto"/>
            <w:vAlign w:val="center"/>
          </w:tcPr>
          <w:p w14:paraId="53B7C9EE" w14:textId="16BA18B3" w:rsidR="003C2788" w:rsidRPr="008C02EE" w:rsidRDefault="003C2788" w:rsidP="005C3BEF">
            <w:pPr>
              <w:jc w:val="right"/>
              <w:rPr>
                <w:rFonts w:asciiTheme="minorHAnsi" w:hAnsiTheme="minorHAnsi" w:cstheme="minorHAnsi"/>
                <w:bCs/>
                <w:color w:val="4472C4" w:themeColor="accent1"/>
                <w:szCs w:val="20"/>
              </w:rPr>
            </w:pPr>
          </w:p>
        </w:tc>
        <w:tc>
          <w:tcPr>
            <w:tcW w:w="426" w:type="pct"/>
            <w:tcBorders>
              <w:top w:val="nil"/>
              <w:left w:val="nil"/>
              <w:bottom w:val="nil"/>
              <w:right w:val="nil"/>
            </w:tcBorders>
            <w:shd w:val="clear" w:color="auto" w:fill="auto"/>
            <w:vAlign w:val="center"/>
          </w:tcPr>
          <w:p w14:paraId="4CCAA147" w14:textId="1E6EAB9B" w:rsidR="003C2788" w:rsidRPr="008C02EE" w:rsidRDefault="003C2788" w:rsidP="005C3BEF">
            <w:pPr>
              <w:jc w:val="right"/>
              <w:rPr>
                <w:rFonts w:asciiTheme="minorHAnsi" w:hAnsiTheme="minorHAnsi" w:cstheme="minorHAnsi"/>
                <w:bCs/>
                <w:color w:val="4472C4" w:themeColor="accent1"/>
                <w:szCs w:val="20"/>
              </w:rPr>
            </w:pPr>
          </w:p>
        </w:tc>
      </w:tr>
      <w:tr w:rsidR="005C3BEF" w:rsidRPr="00156303" w14:paraId="5DD7C550" w14:textId="785A1DA0" w:rsidTr="005C3BEF">
        <w:tc>
          <w:tcPr>
            <w:tcW w:w="1415" w:type="pct"/>
            <w:tcBorders>
              <w:top w:val="single" w:sz="4" w:space="0" w:color="auto"/>
              <w:left w:val="single" w:sz="4" w:space="0" w:color="auto"/>
              <w:bottom w:val="single" w:sz="4" w:space="0" w:color="auto"/>
              <w:right w:val="nil"/>
            </w:tcBorders>
            <w:vAlign w:val="center"/>
          </w:tcPr>
          <w:p w14:paraId="0FA064B3" w14:textId="6B1786BC" w:rsidR="00AB12D5" w:rsidRPr="00156303" w:rsidRDefault="00E53368" w:rsidP="00425BD0">
            <w:pPr>
              <w:spacing w:before="60" w:after="60" w:line="240" w:lineRule="auto"/>
              <w:rPr>
                <w:rFonts w:asciiTheme="minorHAnsi" w:hAnsiTheme="minorHAnsi" w:cstheme="minorHAnsi"/>
                <w:szCs w:val="20"/>
              </w:rPr>
            </w:pPr>
            <w:r>
              <w:rPr>
                <w:rFonts w:asciiTheme="minorHAnsi" w:hAnsiTheme="minorHAnsi" w:cstheme="minorHAnsi"/>
                <w:szCs w:val="20"/>
              </w:rPr>
              <w:t xml:space="preserve">Accrued </w:t>
            </w:r>
            <w:r w:rsidR="00AB12D5" w:rsidRPr="00156303">
              <w:rPr>
                <w:rFonts w:asciiTheme="minorHAnsi" w:hAnsiTheme="minorHAnsi" w:cstheme="minorHAnsi"/>
                <w:szCs w:val="20"/>
              </w:rPr>
              <w:t>interest earned on funds held</w:t>
            </w:r>
            <w:r w:rsidR="00AB12D5">
              <w:rPr>
                <w:rFonts w:asciiTheme="minorHAnsi" w:hAnsiTheme="minorHAnsi" w:cstheme="minorHAnsi"/>
                <w:szCs w:val="20"/>
              </w:rPr>
              <w:t xml:space="preserve"> </w:t>
            </w:r>
            <w:r w:rsidR="00425BD0">
              <w:rPr>
                <w:rFonts w:asciiTheme="minorHAnsi" w:hAnsiTheme="minorHAnsi" w:cstheme="minorHAnsi"/>
                <w:szCs w:val="20"/>
              </w:rPr>
              <w:t xml:space="preserve">in </w:t>
            </w:r>
            <w:r w:rsidR="00AB12D5">
              <w:rPr>
                <w:rFonts w:asciiTheme="minorHAnsi" w:hAnsiTheme="minorHAnsi" w:cstheme="minorHAnsi"/>
                <w:szCs w:val="20"/>
              </w:rPr>
              <w:t>2020 and 2021</w:t>
            </w:r>
            <w:r w:rsidR="00425BD0">
              <w:rPr>
                <w:rFonts w:asciiTheme="minorHAnsi" w:hAnsiTheme="minorHAnsi" w:cstheme="minorHAnsi"/>
                <w:szCs w:val="20"/>
              </w:rPr>
              <w:t xml:space="preserve"> to be carried forward to 2022</w:t>
            </w:r>
            <w:r w:rsidR="00AB12D5" w:rsidRPr="008C02EE">
              <w:rPr>
                <w:rStyle w:val="FootnoteReference"/>
                <w:rFonts w:asciiTheme="minorHAnsi" w:hAnsiTheme="minorHAnsi" w:cstheme="minorHAnsi"/>
                <w:color w:val="FF0000"/>
                <w:szCs w:val="20"/>
              </w:rPr>
              <w:footnoteReference w:id="6"/>
            </w:r>
          </w:p>
        </w:tc>
        <w:tc>
          <w:tcPr>
            <w:tcW w:w="655" w:type="pct"/>
            <w:tcBorders>
              <w:top w:val="single" w:sz="4" w:space="0" w:color="auto"/>
              <w:left w:val="nil"/>
              <w:bottom w:val="single" w:sz="4" w:space="0" w:color="auto"/>
              <w:right w:val="single" w:sz="4" w:space="0" w:color="auto"/>
            </w:tcBorders>
            <w:vAlign w:val="center"/>
          </w:tcPr>
          <w:p w14:paraId="1743E2BF" w14:textId="26E25A42" w:rsidR="00AB12D5" w:rsidRPr="008C02EE" w:rsidRDefault="006E1BC4" w:rsidP="005C3BEF">
            <w:pPr>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N/A</w:t>
            </w:r>
          </w:p>
        </w:tc>
        <w:tc>
          <w:tcPr>
            <w:tcW w:w="427" w:type="pct"/>
            <w:tcBorders>
              <w:top w:val="nil"/>
              <w:left w:val="single" w:sz="4" w:space="0" w:color="auto"/>
              <w:bottom w:val="nil"/>
              <w:right w:val="nil"/>
            </w:tcBorders>
            <w:shd w:val="clear" w:color="auto" w:fill="auto"/>
            <w:vAlign w:val="center"/>
          </w:tcPr>
          <w:p w14:paraId="225E8A50" w14:textId="3359104B" w:rsidR="00AB12D5" w:rsidRPr="008C02EE" w:rsidRDefault="00AB12D5" w:rsidP="005C3BEF">
            <w:pPr>
              <w:jc w:val="right"/>
              <w:rPr>
                <w:rFonts w:asciiTheme="minorHAnsi" w:hAnsiTheme="minorHAnsi" w:cstheme="minorHAnsi"/>
                <w:bCs/>
                <w:color w:val="4472C4" w:themeColor="accent1"/>
                <w:szCs w:val="20"/>
              </w:rPr>
            </w:pPr>
          </w:p>
        </w:tc>
        <w:tc>
          <w:tcPr>
            <w:tcW w:w="416" w:type="pct"/>
            <w:tcBorders>
              <w:top w:val="nil"/>
              <w:left w:val="nil"/>
              <w:bottom w:val="nil"/>
              <w:right w:val="nil"/>
            </w:tcBorders>
            <w:shd w:val="clear" w:color="auto" w:fill="auto"/>
            <w:vAlign w:val="center"/>
          </w:tcPr>
          <w:p w14:paraId="1FECD922" w14:textId="7AD2E1FD" w:rsidR="00AB12D5" w:rsidRPr="008C02EE" w:rsidRDefault="00AB12D5" w:rsidP="005C3BEF">
            <w:pPr>
              <w:jc w:val="right"/>
              <w:rPr>
                <w:rFonts w:asciiTheme="minorHAnsi" w:hAnsiTheme="minorHAnsi" w:cstheme="minorHAnsi"/>
                <w:bCs/>
                <w:color w:val="4472C4" w:themeColor="accent1"/>
                <w:szCs w:val="20"/>
              </w:rPr>
            </w:pPr>
          </w:p>
        </w:tc>
        <w:tc>
          <w:tcPr>
            <w:tcW w:w="414" w:type="pct"/>
            <w:tcBorders>
              <w:top w:val="nil"/>
              <w:left w:val="nil"/>
              <w:bottom w:val="nil"/>
              <w:right w:val="nil"/>
            </w:tcBorders>
            <w:shd w:val="clear" w:color="auto" w:fill="auto"/>
            <w:vAlign w:val="center"/>
          </w:tcPr>
          <w:p w14:paraId="5C52BE6C" w14:textId="07349176" w:rsidR="00AB12D5" w:rsidRPr="008C02EE" w:rsidRDefault="00AB12D5" w:rsidP="005C3BEF">
            <w:pPr>
              <w:jc w:val="right"/>
              <w:rPr>
                <w:rFonts w:asciiTheme="minorHAnsi" w:hAnsiTheme="minorHAnsi" w:cstheme="minorHAnsi"/>
                <w:bCs/>
                <w:color w:val="4472C4" w:themeColor="accent1"/>
                <w:szCs w:val="20"/>
              </w:rPr>
            </w:pPr>
          </w:p>
        </w:tc>
        <w:tc>
          <w:tcPr>
            <w:tcW w:w="416" w:type="pct"/>
            <w:tcBorders>
              <w:top w:val="nil"/>
              <w:left w:val="nil"/>
              <w:bottom w:val="nil"/>
              <w:right w:val="nil"/>
            </w:tcBorders>
            <w:shd w:val="clear" w:color="auto" w:fill="auto"/>
            <w:vAlign w:val="center"/>
          </w:tcPr>
          <w:p w14:paraId="6D60239A" w14:textId="06BD1ABC" w:rsidR="00AB12D5" w:rsidRPr="008C02EE" w:rsidRDefault="00AB12D5" w:rsidP="005C3BEF">
            <w:pPr>
              <w:jc w:val="right"/>
              <w:rPr>
                <w:rFonts w:asciiTheme="minorHAnsi" w:hAnsiTheme="minorHAnsi" w:cstheme="minorHAnsi"/>
                <w:bCs/>
                <w:color w:val="4472C4" w:themeColor="accent1"/>
                <w:szCs w:val="20"/>
              </w:rPr>
            </w:pPr>
          </w:p>
        </w:tc>
        <w:tc>
          <w:tcPr>
            <w:tcW w:w="415" w:type="pct"/>
            <w:tcBorders>
              <w:top w:val="nil"/>
              <w:left w:val="nil"/>
              <w:bottom w:val="nil"/>
              <w:right w:val="nil"/>
            </w:tcBorders>
            <w:shd w:val="clear" w:color="auto" w:fill="auto"/>
            <w:vAlign w:val="center"/>
          </w:tcPr>
          <w:p w14:paraId="1C42BA24" w14:textId="1FB760FC" w:rsidR="00AB12D5" w:rsidRPr="008C02EE" w:rsidRDefault="00AB12D5" w:rsidP="005C3BEF">
            <w:pPr>
              <w:jc w:val="right"/>
              <w:rPr>
                <w:rFonts w:asciiTheme="minorHAnsi" w:hAnsiTheme="minorHAnsi" w:cstheme="minorHAnsi"/>
                <w:bCs/>
                <w:color w:val="4472C4" w:themeColor="accent1"/>
                <w:szCs w:val="20"/>
              </w:rPr>
            </w:pPr>
          </w:p>
        </w:tc>
        <w:tc>
          <w:tcPr>
            <w:tcW w:w="416" w:type="pct"/>
            <w:tcBorders>
              <w:top w:val="nil"/>
              <w:left w:val="nil"/>
              <w:bottom w:val="nil"/>
              <w:right w:val="nil"/>
            </w:tcBorders>
            <w:shd w:val="clear" w:color="auto" w:fill="auto"/>
            <w:vAlign w:val="center"/>
          </w:tcPr>
          <w:p w14:paraId="46EBBFD5" w14:textId="59107059" w:rsidR="00AB12D5" w:rsidRPr="008C02EE" w:rsidRDefault="00AB12D5" w:rsidP="005C3BEF">
            <w:pPr>
              <w:jc w:val="right"/>
              <w:rPr>
                <w:rFonts w:asciiTheme="minorHAnsi" w:hAnsiTheme="minorHAnsi" w:cstheme="minorHAnsi"/>
                <w:bCs/>
                <w:color w:val="4472C4" w:themeColor="accent1"/>
                <w:szCs w:val="20"/>
              </w:rPr>
            </w:pPr>
          </w:p>
        </w:tc>
        <w:tc>
          <w:tcPr>
            <w:tcW w:w="426" w:type="pct"/>
            <w:tcBorders>
              <w:top w:val="nil"/>
              <w:left w:val="nil"/>
              <w:bottom w:val="nil"/>
              <w:right w:val="nil"/>
            </w:tcBorders>
            <w:shd w:val="clear" w:color="auto" w:fill="auto"/>
            <w:vAlign w:val="center"/>
          </w:tcPr>
          <w:p w14:paraId="5D2B3687" w14:textId="66B2E723" w:rsidR="00AB12D5" w:rsidRPr="008C02EE" w:rsidRDefault="00AB12D5" w:rsidP="005C3BEF">
            <w:pPr>
              <w:jc w:val="right"/>
              <w:rPr>
                <w:rFonts w:asciiTheme="minorHAnsi" w:hAnsiTheme="minorHAnsi" w:cstheme="minorHAnsi"/>
                <w:bCs/>
                <w:color w:val="4472C4" w:themeColor="accent1"/>
                <w:szCs w:val="20"/>
              </w:rPr>
            </w:pPr>
          </w:p>
        </w:tc>
      </w:tr>
      <w:tr w:rsidR="009F1D75" w:rsidRPr="00583F34" w14:paraId="3A60B850" w14:textId="77777777" w:rsidTr="005C3BEF">
        <w:tc>
          <w:tcPr>
            <w:tcW w:w="1415" w:type="pct"/>
            <w:tcBorders>
              <w:top w:val="single" w:sz="4" w:space="0" w:color="auto"/>
              <w:left w:val="nil"/>
              <w:bottom w:val="single" w:sz="4" w:space="0" w:color="auto"/>
              <w:right w:val="nil"/>
            </w:tcBorders>
            <w:vAlign w:val="center"/>
          </w:tcPr>
          <w:p w14:paraId="5DD4A81D" w14:textId="77777777" w:rsidR="00583F34" w:rsidRPr="00583F34" w:rsidRDefault="00583F34" w:rsidP="00583F34">
            <w:pPr>
              <w:spacing w:before="0" w:after="0" w:line="240" w:lineRule="auto"/>
              <w:rPr>
                <w:rFonts w:asciiTheme="minorHAnsi" w:hAnsiTheme="minorHAnsi" w:cstheme="minorHAnsi"/>
                <w:sz w:val="12"/>
                <w:szCs w:val="12"/>
              </w:rPr>
            </w:pPr>
          </w:p>
        </w:tc>
        <w:tc>
          <w:tcPr>
            <w:tcW w:w="655" w:type="pct"/>
            <w:tcBorders>
              <w:top w:val="single" w:sz="4" w:space="0" w:color="auto"/>
              <w:left w:val="nil"/>
              <w:bottom w:val="single" w:sz="4" w:space="0" w:color="auto"/>
              <w:right w:val="nil"/>
            </w:tcBorders>
            <w:vAlign w:val="center"/>
          </w:tcPr>
          <w:p w14:paraId="424258F2"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27" w:type="pct"/>
            <w:tcBorders>
              <w:top w:val="nil"/>
              <w:left w:val="nil"/>
              <w:bottom w:val="single" w:sz="4" w:space="0" w:color="auto"/>
              <w:right w:val="nil"/>
            </w:tcBorders>
            <w:vAlign w:val="center"/>
          </w:tcPr>
          <w:p w14:paraId="065B11C9"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16" w:type="pct"/>
            <w:tcBorders>
              <w:top w:val="nil"/>
              <w:left w:val="nil"/>
              <w:bottom w:val="single" w:sz="4" w:space="0" w:color="auto"/>
              <w:right w:val="nil"/>
            </w:tcBorders>
            <w:vAlign w:val="center"/>
          </w:tcPr>
          <w:p w14:paraId="6EC605A3"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14" w:type="pct"/>
            <w:tcBorders>
              <w:top w:val="nil"/>
              <w:left w:val="nil"/>
              <w:bottom w:val="single" w:sz="4" w:space="0" w:color="auto"/>
              <w:right w:val="nil"/>
            </w:tcBorders>
            <w:vAlign w:val="center"/>
          </w:tcPr>
          <w:p w14:paraId="3DD33234"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16" w:type="pct"/>
            <w:tcBorders>
              <w:top w:val="nil"/>
              <w:left w:val="nil"/>
              <w:bottom w:val="single" w:sz="4" w:space="0" w:color="auto"/>
              <w:right w:val="nil"/>
            </w:tcBorders>
            <w:vAlign w:val="center"/>
          </w:tcPr>
          <w:p w14:paraId="6A39D59F"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15" w:type="pct"/>
            <w:tcBorders>
              <w:top w:val="nil"/>
              <w:left w:val="nil"/>
              <w:bottom w:val="single" w:sz="4" w:space="0" w:color="auto"/>
              <w:right w:val="nil"/>
            </w:tcBorders>
            <w:vAlign w:val="center"/>
          </w:tcPr>
          <w:p w14:paraId="47C521B5"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16" w:type="pct"/>
            <w:tcBorders>
              <w:top w:val="nil"/>
              <w:left w:val="nil"/>
              <w:bottom w:val="single" w:sz="4" w:space="0" w:color="auto"/>
              <w:right w:val="nil"/>
            </w:tcBorders>
            <w:vAlign w:val="center"/>
          </w:tcPr>
          <w:p w14:paraId="70AAFAA3"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26" w:type="pct"/>
            <w:tcBorders>
              <w:top w:val="nil"/>
              <w:left w:val="nil"/>
              <w:bottom w:val="single" w:sz="4" w:space="0" w:color="auto"/>
              <w:right w:val="nil"/>
            </w:tcBorders>
            <w:vAlign w:val="center"/>
          </w:tcPr>
          <w:p w14:paraId="6A5E2FE8"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r>
      <w:tr w:rsidR="009F1D75" w:rsidRPr="00156303" w14:paraId="670571CD" w14:textId="77777777" w:rsidTr="005C3BEF">
        <w:tc>
          <w:tcPr>
            <w:tcW w:w="1415" w:type="pct"/>
            <w:tcBorders>
              <w:top w:val="single" w:sz="4" w:space="0" w:color="auto"/>
              <w:left w:val="single" w:sz="4" w:space="0" w:color="auto"/>
              <w:right w:val="nil"/>
            </w:tcBorders>
            <w:vAlign w:val="center"/>
          </w:tcPr>
          <w:p w14:paraId="74EE6D6D" w14:textId="35053F9A" w:rsidR="00982AE7" w:rsidRPr="00156303" w:rsidRDefault="00982AE7" w:rsidP="00982AE7">
            <w:pPr>
              <w:spacing w:before="60" w:after="60" w:line="240" w:lineRule="auto"/>
              <w:rPr>
                <w:rFonts w:asciiTheme="minorHAnsi" w:hAnsiTheme="minorHAnsi" w:cstheme="minorHAnsi"/>
                <w:szCs w:val="20"/>
              </w:rPr>
            </w:pPr>
            <w:r w:rsidRPr="00156303">
              <w:rPr>
                <w:rFonts w:asciiTheme="minorHAnsi" w:hAnsiTheme="minorHAnsi" w:cstheme="minorHAnsi"/>
                <w:szCs w:val="20"/>
              </w:rPr>
              <w:t xml:space="preserve">NGRB’s planned expenditure for the relevant </w:t>
            </w:r>
            <w:r>
              <w:rPr>
                <w:rFonts w:asciiTheme="minorHAnsi" w:hAnsiTheme="minorHAnsi" w:cstheme="minorHAnsi"/>
                <w:szCs w:val="20"/>
              </w:rPr>
              <w:t>year</w:t>
            </w:r>
            <w:r w:rsidRPr="008C02EE">
              <w:rPr>
                <w:rStyle w:val="FootnoteReference"/>
                <w:rFonts w:asciiTheme="minorHAnsi" w:hAnsiTheme="minorHAnsi" w:cstheme="minorHAnsi"/>
                <w:color w:val="FF0000"/>
                <w:szCs w:val="20"/>
              </w:rPr>
              <w:footnoteReference w:id="7"/>
            </w:r>
          </w:p>
        </w:tc>
        <w:tc>
          <w:tcPr>
            <w:tcW w:w="655" w:type="pct"/>
            <w:tcBorders>
              <w:top w:val="single" w:sz="4" w:space="0" w:color="auto"/>
              <w:left w:val="nil"/>
              <w:right w:val="nil"/>
            </w:tcBorders>
            <w:vAlign w:val="center"/>
          </w:tcPr>
          <w:p w14:paraId="65BAB798" w14:textId="75C9723B" w:rsidR="00982AE7" w:rsidRPr="008C02EE" w:rsidRDefault="00982AE7" w:rsidP="005C3BEF">
            <w:pPr>
              <w:jc w:val="right"/>
              <w:rPr>
                <w:rFonts w:asciiTheme="minorHAnsi" w:hAnsiTheme="minorHAnsi" w:cstheme="minorHAnsi"/>
                <w:b/>
                <w:color w:val="4472C4" w:themeColor="accent1"/>
                <w:szCs w:val="20"/>
              </w:rPr>
            </w:pPr>
            <w:r>
              <w:rPr>
                <w:rFonts w:ascii="Calibri" w:hAnsi="Calibri" w:cs="Calibri"/>
                <w:color w:val="4472C4"/>
                <w:szCs w:val="20"/>
              </w:rPr>
              <w:t xml:space="preserve"> $5,011,971</w:t>
            </w:r>
            <w:r w:rsidRPr="00EC29C7">
              <w:rPr>
                <w:rFonts w:ascii="Calibri" w:hAnsi="Calibri" w:cs="Calibri"/>
                <w:color w:val="4472C4"/>
                <w:szCs w:val="20"/>
              </w:rPr>
              <w:t xml:space="preserve"> </w:t>
            </w:r>
          </w:p>
        </w:tc>
        <w:tc>
          <w:tcPr>
            <w:tcW w:w="427" w:type="pct"/>
            <w:tcBorders>
              <w:top w:val="single" w:sz="4" w:space="0" w:color="auto"/>
              <w:left w:val="nil"/>
              <w:right w:val="nil"/>
            </w:tcBorders>
          </w:tcPr>
          <w:p w14:paraId="472240EC" w14:textId="4CF046A1" w:rsidR="00982AE7" w:rsidRPr="005C3BEF" w:rsidRDefault="00982AE7" w:rsidP="005C3BEF">
            <w:pPr>
              <w:jc w:val="right"/>
              <w:rPr>
                <w:rFonts w:ascii="Calibri" w:hAnsi="Calibri" w:cs="Calibri"/>
                <w:color w:val="4472C4"/>
                <w:szCs w:val="20"/>
              </w:rPr>
            </w:pPr>
            <w:r w:rsidRPr="005E0301">
              <w:rPr>
                <w:rFonts w:ascii="Calibri" w:hAnsi="Calibri" w:cs="Calibri"/>
                <w:color w:val="4472C4"/>
                <w:szCs w:val="20"/>
              </w:rPr>
              <w:t xml:space="preserve"> $4,176,752 </w:t>
            </w:r>
          </w:p>
        </w:tc>
        <w:tc>
          <w:tcPr>
            <w:tcW w:w="416" w:type="pct"/>
            <w:tcBorders>
              <w:top w:val="single" w:sz="4" w:space="0" w:color="auto"/>
              <w:left w:val="nil"/>
              <w:right w:val="nil"/>
            </w:tcBorders>
          </w:tcPr>
          <w:p w14:paraId="08217D7F" w14:textId="2EA8AC94" w:rsidR="00982AE7" w:rsidRPr="008C02EE" w:rsidRDefault="00982AE7" w:rsidP="005C3BEF">
            <w:pPr>
              <w:jc w:val="right"/>
              <w:rPr>
                <w:rFonts w:asciiTheme="minorHAnsi" w:hAnsiTheme="minorHAnsi" w:cstheme="minorHAnsi"/>
                <w:b/>
                <w:color w:val="4472C4" w:themeColor="accent1"/>
                <w:szCs w:val="20"/>
              </w:rPr>
            </w:pPr>
            <w:r w:rsidRPr="005E0301">
              <w:rPr>
                <w:rFonts w:ascii="Calibri" w:hAnsi="Calibri" w:cs="Calibri"/>
                <w:color w:val="4472C4"/>
                <w:szCs w:val="20"/>
              </w:rPr>
              <w:t xml:space="preserve">$7,377,596 </w:t>
            </w:r>
          </w:p>
        </w:tc>
        <w:tc>
          <w:tcPr>
            <w:tcW w:w="414" w:type="pct"/>
            <w:tcBorders>
              <w:top w:val="single" w:sz="4" w:space="0" w:color="auto"/>
              <w:left w:val="nil"/>
              <w:right w:val="nil"/>
            </w:tcBorders>
          </w:tcPr>
          <w:p w14:paraId="07D829DC" w14:textId="2766C214" w:rsidR="00982AE7" w:rsidRPr="008C02EE" w:rsidRDefault="00982AE7" w:rsidP="005C3BEF">
            <w:pPr>
              <w:jc w:val="right"/>
              <w:rPr>
                <w:rFonts w:asciiTheme="minorHAnsi" w:hAnsiTheme="minorHAnsi" w:cstheme="minorHAnsi"/>
                <w:b/>
                <w:color w:val="4472C4" w:themeColor="accent1"/>
                <w:szCs w:val="20"/>
              </w:rPr>
            </w:pPr>
            <w:r w:rsidRPr="005E0301">
              <w:rPr>
                <w:rFonts w:ascii="Calibri" w:hAnsi="Calibri" w:cs="Calibri"/>
                <w:color w:val="4472C4"/>
                <w:szCs w:val="20"/>
              </w:rPr>
              <w:t xml:space="preserve"> $7,562,402 </w:t>
            </w:r>
          </w:p>
        </w:tc>
        <w:tc>
          <w:tcPr>
            <w:tcW w:w="416" w:type="pct"/>
            <w:tcBorders>
              <w:top w:val="single" w:sz="4" w:space="0" w:color="auto"/>
              <w:left w:val="nil"/>
              <w:right w:val="nil"/>
            </w:tcBorders>
          </w:tcPr>
          <w:p w14:paraId="0ACAA3A8" w14:textId="4FBA00D3" w:rsidR="00982AE7" w:rsidRPr="008C02EE" w:rsidRDefault="00982AE7" w:rsidP="005C3BEF">
            <w:pPr>
              <w:jc w:val="right"/>
              <w:rPr>
                <w:rFonts w:asciiTheme="minorHAnsi" w:hAnsiTheme="minorHAnsi" w:cstheme="minorHAnsi"/>
                <w:b/>
                <w:color w:val="4472C4" w:themeColor="accent1"/>
                <w:szCs w:val="20"/>
              </w:rPr>
            </w:pPr>
            <w:r w:rsidRPr="005E0301">
              <w:rPr>
                <w:rFonts w:ascii="Calibri" w:hAnsi="Calibri" w:cs="Calibri"/>
                <w:color w:val="4472C4"/>
                <w:szCs w:val="20"/>
              </w:rPr>
              <w:t xml:space="preserve"> $7,752,752 </w:t>
            </w:r>
          </w:p>
        </w:tc>
        <w:tc>
          <w:tcPr>
            <w:tcW w:w="415" w:type="pct"/>
            <w:tcBorders>
              <w:top w:val="single" w:sz="4" w:space="0" w:color="auto"/>
              <w:left w:val="nil"/>
              <w:right w:val="nil"/>
            </w:tcBorders>
          </w:tcPr>
          <w:p w14:paraId="1AF5297E" w14:textId="064A8896" w:rsidR="00982AE7" w:rsidRPr="008C02EE" w:rsidRDefault="00982AE7" w:rsidP="005C3BEF">
            <w:pPr>
              <w:jc w:val="right"/>
              <w:rPr>
                <w:rFonts w:asciiTheme="minorHAnsi" w:hAnsiTheme="minorHAnsi" w:cstheme="minorHAnsi"/>
                <w:b/>
                <w:color w:val="4472C4" w:themeColor="accent1"/>
                <w:szCs w:val="20"/>
              </w:rPr>
            </w:pPr>
            <w:r w:rsidRPr="005E0301">
              <w:rPr>
                <w:rFonts w:ascii="Calibri" w:hAnsi="Calibri" w:cs="Calibri"/>
                <w:color w:val="4472C4"/>
                <w:szCs w:val="20"/>
              </w:rPr>
              <w:t xml:space="preserve"> $7,948,816 </w:t>
            </w:r>
          </w:p>
        </w:tc>
        <w:tc>
          <w:tcPr>
            <w:tcW w:w="416" w:type="pct"/>
            <w:tcBorders>
              <w:top w:val="single" w:sz="4" w:space="0" w:color="auto"/>
              <w:left w:val="nil"/>
              <w:right w:val="nil"/>
            </w:tcBorders>
          </w:tcPr>
          <w:p w14:paraId="4A4588DC" w14:textId="60543F7E" w:rsidR="00982AE7" w:rsidRPr="008C02EE" w:rsidRDefault="00982AE7" w:rsidP="005C3BEF">
            <w:pPr>
              <w:jc w:val="right"/>
              <w:rPr>
                <w:rFonts w:asciiTheme="minorHAnsi" w:hAnsiTheme="minorHAnsi" w:cstheme="minorHAnsi"/>
                <w:b/>
                <w:color w:val="4472C4" w:themeColor="accent1"/>
                <w:szCs w:val="20"/>
              </w:rPr>
            </w:pPr>
            <w:r w:rsidRPr="005E0301">
              <w:rPr>
                <w:rFonts w:ascii="Calibri" w:hAnsi="Calibri" w:cs="Calibri"/>
                <w:color w:val="4472C4"/>
                <w:szCs w:val="20"/>
              </w:rPr>
              <w:t xml:space="preserve"> $8,150,758 </w:t>
            </w:r>
          </w:p>
        </w:tc>
        <w:tc>
          <w:tcPr>
            <w:tcW w:w="426" w:type="pct"/>
            <w:tcBorders>
              <w:top w:val="single" w:sz="4" w:space="0" w:color="auto"/>
              <w:left w:val="nil"/>
              <w:right w:val="single" w:sz="4" w:space="0" w:color="auto"/>
            </w:tcBorders>
          </w:tcPr>
          <w:p w14:paraId="68A041B3" w14:textId="76CC1783" w:rsidR="00982AE7" w:rsidRPr="008C02EE" w:rsidRDefault="00982AE7" w:rsidP="005C3BEF">
            <w:pPr>
              <w:jc w:val="right"/>
              <w:rPr>
                <w:rFonts w:asciiTheme="minorHAnsi" w:hAnsiTheme="minorHAnsi" w:cstheme="minorHAnsi"/>
                <w:b/>
                <w:color w:val="4472C4" w:themeColor="accent1"/>
                <w:szCs w:val="20"/>
              </w:rPr>
            </w:pPr>
            <w:r w:rsidRPr="005E0301">
              <w:rPr>
                <w:rFonts w:ascii="Calibri" w:hAnsi="Calibri" w:cs="Calibri"/>
                <w:color w:val="4472C4"/>
                <w:szCs w:val="20"/>
              </w:rPr>
              <w:t xml:space="preserve"> $8,358,760 </w:t>
            </w:r>
          </w:p>
        </w:tc>
      </w:tr>
      <w:tr w:rsidR="009F1D75" w:rsidRPr="00156303" w14:paraId="29768387" w14:textId="77777777" w:rsidTr="005C3BEF">
        <w:tc>
          <w:tcPr>
            <w:tcW w:w="1415" w:type="pct"/>
            <w:tcBorders>
              <w:left w:val="single" w:sz="4" w:space="0" w:color="auto"/>
              <w:bottom w:val="single" w:sz="4" w:space="0" w:color="auto"/>
              <w:right w:val="nil"/>
            </w:tcBorders>
            <w:vAlign w:val="center"/>
          </w:tcPr>
          <w:p w14:paraId="37A1AA8E" w14:textId="2AEE7901" w:rsidR="006E1BC4" w:rsidRPr="00156303" w:rsidRDefault="006E1BC4" w:rsidP="006E1BC4">
            <w:pPr>
              <w:spacing w:before="60" w:after="60" w:line="240" w:lineRule="auto"/>
              <w:rPr>
                <w:rFonts w:asciiTheme="minorHAnsi" w:hAnsiTheme="minorHAnsi" w:cstheme="minorHAnsi"/>
                <w:szCs w:val="20"/>
              </w:rPr>
            </w:pPr>
            <w:r w:rsidRPr="00156303">
              <w:rPr>
                <w:rFonts w:asciiTheme="minorHAnsi" w:hAnsiTheme="minorHAnsi" w:cstheme="minorHAnsi"/>
                <w:szCs w:val="20"/>
              </w:rPr>
              <w:t xml:space="preserve">NGRB’s planned </w:t>
            </w:r>
            <w:r>
              <w:rPr>
                <w:rFonts w:asciiTheme="minorHAnsi" w:hAnsiTheme="minorHAnsi" w:cstheme="minorHAnsi"/>
                <w:szCs w:val="20"/>
              </w:rPr>
              <w:t xml:space="preserve">regional transition assistance </w:t>
            </w:r>
            <w:r w:rsidRPr="00156303">
              <w:rPr>
                <w:rFonts w:asciiTheme="minorHAnsi" w:hAnsiTheme="minorHAnsi" w:cstheme="minorHAnsi"/>
                <w:szCs w:val="20"/>
              </w:rPr>
              <w:t xml:space="preserve">expenditure for the relevant </w:t>
            </w:r>
            <w:r>
              <w:rPr>
                <w:rFonts w:asciiTheme="minorHAnsi" w:hAnsiTheme="minorHAnsi" w:cstheme="minorHAnsi"/>
                <w:szCs w:val="20"/>
              </w:rPr>
              <w:t>year</w:t>
            </w:r>
            <w:r w:rsidRPr="00443AD2">
              <w:rPr>
                <w:rStyle w:val="FootnoteReference"/>
                <w:rFonts w:asciiTheme="minorHAnsi" w:hAnsiTheme="minorHAnsi" w:cstheme="minorHAnsi"/>
                <w:color w:val="FF0000"/>
                <w:szCs w:val="20"/>
              </w:rPr>
              <w:footnoteReference w:id="8"/>
            </w:r>
          </w:p>
        </w:tc>
        <w:tc>
          <w:tcPr>
            <w:tcW w:w="655" w:type="pct"/>
            <w:tcBorders>
              <w:left w:val="nil"/>
              <w:bottom w:val="single" w:sz="4" w:space="0" w:color="auto"/>
              <w:right w:val="nil"/>
            </w:tcBorders>
            <w:vAlign w:val="center"/>
          </w:tcPr>
          <w:p w14:paraId="5018E513" w14:textId="57A5F156" w:rsidR="006E1BC4" w:rsidRPr="008C02EE" w:rsidRDefault="006E1BC4" w:rsidP="005C3BEF">
            <w:pPr>
              <w:jc w:val="right"/>
              <w:rPr>
                <w:rFonts w:asciiTheme="minorHAnsi" w:hAnsiTheme="minorHAnsi" w:cstheme="minorHAnsi"/>
                <w:b/>
                <w:color w:val="4472C4" w:themeColor="accent1"/>
                <w:szCs w:val="20"/>
              </w:rPr>
            </w:pPr>
            <w:r w:rsidRPr="00EC29C7">
              <w:rPr>
                <w:rFonts w:ascii="Calibri" w:hAnsi="Calibri" w:cs="Calibri"/>
                <w:color w:val="4472C4"/>
                <w:szCs w:val="20"/>
              </w:rPr>
              <w:t xml:space="preserve"> $408,215 </w:t>
            </w:r>
          </w:p>
        </w:tc>
        <w:tc>
          <w:tcPr>
            <w:tcW w:w="427" w:type="pct"/>
            <w:tcBorders>
              <w:left w:val="nil"/>
              <w:bottom w:val="single" w:sz="4" w:space="0" w:color="auto"/>
              <w:right w:val="nil"/>
            </w:tcBorders>
            <w:vAlign w:val="center"/>
          </w:tcPr>
          <w:p w14:paraId="6618DB6C" w14:textId="6A38A795" w:rsidR="006E1BC4" w:rsidRPr="008C02EE" w:rsidRDefault="006E1BC4" w:rsidP="005C3BEF">
            <w:pPr>
              <w:jc w:val="right"/>
              <w:rPr>
                <w:rFonts w:asciiTheme="minorHAnsi" w:hAnsiTheme="minorHAnsi" w:cstheme="minorHAnsi"/>
                <w:b/>
                <w:color w:val="4472C4" w:themeColor="accent1"/>
                <w:szCs w:val="20"/>
              </w:rPr>
            </w:pPr>
            <w:r w:rsidRPr="00EC29C7">
              <w:rPr>
                <w:rFonts w:ascii="Calibri" w:hAnsi="Calibri" w:cs="Calibri"/>
                <w:color w:val="4472C4"/>
                <w:szCs w:val="20"/>
              </w:rPr>
              <w:t xml:space="preserve"> $144,130 </w:t>
            </w:r>
          </w:p>
        </w:tc>
        <w:tc>
          <w:tcPr>
            <w:tcW w:w="416" w:type="pct"/>
            <w:tcBorders>
              <w:left w:val="nil"/>
              <w:bottom w:val="single" w:sz="4" w:space="0" w:color="auto"/>
              <w:right w:val="nil"/>
            </w:tcBorders>
            <w:vAlign w:val="center"/>
          </w:tcPr>
          <w:p w14:paraId="62A6B00C" w14:textId="03FD01CB" w:rsidR="006E1BC4" w:rsidRPr="008C02EE" w:rsidRDefault="006E1BC4" w:rsidP="005C3BEF">
            <w:pPr>
              <w:jc w:val="right"/>
              <w:rPr>
                <w:rFonts w:asciiTheme="minorHAnsi" w:hAnsiTheme="minorHAnsi" w:cstheme="minorHAnsi"/>
                <w:b/>
                <w:color w:val="4472C4" w:themeColor="accent1"/>
                <w:szCs w:val="20"/>
              </w:rPr>
            </w:pPr>
            <w:r w:rsidRPr="00EC29C7">
              <w:rPr>
                <w:rFonts w:ascii="Calibri" w:hAnsi="Calibri" w:cs="Calibri"/>
                <w:color w:val="4472C4"/>
                <w:szCs w:val="20"/>
              </w:rPr>
              <w:t xml:space="preserve"> $148,454 </w:t>
            </w:r>
          </w:p>
        </w:tc>
        <w:tc>
          <w:tcPr>
            <w:tcW w:w="414" w:type="pct"/>
            <w:tcBorders>
              <w:left w:val="nil"/>
              <w:bottom w:val="single" w:sz="4" w:space="0" w:color="auto"/>
              <w:right w:val="nil"/>
            </w:tcBorders>
            <w:vAlign w:val="center"/>
          </w:tcPr>
          <w:p w14:paraId="2FBCB931" w14:textId="0B0FC4A2" w:rsidR="006E1BC4" w:rsidRPr="008C02EE" w:rsidRDefault="006E1BC4" w:rsidP="005C3BEF">
            <w:pPr>
              <w:jc w:val="right"/>
              <w:rPr>
                <w:rFonts w:asciiTheme="minorHAnsi" w:hAnsiTheme="minorHAnsi" w:cstheme="minorHAnsi"/>
                <w:b/>
                <w:color w:val="4472C4" w:themeColor="accent1"/>
                <w:szCs w:val="20"/>
              </w:rPr>
            </w:pPr>
            <w:r w:rsidRPr="00EC29C7">
              <w:rPr>
                <w:rFonts w:ascii="Calibri" w:hAnsi="Calibri" w:cs="Calibri"/>
                <w:color w:val="4472C4"/>
                <w:szCs w:val="20"/>
              </w:rPr>
              <w:t xml:space="preserve"> $152,908 </w:t>
            </w:r>
          </w:p>
        </w:tc>
        <w:tc>
          <w:tcPr>
            <w:tcW w:w="416" w:type="pct"/>
            <w:tcBorders>
              <w:left w:val="nil"/>
              <w:bottom w:val="single" w:sz="4" w:space="0" w:color="auto"/>
              <w:right w:val="nil"/>
            </w:tcBorders>
            <w:vAlign w:val="center"/>
          </w:tcPr>
          <w:p w14:paraId="761957CD" w14:textId="02FE4699" w:rsidR="006E1BC4" w:rsidRPr="008C02EE" w:rsidRDefault="006E1BC4" w:rsidP="005C3BEF">
            <w:pPr>
              <w:jc w:val="right"/>
              <w:rPr>
                <w:rFonts w:asciiTheme="minorHAnsi" w:hAnsiTheme="minorHAnsi" w:cstheme="minorHAnsi"/>
                <w:b/>
                <w:color w:val="4472C4" w:themeColor="accent1"/>
                <w:szCs w:val="20"/>
              </w:rPr>
            </w:pPr>
            <w:r w:rsidRPr="00EC29C7">
              <w:rPr>
                <w:rFonts w:ascii="Calibri" w:hAnsi="Calibri" w:cs="Calibri"/>
                <w:color w:val="4472C4"/>
                <w:szCs w:val="20"/>
              </w:rPr>
              <w:t xml:space="preserve"> $157,494 </w:t>
            </w:r>
          </w:p>
        </w:tc>
        <w:tc>
          <w:tcPr>
            <w:tcW w:w="415" w:type="pct"/>
            <w:tcBorders>
              <w:left w:val="nil"/>
              <w:bottom w:val="single" w:sz="4" w:space="0" w:color="auto"/>
              <w:right w:val="nil"/>
            </w:tcBorders>
            <w:vAlign w:val="center"/>
          </w:tcPr>
          <w:p w14:paraId="454A4CDB" w14:textId="0E1145F0" w:rsidR="006E1BC4" w:rsidRPr="008C02EE" w:rsidRDefault="006E1BC4" w:rsidP="005C3BEF">
            <w:pPr>
              <w:jc w:val="right"/>
              <w:rPr>
                <w:rFonts w:asciiTheme="minorHAnsi" w:hAnsiTheme="minorHAnsi" w:cstheme="minorHAnsi"/>
                <w:b/>
                <w:color w:val="4472C4" w:themeColor="accent1"/>
                <w:szCs w:val="20"/>
              </w:rPr>
            </w:pPr>
            <w:r w:rsidRPr="00EC29C7">
              <w:rPr>
                <w:rFonts w:ascii="Calibri" w:hAnsi="Calibri" w:cs="Calibri"/>
                <w:color w:val="4472C4"/>
                <w:szCs w:val="20"/>
              </w:rPr>
              <w:t xml:space="preserve"> $162,220 </w:t>
            </w:r>
          </w:p>
        </w:tc>
        <w:tc>
          <w:tcPr>
            <w:tcW w:w="416" w:type="pct"/>
            <w:tcBorders>
              <w:left w:val="nil"/>
              <w:bottom w:val="single" w:sz="4" w:space="0" w:color="auto"/>
              <w:right w:val="nil"/>
            </w:tcBorders>
            <w:vAlign w:val="center"/>
          </w:tcPr>
          <w:p w14:paraId="4E73514A" w14:textId="7C1A3438" w:rsidR="006E1BC4" w:rsidRPr="008C02EE" w:rsidRDefault="006E1BC4" w:rsidP="005C3BEF">
            <w:pPr>
              <w:jc w:val="right"/>
              <w:rPr>
                <w:rFonts w:asciiTheme="minorHAnsi" w:hAnsiTheme="minorHAnsi" w:cstheme="minorHAnsi"/>
                <w:b/>
                <w:color w:val="4472C4" w:themeColor="accent1"/>
                <w:szCs w:val="20"/>
              </w:rPr>
            </w:pPr>
            <w:r w:rsidRPr="00EC29C7">
              <w:rPr>
                <w:rFonts w:ascii="Calibri" w:hAnsi="Calibri" w:cs="Calibri"/>
                <w:color w:val="4472C4"/>
                <w:szCs w:val="20"/>
              </w:rPr>
              <w:t xml:space="preserve"> $167,086 </w:t>
            </w:r>
          </w:p>
        </w:tc>
        <w:tc>
          <w:tcPr>
            <w:tcW w:w="426" w:type="pct"/>
            <w:tcBorders>
              <w:left w:val="nil"/>
              <w:bottom w:val="single" w:sz="4" w:space="0" w:color="auto"/>
              <w:right w:val="single" w:sz="4" w:space="0" w:color="auto"/>
            </w:tcBorders>
            <w:vAlign w:val="center"/>
          </w:tcPr>
          <w:p w14:paraId="390254A8" w14:textId="32BEBFBB" w:rsidR="006E1BC4" w:rsidRPr="008C02EE" w:rsidRDefault="006E1BC4" w:rsidP="005C3BEF">
            <w:pPr>
              <w:jc w:val="right"/>
              <w:rPr>
                <w:rFonts w:asciiTheme="minorHAnsi" w:hAnsiTheme="minorHAnsi" w:cstheme="minorHAnsi"/>
                <w:b/>
                <w:color w:val="4472C4" w:themeColor="accent1"/>
                <w:szCs w:val="20"/>
              </w:rPr>
            </w:pPr>
            <w:r w:rsidRPr="00EC29C7">
              <w:rPr>
                <w:rFonts w:ascii="Calibri" w:hAnsi="Calibri" w:cs="Calibri"/>
                <w:color w:val="4472C4"/>
                <w:szCs w:val="20"/>
              </w:rPr>
              <w:t xml:space="preserve"> $172,098 </w:t>
            </w:r>
          </w:p>
        </w:tc>
      </w:tr>
      <w:tr w:rsidR="009F1D75" w:rsidRPr="00156303" w14:paraId="3D0FC91F" w14:textId="77777777" w:rsidTr="005C3BEF">
        <w:tc>
          <w:tcPr>
            <w:tcW w:w="1415" w:type="pct"/>
            <w:tcBorders>
              <w:top w:val="single" w:sz="4" w:space="0" w:color="auto"/>
              <w:left w:val="nil"/>
              <w:bottom w:val="single" w:sz="4" w:space="0" w:color="auto"/>
              <w:right w:val="nil"/>
            </w:tcBorders>
            <w:vAlign w:val="center"/>
          </w:tcPr>
          <w:p w14:paraId="1D15BE25" w14:textId="77777777" w:rsidR="00583F34" w:rsidRPr="00583F34" w:rsidRDefault="00583F34" w:rsidP="00583F34">
            <w:pPr>
              <w:spacing w:before="0" w:after="0" w:line="240" w:lineRule="auto"/>
              <w:rPr>
                <w:rFonts w:asciiTheme="minorHAnsi" w:hAnsiTheme="minorHAnsi" w:cstheme="minorHAnsi"/>
                <w:sz w:val="12"/>
                <w:szCs w:val="12"/>
              </w:rPr>
            </w:pPr>
          </w:p>
        </w:tc>
        <w:tc>
          <w:tcPr>
            <w:tcW w:w="655" w:type="pct"/>
            <w:tcBorders>
              <w:top w:val="single" w:sz="4" w:space="0" w:color="auto"/>
              <w:left w:val="nil"/>
              <w:bottom w:val="single" w:sz="4" w:space="0" w:color="auto"/>
              <w:right w:val="nil"/>
            </w:tcBorders>
            <w:vAlign w:val="center"/>
          </w:tcPr>
          <w:p w14:paraId="662C4849"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27" w:type="pct"/>
            <w:tcBorders>
              <w:top w:val="single" w:sz="4" w:space="0" w:color="auto"/>
              <w:left w:val="nil"/>
              <w:bottom w:val="single" w:sz="4" w:space="0" w:color="auto"/>
              <w:right w:val="nil"/>
            </w:tcBorders>
            <w:vAlign w:val="center"/>
          </w:tcPr>
          <w:p w14:paraId="4BDE1739"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16" w:type="pct"/>
            <w:tcBorders>
              <w:top w:val="single" w:sz="4" w:space="0" w:color="auto"/>
              <w:left w:val="nil"/>
              <w:bottom w:val="single" w:sz="4" w:space="0" w:color="auto"/>
              <w:right w:val="nil"/>
            </w:tcBorders>
            <w:vAlign w:val="center"/>
          </w:tcPr>
          <w:p w14:paraId="222DC578"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14" w:type="pct"/>
            <w:tcBorders>
              <w:top w:val="single" w:sz="4" w:space="0" w:color="auto"/>
              <w:left w:val="nil"/>
              <w:bottom w:val="single" w:sz="4" w:space="0" w:color="auto"/>
              <w:right w:val="nil"/>
            </w:tcBorders>
            <w:vAlign w:val="center"/>
          </w:tcPr>
          <w:p w14:paraId="50FD4550"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16" w:type="pct"/>
            <w:tcBorders>
              <w:top w:val="single" w:sz="4" w:space="0" w:color="auto"/>
              <w:left w:val="nil"/>
              <w:bottom w:val="single" w:sz="4" w:space="0" w:color="auto"/>
              <w:right w:val="nil"/>
            </w:tcBorders>
            <w:vAlign w:val="center"/>
          </w:tcPr>
          <w:p w14:paraId="1F58FB29"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15" w:type="pct"/>
            <w:tcBorders>
              <w:top w:val="single" w:sz="4" w:space="0" w:color="auto"/>
              <w:left w:val="nil"/>
              <w:bottom w:val="single" w:sz="4" w:space="0" w:color="auto"/>
              <w:right w:val="nil"/>
            </w:tcBorders>
            <w:vAlign w:val="center"/>
          </w:tcPr>
          <w:p w14:paraId="33A8195B"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16" w:type="pct"/>
            <w:tcBorders>
              <w:top w:val="single" w:sz="4" w:space="0" w:color="auto"/>
              <w:left w:val="nil"/>
              <w:bottom w:val="single" w:sz="4" w:space="0" w:color="auto"/>
              <w:right w:val="nil"/>
            </w:tcBorders>
            <w:vAlign w:val="center"/>
          </w:tcPr>
          <w:p w14:paraId="52E17A25" w14:textId="77777777" w:rsidR="00583F34" w:rsidRPr="00583F34" w:rsidRDefault="00583F34" w:rsidP="005C3BEF">
            <w:pPr>
              <w:spacing w:before="0" w:after="0" w:line="240" w:lineRule="auto"/>
              <w:jc w:val="right"/>
              <w:rPr>
                <w:rFonts w:asciiTheme="minorHAnsi" w:hAnsiTheme="minorHAnsi" w:cstheme="minorHAnsi"/>
                <w:color w:val="4472C4" w:themeColor="accent1"/>
                <w:sz w:val="12"/>
                <w:szCs w:val="12"/>
              </w:rPr>
            </w:pPr>
          </w:p>
        </w:tc>
        <w:tc>
          <w:tcPr>
            <w:tcW w:w="426" w:type="pct"/>
            <w:tcBorders>
              <w:top w:val="single" w:sz="4" w:space="0" w:color="auto"/>
              <w:left w:val="nil"/>
              <w:bottom w:val="nil"/>
              <w:right w:val="nil"/>
            </w:tcBorders>
            <w:vAlign w:val="center"/>
          </w:tcPr>
          <w:p w14:paraId="2F17BF39" w14:textId="77777777" w:rsidR="00583F34" w:rsidRPr="00583F34" w:rsidRDefault="00583F34" w:rsidP="005C3BEF">
            <w:pPr>
              <w:spacing w:before="0" w:after="0" w:line="240" w:lineRule="auto"/>
              <w:jc w:val="right"/>
              <w:rPr>
                <w:rFonts w:asciiTheme="minorHAnsi" w:hAnsiTheme="minorHAnsi" w:cstheme="minorHAnsi"/>
                <w:b/>
                <w:color w:val="4472C4" w:themeColor="accent1"/>
                <w:sz w:val="12"/>
                <w:szCs w:val="12"/>
              </w:rPr>
            </w:pPr>
          </w:p>
        </w:tc>
      </w:tr>
      <w:tr w:rsidR="009F1D75" w:rsidRPr="00156303" w14:paraId="015977C8" w14:textId="77777777" w:rsidTr="005C3BEF">
        <w:tc>
          <w:tcPr>
            <w:tcW w:w="1415" w:type="pct"/>
            <w:tcBorders>
              <w:top w:val="single" w:sz="4" w:space="0" w:color="auto"/>
              <w:left w:val="single" w:sz="4" w:space="0" w:color="auto"/>
              <w:right w:val="nil"/>
            </w:tcBorders>
            <w:vAlign w:val="center"/>
          </w:tcPr>
          <w:p w14:paraId="208034B1" w14:textId="077AD9A4" w:rsidR="006E1BC4" w:rsidRPr="00156303" w:rsidRDefault="006E1BC4" w:rsidP="006E1BC4">
            <w:pPr>
              <w:spacing w:before="60" w:after="60" w:line="240" w:lineRule="auto"/>
              <w:rPr>
                <w:rFonts w:asciiTheme="minorHAnsi" w:hAnsiTheme="minorHAnsi" w:cstheme="minorHAnsi"/>
                <w:szCs w:val="20"/>
              </w:rPr>
            </w:pPr>
            <w:r>
              <w:rPr>
                <w:rFonts w:asciiTheme="minorHAnsi" w:hAnsiTheme="minorHAnsi" w:cstheme="minorHAnsi"/>
                <w:szCs w:val="20"/>
              </w:rPr>
              <w:t>NGRB’s planned deferred funding for the relevant year to be spent in a future year</w:t>
            </w:r>
            <w:r w:rsidRPr="008F6D92">
              <w:rPr>
                <w:rStyle w:val="FootnoteReference"/>
                <w:rFonts w:asciiTheme="minorHAnsi" w:hAnsiTheme="minorHAnsi" w:cstheme="minorHAnsi"/>
                <w:color w:val="FF0000"/>
                <w:szCs w:val="20"/>
              </w:rPr>
              <w:footnoteReference w:id="9"/>
            </w:r>
          </w:p>
        </w:tc>
        <w:tc>
          <w:tcPr>
            <w:tcW w:w="655" w:type="pct"/>
            <w:tcBorders>
              <w:top w:val="single" w:sz="4" w:space="0" w:color="auto"/>
              <w:left w:val="nil"/>
              <w:right w:val="nil"/>
            </w:tcBorders>
            <w:vAlign w:val="center"/>
          </w:tcPr>
          <w:p w14:paraId="717229FD" w14:textId="65120119" w:rsidR="006E1BC4" w:rsidRPr="008C02EE" w:rsidRDefault="006E1BC4" w:rsidP="005C3BEF">
            <w:pPr>
              <w:jc w:val="right"/>
              <w:rPr>
                <w:rFonts w:asciiTheme="minorHAnsi" w:hAnsiTheme="minorHAnsi" w:cstheme="minorHAnsi"/>
                <w:b/>
                <w:color w:val="4472C4" w:themeColor="accent1"/>
                <w:szCs w:val="20"/>
              </w:rPr>
            </w:pPr>
            <w:r>
              <w:rPr>
                <w:rFonts w:asciiTheme="minorHAnsi" w:hAnsiTheme="minorHAnsi" w:cstheme="minorHAnsi"/>
                <w:bCs/>
                <w:color w:val="4472C4" w:themeColor="accent1"/>
                <w:szCs w:val="20"/>
              </w:rPr>
              <w:t>$</w:t>
            </w:r>
            <w:r w:rsidR="00ED0204">
              <w:rPr>
                <w:rFonts w:asciiTheme="minorHAnsi" w:hAnsiTheme="minorHAnsi" w:cstheme="minorHAnsi"/>
                <w:bCs/>
                <w:color w:val="4472C4" w:themeColor="accent1"/>
                <w:szCs w:val="20"/>
              </w:rPr>
              <w:t>794,645</w:t>
            </w:r>
          </w:p>
        </w:tc>
        <w:tc>
          <w:tcPr>
            <w:tcW w:w="427" w:type="pct"/>
            <w:tcBorders>
              <w:top w:val="single" w:sz="4" w:space="0" w:color="auto"/>
              <w:left w:val="nil"/>
              <w:right w:val="nil"/>
            </w:tcBorders>
            <w:vAlign w:val="center"/>
          </w:tcPr>
          <w:p w14:paraId="43C1B7E3" w14:textId="0EAEE39F" w:rsidR="006E1BC4" w:rsidRPr="008C02EE" w:rsidRDefault="006E1BC4" w:rsidP="005C3BEF">
            <w:pPr>
              <w:jc w:val="right"/>
              <w:rPr>
                <w:rFonts w:asciiTheme="minorHAnsi" w:hAnsiTheme="minorHAnsi" w:cstheme="minorHAnsi"/>
                <w:b/>
                <w:color w:val="4472C4" w:themeColor="accent1"/>
                <w:szCs w:val="20"/>
              </w:rPr>
            </w:pPr>
            <w:r w:rsidRPr="00F71EF7">
              <w:rPr>
                <w:rFonts w:asciiTheme="minorHAnsi" w:hAnsiTheme="minorHAnsi" w:cstheme="minorHAnsi"/>
                <w:bCs/>
                <w:color w:val="4472C4" w:themeColor="accent1"/>
                <w:szCs w:val="20"/>
              </w:rPr>
              <w:t>$</w:t>
            </w:r>
            <w:r w:rsidR="00982AE7">
              <w:rPr>
                <w:rFonts w:asciiTheme="minorHAnsi" w:hAnsiTheme="minorHAnsi" w:cstheme="minorHAnsi"/>
                <w:bCs/>
                <w:color w:val="4472C4" w:themeColor="accent1"/>
                <w:szCs w:val="20"/>
              </w:rPr>
              <w:t>1,804,064</w:t>
            </w:r>
          </w:p>
        </w:tc>
        <w:tc>
          <w:tcPr>
            <w:tcW w:w="416" w:type="pct"/>
            <w:tcBorders>
              <w:top w:val="single" w:sz="4" w:space="0" w:color="auto"/>
              <w:left w:val="nil"/>
              <w:right w:val="nil"/>
            </w:tcBorders>
            <w:vAlign w:val="center"/>
          </w:tcPr>
          <w:p w14:paraId="79B8455F" w14:textId="6D1A1D0D" w:rsidR="006E1BC4" w:rsidRPr="008C02EE" w:rsidRDefault="006E1BC4" w:rsidP="005C3BEF">
            <w:pPr>
              <w:jc w:val="right"/>
              <w:rPr>
                <w:rFonts w:asciiTheme="minorHAnsi" w:hAnsiTheme="minorHAnsi" w:cstheme="minorHAnsi"/>
                <w:b/>
                <w:color w:val="4472C4" w:themeColor="accent1"/>
                <w:szCs w:val="20"/>
              </w:rPr>
            </w:pPr>
            <w:r>
              <w:rPr>
                <w:rFonts w:asciiTheme="minorHAnsi" w:hAnsiTheme="minorHAnsi" w:cstheme="minorHAnsi"/>
                <w:b/>
                <w:color w:val="4472C4" w:themeColor="accent1"/>
                <w:szCs w:val="20"/>
              </w:rPr>
              <w:t>-</w:t>
            </w:r>
          </w:p>
        </w:tc>
        <w:tc>
          <w:tcPr>
            <w:tcW w:w="414" w:type="pct"/>
            <w:tcBorders>
              <w:top w:val="single" w:sz="4" w:space="0" w:color="auto"/>
              <w:left w:val="nil"/>
              <w:right w:val="nil"/>
            </w:tcBorders>
            <w:vAlign w:val="center"/>
          </w:tcPr>
          <w:p w14:paraId="2D4A3969" w14:textId="382F8A67" w:rsidR="006E1BC4" w:rsidRPr="008C02EE" w:rsidRDefault="006E1BC4" w:rsidP="005C3BEF">
            <w:pPr>
              <w:jc w:val="right"/>
              <w:rPr>
                <w:rFonts w:asciiTheme="minorHAnsi" w:hAnsiTheme="minorHAnsi" w:cstheme="minorHAnsi"/>
                <w:b/>
                <w:color w:val="4472C4" w:themeColor="accent1"/>
                <w:szCs w:val="20"/>
              </w:rPr>
            </w:pPr>
            <w:r>
              <w:rPr>
                <w:rFonts w:asciiTheme="minorHAnsi" w:hAnsiTheme="minorHAnsi" w:cstheme="minorHAnsi"/>
                <w:b/>
                <w:color w:val="4472C4" w:themeColor="accent1"/>
                <w:szCs w:val="20"/>
              </w:rPr>
              <w:t>-</w:t>
            </w:r>
          </w:p>
        </w:tc>
        <w:tc>
          <w:tcPr>
            <w:tcW w:w="416" w:type="pct"/>
            <w:tcBorders>
              <w:top w:val="single" w:sz="4" w:space="0" w:color="auto"/>
              <w:left w:val="nil"/>
              <w:right w:val="nil"/>
            </w:tcBorders>
            <w:vAlign w:val="center"/>
          </w:tcPr>
          <w:p w14:paraId="13893A34" w14:textId="54D5A439" w:rsidR="006E1BC4" w:rsidRPr="008C02EE" w:rsidRDefault="006E1BC4" w:rsidP="005C3BEF">
            <w:pPr>
              <w:jc w:val="right"/>
              <w:rPr>
                <w:rFonts w:asciiTheme="minorHAnsi" w:hAnsiTheme="minorHAnsi" w:cstheme="minorHAnsi"/>
                <w:b/>
                <w:color w:val="4472C4" w:themeColor="accent1"/>
                <w:szCs w:val="20"/>
              </w:rPr>
            </w:pPr>
            <w:r>
              <w:rPr>
                <w:rFonts w:asciiTheme="minorHAnsi" w:hAnsiTheme="minorHAnsi" w:cstheme="minorHAnsi"/>
                <w:b/>
                <w:color w:val="4472C4" w:themeColor="accent1"/>
                <w:szCs w:val="20"/>
              </w:rPr>
              <w:t>-</w:t>
            </w:r>
          </w:p>
        </w:tc>
        <w:tc>
          <w:tcPr>
            <w:tcW w:w="415" w:type="pct"/>
            <w:tcBorders>
              <w:top w:val="single" w:sz="4" w:space="0" w:color="auto"/>
              <w:left w:val="nil"/>
              <w:right w:val="nil"/>
            </w:tcBorders>
            <w:vAlign w:val="center"/>
          </w:tcPr>
          <w:p w14:paraId="128A9431" w14:textId="528DADA4" w:rsidR="006E1BC4" w:rsidRPr="008C02EE" w:rsidRDefault="006E1BC4" w:rsidP="005C3BEF">
            <w:pPr>
              <w:jc w:val="right"/>
              <w:rPr>
                <w:rFonts w:asciiTheme="minorHAnsi" w:hAnsiTheme="minorHAnsi" w:cstheme="minorHAnsi"/>
                <w:b/>
                <w:color w:val="4472C4" w:themeColor="accent1"/>
                <w:szCs w:val="20"/>
              </w:rPr>
            </w:pPr>
            <w:r>
              <w:rPr>
                <w:rFonts w:asciiTheme="minorHAnsi" w:hAnsiTheme="minorHAnsi" w:cstheme="minorHAnsi"/>
                <w:b/>
                <w:color w:val="4472C4" w:themeColor="accent1"/>
                <w:szCs w:val="20"/>
              </w:rPr>
              <w:t>-</w:t>
            </w:r>
          </w:p>
        </w:tc>
        <w:tc>
          <w:tcPr>
            <w:tcW w:w="416" w:type="pct"/>
            <w:tcBorders>
              <w:top w:val="single" w:sz="4" w:space="0" w:color="auto"/>
              <w:left w:val="nil"/>
              <w:right w:val="single" w:sz="4" w:space="0" w:color="auto"/>
            </w:tcBorders>
            <w:vAlign w:val="center"/>
          </w:tcPr>
          <w:p w14:paraId="6963D139" w14:textId="02B3EA3A" w:rsidR="006E1BC4" w:rsidRPr="008C02EE" w:rsidRDefault="006E1BC4" w:rsidP="005C3BEF">
            <w:pPr>
              <w:jc w:val="right"/>
              <w:rPr>
                <w:rFonts w:asciiTheme="minorHAnsi" w:hAnsiTheme="minorHAnsi" w:cstheme="minorHAnsi"/>
                <w:b/>
                <w:color w:val="4472C4" w:themeColor="accent1"/>
                <w:szCs w:val="20"/>
              </w:rPr>
            </w:pPr>
            <w:r>
              <w:rPr>
                <w:rFonts w:asciiTheme="minorHAnsi" w:hAnsiTheme="minorHAnsi" w:cstheme="minorHAnsi"/>
                <w:b/>
                <w:color w:val="4472C4" w:themeColor="accent1"/>
                <w:szCs w:val="20"/>
              </w:rPr>
              <w:t>-</w:t>
            </w:r>
          </w:p>
        </w:tc>
        <w:tc>
          <w:tcPr>
            <w:tcW w:w="426" w:type="pct"/>
            <w:tcBorders>
              <w:top w:val="nil"/>
              <w:left w:val="single" w:sz="4" w:space="0" w:color="auto"/>
              <w:bottom w:val="single" w:sz="4" w:space="0" w:color="FFFFFF" w:themeColor="background1"/>
              <w:right w:val="single" w:sz="4" w:space="0" w:color="FFFFFF" w:themeColor="background1"/>
            </w:tcBorders>
            <w:vAlign w:val="center"/>
          </w:tcPr>
          <w:p w14:paraId="355E651A" w14:textId="687C5C4B" w:rsidR="006E1BC4" w:rsidRPr="008C02EE" w:rsidRDefault="006E1BC4" w:rsidP="005C3BEF">
            <w:pPr>
              <w:jc w:val="right"/>
              <w:rPr>
                <w:rFonts w:asciiTheme="minorHAnsi" w:hAnsiTheme="minorHAnsi" w:cstheme="minorHAnsi"/>
                <w:b/>
                <w:color w:val="4472C4" w:themeColor="accent1"/>
                <w:szCs w:val="20"/>
              </w:rPr>
            </w:pPr>
          </w:p>
        </w:tc>
      </w:tr>
      <w:tr w:rsidR="009F1D75" w:rsidRPr="00156303" w14:paraId="615219AA" w14:textId="77777777" w:rsidTr="005C3BEF">
        <w:tc>
          <w:tcPr>
            <w:tcW w:w="1415" w:type="pct"/>
            <w:tcBorders>
              <w:left w:val="single" w:sz="4" w:space="0" w:color="auto"/>
              <w:bottom w:val="single" w:sz="4" w:space="0" w:color="auto"/>
              <w:right w:val="nil"/>
            </w:tcBorders>
            <w:vAlign w:val="center"/>
          </w:tcPr>
          <w:p w14:paraId="20EAB18C" w14:textId="2C777AC4" w:rsidR="00982AE7" w:rsidRPr="00156303" w:rsidRDefault="00982AE7" w:rsidP="00982AE7">
            <w:pPr>
              <w:spacing w:before="60" w:after="60" w:line="240" w:lineRule="auto"/>
              <w:rPr>
                <w:rFonts w:asciiTheme="minorHAnsi" w:hAnsiTheme="minorHAnsi" w:cstheme="minorHAnsi"/>
                <w:szCs w:val="20"/>
              </w:rPr>
            </w:pPr>
            <w:r>
              <w:rPr>
                <w:rFonts w:asciiTheme="minorHAnsi" w:hAnsiTheme="minorHAnsi" w:cstheme="minorHAnsi"/>
                <w:szCs w:val="20"/>
              </w:rPr>
              <w:lastRenderedPageBreak/>
              <w:t>Accrued deferred funding from the relevant year and previous years to be spent in a future year</w:t>
            </w:r>
            <w:r w:rsidRPr="008F6D92">
              <w:rPr>
                <w:rStyle w:val="FootnoteReference"/>
                <w:rFonts w:asciiTheme="minorHAnsi" w:hAnsiTheme="minorHAnsi" w:cstheme="minorHAnsi"/>
                <w:color w:val="FF0000"/>
                <w:szCs w:val="20"/>
              </w:rPr>
              <w:footnoteReference w:id="10"/>
            </w:r>
            <w:r>
              <w:rPr>
                <w:rFonts w:asciiTheme="minorHAnsi" w:hAnsiTheme="minorHAnsi" w:cstheme="minorHAnsi"/>
                <w:b/>
                <w:szCs w:val="20"/>
              </w:rPr>
              <w:t xml:space="preserve"> </w:t>
            </w:r>
          </w:p>
        </w:tc>
        <w:tc>
          <w:tcPr>
            <w:tcW w:w="655" w:type="pct"/>
            <w:tcBorders>
              <w:left w:val="nil"/>
              <w:bottom w:val="single" w:sz="4" w:space="0" w:color="auto"/>
              <w:right w:val="nil"/>
            </w:tcBorders>
            <w:vAlign w:val="center"/>
          </w:tcPr>
          <w:p w14:paraId="66AA1183" w14:textId="0E06251E" w:rsidR="00982AE7" w:rsidRPr="008C02EE" w:rsidRDefault="00982AE7" w:rsidP="005C3BEF">
            <w:pPr>
              <w:spacing w:before="0" w:after="0"/>
              <w:jc w:val="right"/>
              <w:rPr>
                <w:rFonts w:asciiTheme="minorHAnsi" w:hAnsiTheme="minorHAnsi" w:cstheme="minorHAnsi"/>
                <w:b/>
                <w:color w:val="4472C4" w:themeColor="accent1"/>
                <w:szCs w:val="20"/>
              </w:rPr>
            </w:pPr>
            <w:r w:rsidRPr="00C83549">
              <w:rPr>
                <w:rFonts w:ascii="Calibri" w:hAnsi="Calibri" w:cs="Calibri"/>
                <w:color w:val="4472C4"/>
                <w:szCs w:val="20"/>
              </w:rPr>
              <w:t xml:space="preserve"> $5,500,062 </w:t>
            </w:r>
          </w:p>
        </w:tc>
        <w:tc>
          <w:tcPr>
            <w:tcW w:w="427" w:type="pct"/>
            <w:tcBorders>
              <w:left w:val="nil"/>
              <w:bottom w:val="single" w:sz="4" w:space="0" w:color="auto"/>
              <w:right w:val="nil"/>
            </w:tcBorders>
            <w:vAlign w:val="center"/>
          </w:tcPr>
          <w:p w14:paraId="256EBDA3" w14:textId="6A1D6B25" w:rsidR="00982AE7" w:rsidRPr="008C02EE" w:rsidRDefault="00982AE7" w:rsidP="005C3BEF">
            <w:pPr>
              <w:spacing w:before="0" w:after="0"/>
              <w:jc w:val="right"/>
              <w:rPr>
                <w:rFonts w:asciiTheme="minorHAnsi" w:hAnsiTheme="minorHAnsi" w:cstheme="minorHAnsi"/>
                <w:b/>
                <w:color w:val="4472C4" w:themeColor="accent1"/>
                <w:szCs w:val="20"/>
              </w:rPr>
            </w:pPr>
            <w:r w:rsidRPr="00C83549">
              <w:rPr>
                <w:rFonts w:ascii="Calibri" w:hAnsi="Calibri" w:cs="Calibri"/>
                <w:color w:val="4472C4"/>
                <w:szCs w:val="20"/>
              </w:rPr>
              <w:t xml:space="preserve"> $7,304,126 </w:t>
            </w:r>
          </w:p>
        </w:tc>
        <w:tc>
          <w:tcPr>
            <w:tcW w:w="416" w:type="pct"/>
            <w:tcBorders>
              <w:left w:val="nil"/>
              <w:bottom w:val="single" w:sz="4" w:space="0" w:color="auto"/>
              <w:right w:val="nil"/>
            </w:tcBorders>
            <w:vAlign w:val="center"/>
          </w:tcPr>
          <w:p w14:paraId="246DD109" w14:textId="0F2632EB" w:rsidR="00982AE7" w:rsidRPr="008C02EE" w:rsidRDefault="00982AE7" w:rsidP="005C3BEF">
            <w:pPr>
              <w:spacing w:before="0" w:after="0"/>
              <w:jc w:val="right"/>
              <w:rPr>
                <w:rFonts w:asciiTheme="minorHAnsi" w:hAnsiTheme="minorHAnsi" w:cstheme="minorHAnsi"/>
                <w:b/>
                <w:color w:val="4472C4" w:themeColor="accent1"/>
                <w:szCs w:val="20"/>
              </w:rPr>
            </w:pPr>
            <w:r w:rsidRPr="00C83549">
              <w:rPr>
                <w:rFonts w:ascii="Calibri" w:hAnsi="Calibri" w:cs="Calibri"/>
                <w:color w:val="4472C4"/>
                <w:szCs w:val="20"/>
              </w:rPr>
              <w:t xml:space="preserve">$6,086,772 </w:t>
            </w:r>
          </w:p>
        </w:tc>
        <w:tc>
          <w:tcPr>
            <w:tcW w:w="414" w:type="pct"/>
            <w:tcBorders>
              <w:left w:val="nil"/>
              <w:bottom w:val="single" w:sz="4" w:space="0" w:color="auto"/>
              <w:right w:val="nil"/>
            </w:tcBorders>
            <w:vAlign w:val="center"/>
          </w:tcPr>
          <w:p w14:paraId="23F9104D" w14:textId="007A6083" w:rsidR="00982AE7" w:rsidRPr="008C02EE" w:rsidRDefault="00982AE7" w:rsidP="005C3BEF">
            <w:pPr>
              <w:spacing w:before="0" w:after="0"/>
              <w:jc w:val="right"/>
              <w:rPr>
                <w:rFonts w:asciiTheme="minorHAnsi" w:hAnsiTheme="minorHAnsi" w:cstheme="minorHAnsi"/>
                <w:b/>
                <w:color w:val="4472C4" w:themeColor="accent1"/>
                <w:szCs w:val="20"/>
              </w:rPr>
            </w:pPr>
            <w:r w:rsidRPr="00C83549">
              <w:rPr>
                <w:rFonts w:ascii="Calibri" w:hAnsi="Calibri" w:cs="Calibri"/>
                <w:color w:val="4472C4"/>
                <w:szCs w:val="20"/>
              </w:rPr>
              <w:t xml:space="preserve"> $4,869,417 </w:t>
            </w:r>
          </w:p>
        </w:tc>
        <w:tc>
          <w:tcPr>
            <w:tcW w:w="416" w:type="pct"/>
            <w:tcBorders>
              <w:left w:val="nil"/>
              <w:bottom w:val="single" w:sz="4" w:space="0" w:color="auto"/>
              <w:right w:val="nil"/>
            </w:tcBorders>
            <w:vAlign w:val="center"/>
          </w:tcPr>
          <w:p w14:paraId="24F31F22" w14:textId="1DA92499" w:rsidR="00982AE7" w:rsidRPr="008C02EE" w:rsidRDefault="00982AE7" w:rsidP="005C3BEF">
            <w:pPr>
              <w:spacing w:before="0" w:after="0"/>
              <w:jc w:val="right"/>
              <w:rPr>
                <w:rFonts w:asciiTheme="minorHAnsi" w:hAnsiTheme="minorHAnsi" w:cstheme="minorHAnsi"/>
                <w:b/>
                <w:color w:val="4472C4" w:themeColor="accent1"/>
                <w:szCs w:val="20"/>
              </w:rPr>
            </w:pPr>
            <w:r w:rsidRPr="00C83549">
              <w:rPr>
                <w:rFonts w:ascii="Calibri" w:hAnsi="Calibri" w:cs="Calibri"/>
                <w:color w:val="4472C4"/>
                <w:szCs w:val="20"/>
              </w:rPr>
              <w:t xml:space="preserve"> $3,652,063 </w:t>
            </w:r>
          </w:p>
        </w:tc>
        <w:tc>
          <w:tcPr>
            <w:tcW w:w="415" w:type="pct"/>
            <w:tcBorders>
              <w:left w:val="nil"/>
              <w:bottom w:val="single" w:sz="4" w:space="0" w:color="auto"/>
              <w:right w:val="nil"/>
            </w:tcBorders>
            <w:vAlign w:val="center"/>
          </w:tcPr>
          <w:p w14:paraId="1DFE27EE" w14:textId="4910B20C" w:rsidR="00982AE7" w:rsidRPr="008C02EE" w:rsidRDefault="00982AE7" w:rsidP="005C3BEF">
            <w:pPr>
              <w:spacing w:before="0" w:after="0"/>
              <w:jc w:val="right"/>
              <w:rPr>
                <w:rFonts w:asciiTheme="minorHAnsi" w:hAnsiTheme="minorHAnsi" w:cstheme="minorHAnsi"/>
                <w:b/>
                <w:color w:val="4472C4" w:themeColor="accent1"/>
                <w:szCs w:val="20"/>
              </w:rPr>
            </w:pPr>
            <w:r w:rsidRPr="00C83549">
              <w:rPr>
                <w:rFonts w:ascii="Calibri" w:hAnsi="Calibri" w:cs="Calibri"/>
                <w:color w:val="4472C4"/>
                <w:szCs w:val="20"/>
              </w:rPr>
              <w:t xml:space="preserve"> $2,434,709 </w:t>
            </w:r>
          </w:p>
        </w:tc>
        <w:tc>
          <w:tcPr>
            <w:tcW w:w="416" w:type="pct"/>
            <w:tcBorders>
              <w:left w:val="nil"/>
              <w:bottom w:val="single" w:sz="4" w:space="0" w:color="auto"/>
              <w:right w:val="single" w:sz="4" w:space="0" w:color="auto"/>
            </w:tcBorders>
            <w:vAlign w:val="center"/>
          </w:tcPr>
          <w:p w14:paraId="3A4EA15D" w14:textId="1D95EEEC" w:rsidR="00982AE7" w:rsidRPr="008C02EE" w:rsidRDefault="00982AE7" w:rsidP="005C3BEF">
            <w:pPr>
              <w:spacing w:before="0" w:after="0"/>
              <w:jc w:val="right"/>
              <w:rPr>
                <w:rFonts w:asciiTheme="minorHAnsi" w:hAnsiTheme="minorHAnsi" w:cstheme="minorHAnsi"/>
                <w:b/>
                <w:color w:val="4472C4" w:themeColor="accent1"/>
                <w:szCs w:val="20"/>
              </w:rPr>
            </w:pPr>
            <w:r w:rsidRPr="00C83549">
              <w:rPr>
                <w:rFonts w:ascii="Calibri" w:hAnsi="Calibri" w:cs="Calibri"/>
                <w:color w:val="4472C4"/>
                <w:szCs w:val="20"/>
              </w:rPr>
              <w:t xml:space="preserve"> $1,217,354 </w:t>
            </w:r>
          </w:p>
        </w:tc>
        <w:tc>
          <w:tcPr>
            <w:tcW w:w="426"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59146B2" w14:textId="05ED9080" w:rsidR="00982AE7" w:rsidRPr="008C02EE" w:rsidRDefault="00982AE7" w:rsidP="00982AE7">
            <w:pPr>
              <w:spacing w:before="0" w:after="0"/>
              <w:jc w:val="center"/>
              <w:rPr>
                <w:rFonts w:asciiTheme="minorHAnsi" w:hAnsiTheme="minorHAnsi" w:cstheme="minorHAnsi"/>
                <w:bCs/>
                <w:szCs w:val="20"/>
              </w:rPr>
            </w:pPr>
          </w:p>
        </w:tc>
      </w:tr>
    </w:tbl>
    <w:p w14:paraId="06B6BB9D" w14:textId="4332A940" w:rsidR="00D7453F" w:rsidRPr="00821113" w:rsidRDefault="00431421" w:rsidP="00431421">
      <w:pPr>
        <w:spacing w:line="240" w:lineRule="auto"/>
        <w:rPr>
          <w:rFonts w:asciiTheme="minorHAnsi" w:hAnsiTheme="minorHAnsi" w:cstheme="minorHAnsi"/>
          <w:bCs/>
          <w:sz w:val="18"/>
          <w:szCs w:val="22"/>
        </w:rPr>
      </w:pPr>
      <w:bookmarkStart w:id="6" w:name="_Hlk83138240"/>
      <w:bookmarkEnd w:id="4"/>
      <w:r w:rsidRPr="00821113">
        <w:rPr>
          <w:rFonts w:asciiTheme="minorHAnsi" w:hAnsiTheme="minorHAnsi" w:cstheme="minorHAnsi"/>
          <w:bCs/>
          <w:sz w:val="18"/>
          <w:szCs w:val="22"/>
        </w:rPr>
        <w:t xml:space="preserve">* </w:t>
      </w:r>
      <w:r w:rsidR="00FD7C94" w:rsidRPr="00821113">
        <w:rPr>
          <w:rFonts w:asciiTheme="minorHAnsi" w:hAnsiTheme="minorHAnsi" w:cstheme="minorHAnsi"/>
          <w:bCs/>
          <w:sz w:val="18"/>
          <w:szCs w:val="22"/>
        </w:rPr>
        <w:t>Funding</w:t>
      </w:r>
      <w:r w:rsidR="00821113" w:rsidRPr="00821113">
        <w:rPr>
          <w:rFonts w:asciiTheme="minorHAnsi" w:hAnsiTheme="minorHAnsi" w:cstheme="minorHAnsi"/>
          <w:bCs/>
          <w:sz w:val="18"/>
          <w:szCs w:val="22"/>
        </w:rPr>
        <w:t xml:space="preserve"> over 2026 to 2029 </w:t>
      </w:r>
      <w:r w:rsidR="00821113">
        <w:rPr>
          <w:rFonts w:asciiTheme="minorHAnsi" w:hAnsiTheme="minorHAnsi" w:cstheme="minorHAnsi"/>
          <w:bCs/>
          <w:sz w:val="18"/>
          <w:szCs w:val="22"/>
        </w:rPr>
        <w:t xml:space="preserve">is indicative and </w:t>
      </w:r>
      <w:r w:rsidR="00821113" w:rsidRPr="00821113">
        <w:rPr>
          <w:rFonts w:asciiTheme="minorHAnsi" w:hAnsiTheme="minorHAnsi" w:cstheme="minorHAnsi"/>
          <w:bCs/>
          <w:sz w:val="18"/>
          <w:szCs w:val="22"/>
        </w:rPr>
        <w:t xml:space="preserve">will </w:t>
      </w:r>
      <w:r w:rsidR="00821113">
        <w:rPr>
          <w:rFonts w:asciiTheme="minorHAnsi" w:hAnsiTheme="minorHAnsi" w:cstheme="minorHAnsi"/>
          <w:bCs/>
          <w:sz w:val="18"/>
          <w:szCs w:val="22"/>
        </w:rPr>
        <w:t>finalised through</w:t>
      </w:r>
      <w:r w:rsidR="00F369A3" w:rsidRPr="00821113">
        <w:rPr>
          <w:rFonts w:asciiTheme="minorHAnsi" w:hAnsiTheme="minorHAnsi" w:cstheme="minorHAnsi"/>
          <w:bCs/>
          <w:sz w:val="18"/>
          <w:szCs w:val="22"/>
        </w:rPr>
        <w:t xml:space="preserve"> 2026-</w:t>
      </w:r>
      <w:r w:rsidR="00077C8A" w:rsidRPr="00821113">
        <w:rPr>
          <w:rFonts w:asciiTheme="minorHAnsi" w:hAnsiTheme="minorHAnsi" w:cstheme="minorHAnsi"/>
          <w:bCs/>
          <w:sz w:val="18"/>
          <w:szCs w:val="22"/>
        </w:rPr>
        <w:t>20</w:t>
      </w:r>
      <w:r w:rsidR="00F369A3" w:rsidRPr="00821113">
        <w:rPr>
          <w:rFonts w:asciiTheme="minorHAnsi" w:hAnsiTheme="minorHAnsi" w:cstheme="minorHAnsi"/>
          <w:bCs/>
          <w:sz w:val="18"/>
          <w:szCs w:val="22"/>
        </w:rPr>
        <w:t>29 work plan</w:t>
      </w:r>
      <w:r w:rsidR="00821113" w:rsidRPr="00821113">
        <w:rPr>
          <w:rFonts w:asciiTheme="minorHAnsi" w:hAnsiTheme="minorHAnsi" w:cstheme="minorHAnsi"/>
          <w:bCs/>
          <w:sz w:val="18"/>
          <w:szCs w:val="22"/>
        </w:rPr>
        <w:t>s</w:t>
      </w:r>
      <w:r w:rsidR="00821113">
        <w:rPr>
          <w:rFonts w:asciiTheme="minorHAnsi" w:hAnsiTheme="minorHAnsi" w:cstheme="minorHAnsi"/>
          <w:bCs/>
          <w:sz w:val="18"/>
          <w:szCs w:val="22"/>
        </w:rPr>
        <w:t xml:space="preserve"> to be settled in 2025</w:t>
      </w:r>
      <w:r w:rsidR="00F369A3" w:rsidRPr="00821113">
        <w:rPr>
          <w:rFonts w:asciiTheme="minorHAnsi" w:hAnsiTheme="minorHAnsi" w:cstheme="minorHAnsi"/>
          <w:bCs/>
          <w:sz w:val="18"/>
          <w:szCs w:val="22"/>
        </w:rPr>
        <w:t>.</w:t>
      </w:r>
      <w:bookmarkEnd w:id="6"/>
    </w:p>
    <w:p w14:paraId="2194B451" w14:textId="77777777" w:rsidR="00343E3D" w:rsidRDefault="00343E3D" w:rsidP="00D7453F">
      <w:pPr>
        <w:spacing w:line="240" w:lineRule="auto"/>
        <w:rPr>
          <w:rFonts w:cstheme="minorHAnsi"/>
          <w:b/>
          <w:u w:val="single"/>
        </w:rPr>
      </w:pPr>
    </w:p>
    <w:p w14:paraId="6D735144" w14:textId="26062FA8" w:rsidR="00FF3389" w:rsidRPr="00343E3D" w:rsidRDefault="00FF3389" w:rsidP="00D7453F">
      <w:pPr>
        <w:spacing w:line="240" w:lineRule="auto"/>
        <w:rPr>
          <w:rFonts w:cstheme="minorHAnsi"/>
          <w:b/>
          <w:u w:val="single"/>
        </w:rPr>
      </w:pPr>
      <w:r w:rsidRPr="00AD53A0">
        <w:rPr>
          <w:rFonts w:cstheme="minorHAnsi"/>
          <w:b/>
          <w:u w:val="single"/>
        </w:rPr>
        <w:t>Rationale for deferral of Funds</w:t>
      </w:r>
    </w:p>
    <w:p w14:paraId="5B805AD4" w14:textId="2EDB0C83" w:rsidR="00FF3389" w:rsidRPr="00CA40B0" w:rsidRDefault="00FF3389" w:rsidP="00D7453F">
      <w:pPr>
        <w:spacing w:line="240" w:lineRule="auto"/>
        <w:rPr>
          <w:rFonts w:cstheme="minorHAnsi"/>
          <w:b/>
        </w:rPr>
      </w:pPr>
      <w:r w:rsidRPr="006C65DD">
        <w:rPr>
          <w:rFonts w:cstheme="minorHAnsi"/>
          <w:b/>
        </w:rPr>
        <w:t xml:space="preserve">Special </w:t>
      </w:r>
      <w:r w:rsidR="000A4A1F">
        <w:rPr>
          <w:rFonts w:cstheme="minorHAnsi"/>
          <w:b/>
        </w:rPr>
        <w:t>Circumstances</w:t>
      </w:r>
      <w:r w:rsidR="000A4A1F" w:rsidRPr="006C65DD">
        <w:rPr>
          <w:rFonts w:cstheme="minorHAnsi"/>
          <w:b/>
        </w:rPr>
        <w:t xml:space="preserve"> </w:t>
      </w:r>
      <w:r w:rsidRPr="006C65DD">
        <w:rPr>
          <w:rFonts w:cstheme="minorHAnsi"/>
          <w:b/>
        </w:rPr>
        <w:t>Funding</w:t>
      </w:r>
    </w:p>
    <w:p w14:paraId="27B563CE" w14:textId="3D71CF3B" w:rsidR="00E053E5" w:rsidRDefault="00E053E5" w:rsidP="007171B7">
      <w:pPr>
        <w:spacing w:line="240" w:lineRule="auto"/>
        <w:jc w:val="both"/>
        <w:rPr>
          <w:rFonts w:cstheme="minorHAnsi"/>
          <w:bCs/>
        </w:rPr>
      </w:pPr>
      <w:r w:rsidRPr="00C73C84">
        <w:rPr>
          <w:rFonts w:cstheme="minorHAnsi"/>
          <w:bCs/>
        </w:rPr>
        <w:t xml:space="preserve">As outlined previously, CEWA will assess </w:t>
      </w:r>
      <w:r w:rsidR="0050617E">
        <w:rPr>
          <w:rFonts w:cstheme="minorHAnsi"/>
          <w:bCs/>
        </w:rPr>
        <w:t xml:space="preserve">each </w:t>
      </w:r>
      <w:r w:rsidRPr="00C73C84">
        <w:rPr>
          <w:rFonts w:cstheme="minorHAnsi"/>
          <w:bCs/>
        </w:rPr>
        <w:t xml:space="preserve"> circumstance which arises unexpectedly and which cannot be adequately supported, in the short and or medium term, by the processes and procedures which already exist within CEWA. For example, the</w:t>
      </w:r>
      <w:r w:rsidR="00C73C84">
        <w:rPr>
          <w:rFonts w:cstheme="minorHAnsi"/>
          <w:bCs/>
        </w:rPr>
        <w:t xml:space="preserve"> </w:t>
      </w:r>
      <w:r w:rsidRPr="00C73C84">
        <w:rPr>
          <w:rFonts w:cstheme="minorHAnsi"/>
          <w:bCs/>
        </w:rPr>
        <w:t xml:space="preserve">recent impact </w:t>
      </w:r>
      <w:r w:rsidR="007171B7" w:rsidRPr="00C73C84">
        <w:rPr>
          <w:rFonts w:cstheme="minorHAnsi"/>
          <w:bCs/>
        </w:rPr>
        <w:t>of Tropical</w:t>
      </w:r>
      <w:r w:rsidRPr="00C73C84">
        <w:rPr>
          <w:rFonts w:cstheme="minorHAnsi"/>
          <w:bCs/>
        </w:rPr>
        <w:t xml:space="preserve"> Cyclone</w:t>
      </w:r>
      <w:r w:rsidR="00A436AC">
        <w:rPr>
          <w:rFonts w:cstheme="minorHAnsi"/>
          <w:bCs/>
        </w:rPr>
        <w:t xml:space="preserve"> </w:t>
      </w:r>
      <w:proofErr w:type="spellStart"/>
      <w:r w:rsidR="00A436AC">
        <w:rPr>
          <w:rFonts w:cstheme="minorHAnsi"/>
          <w:bCs/>
        </w:rPr>
        <w:t>Seroja</w:t>
      </w:r>
      <w:proofErr w:type="spellEnd"/>
      <w:r w:rsidR="00A436AC">
        <w:rPr>
          <w:rFonts w:cstheme="minorHAnsi"/>
          <w:bCs/>
        </w:rPr>
        <w:t xml:space="preserve"> in April 2021</w:t>
      </w:r>
      <w:r w:rsidRPr="00C73C84">
        <w:rPr>
          <w:rFonts w:cstheme="minorHAnsi"/>
          <w:bCs/>
        </w:rPr>
        <w:t xml:space="preserve"> at St </w:t>
      </w:r>
      <w:r w:rsidR="00A436AC">
        <w:rPr>
          <w:rFonts w:cstheme="minorHAnsi"/>
          <w:bCs/>
        </w:rPr>
        <w:t>Mary</w:t>
      </w:r>
      <w:r w:rsidRPr="00C73C84">
        <w:rPr>
          <w:rFonts w:cstheme="minorHAnsi"/>
          <w:bCs/>
        </w:rPr>
        <w:t>’s School in Northampton was adequate</w:t>
      </w:r>
      <w:r w:rsidR="00C73C84">
        <w:rPr>
          <w:rFonts w:cstheme="minorHAnsi"/>
          <w:bCs/>
        </w:rPr>
        <w:t>l</w:t>
      </w:r>
      <w:r w:rsidRPr="00C73C84">
        <w:rPr>
          <w:rFonts w:cstheme="minorHAnsi"/>
          <w:bCs/>
        </w:rPr>
        <w:t>y dealt with through centralised</w:t>
      </w:r>
      <w:r w:rsidR="00C73C84">
        <w:rPr>
          <w:rFonts w:cstheme="minorHAnsi"/>
          <w:bCs/>
        </w:rPr>
        <w:t xml:space="preserve"> </w:t>
      </w:r>
      <w:r w:rsidRPr="00C73C84">
        <w:rPr>
          <w:rFonts w:cstheme="minorHAnsi"/>
          <w:bCs/>
        </w:rPr>
        <w:t xml:space="preserve">support </w:t>
      </w:r>
      <w:r w:rsidR="00C73C84">
        <w:rPr>
          <w:rFonts w:cstheme="minorHAnsi"/>
          <w:bCs/>
        </w:rPr>
        <w:t>a</w:t>
      </w:r>
      <w:r w:rsidRPr="00C73C84">
        <w:rPr>
          <w:rFonts w:cstheme="minorHAnsi"/>
          <w:bCs/>
        </w:rPr>
        <w:t>nd insurance provisions through Catholic</w:t>
      </w:r>
      <w:r w:rsidR="00C73C84">
        <w:rPr>
          <w:rFonts w:cstheme="minorHAnsi"/>
          <w:bCs/>
        </w:rPr>
        <w:t xml:space="preserve"> Church Insurances Ltd.  CEWA was able to provide fee support and similar to parents through existing processes such as Health Care Card provisions and negotiated fee relief</w:t>
      </w:r>
      <w:r w:rsidR="00681691">
        <w:rPr>
          <w:rFonts w:cstheme="minorHAnsi"/>
          <w:bCs/>
        </w:rPr>
        <w:t>.</w:t>
      </w:r>
      <w:r w:rsidR="00A436AC">
        <w:rPr>
          <w:rFonts w:cstheme="minorHAnsi"/>
          <w:bCs/>
        </w:rPr>
        <w:t xml:space="preserve"> Other CEWA schools contributed to relief and support programs. Special Purpose CAF funding was considered; however existing processes and support were adequate on this occasion.</w:t>
      </w:r>
    </w:p>
    <w:p w14:paraId="4BC5CB69" w14:textId="33F01924" w:rsidR="007F4507" w:rsidRDefault="00681691" w:rsidP="007171B7">
      <w:pPr>
        <w:spacing w:line="240" w:lineRule="auto"/>
        <w:jc w:val="both"/>
        <w:rPr>
          <w:rFonts w:cstheme="minorHAnsi"/>
          <w:bCs/>
        </w:rPr>
      </w:pPr>
      <w:r>
        <w:rPr>
          <w:rFonts w:cstheme="minorHAnsi"/>
          <w:bCs/>
        </w:rPr>
        <w:t xml:space="preserve">CEWA has not made allocations to Special </w:t>
      </w:r>
      <w:r w:rsidR="000A4A1F">
        <w:rPr>
          <w:rFonts w:cstheme="minorHAnsi"/>
          <w:bCs/>
        </w:rPr>
        <w:t xml:space="preserve">Circumstances </w:t>
      </w:r>
      <w:r w:rsidR="007171B7">
        <w:rPr>
          <w:rFonts w:cstheme="minorHAnsi"/>
          <w:bCs/>
        </w:rPr>
        <w:t>funding but</w:t>
      </w:r>
      <w:r w:rsidR="00A436AC">
        <w:rPr>
          <w:rFonts w:cstheme="minorHAnsi"/>
          <w:bCs/>
        </w:rPr>
        <w:t xml:space="preserve"> </w:t>
      </w:r>
      <w:r>
        <w:rPr>
          <w:rFonts w:cstheme="minorHAnsi"/>
          <w:bCs/>
        </w:rPr>
        <w:t>should a natural disaster impact on a school or schools, and where existing processes cannot</w:t>
      </w:r>
      <w:r w:rsidR="007F4507">
        <w:rPr>
          <w:rFonts w:cstheme="minorHAnsi"/>
          <w:bCs/>
        </w:rPr>
        <w:t xml:space="preserve"> </w:t>
      </w:r>
      <w:r>
        <w:rPr>
          <w:rFonts w:cstheme="minorHAnsi"/>
          <w:bCs/>
        </w:rPr>
        <w:t>adequately support that school or schools to return to normal operation as quickly as possible, the</w:t>
      </w:r>
      <w:r w:rsidR="00CC060D">
        <w:rPr>
          <w:rFonts w:cstheme="minorHAnsi"/>
          <w:bCs/>
        </w:rPr>
        <w:t>n</w:t>
      </w:r>
      <w:r>
        <w:rPr>
          <w:rFonts w:cstheme="minorHAnsi"/>
          <w:bCs/>
        </w:rPr>
        <w:t xml:space="preserve"> CEWA would allocate Special </w:t>
      </w:r>
      <w:r w:rsidR="006147CE">
        <w:rPr>
          <w:rFonts w:cstheme="minorHAnsi"/>
          <w:bCs/>
        </w:rPr>
        <w:t xml:space="preserve">Circumstances </w:t>
      </w:r>
      <w:r>
        <w:rPr>
          <w:rFonts w:cstheme="minorHAnsi"/>
          <w:bCs/>
        </w:rPr>
        <w:t xml:space="preserve">Funding. </w:t>
      </w:r>
      <w:r w:rsidR="006147CE">
        <w:rPr>
          <w:rFonts w:cstheme="minorHAnsi"/>
          <w:bCs/>
        </w:rPr>
        <w:t xml:space="preserve">Should unexpected budgetary needs arise, these will be discussed with DESE to determine agreed ways these needs could be met. </w:t>
      </w:r>
      <w:r w:rsidR="007F4507">
        <w:rPr>
          <w:rFonts w:cstheme="minorHAnsi"/>
          <w:bCs/>
        </w:rPr>
        <w:t xml:space="preserve">Adjustments to planned projects might be necessary and this would depend on the amount of Special </w:t>
      </w:r>
      <w:r w:rsidR="00723857">
        <w:rPr>
          <w:rFonts w:cstheme="minorHAnsi"/>
          <w:bCs/>
        </w:rPr>
        <w:t xml:space="preserve">Circumstances </w:t>
      </w:r>
      <w:r w:rsidR="007F4507">
        <w:rPr>
          <w:rFonts w:cstheme="minorHAnsi"/>
          <w:bCs/>
        </w:rPr>
        <w:t>Funding allocated and whether it was a once-off distribution or for two or three years. Allocation of Transition Assistance – which from 2024 onwards is a sizeable proportion, would likely be reduced</w:t>
      </w:r>
      <w:r w:rsidR="00CC060D">
        <w:rPr>
          <w:rFonts w:cstheme="minorHAnsi"/>
          <w:bCs/>
        </w:rPr>
        <w:t xml:space="preserve"> if Special </w:t>
      </w:r>
      <w:r w:rsidR="00723857">
        <w:rPr>
          <w:rFonts w:cstheme="minorHAnsi"/>
          <w:bCs/>
        </w:rPr>
        <w:t xml:space="preserve">Circumstances </w:t>
      </w:r>
      <w:r w:rsidR="00CC060D">
        <w:rPr>
          <w:rFonts w:cstheme="minorHAnsi"/>
          <w:bCs/>
        </w:rPr>
        <w:t xml:space="preserve">Funding was </w:t>
      </w:r>
      <w:r w:rsidR="007171B7">
        <w:rPr>
          <w:rFonts w:cstheme="minorHAnsi"/>
          <w:bCs/>
        </w:rPr>
        <w:t>required.</w:t>
      </w:r>
    </w:p>
    <w:p w14:paraId="4AFB0560" w14:textId="77777777" w:rsidR="00C55FE2" w:rsidRDefault="007F4507" w:rsidP="00C55FE2">
      <w:pPr>
        <w:spacing w:line="240" w:lineRule="auto"/>
        <w:jc w:val="both"/>
        <w:rPr>
          <w:rFonts w:cstheme="minorHAnsi"/>
          <w:bCs/>
        </w:rPr>
      </w:pPr>
      <w:r>
        <w:rPr>
          <w:rFonts w:cstheme="minorHAnsi"/>
          <w:bCs/>
        </w:rPr>
        <w:t>Unpred</w:t>
      </w:r>
      <w:r w:rsidR="004506F2">
        <w:rPr>
          <w:rFonts w:cstheme="minorHAnsi"/>
          <w:bCs/>
        </w:rPr>
        <w:t>i</w:t>
      </w:r>
      <w:r>
        <w:rPr>
          <w:rFonts w:cstheme="minorHAnsi"/>
          <w:bCs/>
        </w:rPr>
        <w:t>ctable events are just that – unpredictable. Setting aside an annual allocation would deprive other projects of funding, and should no circumstance arise before the termination of the CAF program</w:t>
      </w:r>
      <w:r w:rsidR="004506F2">
        <w:rPr>
          <w:rFonts w:cstheme="minorHAnsi"/>
          <w:bCs/>
        </w:rPr>
        <w:t xml:space="preserve"> in 2029, then CEWA is faced with the prospect of having to allocate these accrued funds to projects at relatively short notice which is undesirable.</w:t>
      </w:r>
      <w:r w:rsidR="00CC060D">
        <w:rPr>
          <w:rFonts w:cstheme="minorHAnsi"/>
          <w:bCs/>
        </w:rPr>
        <w:t xml:space="preserve"> CEWA is confident that existing crisis management processes across all aspects of school operation, currently exist. Further, CEWA s confident that these emergency processes can be activated immediately, including funding allocations under CAF.</w:t>
      </w:r>
    </w:p>
    <w:p w14:paraId="5B748272" w14:textId="1B0A1A88" w:rsidR="004506F2" w:rsidRPr="00C55FE2" w:rsidRDefault="004506F2" w:rsidP="00C55FE2">
      <w:pPr>
        <w:spacing w:line="240" w:lineRule="auto"/>
        <w:jc w:val="both"/>
        <w:rPr>
          <w:rFonts w:cstheme="minorHAnsi"/>
          <w:bCs/>
        </w:rPr>
      </w:pPr>
      <w:r w:rsidRPr="00790F47">
        <w:rPr>
          <w:rFonts w:cstheme="minorHAnsi"/>
          <w:b/>
        </w:rPr>
        <w:t>Transition Assistance</w:t>
      </w:r>
    </w:p>
    <w:p w14:paraId="2E92186C" w14:textId="27169AB7" w:rsidR="004506F2" w:rsidRDefault="004506F2" w:rsidP="00E65A47">
      <w:pPr>
        <w:spacing w:line="240" w:lineRule="auto"/>
        <w:jc w:val="both"/>
        <w:rPr>
          <w:rFonts w:cstheme="minorHAnsi"/>
          <w:bCs/>
        </w:rPr>
      </w:pPr>
      <w:r>
        <w:rPr>
          <w:rFonts w:cstheme="minorHAnsi"/>
          <w:bCs/>
        </w:rPr>
        <w:t>This is being deferred until 2024</w:t>
      </w:r>
      <w:r w:rsidR="00D10842">
        <w:rPr>
          <w:rFonts w:cstheme="minorHAnsi"/>
          <w:bCs/>
        </w:rPr>
        <w:t>. During 2022 and 2023, CEWA will clo</w:t>
      </w:r>
      <w:r w:rsidR="003D0CE4">
        <w:rPr>
          <w:rFonts w:cstheme="minorHAnsi"/>
          <w:bCs/>
        </w:rPr>
        <w:t>s</w:t>
      </w:r>
      <w:r w:rsidR="00D10842">
        <w:rPr>
          <w:rFonts w:cstheme="minorHAnsi"/>
          <w:bCs/>
        </w:rPr>
        <w:t>ely examine the impact of the implementation of the DMI funding model. CAF funding under the Transition Assistance project is</w:t>
      </w:r>
      <w:r w:rsidR="003D0CE4">
        <w:rPr>
          <w:rFonts w:cstheme="minorHAnsi"/>
          <w:bCs/>
        </w:rPr>
        <w:t xml:space="preserve"> l</w:t>
      </w:r>
      <w:r w:rsidR="00D10842">
        <w:rPr>
          <w:rFonts w:cstheme="minorHAnsi"/>
          <w:bCs/>
        </w:rPr>
        <w:t>imited</w:t>
      </w:r>
      <w:r w:rsidR="00CC060D">
        <w:rPr>
          <w:rFonts w:cstheme="minorHAnsi"/>
          <w:bCs/>
        </w:rPr>
        <w:t xml:space="preserve"> compared with </w:t>
      </w:r>
      <w:r w:rsidR="00D10842">
        <w:rPr>
          <w:rFonts w:cstheme="minorHAnsi"/>
          <w:bCs/>
        </w:rPr>
        <w:t xml:space="preserve">the </w:t>
      </w:r>
      <w:r w:rsidR="003D0CE4">
        <w:rPr>
          <w:rFonts w:cstheme="minorHAnsi"/>
          <w:bCs/>
        </w:rPr>
        <w:t xml:space="preserve">significant </w:t>
      </w:r>
      <w:r w:rsidR="00D10842">
        <w:rPr>
          <w:rFonts w:cstheme="minorHAnsi"/>
          <w:bCs/>
        </w:rPr>
        <w:t>deficit schools across the system may experience.</w:t>
      </w:r>
    </w:p>
    <w:p w14:paraId="5B1376CB" w14:textId="1D0155A5" w:rsidR="00D10842" w:rsidRDefault="00D10842" w:rsidP="00E65A47">
      <w:pPr>
        <w:spacing w:line="240" w:lineRule="auto"/>
        <w:jc w:val="both"/>
        <w:rPr>
          <w:rFonts w:cstheme="minorHAnsi"/>
          <w:bCs/>
        </w:rPr>
      </w:pPr>
      <w:r>
        <w:rPr>
          <w:rFonts w:cstheme="minorHAnsi"/>
          <w:bCs/>
        </w:rPr>
        <w:t>CEWA will negotiate closely with schools who are likely to be impacted</w:t>
      </w:r>
      <w:r w:rsidR="00776E33">
        <w:rPr>
          <w:rFonts w:cstheme="minorHAnsi"/>
          <w:bCs/>
        </w:rPr>
        <w:t>.</w:t>
      </w:r>
      <w:r>
        <w:rPr>
          <w:rFonts w:cstheme="minorHAnsi"/>
          <w:bCs/>
        </w:rPr>
        <w:t xml:space="preserve"> The formula used</w:t>
      </w:r>
      <w:r w:rsidR="0050617E">
        <w:rPr>
          <w:rFonts w:cstheme="minorHAnsi"/>
          <w:bCs/>
        </w:rPr>
        <w:t xml:space="preserve"> </w:t>
      </w:r>
      <w:r w:rsidR="00776E33">
        <w:rPr>
          <w:rFonts w:cstheme="minorHAnsi"/>
          <w:bCs/>
        </w:rPr>
        <w:t xml:space="preserve">to allocate funds will be determined by a number of considerations, including, but not limited to; </w:t>
      </w:r>
      <w:r w:rsidR="00CC060D">
        <w:rPr>
          <w:rFonts w:cstheme="minorHAnsi"/>
          <w:bCs/>
        </w:rPr>
        <w:t xml:space="preserve">school </w:t>
      </w:r>
      <w:r w:rsidR="00776E33">
        <w:rPr>
          <w:rFonts w:cstheme="minorHAnsi"/>
          <w:bCs/>
        </w:rPr>
        <w:t>accumulated funds; anticipated expenses such as debt servicing on building; current fee structure and necessary adjustments; enrolment patterns and projections; fee collection rates including fee relief arrangements and Health Care Card holders; and other sources of income</w:t>
      </w:r>
      <w:r w:rsidR="00A436AC">
        <w:rPr>
          <w:rFonts w:cstheme="minorHAnsi"/>
          <w:bCs/>
        </w:rPr>
        <w:t>.</w:t>
      </w:r>
      <w:r w:rsidR="006C65DD">
        <w:rPr>
          <w:rFonts w:cstheme="minorHAnsi"/>
          <w:bCs/>
        </w:rPr>
        <w:t xml:space="preserve"> A collaborative working group will liaise with schools to first examine ways of mitigating the impact of changed funding arrangements, then recommending CAF Transition Assistance payments. Delaying allocations until </w:t>
      </w:r>
      <w:r w:rsidR="006C65DD">
        <w:rPr>
          <w:rFonts w:cstheme="minorHAnsi"/>
          <w:bCs/>
        </w:rPr>
        <w:lastRenderedPageBreak/>
        <w:t xml:space="preserve">2024 will not affect the viability of schools in the short term; rather it will provide sufficient time </w:t>
      </w:r>
      <w:r w:rsidR="00CC060D">
        <w:rPr>
          <w:rFonts w:cstheme="minorHAnsi"/>
          <w:bCs/>
        </w:rPr>
        <w:t xml:space="preserve">frame </w:t>
      </w:r>
      <w:r w:rsidR="006C65DD">
        <w:rPr>
          <w:rFonts w:cstheme="minorHAnsi"/>
          <w:bCs/>
        </w:rPr>
        <w:t>to develop the necessary structural changes within affected schools that are sustainable in the longer term.  Short term, unplanned allocations starting immediately will not achieve the required structural changes.</w:t>
      </w:r>
    </w:p>
    <w:p w14:paraId="02FFC4AE" w14:textId="38F32CD6" w:rsidR="004B1783" w:rsidRPr="004B1783" w:rsidRDefault="006C65DD" w:rsidP="004B1783">
      <w:pPr>
        <w:pStyle w:val="Default"/>
        <w:rPr>
          <w:rFonts w:ascii="Arial" w:hAnsi="Arial" w:cs="Arial"/>
          <w:sz w:val="20"/>
          <w:szCs w:val="20"/>
        </w:rPr>
      </w:pPr>
      <w:r w:rsidRPr="004B1783">
        <w:rPr>
          <w:rFonts w:ascii="Arial" w:hAnsi="Arial" w:cs="Arial"/>
          <w:bCs/>
          <w:sz w:val="20"/>
          <w:szCs w:val="20"/>
        </w:rPr>
        <w:t>School</w:t>
      </w:r>
      <w:r w:rsidR="00790F47" w:rsidRPr="004B1783">
        <w:rPr>
          <w:rFonts w:ascii="Arial" w:hAnsi="Arial" w:cs="Arial"/>
          <w:bCs/>
          <w:sz w:val="20"/>
          <w:szCs w:val="20"/>
        </w:rPr>
        <w:t>s</w:t>
      </w:r>
      <w:r w:rsidRPr="004B1783">
        <w:rPr>
          <w:rFonts w:ascii="Arial" w:hAnsi="Arial" w:cs="Arial"/>
          <w:bCs/>
          <w:sz w:val="20"/>
          <w:szCs w:val="20"/>
        </w:rPr>
        <w:t xml:space="preserve"> will be provided with sufficient warning and will be   involved at all stages of the negotiations.</w:t>
      </w:r>
      <w:r w:rsidR="00314B9F" w:rsidRPr="004B1783">
        <w:rPr>
          <w:rFonts w:ascii="Arial" w:hAnsi="Arial" w:cs="Arial"/>
          <w:bCs/>
          <w:sz w:val="20"/>
          <w:szCs w:val="20"/>
        </w:rPr>
        <w:t xml:space="preserve"> Given the apparent impact of the new funding model, CAF support will cover part of the shortfall. The need to firmly establish priorities and sustainable </w:t>
      </w:r>
      <w:r w:rsidR="00E65A47" w:rsidRPr="004B1783">
        <w:rPr>
          <w:rFonts w:ascii="Arial" w:hAnsi="Arial" w:cs="Arial"/>
          <w:bCs/>
          <w:sz w:val="20"/>
          <w:szCs w:val="20"/>
        </w:rPr>
        <w:t>longer-term</w:t>
      </w:r>
      <w:r w:rsidR="00314B9F" w:rsidRPr="004B1783">
        <w:rPr>
          <w:rFonts w:ascii="Arial" w:hAnsi="Arial" w:cs="Arial"/>
          <w:bCs/>
          <w:sz w:val="20"/>
          <w:szCs w:val="20"/>
        </w:rPr>
        <w:t xml:space="preserve"> operations, therefore necessitates the delay of allocations until 2024.</w:t>
      </w:r>
      <w:r w:rsidR="00CA40B0" w:rsidRPr="004B1783">
        <w:rPr>
          <w:rFonts w:ascii="Arial" w:hAnsi="Arial" w:cs="Arial"/>
          <w:bCs/>
          <w:sz w:val="20"/>
          <w:szCs w:val="20"/>
        </w:rPr>
        <w:t xml:space="preserve"> The financial spreadsheets indicate that the accumulated funds </w:t>
      </w:r>
      <w:r w:rsidR="00E65A47" w:rsidRPr="004B1783">
        <w:rPr>
          <w:rFonts w:ascii="Arial" w:hAnsi="Arial" w:cs="Arial"/>
          <w:bCs/>
          <w:sz w:val="20"/>
          <w:szCs w:val="20"/>
        </w:rPr>
        <w:t>which exist</w:t>
      </w:r>
      <w:r w:rsidR="00CA40B0" w:rsidRPr="004B1783">
        <w:rPr>
          <w:rFonts w:ascii="Arial" w:hAnsi="Arial" w:cs="Arial"/>
          <w:bCs/>
          <w:sz w:val="20"/>
          <w:szCs w:val="20"/>
        </w:rPr>
        <w:t xml:space="preserve"> in 2024 – likely to be around $</w:t>
      </w:r>
      <w:r w:rsidR="00876F2E" w:rsidRPr="004B1783">
        <w:rPr>
          <w:rFonts w:ascii="Arial" w:hAnsi="Arial" w:cs="Arial"/>
          <w:bCs/>
          <w:sz w:val="20"/>
          <w:szCs w:val="20"/>
        </w:rPr>
        <w:t xml:space="preserve">7 </w:t>
      </w:r>
      <w:r w:rsidR="00E65A47" w:rsidRPr="004B1783">
        <w:rPr>
          <w:rFonts w:ascii="Arial" w:hAnsi="Arial" w:cs="Arial"/>
          <w:bCs/>
          <w:sz w:val="20"/>
          <w:szCs w:val="20"/>
        </w:rPr>
        <w:t>million -</w:t>
      </w:r>
      <w:r w:rsidR="00CA40B0" w:rsidRPr="004B1783">
        <w:rPr>
          <w:rFonts w:ascii="Arial" w:hAnsi="Arial" w:cs="Arial"/>
          <w:bCs/>
          <w:sz w:val="20"/>
          <w:szCs w:val="20"/>
        </w:rPr>
        <w:t xml:space="preserve"> will be distributed over the 202</w:t>
      </w:r>
      <w:r w:rsidR="0050617E" w:rsidRPr="004B1783">
        <w:rPr>
          <w:rFonts w:ascii="Arial" w:hAnsi="Arial" w:cs="Arial"/>
          <w:bCs/>
          <w:sz w:val="20"/>
          <w:szCs w:val="20"/>
        </w:rPr>
        <w:t>4</w:t>
      </w:r>
      <w:r w:rsidR="00CA40B0" w:rsidRPr="004B1783">
        <w:rPr>
          <w:rFonts w:ascii="Arial" w:hAnsi="Arial" w:cs="Arial"/>
          <w:bCs/>
          <w:sz w:val="20"/>
          <w:szCs w:val="20"/>
        </w:rPr>
        <w:t xml:space="preserve"> – 2029 period </w:t>
      </w:r>
      <w:r w:rsidR="00112964" w:rsidRPr="004B1783">
        <w:rPr>
          <w:rFonts w:ascii="Arial" w:hAnsi="Arial" w:cs="Arial"/>
          <w:bCs/>
          <w:sz w:val="20"/>
          <w:szCs w:val="20"/>
        </w:rPr>
        <w:t>to support</w:t>
      </w:r>
      <w:r w:rsidR="00CA40B0" w:rsidRPr="004B1783">
        <w:rPr>
          <w:rFonts w:ascii="Arial" w:hAnsi="Arial" w:cs="Arial"/>
          <w:bCs/>
          <w:sz w:val="20"/>
          <w:szCs w:val="20"/>
        </w:rPr>
        <w:t xml:space="preserve"> schools. This will ensure that there will be a continuity and relative certainty of funding to affected schools </w:t>
      </w:r>
      <w:r w:rsidR="00E65A47" w:rsidRPr="004B1783">
        <w:rPr>
          <w:rFonts w:ascii="Arial" w:hAnsi="Arial" w:cs="Arial"/>
          <w:bCs/>
          <w:sz w:val="20"/>
          <w:szCs w:val="20"/>
        </w:rPr>
        <w:t>for the</w:t>
      </w:r>
      <w:r w:rsidR="00CA40B0" w:rsidRPr="004B1783">
        <w:rPr>
          <w:rFonts w:ascii="Arial" w:hAnsi="Arial" w:cs="Arial"/>
          <w:bCs/>
          <w:sz w:val="20"/>
          <w:szCs w:val="20"/>
        </w:rPr>
        <w:t xml:space="preserve"> </w:t>
      </w:r>
      <w:r w:rsidR="00E65A47" w:rsidRPr="004B1783">
        <w:rPr>
          <w:rFonts w:ascii="Arial" w:hAnsi="Arial" w:cs="Arial"/>
          <w:bCs/>
          <w:sz w:val="20"/>
          <w:szCs w:val="20"/>
        </w:rPr>
        <w:t>six-year</w:t>
      </w:r>
      <w:r w:rsidR="00CA40B0" w:rsidRPr="004B1783">
        <w:rPr>
          <w:rFonts w:ascii="Arial" w:hAnsi="Arial" w:cs="Arial"/>
          <w:bCs/>
          <w:sz w:val="20"/>
          <w:szCs w:val="20"/>
        </w:rPr>
        <w:t xml:space="preserve"> period.</w:t>
      </w:r>
      <w:r w:rsidR="004B1783">
        <w:rPr>
          <w:rFonts w:cstheme="minorHAnsi"/>
          <w:bCs/>
        </w:rPr>
        <w:t xml:space="preserve"> </w:t>
      </w:r>
      <w:r w:rsidR="004B1783" w:rsidRPr="004B1783">
        <w:rPr>
          <w:rFonts w:ascii="Arial" w:hAnsi="Arial" w:cs="Arial"/>
          <w:sz w:val="20"/>
          <w:szCs w:val="20"/>
        </w:rPr>
        <w:t xml:space="preserve">As mentioned previously, CEWA will notify DESE in late 2023 regarding allocations to schools, as well as likely allocations in 2025. This will include a list of schools and the allocation, and where appropriate, a short explanation for prioritising those schools, recognising that it will not be possible to support all schools. </w:t>
      </w:r>
    </w:p>
    <w:p w14:paraId="1059E3DE" w14:textId="2928F9F0" w:rsidR="006C65DD" w:rsidRDefault="004B1783" w:rsidP="004B1783">
      <w:pPr>
        <w:spacing w:line="240" w:lineRule="auto"/>
        <w:jc w:val="both"/>
        <w:rPr>
          <w:rFonts w:cstheme="minorHAnsi"/>
          <w:bCs/>
        </w:rPr>
      </w:pPr>
      <w:r w:rsidRPr="004B1783">
        <w:rPr>
          <w:rFonts w:eastAsiaTheme="minorHAnsi" w:cs="Arial"/>
          <w:color w:val="000000"/>
          <w:szCs w:val="20"/>
          <w:lang w:eastAsia="en-US"/>
        </w:rPr>
        <w:t xml:space="preserve">CEWA recognises that some non-diocesan schools may be adversely affected by the DMI funding model in 2022 and </w:t>
      </w:r>
      <w:proofErr w:type="gramStart"/>
      <w:r w:rsidRPr="004B1783">
        <w:rPr>
          <w:rFonts w:eastAsiaTheme="minorHAnsi" w:cs="Arial"/>
          <w:color w:val="000000"/>
          <w:szCs w:val="20"/>
          <w:lang w:eastAsia="en-US"/>
        </w:rPr>
        <w:t>2023, and</w:t>
      </w:r>
      <w:proofErr w:type="gramEnd"/>
      <w:r w:rsidRPr="004B1783">
        <w:rPr>
          <w:rFonts w:eastAsiaTheme="minorHAnsi" w:cs="Arial"/>
          <w:color w:val="000000"/>
          <w:szCs w:val="20"/>
          <w:lang w:eastAsia="en-US"/>
        </w:rPr>
        <w:t xml:space="preserve"> may be seeking Transition Assistance. CEWA will convene a meeting of adversely affected non-diocesan schools in 2022 to determine appropriate support that might be required after an assessment of their context. Potential support would be provided from the accumulated Transition Assistance funds. CEWA will advise DESE of any allocations proposed for 2022 and 2023 and the adjustments that might be required to subsequent CAF budgets.</w:t>
      </w:r>
    </w:p>
    <w:p w14:paraId="16B16181" w14:textId="77777777" w:rsidR="00876F2E" w:rsidRPr="00EF076A" w:rsidRDefault="00876F2E" w:rsidP="00876F2E">
      <w:pPr>
        <w:spacing w:line="240" w:lineRule="auto"/>
        <w:jc w:val="both"/>
        <w:rPr>
          <w:rFonts w:cstheme="minorHAnsi"/>
          <w:b/>
        </w:rPr>
      </w:pPr>
      <w:r w:rsidRPr="00EF076A">
        <w:rPr>
          <w:rFonts w:cstheme="minorHAnsi"/>
          <w:b/>
        </w:rPr>
        <w:t>Supplementary notes re; Amendments to Funding Allocations for Existing Projects for 2023 - 2025</w:t>
      </w:r>
    </w:p>
    <w:p w14:paraId="2DF65AB3" w14:textId="590B2C34" w:rsidR="00876F2E" w:rsidRPr="00876F2E" w:rsidRDefault="00876F2E" w:rsidP="00876F2E">
      <w:pPr>
        <w:spacing w:line="240" w:lineRule="auto"/>
        <w:jc w:val="both"/>
        <w:rPr>
          <w:rFonts w:cstheme="minorHAnsi"/>
          <w:bCs/>
        </w:rPr>
      </w:pPr>
      <w:r w:rsidRPr="00876F2E">
        <w:rPr>
          <w:rFonts w:cstheme="minorHAnsi"/>
          <w:bCs/>
        </w:rPr>
        <w:t xml:space="preserve">The following tables indicate the continuing projects, as well as the two projects </w:t>
      </w:r>
      <w:r>
        <w:rPr>
          <w:rFonts w:cstheme="minorHAnsi"/>
          <w:bCs/>
        </w:rPr>
        <w:t>(noted in red)</w:t>
      </w:r>
      <w:r w:rsidRPr="00876F2E">
        <w:rPr>
          <w:rFonts w:cstheme="minorHAnsi"/>
          <w:bCs/>
        </w:rPr>
        <w:t xml:space="preserve"> which will not be funded by CAF in 2023 and beyond. In all cases, they will be continued and funded by CEWA office budgets, as they align more closely with the work of existing teams and consultants. A consolidation of projects within the CAF program also facilitates enhanced oversight and evaluation.</w:t>
      </w:r>
    </w:p>
    <w:p w14:paraId="5F023E6C" w14:textId="686996A1" w:rsidR="00876F2E" w:rsidRPr="00876F2E" w:rsidRDefault="00876F2E" w:rsidP="00876F2E">
      <w:pPr>
        <w:spacing w:line="240" w:lineRule="auto"/>
        <w:jc w:val="both"/>
        <w:rPr>
          <w:rFonts w:cstheme="minorHAnsi"/>
          <w:bCs/>
        </w:rPr>
      </w:pPr>
      <w:r w:rsidRPr="00876F2E">
        <w:rPr>
          <w:rFonts w:cstheme="minorHAnsi"/>
          <w:bCs/>
        </w:rPr>
        <w:t xml:space="preserve">Other projects where there will be significant variations in budget </w:t>
      </w:r>
      <w:r>
        <w:rPr>
          <w:rFonts w:cstheme="minorHAnsi"/>
          <w:bCs/>
        </w:rPr>
        <w:t>include</w:t>
      </w:r>
      <w:r w:rsidRPr="00876F2E">
        <w:rPr>
          <w:rFonts w:cstheme="minorHAnsi"/>
          <w:bCs/>
        </w:rPr>
        <w:t xml:space="preserve">: </w:t>
      </w:r>
    </w:p>
    <w:p w14:paraId="4743D485" w14:textId="77777777" w:rsidR="00876F2E" w:rsidRPr="00876F2E" w:rsidRDefault="00876F2E" w:rsidP="00876F2E">
      <w:pPr>
        <w:spacing w:line="240" w:lineRule="auto"/>
        <w:jc w:val="both"/>
        <w:rPr>
          <w:rFonts w:cstheme="minorHAnsi"/>
          <w:bCs/>
        </w:rPr>
      </w:pPr>
      <w:r w:rsidRPr="00EF076A">
        <w:rPr>
          <w:rFonts w:cstheme="minorHAnsi"/>
          <w:b/>
        </w:rPr>
        <w:t>Student Wellbeing</w:t>
      </w:r>
      <w:r w:rsidRPr="00876F2E">
        <w:rPr>
          <w:rFonts w:cstheme="minorHAnsi"/>
          <w:bCs/>
        </w:rPr>
        <w:t xml:space="preserve"> - Liaison with schools and the rollout of the CEWA Wellbeing Framework has been met with requests from schools for increased professional learning for teachers, leaders and therapeutic support educators. This has been exacerbated by COVID-19 and equity issues are increasing in lower SES communities. The additional allocation supports the salary of consultants; costs of providing professional learning and the ongoing rollout of a system-led wellbeing survey for students. The budget indicates a similar/slightly increasing allocation in 2024 and 2025. Student wellbeing is a key Australian Government and Bilateral priority.</w:t>
      </w:r>
    </w:p>
    <w:p w14:paraId="0A22CD2B" w14:textId="77777777" w:rsidR="00876F2E" w:rsidRPr="00876F2E" w:rsidRDefault="00876F2E" w:rsidP="00876F2E">
      <w:pPr>
        <w:spacing w:line="240" w:lineRule="auto"/>
        <w:jc w:val="both"/>
        <w:rPr>
          <w:rFonts w:cstheme="minorHAnsi"/>
          <w:bCs/>
        </w:rPr>
      </w:pPr>
      <w:r w:rsidRPr="00EF076A">
        <w:rPr>
          <w:rFonts w:cstheme="minorHAnsi"/>
          <w:b/>
        </w:rPr>
        <w:t>Virtual Schools Network (</w:t>
      </w:r>
      <w:proofErr w:type="spellStart"/>
      <w:r w:rsidRPr="00EF076A">
        <w:rPr>
          <w:rFonts w:cstheme="minorHAnsi"/>
          <w:b/>
        </w:rPr>
        <w:t>ViSN</w:t>
      </w:r>
      <w:proofErr w:type="spellEnd"/>
      <w:r w:rsidRPr="00EF076A">
        <w:rPr>
          <w:rFonts w:cstheme="minorHAnsi"/>
          <w:b/>
        </w:rPr>
        <w:t>)</w:t>
      </w:r>
      <w:r w:rsidRPr="00876F2E">
        <w:rPr>
          <w:rFonts w:cstheme="minorHAnsi"/>
          <w:bCs/>
        </w:rPr>
        <w:t xml:space="preserve"> – More schools are engaging in online learning and the demand for </w:t>
      </w:r>
      <w:proofErr w:type="spellStart"/>
      <w:r w:rsidRPr="00876F2E">
        <w:rPr>
          <w:rFonts w:cstheme="minorHAnsi"/>
          <w:bCs/>
        </w:rPr>
        <w:t>ViSN</w:t>
      </w:r>
      <w:proofErr w:type="spellEnd"/>
      <w:r w:rsidRPr="00876F2E">
        <w:rPr>
          <w:rFonts w:cstheme="minorHAnsi"/>
          <w:bCs/>
        </w:rPr>
        <w:t xml:space="preserve"> is anticipated to increase both in number of courses and range of courses. This is especially so for non-ATAR students and their preferred pathways. As a result of the review of </w:t>
      </w:r>
      <w:proofErr w:type="spellStart"/>
      <w:r w:rsidRPr="00876F2E">
        <w:rPr>
          <w:rFonts w:cstheme="minorHAnsi"/>
          <w:bCs/>
        </w:rPr>
        <w:t>ViSN</w:t>
      </w:r>
      <w:proofErr w:type="spellEnd"/>
      <w:r w:rsidRPr="00876F2E">
        <w:rPr>
          <w:rFonts w:cstheme="minorHAnsi"/>
          <w:bCs/>
        </w:rPr>
        <w:t xml:space="preserve"> two years ago, more resources need to be directed to improvements in course quality and for targeted professional learning for teachers and students, particularly in self-directed learning. It is also important to subsidise costs for participating students/schools, particularly those in rural areas.  Additional funds will be directed to salaries, professional learning and costs of course delivery. The budgets for 2024 and 2025 will involve small increases.</w:t>
      </w:r>
    </w:p>
    <w:p w14:paraId="635FA90B" w14:textId="77777777" w:rsidR="00876F2E" w:rsidRPr="00876F2E" w:rsidRDefault="00876F2E" w:rsidP="00876F2E">
      <w:pPr>
        <w:spacing w:line="240" w:lineRule="auto"/>
        <w:jc w:val="both"/>
        <w:rPr>
          <w:rFonts w:cstheme="minorHAnsi"/>
          <w:bCs/>
        </w:rPr>
      </w:pPr>
      <w:r w:rsidRPr="00EF076A">
        <w:rPr>
          <w:rFonts w:cstheme="minorHAnsi"/>
          <w:b/>
        </w:rPr>
        <w:t>Affordable schools</w:t>
      </w:r>
      <w:r w:rsidRPr="00876F2E">
        <w:rPr>
          <w:rFonts w:cstheme="minorHAnsi"/>
          <w:bCs/>
        </w:rPr>
        <w:t xml:space="preserve"> – there is a slight increase, reflecting natural expansion in schools participating.</w:t>
      </w:r>
    </w:p>
    <w:p w14:paraId="52F682C3" w14:textId="0E1D53D1" w:rsidR="00876F2E" w:rsidRPr="00C73C84" w:rsidRDefault="00876F2E" w:rsidP="00876F2E">
      <w:pPr>
        <w:spacing w:line="240" w:lineRule="auto"/>
        <w:jc w:val="both"/>
        <w:rPr>
          <w:rFonts w:cstheme="minorHAnsi"/>
          <w:bCs/>
        </w:rPr>
        <w:sectPr w:rsidR="00876F2E" w:rsidRPr="00C73C84" w:rsidSect="009E00CE">
          <w:pgSz w:w="16838" w:h="11906" w:orient="landscape"/>
          <w:pgMar w:top="720" w:right="720" w:bottom="720" w:left="720" w:header="708" w:footer="169" w:gutter="0"/>
          <w:cols w:space="708"/>
          <w:docGrid w:linePitch="360"/>
        </w:sectPr>
      </w:pPr>
      <w:r w:rsidRPr="00B54B8D">
        <w:rPr>
          <w:rFonts w:cstheme="minorHAnsi"/>
          <w:b/>
        </w:rPr>
        <w:t xml:space="preserve">AEARF </w:t>
      </w:r>
      <w:proofErr w:type="spellStart"/>
      <w:r w:rsidR="00E07C64">
        <w:rPr>
          <w:rFonts w:cstheme="minorHAnsi"/>
          <w:b/>
        </w:rPr>
        <w:t>CAF</w:t>
      </w:r>
      <w:r w:rsidRPr="00EF076A">
        <w:rPr>
          <w:rFonts w:cstheme="minorHAnsi"/>
          <w:b/>
        </w:rPr>
        <w:t>Transition</w:t>
      </w:r>
      <w:proofErr w:type="spellEnd"/>
      <w:r w:rsidRPr="00EF076A">
        <w:rPr>
          <w:rFonts w:cstheme="minorHAnsi"/>
          <w:b/>
        </w:rPr>
        <w:t xml:space="preserve"> Assistance</w:t>
      </w:r>
      <w:r w:rsidRPr="00876F2E">
        <w:rPr>
          <w:rFonts w:cstheme="minorHAnsi"/>
          <w:bCs/>
        </w:rPr>
        <w:t xml:space="preserve"> – as a result of the increases in the above projects, as well as smaller increases in some other projects, the allocation to this initiative has reduced significantly. In 2024 and 2025, the proposed allocations are just over $3 million each year.</w:t>
      </w:r>
    </w:p>
    <w:p w14:paraId="5AF1E2E4" w14:textId="44027DC7" w:rsidR="000B7CE7" w:rsidRDefault="004C7381" w:rsidP="00826AA4">
      <w:pPr>
        <w:spacing w:line="240" w:lineRule="auto"/>
        <w:rPr>
          <w:rFonts w:cstheme="minorHAnsi"/>
          <w:b/>
          <w:u w:val="single"/>
        </w:rPr>
      </w:pPr>
      <w:bookmarkStart w:id="7" w:name="_Hlk83132864"/>
      <w:r>
        <w:rPr>
          <w:rFonts w:cstheme="minorHAnsi"/>
          <w:b/>
          <w:u w:val="single"/>
        </w:rPr>
        <w:lastRenderedPageBreak/>
        <w:t>PRIORITY A – AFFORDABLE SCHOOLS</w:t>
      </w:r>
    </w:p>
    <w:p w14:paraId="2EA00C67" w14:textId="77777777" w:rsidR="004C7381" w:rsidRDefault="004C7381" w:rsidP="00826AA4">
      <w:pPr>
        <w:spacing w:line="240" w:lineRule="auto"/>
        <w:rPr>
          <w:rFonts w:cstheme="minorHAnsi"/>
          <w:b/>
          <w:u w:val="single"/>
        </w:rPr>
      </w:pPr>
    </w:p>
    <w:tbl>
      <w:tblPr>
        <w:tblStyle w:val="TableGrid"/>
        <w:tblW w:w="10323" w:type="dxa"/>
        <w:tblCellMar>
          <w:top w:w="57" w:type="dxa"/>
          <w:bottom w:w="57" w:type="dxa"/>
        </w:tblCellMar>
        <w:tblLook w:val="04A0" w:firstRow="1" w:lastRow="0" w:firstColumn="1" w:lastColumn="0" w:noHBand="0" w:noVBand="1"/>
      </w:tblPr>
      <w:tblGrid>
        <w:gridCol w:w="3441"/>
        <w:gridCol w:w="3441"/>
        <w:gridCol w:w="3441"/>
      </w:tblGrid>
      <w:tr w:rsidR="009F1D75" w14:paraId="5EC6CE59" w14:textId="77777777" w:rsidTr="000D4A38">
        <w:tc>
          <w:tcPr>
            <w:tcW w:w="10323" w:type="dxa"/>
            <w:gridSpan w:val="3"/>
            <w:shd w:val="clear" w:color="auto" w:fill="D9D9D9" w:themeFill="background1" w:themeFillShade="D9"/>
            <w:vAlign w:val="center"/>
          </w:tcPr>
          <w:p w14:paraId="247CB209" w14:textId="4FA60116" w:rsidR="009F1D75" w:rsidRPr="000914E6" w:rsidRDefault="009F1D75" w:rsidP="000914E6">
            <w:pPr>
              <w:spacing w:after="0" w:line="240" w:lineRule="auto"/>
              <w:jc w:val="center"/>
              <w:rPr>
                <w:rFonts w:cs="Arial"/>
                <w:b/>
                <w:bCs/>
                <w:szCs w:val="20"/>
              </w:rPr>
            </w:pPr>
            <w:r w:rsidRPr="000914E6">
              <w:rPr>
                <w:rFonts w:cs="Arial"/>
                <w:b/>
                <w:bCs/>
                <w:szCs w:val="20"/>
              </w:rPr>
              <w:t>Affordable Schools</w:t>
            </w:r>
          </w:p>
        </w:tc>
      </w:tr>
      <w:tr w:rsidR="00EE7AAE" w14:paraId="61100A80" w14:textId="77777777" w:rsidTr="00EF076A">
        <w:tc>
          <w:tcPr>
            <w:tcW w:w="3441" w:type="dxa"/>
            <w:shd w:val="clear" w:color="auto" w:fill="FFFFFF" w:themeFill="background1"/>
          </w:tcPr>
          <w:p w14:paraId="0E26516D" w14:textId="76ADC46F" w:rsidR="000914E6" w:rsidRDefault="00EE7AAE" w:rsidP="004B0D25">
            <w:pPr>
              <w:spacing w:before="0" w:after="0"/>
              <w:ind w:right="57"/>
              <w:rPr>
                <w:rFonts w:cs="Arial"/>
                <w:szCs w:val="20"/>
              </w:rPr>
            </w:pPr>
            <w:bookmarkStart w:id="8" w:name="_Hlk86216856"/>
            <w:r w:rsidRPr="000914E6">
              <w:rPr>
                <w:rFonts w:cs="Arial"/>
                <w:szCs w:val="20"/>
              </w:rPr>
              <w:t xml:space="preserve">Description, </w:t>
            </w:r>
            <w:r w:rsidR="000914E6" w:rsidRPr="000914E6">
              <w:rPr>
                <w:rFonts w:cs="Arial"/>
                <w:szCs w:val="20"/>
              </w:rPr>
              <w:t>Timeframe,</w:t>
            </w:r>
          </w:p>
          <w:p w14:paraId="45C1E411" w14:textId="59F103A9" w:rsidR="00EE7AAE" w:rsidRPr="000914E6" w:rsidRDefault="000914E6" w:rsidP="004B0D25">
            <w:pPr>
              <w:spacing w:before="0" w:after="0"/>
              <w:ind w:right="57"/>
              <w:rPr>
                <w:rFonts w:cs="Arial"/>
                <w:szCs w:val="20"/>
              </w:rPr>
            </w:pPr>
            <w:r w:rsidRPr="000914E6">
              <w:rPr>
                <w:rFonts w:cs="Arial"/>
                <w:szCs w:val="20"/>
              </w:rPr>
              <w:t>Eligible Schools</w:t>
            </w:r>
          </w:p>
        </w:tc>
        <w:tc>
          <w:tcPr>
            <w:tcW w:w="3441" w:type="dxa"/>
            <w:shd w:val="clear" w:color="auto" w:fill="FFFFFF" w:themeFill="background1"/>
          </w:tcPr>
          <w:p w14:paraId="3A574089" w14:textId="04085C61" w:rsidR="00EE7AAE" w:rsidRPr="000914E6" w:rsidRDefault="000914E6" w:rsidP="004B0D25">
            <w:pPr>
              <w:spacing w:after="0" w:line="240" w:lineRule="auto"/>
              <w:rPr>
                <w:rFonts w:cs="Arial"/>
                <w:szCs w:val="20"/>
              </w:rPr>
            </w:pPr>
            <w:r w:rsidRPr="000914E6">
              <w:rPr>
                <w:rFonts w:cs="Arial"/>
                <w:szCs w:val="20"/>
              </w:rPr>
              <w:t>Outcomes/objectives</w:t>
            </w:r>
          </w:p>
        </w:tc>
        <w:tc>
          <w:tcPr>
            <w:tcW w:w="3441" w:type="dxa"/>
            <w:shd w:val="clear" w:color="auto" w:fill="FFFFFF" w:themeFill="background1"/>
          </w:tcPr>
          <w:p w14:paraId="405391E0" w14:textId="5E87413E" w:rsidR="00EE7AAE" w:rsidRPr="000914E6" w:rsidRDefault="000914E6" w:rsidP="004B0D25">
            <w:pPr>
              <w:spacing w:after="0" w:line="240" w:lineRule="auto"/>
              <w:rPr>
                <w:rFonts w:cs="Arial"/>
                <w:szCs w:val="20"/>
              </w:rPr>
            </w:pPr>
            <w:r w:rsidRPr="000914E6">
              <w:rPr>
                <w:rFonts w:cs="Arial"/>
                <w:szCs w:val="20"/>
              </w:rPr>
              <w:t>Indicators of Success</w:t>
            </w:r>
          </w:p>
        </w:tc>
      </w:tr>
      <w:bookmarkEnd w:id="8"/>
      <w:tr w:rsidR="009F2B7F" w14:paraId="3B6D8540" w14:textId="77777777" w:rsidTr="00EF076A">
        <w:tc>
          <w:tcPr>
            <w:tcW w:w="3441" w:type="dxa"/>
            <w:shd w:val="clear" w:color="auto" w:fill="FFFFFF" w:themeFill="background1"/>
          </w:tcPr>
          <w:p w14:paraId="5AA3C69D" w14:textId="77777777" w:rsidR="009F2B7F" w:rsidRPr="00D81865" w:rsidRDefault="009F2B7F" w:rsidP="00C07F61">
            <w:pPr>
              <w:ind w:right="57"/>
              <w:jc w:val="both"/>
              <w:rPr>
                <w:rFonts w:cs="Arial"/>
                <w:b/>
                <w:bCs/>
                <w:szCs w:val="20"/>
              </w:rPr>
            </w:pPr>
            <w:r w:rsidRPr="00D81865">
              <w:rPr>
                <w:rFonts w:cs="Arial"/>
                <w:b/>
                <w:bCs/>
                <w:szCs w:val="20"/>
              </w:rPr>
              <w:t>Details</w:t>
            </w:r>
          </w:p>
          <w:p w14:paraId="580758EA" w14:textId="0B7E1277" w:rsidR="009F2B7F" w:rsidRDefault="009F2B7F" w:rsidP="00C07F61">
            <w:pPr>
              <w:ind w:right="57"/>
              <w:jc w:val="both"/>
              <w:rPr>
                <w:rFonts w:cs="Arial"/>
                <w:szCs w:val="20"/>
              </w:rPr>
            </w:pPr>
            <w:r w:rsidRPr="006668E7">
              <w:rPr>
                <w:rFonts w:cs="Arial"/>
                <w:szCs w:val="20"/>
              </w:rPr>
              <w:t xml:space="preserve">Fees in lower SES CEWA schools are generally low and Health Care Card concessions also apply. This initiative is continuing a pilot </w:t>
            </w:r>
            <w:r>
              <w:rPr>
                <w:rFonts w:cs="Arial"/>
                <w:szCs w:val="20"/>
              </w:rPr>
              <w:t xml:space="preserve">which commenced with six schools and is expected to expand in the </w:t>
            </w:r>
            <w:r w:rsidR="00E65A47">
              <w:rPr>
                <w:rFonts w:cs="Arial"/>
                <w:szCs w:val="20"/>
              </w:rPr>
              <w:t>four-year</w:t>
            </w:r>
            <w:r>
              <w:rPr>
                <w:rFonts w:cs="Arial"/>
                <w:szCs w:val="20"/>
              </w:rPr>
              <w:t xml:space="preserve"> period. The project involves selected </w:t>
            </w:r>
            <w:r w:rsidRPr="006668E7">
              <w:rPr>
                <w:rFonts w:cs="Arial"/>
                <w:szCs w:val="20"/>
              </w:rPr>
              <w:t xml:space="preserve"> schools where fees are set at a maximum of $1 per day for all students. This is aimed to increase  access and retention. Schools will be funded for the shortfall in fees and this subsidy will decrease as enrolments increase and thereby attract additional state and Commonwealth funding to the school. The aim will be to gradually extend the pilot to other lower SES schools. The schools supported will generally be lower SES schools and with at least 50% located in country regions. Schools are included after negotiation with the principal and school council. Funding allocations are calculated on the shortfall which occurs and adjusted by the increase in enrolments and are paid directly to participating schools.</w:t>
            </w:r>
          </w:p>
          <w:p w14:paraId="2CEAE7B8" w14:textId="77777777" w:rsidR="009F2B7F" w:rsidRPr="00D81865" w:rsidRDefault="009F2B7F" w:rsidP="00C07F61">
            <w:pPr>
              <w:ind w:right="57"/>
              <w:jc w:val="both"/>
              <w:rPr>
                <w:rFonts w:cs="Arial"/>
                <w:b/>
                <w:bCs/>
                <w:szCs w:val="20"/>
              </w:rPr>
            </w:pPr>
            <w:r w:rsidRPr="00D81865">
              <w:rPr>
                <w:rFonts w:cs="Arial"/>
                <w:b/>
                <w:bCs/>
                <w:szCs w:val="20"/>
              </w:rPr>
              <w:t>Timeframes</w:t>
            </w:r>
          </w:p>
          <w:p w14:paraId="4AC84819" w14:textId="5D0E5BC1" w:rsidR="009F2B7F" w:rsidRDefault="009F2B7F" w:rsidP="00C07F61">
            <w:pPr>
              <w:ind w:right="57"/>
              <w:jc w:val="both"/>
              <w:rPr>
                <w:rFonts w:cs="Arial"/>
                <w:szCs w:val="20"/>
              </w:rPr>
            </w:pPr>
            <w:r>
              <w:rPr>
                <w:rFonts w:cs="Arial"/>
                <w:szCs w:val="20"/>
              </w:rPr>
              <w:t xml:space="preserve">Program runs for full year commencing </w:t>
            </w:r>
            <w:r w:rsidR="009F1D75">
              <w:rPr>
                <w:rFonts w:cs="Arial"/>
                <w:szCs w:val="20"/>
              </w:rPr>
              <w:t>0</w:t>
            </w:r>
            <w:r>
              <w:rPr>
                <w:rFonts w:cs="Arial"/>
                <w:szCs w:val="20"/>
              </w:rPr>
              <w:t>1/</w:t>
            </w:r>
            <w:r w:rsidR="009F1D75">
              <w:rPr>
                <w:rFonts w:cs="Arial"/>
                <w:szCs w:val="20"/>
              </w:rPr>
              <w:t>0</w:t>
            </w:r>
            <w:r>
              <w:rPr>
                <w:rFonts w:cs="Arial"/>
                <w:szCs w:val="20"/>
              </w:rPr>
              <w:t>1/22. Plans to continue for duration of CAF</w:t>
            </w:r>
            <w:r w:rsidR="00C117B0">
              <w:rPr>
                <w:rFonts w:cs="Arial"/>
                <w:szCs w:val="20"/>
              </w:rPr>
              <w:t>.</w:t>
            </w:r>
          </w:p>
          <w:p w14:paraId="0082C126" w14:textId="77777777" w:rsidR="009F2B7F" w:rsidRPr="00D81865" w:rsidRDefault="009F2B7F" w:rsidP="00C07F61">
            <w:pPr>
              <w:ind w:right="57"/>
              <w:jc w:val="both"/>
              <w:rPr>
                <w:rFonts w:cs="Arial"/>
                <w:b/>
                <w:bCs/>
                <w:szCs w:val="20"/>
              </w:rPr>
            </w:pPr>
            <w:r w:rsidRPr="00D81865">
              <w:rPr>
                <w:rFonts w:cs="Arial"/>
                <w:b/>
                <w:bCs/>
                <w:szCs w:val="20"/>
              </w:rPr>
              <w:t>Eligible Schools</w:t>
            </w:r>
          </w:p>
          <w:p w14:paraId="33388F05" w14:textId="77777777" w:rsidR="009F2B7F" w:rsidRPr="006668E7" w:rsidRDefault="009F2B7F" w:rsidP="00C07F61">
            <w:pPr>
              <w:ind w:right="57"/>
              <w:jc w:val="both"/>
              <w:rPr>
                <w:rFonts w:cs="Arial"/>
                <w:szCs w:val="20"/>
              </w:rPr>
            </w:pPr>
            <w:r>
              <w:rPr>
                <w:rFonts w:cs="Arial"/>
                <w:szCs w:val="20"/>
              </w:rPr>
              <w:t>Initially 6 smaller low SES primary schools TBA; may expand to 8.</w:t>
            </w:r>
          </w:p>
          <w:p w14:paraId="1BD37FD9" w14:textId="77777777" w:rsidR="009F2B7F" w:rsidRPr="007122A6" w:rsidRDefault="009F2B7F" w:rsidP="00C07F61">
            <w:pPr>
              <w:jc w:val="both"/>
              <w:rPr>
                <w:rFonts w:cs="Arial"/>
                <w:b/>
                <w:bCs/>
                <w:szCs w:val="20"/>
              </w:rPr>
            </w:pPr>
          </w:p>
        </w:tc>
        <w:tc>
          <w:tcPr>
            <w:tcW w:w="3441" w:type="dxa"/>
            <w:shd w:val="clear" w:color="auto" w:fill="FFFFFF" w:themeFill="background1"/>
          </w:tcPr>
          <w:p w14:paraId="1BDC5C52" w14:textId="7CD25364" w:rsidR="009F2B7F" w:rsidRPr="006668E7" w:rsidRDefault="009F2B7F" w:rsidP="0096038D">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 xml:space="preserve">Increased </w:t>
            </w:r>
            <w:r w:rsidR="009F1D75">
              <w:rPr>
                <w:rFonts w:ascii="Arial" w:hAnsi="Arial" w:cs="Arial"/>
                <w:sz w:val="20"/>
                <w:szCs w:val="20"/>
              </w:rPr>
              <w:t>accessibility and affordability</w:t>
            </w:r>
            <w:r w:rsidR="009F1D75" w:rsidRPr="006668E7">
              <w:rPr>
                <w:rFonts w:ascii="Arial" w:hAnsi="Arial" w:cs="Arial"/>
                <w:sz w:val="20"/>
                <w:szCs w:val="20"/>
              </w:rPr>
              <w:t xml:space="preserve"> </w:t>
            </w:r>
            <w:r w:rsidRPr="006668E7">
              <w:rPr>
                <w:rFonts w:ascii="Arial" w:hAnsi="Arial" w:cs="Arial"/>
                <w:sz w:val="20"/>
                <w:szCs w:val="20"/>
              </w:rPr>
              <w:t>in schools especially pre-primary and kindergarten</w:t>
            </w:r>
          </w:p>
          <w:p w14:paraId="6FCE859F" w14:textId="77777777" w:rsidR="009F2B7F" w:rsidRPr="006668E7" w:rsidRDefault="009F2B7F" w:rsidP="0096038D">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Increased retention of existing students</w:t>
            </w:r>
          </w:p>
          <w:p w14:paraId="60E9266C" w14:textId="77777777" w:rsidR="009F2B7F" w:rsidRPr="006668E7" w:rsidRDefault="009F2B7F" w:rsidP="0096038D">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Improvement in financial viability of the school and associated resourcing benefits</w:t>
            </w:r>
          </w:p>
          <w:p w14:paraId="6B73F6FE" w14:textId="77777777" w:rsidR="009F2B7F" w:rsidRPr="006668E7" w:rsidRDefault="009F2B7F" w:rsidP="0096038D">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Stronger family involvement</w:t>
            </w:r>
          </w:p>
          <w:p w14:paraId="5AD74E7B" w14:textId="77777777" w:rsidR="009F2B7F" w:rsidRPr="006668E7" w:rsidRDefault="009F2B7F" w:rsidP="0096038D">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Evidence of students transitioning to CEWA secondary school</w:t>
            </w:r>
          </w:p>
          <w:p w14:paraId="10EAA738" w14:textId="77777777" w:rsidR="009F2B7F" w:rsidRPr="006668E7" w:rsidRDefault="009F2B7F" w:rsidP="0096038D">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Evidence of high retention rates in schools re health care card support</w:t>
            </w:r>
          </w:p>
          <w:p w14:paraId="151DBD5A" w14:textId="77777777" w:rsidR="009F2B7F" w:rsidRPr="007122A6" w:rsidRDefault="009F2B7F" w:rsidP="0096038D">
            <w:pPr>
              <w:pStyle w:val="ListParagraph"/>
              <w:numPr>
                <w:ilvl w:val="0"/>
                <w:numId w:val="21"/>
              </w:numPr>
              <w:spacing w:after="0" w:line="240" w:lineRule="auto"/>
              <w:ind w:left="360"/>
              <w:jc w:val="both"/>
              <w:rPr>
                <w:rFonts w:ascii="Arial" w:hAnsi="Arial" w:cs="Arial"/>
                <w:b/>
                <w:bCs/>
                <w:sz w:val="20"/>
                <w:szCs w:val="20"/>
              </w:rPr>
            </w:pPr>
            <w:r w:rsidRPr="006668E7">
              <w:rPr>
                <w:rFonts w:ascii="Arial" w:hAnsi="Arial" w:cs="Arial"/>
                <w:sz w:val="20"/>
                <w:szCs w:val="20"/>
              </w:rPr>
              <w:t xml:space="preserve">Informed by evaluation in August </w:t>
            </w:r>
            <w:r>
              <w:rPr>
                <w:rFonts w:ascii="Arial" w:hAnsi="Arial" w:cs="Arial"/>
                <w:sz w:val="20"/>
                <w:szCs w:val="20"/>
              </w:rPr>
              <w:t>of each year</w:t>
            </w:r>
            <w:r w:rsidRPr="006668E7">
              <w:rPr>
                <w:rFonts w:ascii="Arial" w:hAnsi="Arial" w:cs="Arial"/>
                <w:sz w:val="20"/>
                <w:szCs w:val="20"/>
              </w:rPr>
              <w:t>, possible extension to additional schools</w:t>
            </w:r>
          </w:p>
        </w:tc>
        <w:tc>
          <w:tcPr>
            <w:tcW w:w="3441" w:type="dxa"/>
            <w:shd w:val="clear" w:color="auto" w:fill="FFFFFF" w:themeFill="background1"/>
          </w:tcPr>
          <w:p w14:paraId="30F5ED67" w14:textId="77777777" w:rsidR="009F2B7F" w:rsidRPr="006668E7" w:rsidRDefault="009F2B7F" w:rsidP="0096038D">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Names of schools; demographics and geolocation</w:t>
            </w:r>
          </w:p>
          <w:p w14:paraId="65A15BBC" w14:textId="77777777" w:rsidR="009F2B7F" w:rsidRPr="006668E7" w:rsidRDefault="009F2B7F" w:rsidP="0096038D">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Effects on enrolment/retentions</w:t>
            </w:r>
          </w:p>
          <w:p w14:paraId="7A493AE6" w14:textId="77777777" w:rsidR="009F2B7F" w:rsidRDefault="009F2B7F" w:rsidP="0096038D">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Qualitative feedback schools/parents</w:t>
            </w:r>
          </w:p>
          <w:p w14:paraId="66657034" w14:textId="037389EA" w:rsidR="009F2B7F" w:rsidRPr="005B5537" w:rsidRDefault="009F2B7F" w:rsidP="0096038D">
            <w:pPr>
              <w:pStyle w:val="ListParagraph"/>
              <w:numPr>
                <w:ilvl w:val="0"/>
                <w:numId w:val="21"/>
              </w:numPr>
              <w:spacing w:after="0" w:line="240" w:lineRule="auto"/>
              <w:ind w:left="360"/>
              <w:jc w:val="both"/>
              <w:rPr>
                <w:rFonts w:ascii="Arial" w:hAnsi="Arial" w:cs="Arial"/>
                <w:sz w:val="20"/>
                <w:szCs w:val="20"/>
              </w:rPr>
            </w:pPr>
            <w:r>
              <w:rPr>
                <w:rFonts w:ascii="Arial" w:hAnsi="Arial" w:cs="Arial"/>
                <w:sz w:val="20"/>
                <w:szCs w:val="20"/>
              </w:rPr>
              <w:t xml:space="preserve">Evaluations undertaken towards the end of each </w:t>
            </w:r>
            <w:r w:rsidR="00E65A47">
              <w:rPr>
                <w:rFonts w:ascii="Arial" w:hAnsi="Arial" w:cs="Arial"/>
                <w:sz w:val="20"/>
                <w:szCs w:val="20"/>
              </w:rPr>
              <w:t>year to</w:t>
            </w:r>
            <w:r>
              <w:rPr>
                <w:rFonts w:ascii="Arial" w:hAnsi="Arial" w:cs="Arial"/>
                <w:sz w:val="20"/>
                <w:szCs w:val="20"/>
              </w:rPr>
              <w:t xml:space="preserve"> inform possible expansion in subsequent years</w:t>
            </w:r>
          </w:p>
          <w:p w14:paraId="5C8E7566" w14:textId="77777777" w:rsidR="009F2B7F" w:rsidRPr="006668E7" w:rsidRDefault="009F2B7F" w:rsidP="0096038D">
            <w:pPr>
              <w:pStyle w:val="ListParagraph"/>
              <w:numPr>
                <w:ilvl w:val="0"/>
                <w:numId w:val="21"/>
              </w:numPr>
              <w:spacing w:after="0" w:line="240" w:lineRule="auto"/>
              <w:ind w:left="360" w:right="57"/>
              <w:jc w:val="both"/>
              <w:rPr>
                <w:rFonts w:ascii="Arial" w:hAnsi="Arial" w:cs="Arial"/>
                <w:sz w:val="20"/>
                <w:szCs w:val="20"/>
              </w:rPr>
            </w:pPr>
            <w:r w:rsidRPr="006668E7">
              <w:rPr>
                <w:rFonts w:ascii="Arial" w:hAnsi="Arial" w:cs="Arial"/>
                <w:sz w:val="20"/>
                <w:szCs w:val="20"/>
              </w:rPr>
              <w:t>Names and categories of schools receiving contributions to Health Care Card support</w:t>
            </w:r>
          </w:p>
          <w:p w14:paraId="603AA338" w14:textId="77777777" w:rsidR="009F2B7F" w:rsidRDefault="009F2B7F" w:rsidP="0096038D">
            <w:pPr>
              <w:pStyle w:val="ListParagraph"/>
              <w:numPr>
                <w:ilvl w:val="0"/>
                <w:numId w:val="21"/>
              </w:numPr>
              <w:spacing w:after="0" w:line="240" w:lineRule="auto"/>
              <w:ind w:left="360" w:right="57"/>
              <w:jc w:val="both"/>
              <w:rPr>
                <w:rFonts w:ascii="Arial" w:hAnsi="Arial" w:cs="Arial"/>
                <w:sz w:val="20"/>
                <w:szCs w:val="20"/>
              </w:rPr>
            </w:pPr>
            <w:r w:rsidRPr="006668E7">
              <w:rPr>
                <w:rFonts w:ascii="Arial" w:hAnsi="Arial" w:cs="Arial"/>
                <w:sz w:val="20"/>
                <w:szCs w:val="20"/>
              </w:rPr>
              <w:t>Indications of retention rates as a result of support</w:t>
            </w:r>
          </w:p>
          <w:p w14:paraId="44947B07" w14:textId="77777777" w:rsidR="009F2B7F" w:rsidRPr="006668E7" w:rsidRDefault="009F2B7F" w:rsidP="0096038D">
            <w:pPr>
              <w:pStyle w:val="ListParagraph"/>
              <w:numPr>
                <w:ilvl w:val="0"/>
                <w:numId w:val="21"/>
              </w:numPr>
              <w:spacing w:after="0" w:line="240" w:lineRule="auto"/>
              <w:ind w:left="360" w:right="57"/>
              <w:jc w:val="both"/>
              <w:rPr>
                <w:rFonts w:ascii="Arial" w:hAnsi="Arial" w:cs="Arial"/>
                <w:sz w:val="20"/>
                <w:szCs w:val="20"/>
              </w:rPr>
            </w:pPr>
            <w:r>
              <w:rPr>
                <w:rFonts w:ascii="Arial" w:hAnsi="Arial" w:cs="Arial"/>
                <w:sz w:val="20"/>
                <w:szCs w:val="20"/>
              </w:rPr>
              <w:t>Numbers of families keeping all children at the school</w:t>
            </w:r>
          </w:p>
          <w:p w14:paraId="0F4093A9" w14:textId="77777777" w:rsidR="009F2B7F" w:rsidRPr="007122A6" w:rsidRDefault="009F2B7F" w:rsidP="00C07F61">
            <w:pPr>
              <w:jc w:val="both"/>
              <w:rPr>
                <w:rFonts w:cs="Arial"/>
                <w:b/>
                <w:bCs/>
                <w:szCs w:val="20"/>
              </w:rPr>
            </w:pPr>
          </w:p>
        </w:tc>
      </w:tr>
    </w:tbl>
    <w:p w14:paraId="0B7178BA" w14:textId="77777777" w:rsidR="00360BE8" w:rsidRDefault="00360BE8">
      <w:r>
        <w:br w:type="page"/>
      </w:r>
    </w:p>
    <w:tbl>
      <w:tblPr>
        <w:tblStyle w:val="TableGrid"/>
        <w:tblW w:w="10323" w:type="dxa"/>
        <w:tblCellMar>
          <w:top w:w="57" w:type="dxa"/>
          <w:bottom w:w="57" w:type="dxa"/>
        </w:tblCellMar>
        <w:tblLook w:val="04A0" w:firstRow="1" w:lastRow="0" w:firstColumn="1" w:lastColumn="0" w:noHBand="0" w:noVBand="1"/>
      </w:tblPr>
      <w:tblGrid>
        <w:gridCol w:w="3441"/>
        <w:gridCol w:w="3441"/>
        <w:gridCol w:w="3441"/>
      </w:tblGrid>
      <w:tr w:rsidR="009F1D75" w14:paraId="2670D2D1" w14:textId="77777777" w:rsidTr="00952E4A">
        <w:tc>
          <w:tcPr>
            <w:tcW w:w="10323" w:type="dxa"/>
            <w:gridSpan w:val="3"/>
            <w:shd w:val="clear" w:color="auto" w:fill="D9D9D9" w:themeFill="background1" w:themeFillShade="D9"/>
          </w:tcPr>
          <w:p w14:paraId="4513DF78" w14:textId="5DACCD26" w:rsidR="009F1D75" w:rsidRPr="00613215" w:rsidRDefault="009F1D75" w:rsidP="002A6363">
            <w:pPr>
              <w:spacing w:after="0" w:line="240" w:lineRule="auto"/>
              <w:jc w:val="center"/>
              <w:rPr>
                <w:rFonts w:cs="Arial"/>
                <w:b/>
                <w:bCs/>
                <w:szCs w:val="20"/>
              </w:rPr>
            </w:pPr>
            <w:r w:rsidRPr="00613215">
              <w:rPr>
                <w:rFonts w:cs="Arial"/>
                <w:b/>
                <w:bCs/>
                <w:szCs w:val="20"/>
              </w:rPr>
              <w:lastRenderedPageBreak/>
              <w:t xml:space="preserve">Virtual School Network </w:t>
            </w:r>
            <w:proofErr w:type="spellStart"/>
            <w:r w:rsidRPr="00613215">
              <w:rPr>
                <w:rFonts w:cs="Arial"/>
                <w:b/>
                <w:bCs/>
                <w:szCs w:val="20"/>
              </w:rPr>
              <w:t>ViSN</w:t>
            </w:r>
            <w:proofErr w:type="spellEnd"/>
          </w:p>
        </w:tc>
      </w:tr>
      <w:tr w:rsidR="005B173A" w14:paraId="24E6EC62" w14:textId="77777777" w:rsidTr="00EF076A">
        <w:tc>
          <w:tcPr>
            <w:tcW w:w="3441" w:type="dxa"/>
            <w:shd w:val="clear" w:color="auto" w:fill="FFFFFF" w:themeFill="background1"/>
          </w:tcPr>
          <w:p w14:paraId="43436FEF" w14:textId="77777777" w:rsidR="005B173A" w:rsidRDefault="005B173A" w:rsidP="005B173A">
            <w:pPr>
              <w:spacing w:before="0" w:after="0"/>
              <w:ind w:right="57"/>
              <w:jc w:val="both"/>
              <w:rPr>
                <w:rFonts w:cs="Arial"/>
                <w:szCs w:val="20"/>
              </w:rPr>
            </w:pPr>
            <w:bookmarkStart w:id="9" w:name="_Hlk86217826"/>
            <w:r w:rsidRPr="000914E6">
              <w:rPr>
                <w:rFonts w:cs="Arial"/>
                <w:szCs w:val="20"/>
              </w:rPr>
              <w:t xml:space="preserve">Description, Timeframe, </w:t>
            </w:r>
          </w:p>
          <w:p w14:paraId="362A1B2F" w14:textId="0D2A0B9A" w:rsidR="005B173A" w:rsidRPr="00615543" w:rsidRDefault="005B173A" w:rsidP="005B173A">
            <w:pPr>
              <w:ind w:right="57"/>
              <w:jc w:val="both"/>
              <w:rPr>
                <w:rFonts w:cs="Arial"/>
                <w:b/>
                <w:bCs/>
                <w:szCs w:val="20"/>
              </w:rPr>
            </w:pPr>
            <w:r w:rsidRPr="000914E6">
              <w:rPr>
                <w:rFonts w:cs="Arial"/>
                <w:szCs w:val="20"/>
              </w:rPr>
              <w:t>Eligible Schools</w:t>
            </w:r>
          </w:p>
        </w:tc>
        <w:tc>
          <w:tcPr>
            <w:tcW w:w="3441" w:type="dxa"/>
            <w:shd w:val="clear" w:color="auto" w:fill="FFFFFF" w:themeFill="background1"/>
          </w:tcPr>
          <w:p w14:paraId="0861AF45" w14:textId="210BDC61" w:rsidR="005B173A" w:rsidRPr="008343BF" w:rsidRDefault="005B173A" w:rsidP="00EF076A">
            <w:pPr>
              <w:spacing w:after="0" w:line="240" w:lineRule="auto"/>
              <w:rPr>
                <w:rFonts w:cs="Arial"/>
                <w:szCs w:val="20"/>
              </w:rPr>
            </w:pPr>
            <w:r w:rsidRPr="008343BF">
              <w:rPr>
                <w:rFonts w:cs="Arial"/>
                <w:szCs w:val="20"/>
              </w:rPr>
              <w:t>Outcomes/objectives</w:t>
            </w:r>
          </w:p>
        </w:tc>
        <w:tc>
          <w:tcPr>
            <w:tcW w:w="3441" w:type="dxa"/>
            <w:shd w:val="clear" w:color="auto" w:fill="FFFFFF" w:themeFill="background1"/>
          </w:tcPr>
          <w:p w14:paraId="268DB1B3" w14:textId="5F122903" w:rsidR="005B173A" w:rsidRPr="008343BF" w:rsidRDefault="005B173A" w:rsidP="00EF076A">
            <w:pPr>
              <w:spacing w:after="0" w:line="240" w:lineRule="auto"/>
              <w:rPr>
                <w:rFonts w:cs="Arial"/>
                <w:szCs w:val="20"/>
              </w:rPr>
            </w:pPr>
            <w:r w:rsidRPr="008343BF">
              <w:rPr>
                <w:rFonts w:cs="Arial"/>
                <w:szCs w:val="20"/>
              </w:rPr>
              <w:t>Indicators of Success</w:t>
            </w:r>
          </w:p>
        </w:tc>
      </w:tr>
      <w:bookmarkEnd w:id="9"/>
      <w:tr w:rsidR="005B173A" w14:paraId="0D2CEBA3" w14:textId="77777777" w:rsidTr="00EF076A">
        <w:tc>
          <w:tcPr>
            <w:tcW w:w="3441" w:type="dxa"/>
            <w:shd w:val="clear" w:color="auto" w:fill="FFFFFF" w:themeFill="background1"/>
          </w:tcPr>
          <w:p w14:paraId="04F5584C" w14:textId="77777777" w:rsidR="005B173A" w:rsidRPr="00615543" w:rsidRDefault="005B173A" w:rsidP="005B173A">
            <w:pPr>
              <w:ind w:right="57"/>
              <w:jc w:val="both"/>
              <w:rPr>
                <w:rFonts w:cs="Arial"/>
                <w:b/>
                <w:bCs/>
                <w:szCs w:val="20"/>
              </w:rPr>
            </w:pPr>
            <w:r w:rsidRPr="00615543">
              <w:rPr>
                <w:rFonts w:cs="Arial"/>
                <w:b/>
                <w:bCs/>
                <w:szCs w:val="20"/>
              </w:rPr>
              <w:t>Details</w:t>
            </w:r>
          </w:p>
          <w:p w14:paraId="534915C1" w14:textId="08407954" w:rsidR="005B173A" w:rsidRDefault="005B173A" w:rsidP="005B173A">
            <w:pPr>
              <w:ind w:right="57"/>
              <w:jc w:val="both"/>
              <w:rPr>
                <w:rFonts w:cs="Arial"/>
                <w:szCs w:val="20"/>
              </w:rPr>
            </w:pPr>
            <w:r w:rsidRPr="00293A78">
              <w:rPr>
                <w:rFonts w:cs="Arial"/>
                <w:szCs w:val="20"/>
              </w:rPr>
              <w:t xml:space="preserve">Students in smaller secondary schools – typically in country regions –are unable to access an extensive range of subjects, especially in years 11 and 12. This limits choice and may mean some students will leave the school. </w:t>
            </w:r>
            <w:proofErr w:type="spellStart"/>
            <w:r w:rsidRPr="00293A78">
              <w:rPr>
                <w:rFonts w:cs="Arial"/>
                <w:szCs w:val="20"/>
              </w:rPr>
              <w:t>ViSN</w:t>
            </w:r>
            <w:proofErr w:type="spellEnd"/>
            <w:r w:rsidRPr="00293A78">
              <w:rPr>
                <w:rFonts w:cs="Arial"/>
                <w:szCs w:val="20"/>
              </w:rPr>
              <w:t xml:space="preserve"> is a virtual learning platform which enables schools to access a range of subjects, both ATAR and VET. Courses are developed by teachers in other schools and that school then assists in delivering that course to other students. This project seeks to expand </w:t>
            </w:r>
            <w:proofErr w:type="spellStart"/>
            <w:r w:rsidRPr="00293A78">
              <w:rPr>
                <w:rFonts w:cs="Arial"/>
                <w:szCs w:val="20"/>
              </w:rPr>
              <w:t>ViSN</w:t>
            </w:r>
            <w:proofErr w:type="spellEnd"/>
            <w:r w:rsidRPr="00293A78">
              <w:rPr>
                <w:rFonts w:cs="Arial"/>
                <w:szCs w:val="20"/>
              </w:rPr>
              <w:t xml:space="preserve"> courses and to continue developing resources and provide support for students and professional learning for teachers. The delivery platform is sponsored through Microsoft</w:t>
            </w:r>
            <w:r w:rsidR="00B10CB8">
              <w:rPr>
                <w:rFonts w:cs="Arial"/>
                <w:szCs w:val="20"/>
              </w:rPr>
              <w:t>.</w:t>
            </w:r>
          </w:p>
          <w:p w14:paraId="35D47C26" w14:textId="77777777" w:rsidR="005B173A" w:rsidRPr="00615543" w:rsidRDefault="005B173A" w:rsidP="005B173A">
            <w:pPr>
              <w:ind w:right="57"/>
              <w:jc w:val="both"/>
              <w:rPr>
                <w:rFonts w:cs="Arial"/>
                <w:b/>
                <w:bCs/>
                <w:szCs w:val="20"/>
              </w:rPr>
            </w:pPr>
            <w:r w:rsidRPr="00615543">
              <w:rPr>
                <w:rFonts w:cs="Arial"/>
                <w:b/>
                <w:bCs/>
                <w:szCs w:val="20"/>
              </w:rPr>
              <w:t>Timeframes</w:t>
            </w:r>
          </w:p>
          <w:p w14:paraId="33AB8FB4" w14:textId="77777777" w:rsidR="005B173A" w:rsidRDefault="005B173A" w:rsidP="005B173A">
            <w:pPr>
              <w:ind w:right="57"/>
              <w:jc w:val="both"/>
              <w:rPr>
                <w:rFonts w:cs="Arial"/>
                <w:szCs w:val="20"/>
              </w:rPr>
            </w:pPr>
            <w:r>
              <w:rPr>
                <w:rFonts w:cs="Arial"/>
                <w:szCs w:val="20"/>
              </w:rPr>
              <w:t>Delivery commences start of school year and concludes end of school year. Activity planned to continue indefinitely</w:t>
            </w:r>
          </w:p>
          <w:p w14:paraId="57B4B452" w14:textId="77777777" w:rsidR="005B173A" w:rsidRPr="00615543" w:rsidRDefault="005B173A" w:rsidP="005B173A">
            <w:pPr>
              <w:ind w:right="57"/>
              <w:jc w:val="both"/>
              <w:rPr>
                <w:rFonts w:cs="Arial"/>
                <w:b/>
                <w:bCs/>
                <w:szCs w:val="20"/>
              </w:rPr>
            </w:pPr>
            <w:r w:rsidRPr="00615543">
              <w:rPr>
                <w:rFonts w:cs="Arial"/>
                <w:b/>
                <w:bCs/>
                <w:szCs w:val="20"/>
              </w:rPr>
              <w:t>Eligible Schools</w:t>
            </w:r>
          </w:p>
          <w:p w14:paraId="4A769604" w14:textId="77777777" w:rsidR="005B173A" w:rsidRDefault="005B173A" w:rsidP="005B173A">
            <w:pPr>
              <w:ind w:right="57"/>
              <w:jc w:val="both"/>
              <w:rPr>
                <w:rFonts w:cs="Arial"/>
                <w:szCs w:val="20"/>
              </w:rPr>
            </w:pPr>
            <w:r>
              <w:rPr>
                <w:rFonts w:cs="Arial"/>
                <w:szCs w:val="20"/>
              </w:rPr>
              <w:t>Any school with Year 11 and/or Year 12 students can access this project</w:t>
            </w:r>
          </w:p>
          <w:p w14:paraId="4265E454" w14:textId="77777777" w:rsidR="005B173A" w:rsidRPr="00293A78" w:rsidRDefault="005B173A" w:rsidP="005B173A">
            <w:pPr>
              <w:ind w:right="57"/>
              <w:jc w:val="both"/>
              <w:rPr>
                <w:rFonts w:cs="Arial"/>
                <w:szCs w:val="20"/>
              </w:rPr>
            </w:pPr>
          </w:p>
          <w:p w14:paraId="59F5524A" w14:textId="77777777" w:rsidR="005B173A" w:rsidRPr="006668E7" w:rsidRDefault="005B173A" w:rsidP="005B173A">
            <w:pPr>
              <w:ind w:right="57"/>
              <w:jc w:val="both"/>
              <w:rPr>
                <w:rFonts w:cs="Arial"/>
                <w:szCs w:val="20"/>
              </w:rPr>
            </w:pPr>
          </w:p>
        </w:tc>
        <w:tc>
          <w:tcPr>
            <w:tcW w:w="3441" w:type="dxa"/>
            <w:shd w:val="clear" w:color="auto" w:fill="FFFFFF" w:themeFill="background1"/>
          </w:tcPr>
          <w:p w14:paraId="3362D0AD"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Increase number of students participating by 15% per year</w:t>
            </w:r>
          </w:p>
          <w:p w14:paraId="70EC56FC"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Improve breadth of study possibilities for all students involved</w:t>
            </w:r>
          </w:p>
          <w:p w14:paraId="35D1EF18"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Prevent loss of enrolments which might have otherwise occurred due to lack of subject choice</w:t>
            </w:r>
          </w:p>
          <w:p w14:paraId="51CE34C6"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 xml:space="preserve">Maintain high standards of achievement for students involved in </w:t>
            </w:r>
            <w:proofErr w:type="spellStart"/>
            <w:r w:rsidRPr="00293A78">
              <w:rPr>
                <w:rFonts w:ascii="Arial" w:hAnsi="Arial" w:cs="Arial"/>
                <w:sz w:val="20"/>
                <w:szCs w:val="20"/>
              </w:rPr>
              <w:t>ViSN</w:t>
            </w:r>
            <w:proofErr w:type="spellEnd"/>
            <w:r w:rsidRPr="00293A78">
              <w:rPr>
                <w:rFonts w:ascii="Arial" w:hAnsi="Arial" w:cs="Arial"/>
                <w:sz w:val="20"/>
                <w:szCs w:val="20"/>
              </w:rPr>
              <w:t>.</w:t>
            </w:r>
          </w:p>
          <w:p w14:paraId="6ECB6D96"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 xml:space="preserve">Provide professional learning for at least 70% of teachers involved in </w:t>
            </w:r>
            <w:proofErr w:type="spellStart"/>
            <w:r w:rsidRPr="00293A78">
              <w:rPr>
                <w:rFonts w:ascii="Arial" w:hAnsi="Arial" w:cs="Arial"/>
                <w:sz w:val="20"/>
                <w:szCs w:val="20"/>
              </w:rPr>
              <w:t>ViSN</w:t>
            </w:r>
            <w:proofErr w:type="spellEnd"/>
          </w:p>
          <w:p w14:paraId="0D3815A5"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Increase the range of subjects and resources available, particularly in the languages area.</w:t>
            </w:r>
          </w:p>
          <w:p w14:paraId="3BA3220D" w14:textId="30A64C50" w:rsidR="005B173A" w:rsidRPr="006668E7" w:rsidRDefault="005B173A" w:rsidP="00012C77">
            <w:pPr>
              <w:pStyle w:val="ListParagraph"/>
              <w:spacing w:after="0" w:line="240" w:lineRule="auto"/>
              <w:ind w:left="360"/>
              <w:rPr>
                <w:rFonts w:ascii="Arial" w:hAnsi="Arial" w:cs="Arial"/>
                <w:sz w:val="20"/>
                <w:szCs w:val="20"/>
              </w:rPr>
            </w:pPr>
          </w:p>
        </w:tc>
        <w:tc>
          <w:tcPr>
            <w:tcW w:w="3441" w:type="dxa"/>
            <w:shd w:val="clear" w:color="auto" w:fill="FFFFFF" w:themeFill="background1"/>
          </w:tcPr>
          <w:p w14:paraId="7C5E0EA8"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Number of schools; range of courses</w:t>
            </w:r>
          </w:p>
          <w:p w14:paraId="3F653D3D"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 xml:space="preserve">Names of schools and    geolocations </w:t>
            </w:r>
          </w:p>
          <w:p w14:paraId="29EB30E4"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Number of students</w:t>
            </w:r>
          </w:p>
          <w:p w14:paraId="3EBF6B9A"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Any other quantitative data re; results, completions etc</w:t>
            </w:r>
          </w:p>
          <w:p w14:paraId="508FC571"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Any other qualitative feedback re; satisfaction etc</w:t>
            </w:r>
          </w:p>
          <w:p w14:paraId="3696595E"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Pr>
                <w:rFonts w:ascii="Arial" w:hAnsi="Arial" w:cs="Arial"/>
                <w:sz w:val="20"/>
                <w:szCs w:val="20"/>
              </w:rPr>
              <w:t xml:space="preserve">Progressive implementation of the recommendations of the external 2021 </w:t>
            </w:r>
            <w:proofErr w:type="spellStart"/>
            <w:r>
              <w:rPr>
                <w:rFonts w:ascii="Arial" w:hAnsi="Arial" w:cs="Arial"/>
                <w:sz w:val="20"/>
                <w:szCs w:val="20"/>
              </w:rPr>
              <w:t>ViSN</w:t>
            </w:r>
            <w:proofErr w:type="spellEnd"/>
            <w:r>
              <w:rPr>
                <w:rFonts w:ascii="Arial" w:hAnsi="Arial" w:cs="Arial"/>
                <w:sz w:val="20"/>
                <w:szCs w:val="20"/>
              </w:rPr>
              <w:t xml:space="preserve"> Review</w:t>
            </w:r>
          </w:p>
          <w:p w14:paraId="40EF3268" w14:textId="77777777" w:rsidR="005B173A" w:rsidRPr="00293A78" w:rsidRDefault="005B173A" w:rsidP="0096038D">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Details of professional learning accessed by teachers</w:t>
            </w:r>
          </w:p>
          <w:p w14:paraId="336D8FA8" w14:textId="77777777" w:rsidR="005B173A" w:rsidRPr="006668E7" w:rsidRDefault="005B173A" w:rsidP="005B173A">
            <w:pPr>
              <w:pStyle w:val="ListParagraph"/>
              <w:ind w:left="360"/>
              <w:rPr>
                <w:rFonts w:ascii="Arial" w:hAnsi="Arial" w:cs="Arial"/>
                <w:sz w:val="20"/>
                <w:szCs w:val="20"/>
              </w:rPr>
            </w:pPr>
          </w:p>
        </w:tc>
      </w:tr>
    </w:tbl>
    <w:p w14:paraId="0F588A42" w14:textId="5591BC00" w:rsidR="002F15AA" w:rsidRDefault="002F15AA" w:rsidP="000B7CE7">
      <w:pPr>
        <w:spacing w:after="0" w:line="240" w:lineRule="auto"/>
        <w:jc w:val="both"/>
        <w:rPr>
          <w:rFonts w:cs="Arial"/>
        </w:rPr>
      </w:pPr>
    </w:p>
    <w:p w14:paraId="52E64216" w14:textId="77777777" w:rsidR="002F15AA" w:rsidRDefault="002F15AA">
      <w:pPr>
        <w:spacing w:before="0" w:after="160" w:line="259" w:lineRule="auto"/>
        <w:rPr>
          <w:rFonts w:cs="Arial"/>
        </w:rPr>
      </w:pPr>
      <w:r>
        <w:rPr>
          <w:rFonts w:cs="Arial"/>
        </w:rPr>
        <w:br w:type="page"/>
      </w:r>
    </w:p>
    <w:p w14:paraId="15F44589" w14:textId="77777777" w:rsidR="002F15AA" w:rsidRDefault="002F15AA" w:rsidP="002F15AA">
      <w:pPr>
        <w:spacing w:line="240" w:lineRule="auto"/>
        <w:rPr>
          <w:rFonts w:cstheme="minorHAnsi"/>
          <w:b/>
          <w:u w:val="single"/>
        </w:rPr>
      </w:pPr>
      <w:r>
        <w:rPr>
          <w:rFonts w:cstheme="minorHAnsi"/>
          <w:b/>
          <w:u w:val="single"/>
        </w:rPr>
        <w:lastRenderedPageBreak/>
        <w:t>PRIORITY B – TRANSITION ASSISTANCE</w:t>
      </w:r>
    </w:p>
    <w:p w14:paraId="571C4F8B" w14:textId="77777777" w:rsidR="002F15AA" w:rsidRDefault="002F15AA" w:rsidP="002F15AA">
      <w:pPr>
        <w:spacing w:line="240" w:lineRule="auto"/>
        <w:rPr>
          <w:rFonts w:cstheme="minorHAnsi"/>
          <w:b/>
          <w:u w:val="single"/>
        </w:rPr>
      </w:pPr>
    </w:p>
    <w:tbl>
      <w:tblPr>
        <w:tblStyle w:val="TableGrid"/>
        <w:tblW w:w="0" w:type="auto"/>
        <w:tblLook w:val="04A0" w:firstRow="1" w:lastRow="0" w:firstColumn="1" w:lastColumn="0" w:noHBand="0" w:noVBand="1"/>
      </w:tblPr>
      <w:tblGrid>
        <w:gridCol w:w="3441"/>
        <w:gridCol w:w="3441"/>
        <w:gridCol w:w="3441"/>
      </w:tblGrid>
      <w:tr w:rsidR="009F1D75" w14:paraId="31722087" w14:textId="77777777" w:rsidTr="00575AD7">
        <w:tc>
          <w:tcPr>
            <w:tcW w:w="10323" w:type="dxa"/>
            <w:gridSpan w:val="3"/>
            <w:shd w:val="clear" w:color="auto" w:fill="D9D9D9" w:themeFill="background1" w:themeFillShade="D9"/>
          </w:tcPr>
          <w:p w14:paraId="742458DE" w14:textId="11E34E2A" w:rsidR="009F1D75" w:rsidRPr="00FE2E35" w:rsidRDefault="009F1D75" w:rsidP="00C07F61">
            <w:pPr>
              <w:ind w:left="360"/>
              <w:jc w:val="center"/>
              <w:rPr>
                <w:rFonts w:cs="Arial"/>
                <w:b/>
                <w:bCs/>
                <w:szCs w:val="20"/>
              </w:rPr>
            </w:pPr>
            <w:r w:rsidRPr="00FE2E35">
              <w:rPr>
                <w:rFonts w:cs="Arial"/>
                <w:b/>
                <w:bCs/>
                <w:szCs w:val="20"/>
              </w:rPr>
              <w:t>Transition Funding Project – Diocesan and non-Diocesan Schools</w:t>
            </w:r>
          </w:p>
        </w:tc>
      </w:tr>
      <w:tr w:rsidR="002F15AA" w14:paraId="620EE7EE" w14:textId="77777777" w:rsidTr="00EF076A">
        <w:tc>
          <w:tcPr>
            <w:tcW w:w="3441" w:type="dxa"/>
            <w:shd w:val="clear" w:color="auto" w:fill="FFFFFF" w:themeFill="background1"/>
          </w:tcPr>
          <w:p w14:paraId="0256B9D5" w14:textId="77777777" w:rsidR="002F15AA" w:rsidRPr="00A9330B" w:rsidRDefault="002F15AA" w:rsidP="00C07F61">
            <w:pPr>
              <w:spacing w:after="0"/>
              <w:ind w:right="57"/>
              <w:rPr>
                <w:rFonts w:cs="Arial"/>
                <w:szCs w:val="20"/>
              </w:rPr>
            </w:pPr>
            <w:r w:rsidRPr="00A9330B">
              <w:rPr>
                <w:rFonts w:cs="Arial"/>
                <w:szCs w:val="20"/>
              </w:rPr>
              <w:t xml:space="preserve">Description, Timeframe, </w:t>
            </w:r>
          </w:p>
          <w:p w14:paraId="5423CB3D" w14:textId="77777777" w:rsidR="002F15AA" w:rsidRPr="00615543" w:rsidRDefault="002F15AA" w:rsidP="00C07F61">
            <w:pPr>
              <w:jc w:val="both"/>
              <w:rPr>
                <w:rFonts w:cs="Arial"/>
                <w:b/>
                <w:bCs/>
                <w:szCs w:val="20"/>
              </w:rPr>
            </w:pPr>
            <w:r w:rsidRPr="00A9330B">
              <w:rPr>
                <w:rFonts w:cs="Arial"/>
                <w:szCs w:val="20"/>
              </w:rPr>
              <w:t>Eligible Schools</w:t>
            </w:r>
          </w:p>
        </w:tc>
        <w:tc>
          <w:tcPr>
            <w:tcW w:w="3441" w:type="dxa"/>
            <w:shd w:val="clear" w:color="auto" w:fill="FFFFFF" w:themeFill="background1"/>
          </w:tcPr>
          <w:p w14:paraId="7C38B91A" w14:textId="77777777" w:rsidR="002F15AA" w:rsidRPr="00FE2E35" w:rsidRDefault="002F15AA" w:rsidP="00C07F61">
            <w:pPr>
              <w:spacing w:after="0" w:line="240" w:lineRule="auto"/>
              <w:rPr>
                <w:rFonts w:cs="Arial"/>
                <w:szCs w:val="20"/>
              </w:rPr>
            </w:pPr>
            <w:r w:rsidRPr="00FE2E35">
              <w:rPr>
                <w:rFonts w:cs="Arial"/>
                <w:szCs w:val="20"/>
              </w:rPr>
              <w:t>Outcomes/objectives</w:t>
            </w:r>
          </w:p>
        </w:tc>
        <w:tc>
          <w:tcPr>
            <w:tcW w:w="3441" w:type="dxa"/>
            <w:shd w:val="clear" w:color="auto" w:fill="FFFFFF" w:themeFill="background1"/>
          </w:tcPr>
          <w:p w14:paraId="27221867" w14:textId="77777777" w:rsidR="002F15AA" w:rsidRPr="00FE2E35" w:rsidRDefault="002F15AA" w:rsidP="00C07F61">
            <w:pPr>
              <w:jc w:val="both"/>
              <w:rPr>
                <w:rFonts w:cs="Arial"/>
                <w:szCs w:val="20"/>
              </w:rPr>
            </w:pPr>
            <w:r w:rsidRPr="00FE2E35">
              <w:rPr>
                <w:rFonts w:cs="Arial"/>
                <w:szCs w:val="20"/>
              </w:rPr>
              <w:t>Indicators of Success</w:t>
            </w:r>
          </w:p>
        </w:tc>
      </w:tr>
      <w:tr w:rsidR="002F15AA" w14:paraId="183E75E2" w14:textId="77777777" w:rsidTr="00EF076A">
        <w:tc>
          <w:tcPr>
            <w:tcW w:w="3441" w:type="dxa"/>
            <w:shd w:val="clear" w:color="auto" w:fill="FFFFFF" w:themeFill="background1"/>
          </w:tcPr>
          <w:p w14:paraId="70E47E5C" w14:textId="77777777" w:rsidR="002F15AA" w:rsidRPr="00615543" w:rsidRDefault="002F15AA" w:rsidP="00C07F61">
            <w:pPr>
              <w:jc w:val="both"/>
              <w:rPr>
                <w:rFonts w:cs="Arial"/>
                <w:b/>
                <w:bCs/>
                <w:szCs w:val="20"/>
              </w:rPr>
            </w:pPr>
            <w:bookmarkStart w:id="10" w:name="_Hlk86050682"/>
            <w:r w:rsidRPr="00615543">
              <w:rPr>
                <w:rFonts w:cs="Arial"/>
                <w:b/>
                <w:bCs/>
                <w:szCs w:val="20"/>
              </w:rPr>
              <w:t>Details</w:t>
            </w:r>
          </w:p>
          <w:p w14:paraId="08D074A7" w14:textId="2C7F4214" w:rsidR="002F15AA" w:rsidRDefault="002F15AA" w:rsidP="00C07F61">
            <w:pPr>
              <w:jc w:val="both"/>
              <w:rPr>
                <w:rFonts w:cs="Arial"/>
                <w:szCs w:val="20"/>
              </w:rPr>
            </w:pPr>
            <w:r>
              <w:rPr>
                <w:rFonts w:cs="Arial"/>
                <w:szCs w:val="20"/>
              </w:rPr>
              <w:t xml:space="preserve">A number of schools will be </w:t>
            </w:r>
            <w:r w:rsidR="008343BF">
              <w:rPr>
                <w:rFonts w:cs="Arial"/>
                <w:szCs w:val="20"/>
              </w:rPr>
              <w:t xml:space="preserve">financially </w:t>
            </w:r>
            <w:r>
              <w:rPr>
                <w:rFonts w:cs="Arial"/>
                <w:szCs w:val="20"/>
              </w:rPr>
              <w:t xml:space="preserve">disadvantaged by the transition to the DMI Funding model. </w:t>
            </w:r>
            <w:r w:rsidRPr="003264F7">
              <w:rPr>
                <w:rFonts w:cs="Arial"/>
                <w:szCs w:val="20"/>
              </w:rPr>
              <w:t>These include diocesan schools and non-diocesan schoo</w:t>
            </w:r>
            <w:r>
              <w:rPr>
                <w:rFonts w:cs="Arial"/>
                <w:szCs w:val="20"/>
              </w:rPr>
              <w:t>ls which CEWA has authority to represent</w:t>
            </w:r>
            <w:r w:rsidRPr="003264F7">
              <w:rPr>
                <w:rFonts w:cs="Arial"/>
                <w:szCs w:val="20"/>
              </w:rPr>
              <w:t>.</w:t>
            </w:r>
            <w:r>
              <w:rPr>
                <w:rFonts w:cs="Arial"/>
                <w:szCs w:val="20"/>
              </w:rPr>
              <w:t xml:space="preserve"> Estimates indicate a potential reduction in </w:t>
            </w:r>
            <w:r w:rsidR="001E2329">
              <w:rPr>
                <w:rFonts w:cs="Arial"/>
                <w:szCs w:val="20"/>
              </w:rPr>
              <w:t>funding across</w:t>
            </w:r>
            <w:r>
              <w:rPr>
                <w:rFonts w:cs="Arial"/>
                <w:szCs w:val="20"/>
              </w:rPr>
              <w:t xml:space="preserve"> all CEWA schools. This funding allocation project will involve developing, in 2022 and 2023, an equitable distribution model considering factors such as current fee structures, reserves, capacity to pay, current fee collection rates, needs of the school community, enrolment data etc. Schools will be informed of the criteria during 2023 and distributions will commence in 2024 and continue thereafter.</w:t>
            </w:r>
          </w:p>
          <w:p w14:paraId="4017ED6E" w14:textId="77777777" w:rsidR="002F15AA" w:rsidRPr="00615543" w:rsidRDefault="002F15AA" w:rsidP="00C07F61">
            <w:pPr>
              <w:jc w:val="both"/>
              <w:rPr>
                <w:rFonts w:cs="Arial"/>
                <w:b/>
                <w:bCs/>
                <w:szCs w:val="20"/>
              </w:rPr>
            </w:pPr>
            <w:r w:rsidRPr="00615543">
              <w:rPr>
                <w:rFonts w:cs="Arial"/>
                <w:b/>
                <w:bCs/>
                <w:szCs w:val="20"/>
              </w:rPr>
              <w:t>Timeframe</w:t>
            </w:r>
          </w:p>
          <w:p w14:paraId="70FC68BA" w14:textId="77777777" w:rsidR="002F15AA" w:rsidRDefault="002F15AA" w:rsidP="00C07F61">
            <w:pPr>
              <w:jc w:val="both"/>
              <w:rPr>
                <w:rFonts w:cs="Arial"/>
                <w:szCs w:val="20"/>
              </w:rPr>
            </w:pPr>
            <w:r>
              <w:rPr>
                <w:rFonts w:cs="Arial"/>
                <w:szCs w:val="20"/>
              </w:rPr>
              <w:t>Distribution of funds will commence in 2024 and will continue until 2029. Planning and assessment of schools commences in 2022 and continues in 2023.</w:t>
            </w:r>
          </w:p>
          <w:p w14:paraId="1E4AAA9F" w14:textId="77777777" w:rsidR="002F15AA" w:rsidRPr="000F1ECD" w:rsidRDefault="002F15AA" w:rsidP="00C07F61">
            <w:pPr>
              <w:jc w:val="both"/>
              <w:rPr>
                <w:rFonts w:cs="Arial"/>
                <w:b/>
                <w:bCs/>
                <w:szCs w:val="20"/>
              </w:rPr>
            </w:pPr>
            <w:r w:rsidRPr="000F1ECD">
              <w:rPr>
                <w:rFonts w:cs="Arial"/>
                <w:b/>
                <w:bCs/>
                <w:szCs w:val="20"/>
              </w:rPr>
              <w:t>Eligible schools</w:t>
            </w:r>
          </w:p>
          <w:p w14:paraId="318063C3" w14:textId="77777777" w:rsidR="002F15AA" w:rsidRPr="00702E97" w:rsidRDefault="002F15AA" w:rsidP="00C07F61">
            <w:pPr>
              <w:jc w:val="both"/>
              <w:rPr>
                <w:rFonts w:cs="Arial"/>
                <w:szCs w:val="20"/>
              </w:rPr>
            </w:pPr>
            <w:r>
              <w:rPr>
                <w:rFonts w:cs="Arial"/>
                <w:szCs w:val="20"/>
              </w:rPr>
              <w:t>All system represented schools will be eligible for support based on detailed analysis</w:t>
            </w:r>
          </w:p>
        </w:tc>
        <w:tc>
          <w:tcPr>
            <w:tcW w:w="3441" w:type="dxa"/>
            <w:shd w:val="clear" w:color="auto" w:fill="FFFFFF" w:themeFill="background1"/>
          </w:tcPr>
          <w:p w14:paraId="25800D0D" w14:textId="77777777" w:rsidR="002F15AA" w:rsidRDefault="002F15AA" w:rsidP="00C07F61">
            <w:pPr>
              <w:pStyle w:val="ListParagraph"/>
              <w:numPr>
                <w:ilvl w:val="0"/>
                <w:numId w:val="21"/>
              </w:numPr>
              <w:spacing w:after="0" w:line="240" w:lineRule="auto"/>
              <w:ind w:left="360"/>
              <w:rPr>
                <w:rFonts w:ascii="Arial" w:hAnsi="Arial" w:cs="Arial"/>
                <w:sz w:val="20"/>
                <w:szCs w:val="20"/>
              </w:rPr>
            </w:pPr>
            <w:r w:rsidRPr="00447BFB">
              <w:rPr>
                <w:rFonts w:ascii="Arial" w:hAnsi="Arial" w:cs="Arial"/>
                <w:sz w:val="20"/>
                <w:szCs w:val="20"/>
              </w:rPr>
              <w:t>Support for schools adversely affected, preserving and enhancing</w:t>
            </w:r>
            <w:r>
              <w:rPr>
                <w:rFonts w:ascii="Arial" w:hAnsi="Arial" w:cs="Arial"/>
                <w:sz w:val="20"/>
                <w:szCs w:val="20"/>
              </w:rPr>
              <w:t xml:space="preserve"> </w:t>
            </w:r>
            <w:r w:rsidRPr="00447BFB">
              <w:rPr>
                <w:rFonts w:ascii="Arial" w:hAnsi="Arial" w:cs="Arial"/>
                <w:sz w:val="20"/>
                <w:szCs w:val="20"/>
              </w:rPr>
              <w:t>the quality of education a</w:t>
            </w:r>
            <w:r>
              <w:rPr>
                <w:rFonts w:ascii="Arial" w:hAnsi="Arial" w:cs="Arial"/>
                <w:sz w:val="20"/>
                <w:szCs w:val="20"/>
              </w:rPr>
              <w:t>n</w:t>
            </w:r>
            <w:r w:rsidRPr="00447BFB">
              <w:rPr>
                <w:rFonts w:ascii="Arial" w:hAnsi="Arial" w:cs="Arial"/>
                <w:sz w:val="20"/>
                <w:szCs w:val="20"/>
              </w:rPr>
              <w:t>d affordability for communities.</w:t>
            </w:r>
          </w:p>
          <w:p w14:paraId="3C818410" w14:textId="77777777" w:rsidR="002F15AA" w:rsidRPr="00447BFB" w:rsidRDefault="002F15AA" w:rsidP="00C07F61">
            <w:pPr>
              <w:pStyle w:val="ListParagraph"/>
              <w:numPr>
                <w:ilvl w:val="0"/>
                <w:numId w:val="21"/>
              </w:numPr>
              <w:spacing w:after="0" w:line="240" w:lineRule="auto"/>
              <w:ind w:left="360"/>
              <w:rPr>
                <w:rFonts w:ascii="Arial" w:hAnsi="Arial" w:cs="Arial"/>
                <w:sz w:val="20"/>
                <w:szCs w:val="20"/>
              </w:rPr>
            </w:pPr>
            <w:r>
              <w:rPr>
                <w:rFonts w:ascii="Arial" w:hAnsi="Arial" w:cs="Arial"/>
                <w:sz w:val="20"/>
                <w:szCs w:val="20"/>
              </w:rPr>
              <w:t>Development of a negotiated distribution model which will be used to distribute funds in an equitable manner.</w:t>
            </w:r>
          </w:p>
        </w:tc>
        <w:tc>
          <w:tcPr>
            <w:tcW w:w="3441" w:type="dxa"/>
            <w:shd w:val="clear" w:color="auto" w:fill="FFFFFF" w:themeFill="background1"/>
          </w:tcPr>
          <w:p w14:paraId="4FB43992" w14:textId="77777777" w:rsidR="002F15AA" w:rsidRPr="00447BFB" w:rsidRDefault="002F15AA" w:rsidP="00EF076A">
            <w:pPr>
              <w:pStyle w:val="ListParagraph"/>
              <w:numPr>
                <w:ilvl w:val="0"/>
                <w:numId w:val="21"/>
              </w:numPr>
              <w:ind w:left="404"/>
              <w:jc w:val="both"/>
              <w:rPr>
                <w:rFonts w:ascii="Arial" w:hAnsi="Arial" w:cs="Arial"/>
                <w:sz w:val="20"/>
                <w:szCs w:val="20"/>
              </w:rPr>
            </w:pPr>
            <w:r w:rsidRPr="00447BFB">
              <w:rPr>
                <w:rFonts w:ascii="Arial" w:hAnsi="Arial" w:cs="Arial"/>
                <w:sz w:val="20"/>
                <w:szCs w:val="20"/>
              </w:rPr>
              <w:t>Names of schools supported</w:t>
            </w:r>
          </w:p>
          <w:p w14:paraId="5011751F" w14:textId="77777777" w:rsidR="002F15AA" w:rsidRPr="00447BFB" w:rsidRDefault="002F15AA" w:rsidP="00EF076A">
            <w:pPr>
              <w:pStyle w:val="ListParagraph"/>
              <w:numPr>
                <w:ilvl w:val="0"/>
                <w:numId w:val="21"/>
              </w:numPr>
              <w:ind w:left="404"/>
              <w:jc w:val="both"/>
              <w:rPr>
                <w:rFonts w:ascii="Arial" w:hAnsi="Arial" w:cs="Arial"/>
                <w:sz w:val="20"/>
                <w:szCs w:val="20"/>
              </w:rPr>
            </w:pPr>
            <w:r w:rsidRPr="00447BFB">
              <w:rPr>
                <w:rFonts w:ascii="Arial" w:hAnsi="Arial" w:cs="Arial"/>
                <w:sz w:val="20"/>
                <w:szCs w:val="20"/>
              </w:rPr>
              <w:t>Amounts provided</w:t>
            </w:r>
          </w:p>
          <w:p w14:paraId="48C7135B" w14:textId="77777777" w:rsidR="002F15AA" w:rsidRPr="00447BFB" w:rsidRDefault="002F15AA" w:rsidP="00EF076A">
            <w:pPr>
              <w:pStyle w:val="ListParagraph"/>
              <w:numPr>
                <w:ilvl w:val="0"/>
                <w:numId w:val="21"/>
              </w:numPr>
              <w:ind w:left="404"/>
              <w:jc w:val="both"/>
              <w:rPr>
                <w:rFonts w:ascii="Arial" w:hAnsi="Arial" w:cs="Arial"/>
                <w:b/>
                <w:bCs/>
                <w:sz w:val="20"/>
                <w:szCs w:val="20"/>
              </w:rPr>
            </w:pPr>
            <w:r w:rsidRPr="00447BFB">
              <w:rPr>
                <w:rFonts w:ascii="Arial" w:hAnsi="Arial" w:cs="Arial"/>
                <w:sz w:val="20"/>
                <w:szCs w:val="20"/>
              </w:rPr>
              <w:t>Indicators – enrolments, fee</w:t>
            </w:r>
            <w:r>
              <w:rPr>
                <w:rFonts w:ascii="Arial" w:hAnsi="Arial" w:cs="Arial"/>
                <w:sz w:val="20"/>
                <w:szCs w:val="20"/>
              </w:rPr>
              <w:t xml:space="preserve"> </w:t>
            </w:r>
            <w:r w:rsidRPr="00447BFB">
              <w:rPr>
                <w:rFonts w:ascii="Arial" w:hAnsi="Arial" w:cs="Arial"/>
                <w:sz w:val="20"/>
                <w:szCs w:val="20"/>
              </w:rPr>
              <w:t>increases etc that provide some evidence of impact</w:t>
            </w:r>
          </w:p>
        </w:tc>
      </w:tr>
      <w:bookmarkEnd w:id="10"/>
    </w:tbl>
    <w:p w14:paraId="2F3D2131" w14:textId="77777777" w:rsidR="002F15AA" w:rsidRDefault="002F15AA" w:rsidP="002F15AA">
      <w:pPr>
        <w:spacing w:line="240" w:lineRule="auto"/>
        <w:rPr>
          <w:rFonts w:cstheme="minorHAnsi"/>
          <w:b/>
          <w:u w:val="single"/>
        </w:rPr>
      </w:pPr>
    </w:p>
    <w:p w14:paraId="572F1038" w14:textId="77777777" w:rsidR="002F15AA" w:rsidRDefault="002F15AA" w:rsidP="002F15AA">
      <w:pPr>
        <w:spacing w:line="240" w:lineRule="auto"/>
        <w:rPr>
          <w:rFonts w:cstheme="minorHAnsi"/>
          <w:b/>
          <w:u w:val="single"/>
        </w:rPr>
      </w:pPr>
    </w:p>
    <w:p w14:paraId="438E0FC2" w14:textId="77777777" w:rsidR="002F15AA" w:rsidRDefault="002F15AA" w:rsidP="002F15AA">
      <w:pPr>
        <w:spacing w:line="240" w:lineRule="auto"/>
        <w:rPr>
          <w:rFonts w:cstheme="minorHAnsi"/>
          <w:b/>
          <w:u w:val="single"/>
        </w:rPr>
      </w:pPr>
    </w:p>
    <w:p w14:paraId="3BFF5008" w14:textId="77777777" w:rsidR="002F15AA" w:rsidRDefault="002F15AA" w:rsidP="002F15AA">
      <w:pPr>
        <w:spacing w:line="240" w:lineRule="auto"/>
        <w:rPr>
          <w:rFonts w:cstheme="minorHAnsi"/>
          <w:b/>
          <w:u w:val="single"/>
        </w:rPr>
      </w:pPr>
    </w:p>
    <w:p w14:paraId="4CAE127B" w14:textId="77777777" w:rsidR="002F15AA" w:rsidRDefault="002F15AA" w:rsidP="002F15AA">
      <w:pPr>
        <w:spacing w:line="240" w:lineRule="auto"/>
        <w:rPr>
          <w:rFonts w:cstheme="minorHAnsi"/>
          <w:b/>
          <w:u w:val="single"/>
        </w:rPr>
      </w:pPr>
    </w:p>
    <w:p w14:paraId="4D07CEC7" w14:textId="77777777" w:rsidR="002F15AA" w:rsidRDefault="002F15AA" w:rsidP="002F15AA">
      <w:pPr>
        <w:spacing w:line="240" w:lineRule="auto"/>
        <w:rPr>
          <w:rFonts w:cstheme="minorHAnsi"/>
          <w:b/>
          <w:u w:val="single"/>
        </w:rPr>
      </w:pPr>
    </w:p>
    <w:p w14:paraId="3F9476D1" w14:textId="77777777" w:rsidR="002F15AA" w:rsidRDefault="002F15AA" w:rsidP="002F15AA">
      <w:pPr>
        <w:spacing w:line="240" w:lineRule="auto"/>
        <w:rPr>
          <w:rFonts w:cstheme="minorHAnsi"/>
          <w:b/>
          <w:u w:val="single"/>
        </w:rPr>
      </w:pPr>
    </w:p>
    <w:p w14:paraId="3D9F178D" w14:textId="0DF168C7" w:rsidR="002F15AA" w:rsidRDefault="002F15AA" w:rsidP="002F15AA">
      <w:pPr>
        <w:spacing w:line="240" w:lineRule="auto"/>
        <w:rPr>
          <w:rFonts w:cstheme="minorHAnsi"/>
          <w:b/>
          <w:u w:val="single"/>
        </w:rPr>
      </w:pPr>
    </w:p>
    <w:p w14:paraId="014D648D" w14:textId="111728ED" w:rsidR="002F15AA" w:rsidRDefault="002F15AA" w:rsidP="002F15AA">
      <w:pPr>
        <w:spacing w:line="240" w:lineRule="auto"/>
        <w:rPr>
          <w:rFonts w:cstheme="minorHAnsi"/>
          <w:b/>
          <w:u w:val="single"/>
        </w:rPr>
      </w:pPr>
    </w:p>
    <w:p w14:paraId="4089CC50" w14:textId="77777777" w:rsidR="002F15AA" w:rsidRDefault="002F15AA" w:rsidP="002F15AA">
      <w:pPr>
        <w:spacing w:line="240" w:lineRule="auto"/>
        <w:rPr>
          <w:rFonts w:cstheme="minorHAnsi"/>
          <w:b/>
          <w:u w:val="single"/>
        </w:rPr>
      </w:pPr>
    </w:p>
    <w:p w14:paraId="1B575E15" w14:textId="77777777" w:rsidR="002F15AA" w:rsidRDefault="002F15AA" w:rsidP="002F15AA">
      <w:pPr>
        <w:spacing w:line="240" w:lineRule="auto"/>
        <w:rPr>
          <w:rFonts w:cstheme="minorHAnsi"/>
          <w:b/>
          <w:u w:val="single"/>
        </w:rPr>
      </w:pPr>
    </w:p>
    <w:p w14:paraId="01C107A7" w14:textId="77777777" w:rsidR="002F15AA" w:rsidRDefault="002F15AA" w:rsidP="002F15AA">
      <w:pPr>
        <w:spacing w:line="240" w:lineRule="auto"/>
        <w:rPr>
          <w:rFonts w:cstheme="minorHAnsi"/>
          <w:b/>
          <w:u w:val="single"/>
        </w:rPr>
      </w:pPr>
      <w:r>
        <w:rPr>
          <w:rFonts w:cstheme="minorHAnsi"/>
          <w:b/>
          <w:u w:val="single"/>
        </w:rPr>
        <w:t>PRIORITY B – TRANSITION ASSISTANCE – REGIONAL</w:t>
      </w:r>
    </w:p>
    <w:p w14:paraId="654F31BC" w14:textId="77777777" w:rsidR="002F15AA" w:rsidRDefault="002F15AA" w:rsidP="002F15AA">
      <w:pPr>
        <w:spacing w:line="240" w:lineRule="auto"/>
        <w:rPr>
          <w:rFonts w:cstheme="minorHAnsi"/>
          <w:b/>
          <w:u w:val="single"/>
        </w:rPr>
      </w:pPr>
    </w:p>
    <w:tbl>
      <w:tblPr>
        <w:tblStyle w:val="TableGrid"/>
        <w:tblW w:w="0" w:type="auto"/>
        <w:tblLook w:val="04A0" w:firstRow="1" w:lastRow="0" w:firstColumn="1" w:lastColumn="0" w:noHBand="0" w:noVBand="1"/>
      </w:tblPr>
      <w:tblGrid>
        <w:gridCol w:w="3441"/>
        <w:gridCol w:w="3441"/>
        <w:gridCol w:w="3441"/>
      </w:tblGrid>
      <w:tr w:rsidR="008343BF" w:rsidRPr="0020113D" w14:paraId="257C1D3F" w14:textId="77777777" w:rsidTr="00CB2C68">
        <w:trPr>
          <w:tblHeader/>
        </w:trPr>
        <w:tc>
          <w:tcPr>
            <w:tcW w:w="10323" w:type="dxa"/>
            <w:gridSpan w:val="3"/>
            <w:shd w:val="clear" w:color="auto" w:fill="D9D9D9" w:themeFill="background1" w:themeFillShade="D9"/>
          </w:tcPr>
          <w:p w14:paraId="2A33EF9D" w14:textId="0469E964" w:rsidR="008343BF" w:rsidRPr="00FE2E35" w:rsidRDefault="008343BF" w:rsidP="00C07F61">
            <w:pPr>
              <w:spacing w:line="240" w:lineRule="auto"/>
              <w:ind w:left="360"/>
              <w:jc w:val="center"/>
              <w:rPr>
                <w:rFonts w:cstheme="minorHAnsi"/>
                <w:b/>
              </w:rPr>
            </w:pPr>
            <w:r w:rsidRPr="00FE2E35">
              <w:rPr>
                <w:rFonts w:cstheme="minorHAnsi"/>
                <w:b/>
              </w:rPr>
              <w:t>Transition Funding Project – Regional schools</w:t>
            </w:r>
          </w:p>
        </w:tc>
      </w:tr>
      <w:tr w:rsidR="002F15AA" w:rsidRPr="0020113D" w14:paraId="01134D74" w14:textId="77777777" w:rsidTr="00EF076A">
        <w:trPr>
          <w:tblHeader/>
        </w:trPr>
        <w:tc>
          <w:tcPr>
            <w:tcW w:w="3441" w:type="dxa"/>
            <w:shd w:val="clear" w:color="auto" w:fill="FFFFFF" w:themeFill="background1"/>
          </w:tcPr>
          <w:p w14:paraId="257AD11B" w14:textId="77777777" w:rsidR="002F15AA" w:rsidRPr="00A9330B" w:rsidRDefault="002F15AA" w:rsidP="00C07F61">
            <w:pPr>
              <w:spacing w:after="0"/>
              <w:ind w:right="57"/>
              <w:rPr>
                <w:rFonts w:cs="Arial"/>
                <w:szCs w:val="20"/>
              </w:rPr>
            </w:pPr>
            <w:bookmarkStart w:id="11" w:name="_Hlk86219070"/>
            <w:r w:rsidRPr="00A9330B">
              <w:rPr>
                <w:rFonts w:cs="Arial"/>
                <w:szCs w:val="20"/>
              </w:rPr>
              <w:t xml:space="preserve">Description, Timeframe, </w:t>
            </w:r>
          </w:p>
          <w:p w14:paraId="73B4BCC4" w14:textId="77777777" w:rsidR="002F15AA" w:rsidRPr="0020113D" w:rsidRDefault="002F15AA" w:rsidP="00C07F61">
            <w:pPr>
              <w:spacing w:line="240" w:lineRule="auto"/>
              <w:rPr>
                <w:rFonts w:cstheme="minorHAnsi"/>
                <w:b/>
              </w:rPr>
            </w:pPr>
            <w:r w:rsidRPr="00A9330B">
              <w:rPr>
                <w:rFonts w:cs="Arial"/>
                <w:szCs w:val="20"/>
              </w:rPr>
              <w:t>Eligible Schools</w:t>
            </w:r>
          </w:p>
        </w:tc>
        <w:tc>
          <w:tcPr>
            <w:tcW w:w="3441" w:type="dxa"/>
            <w:shd w:val="clear" w:color="auto" w:fill="FFFFFF" w:themeFill="background1"/>
          </w:tcPr>
          <w:p w14:paraId="77BAA1BD" w14:textId="77777777" w:rsidR="002F15AA" w:rsidRDefault="002F15AA" w:rsidP="00EF076A">
            <w:pPr>
              <w:spacing w:line="240" w:lineRule="auto"/>
              <w:jc w:val="both"/>
              <w:rPr>
                <w:rFonts w:cstheme="minorHAnsi"/>
                <w:bCs/>
              </w:rPr>
            </w:pPr>
            <w:r w:rsidRPr="00FE2E35">
              <w:rPr>
                <w:rFonts w:cs="Arial"/>
                <w:szCs w:val="20"/>
              </w:rPr>
              <w:t>Outcomes/objectives</w:t>
            </w:r>
          </w:p>
        </w:tc>
        <w:tc>
          <w:tcPr>
            <w:tcW w:w="3441" w:type="dxa"/>
            <w:shd w:val="clear" w:color="auto" w:fill="FFFFFF" w:themeFill="background1"/>
          </w:tcPr>
          <w:p w14:paraId="4DDBB749" w14:textId="77777777" w:rsidR="002F15AA" w:rsidRPr="0020113D" w:rsidRDefault="002F15AA" w:rsidP="00EF076A">
            <w:pPr>
              <w:spacing w:line="240" w:lineRule="auto"/>
              <w:jc w:val="both"/>
              <w:rPr>
                <w:rFonts w:cstheme="minorHAnsi"/>
                <w:bCs/>
              </w:rPr>
            </w:pPr>
            <w:r w:rsidRPr="00FE2E35">
              <w:rPr>
                <w:rFonts w:cs="Arial"/>
                <w:szCs w:val="20"/>
              </w:rPr>
              <w:t>Indicators of Success</w:t>
            </w:r>
          </w:p>
        </w:tc>
      </w:tr>
      <w:tr w:rsidR="002F15AA" w:rsidRPr="0020113D" w14:paraId="382E624C" w14:textId="77777777" w:rsidTr="00EF076A">
        <w:tc>
          <w:tcPr>
            <w:tcW w:w="3441" w:type="dxa"/>
            <w:shd w:val="clear" w:color="auto" w:fill="FFFFFF" w:themeFill="background1"/>
          </w:tcPr>
          <w:p w14:paraId="5C8F1E20" w14:textId="77777777" w:rsidR="002F15AA" w:rsidRPr="00BC5BD1" w:rsidRDefault="002F15AA" w:rsidP="00C07F61">
            <w:pPr>
              <w:spacing w:line="240" w:lineRule="auto"/>
              <w:jc w:val="both"/>
              <w:rPr>
                <w:rFonts w:cstheme="minorHAnsi"/>
                <w:b/>
              </w:rPr>
            </w:pPr>
            <w:bookmarkStart w:id="12" w:name="_Hlk86146880"/>
            <w:bookmarkEnd w:id="11"/>
            <w:r w:rsidRPr="0020113D">
              <w:rPr>
                <w:rFonts w:cstheme="minorHAnsi"/>
                <w:b/>
              </w:rPr>
              <w:t>Details</w:t>
            </w:r>
          </w:p>
          <w:p w14:paraId="79839A4C" w14:textId="77777777" w:rsidR="002F15AA" w:rsidRPr="0020113D" w:rsidRDefault="002F15AA" w:rsidP="00C07F61">
            <w:pPr>
              <w:spacing w:line="240" w:lineRule="auto"/>
              <w:jc w:val="both"/>
              <w:rPr>
                <w:rFonts w:cstheme="minorHAnsi"/>
                <w:bCs/>
              </w:rPr>
            </w:pPr>
            <w:r>
              <w:rPr>
                <w:rFonts w:cstheme="minorHAnsi"/>
                <w:bCs/>
              </w:rPr>
              <w:t xml:space="preserve">This funding will be allocated to smaller regional schools with 150 or less students. This was reflected in the 2020 – 21 Work Plan and is intended to support smaller schools whose size impacts on their capacity to support families and provide the necessary choice in regional centres. A determination was made to provide the same allocation to each school with 150 or fewer students, but </w:t>
            </w:r>
            <w:proofErr w:type="gramStart"/>
            <w:r>
              <w:rPr>
                <w:rFonts w:cstheme="minorHAnsi"/>
                <w:bCs/>
              </w:rPr>
              <w:t>with the exception of</w:t>
            </w:r>
            <w:proofErr w:type="gramEnd"/>
            <w:r>
              <w:rPr>
                <w:rFonts w:cstheme="minorHAnsi"/>
                <w:bCs/>
              </w:rPr>
              <w:t xml:space="preserve"> some Kimberley schools which receive funding from other projects</w:t>
            </w:r>
          </w:p>
          <w:p w14:paraId="48C357C2" w14:textId="77777777" w:rsidR="002F15AA" w:rsidRPr="0020113D" w:rsidRDefault="002F15AA" w:rsidP="00C07F61">
            <w:pPr>
              <w:spacing w:line="240" w:lineRule="auto"/>
              <w:jc w:val="both"/>
              <w:rPr>
                <w:rFonts w:cstheme="minorHAnsi"/>
                <w:b/>
              </w:rPr>
            </w:pPr>
            <w:r w:rsidRPr="0020113D">
              <w:rPr>
                <w:rFonts w:cstheme="minorHAnsi"/>
                <w:b/>
              </w:rPr>
              <w:t>Timeframe</w:t>
            </w:r>
          </w:p>
          <w:p w14:paraId="090A9AF3" w14:textId="77777777" w:rsidR="002F15AA" w:rsidRPr="0020113D" w:rsidRDefault="002F15AA" w:rsidP="00C07F61">
            <w:pPr>
              <w:spacing w:line="240" w:lineRule="auto"/>
              <w:jc w:val="both"/>
              <w:rPr>
                <w:rFonts w:cstheme="minorHAnsi"/>
                <w:bCs/>
              </w:rPr>
            </w:pPr>
            <w:r>
              <w:rPr>
                <w:rFonts w:cstheme="minorHAnsi"/>
                <w:bCs/>
              </w:rPr>
              <w:t>23 schools identified as being eligible; in-</w:t>
            </w:r>
            <w:proofErr w:type="gramStart"/>
            <w:r>
              <w:rPr>
                <w:rFonts w:cstheme="minorHAnsi"/>
                <w:bCs/>
              </w:rPr>
              <w:t>principle</w:t>
            </w:r>
            <w:proofErr w:type="gramEnd"/>
            <w:r>
              <w:rPr>
                <w:rFonts w:cstheme="minorHAnsi"/>
                <w:bCs/>
              </w:rPr>
              <w:t xml:space="preserve"> details provided in October 2021 to assist with school budgeting; allocations commence 2022 – with carryover from 2020 and 2021 – and will continue annually</w:t>
            </w:r>
          </w:p>
          <w:p w14:paraId="76E71E36" w14:textId="77777777" w:rsidR="002F15AA" w:rsidRPr="0020113D" w:rsidRDefault="002F15AA" w:rsidP="00C07F61">
            <w:pPr>
              <w:spacing w:line="240" w:lineRule="auto"/>
              <w:jc w:val="both"/>
              <w:rPr>
                <w:rFonts w:cstheme="minorHAnsi"/>
                <w:b/>
              </w:rPr>
            </w:pPr>
            <w:r w:rsidRPr="0020113D">
              <w:rPr>
                <w:rFonts w:cstheme="minorHAnsi"/>
                <w:b/>
              </w:rPr>
              <w:t>Eligible schools</w:t>
            </w:r>
          </w:p>
          <w:p w14:paraId="1B7EF7D4" w14:textId="77777777" w:rsidR="002F15AA" w:rsidRDefault="002F15AA" w:rsidP="00C07F61">
            <w:pPr>
              <w:spacing w:line="240" w:lineRule="auto"/>
              <w:jc w:val="both"/>
              <w:rPr>
                <w:rFonts w:cstheme="minorHAnsi"/>
                <w:bCs/>
              </w:rPr>
            </w:pPr>
            <w:r w:rsidRPr="0020113D">
              <w:rPr>
                <w:rFonts w:cstheme="minorHAnsi"/>
                <w:bCs/>
              </w:rPr>
              <w:t>A</w:t>
            </w:r>
            <w:r>
              <w:rPr>
                <w:rFonts w:cstheme="minorHAnsi"/>
                <w:bCs/>
              </w:rPr>
              <w:t xml:space="preserve">t this stage – St Martin de </w:t>
            </w:r>
            <w:proofErr w:type="spellStart"/>
            <w:r>
              <w:rPr>
                <w:rFonts w:cstheme="minorHAnsi"/>
                <w:bCs/>
              </w:rPr>
              <w:t>Porres</w:t>
            </w:r>
            <w:proofErr w:type="spellEnd"/>
            <w:r>
              <w:rPr>
                <w:rFonts w:cstheme="minorHAnsi"/>
                <w:bCs/>
              </w:rPr>
              <w:t xml:space="preserve">, Broome; St Joseph’s, Southern Cross; St Joseph’s, Pemberton; St Joseph’s, Moora; St Joseph’s Waroona; St Joseph’s, Wyndham; Sacred Heart, Goomalling; Our Lady of Mt Carmel, Mullewa; St Mary’s, </w:t>
            </w:r>
            <w:proofErr w:type="spellStart"/>
            <w:r>
              <w:rPr>
                <w:rFonts w:cstheme="minorHAnsi"/>
                <w:bCs/>
              </w:rPr>
              <w:t>Boyup</w:t>
            </w:r>
            <w:proofErr w:type="spellEnd"/>
            <w:r>
              <w:rPr>
                <w:rFonts w:cstheme="minorHAnsi"/>
                <w:bCs/>
              </w:rPr>
              <w:t xml:space="preserve"> Brook; St Mary’s, Northampton; St Mary’s, Donnybrook; St Mary’s, Merredin; St Bernard’s, Kojonup; St Patrick’s, Katanning; St Michael’s, Brunswick Junction; Geraldton Flexible Learning Centre, Geraldton; Our Lady Star of the Sea, Esperance; Holy Rosary, Derby; Edmund Rice, Bindoon; St Anne’s, Harvey; St Thomas More, Margaret River; St Matthew’s, Narrogin; St Brigid’s, Bridgetown.</w:t>
            </w:r>
          </w:p>
          <w:p w14:paraId="70F63D61" w14:textId="77777777" w:rsidR="002F15AA" w:rsidRPr="0020113D" w:rsidRDefault="002F15AA" w:rsidP="00C07F61">
            <w:pPr>
              <w:spacing w:line="240" w:lineRule="auto"/>
              <w:rPr>
                <w:rFonts w:cstheme="minorHAnsi"/>
                <w:bCs/>
              </w:rPr>
            </w:pPr>
          </w:p>
        </w:tc>
        <w:tc>
          <w:tcPr>
            <w:tcW w:w="3441" w:type="dxa"/>
            <w:shd w:val="clear" w:color="auto" w:fill="FFFFFF" w:themeFill="background1"/>
          </w:tcPr>
          <w:p w14:paraId="319DA960" w14:textId="5045656A" w:rsidR="002F15AA" w:rsidRDefault="002F15AA" w:rsidP="00EF076A">
            <w:pPr>
              <w:numPr>
                <w:ilvl w:val="0"/>
                <w:numId w:val="21"/>
              </w:numPr>
              <w:spacing w:line="240" w:lineRule="auto"/>
              <w:ind w:left="324"/>
              <w:jc w:val="both"/>
              <w:rPr>
                <w:rFonts w:cstheme="minorHAnsi"/>
                <w:bCs/>
              </w:rPr>
            </w:pPr>
            <w:r>
              <w:rPr>
                <w:rFonts w:cstheme="minorHAnsi"/>
                <w:bCs/>
              </w:rPr>
              <w:t>Assist in maintaining viability</w:t>
            </w:r>
            <w:r w:rsidR="008343BF">
              <w:rPr>
                <w:rFonts w:cstheme="minorHAnsi"/>
                <w:bCs/>
              </w:rPr>
              <w:t xml:space="preserve"> and accessibility</w:t>
            </w:r>
            <w:r>
              <w:rPr>
                <w:rFonts w:cstheme="minorHAnsi"/>
                <w:bCs/>
              </w:rPr>
              <w:t xml:space="preserve"> of schools in declining regional centres</w:t>
            </w:r>
          </w:p>
          <w:p w14:paraId="08779A86" w14:textId="77777777" w:rsidR="002F15AA" w:rsidRDefault="002F15AA" w:rsidP="00EF076A">
            <w:pPr>
              <w:numPr>
                <w:ilvl w:val="0"/>
                <w:numId w:val="21"/>
              </w:numPr>
              <w:spacing w:line="240" w:lineRule="auto"/>
              <w:ind w:left="324"/>
              <w:jc w:val="both"/>
              <w:rPr>
                <w:rFonts w:cstheme="minorHAnsi"/>
                <w:bCs/>
              </w:rPr>
            </w:pPr>
            <w:r>
              <w:rPr>
                <w:rFonts w:cstheme="minorHAnsi"/>
                <w:bCs/>
              </w:rPr>
              <w:t>Assist in maintaining affordability for families, particularly those that require fee support</w:t>
            </w:r>
          </w:p>
          <w:p w14:paraId="6F6FC791" w14:textId="77777777" w:rsidR="002F15AA" w:rsidRPr="0020113D" w:rsidRDefault="002F15AA" w:rsidP="00EF076A">
            <w:pPr>
              <w:numPr>
                <w:ilvl w:val="0"/>
                <w:numId w:val="21"/>
              </w:numPr>
              <w:spacing w:line="240" w:lineRule="auto"/>
              <w:ind w:left="324"/>
              <w:jc w:val="both"/>
              <w:rPr>
                <w:rFonts w:cstheme="minorHAnsi"/>
                <w:bCs/>
              </w:rPr>
            </w:pPr>
            <w:r>
              <w:rPr>
                <w:rFonts w:cstheme="minorHAnsi"/>
                <w:bCs/>
              </w:rPr>
              <w:t>Assist in maintaining the current amenity of the facilities and quality of education</w:t>
            </w:r>
          </w:p>
        </w:tc>
        <w:tc>
          <w:tcPr>
            <w:tcW w:w="3441" w:type="dxa"/>
            <w:shd w:val="clear" w:color="auto" w:fill="FFFFFF" w:themeFill="background1"/>
          </w:tcPr>
          <w:p w14:paraId="2E47EB0E" w14:textId="77777777" w:rsidR="002F15AA" w:rsidRPr="0020113D" w:rsidRDefault="002F15AA" w:rsidP="00EF076A">
            <w:pPr>
              <w:numPr>
                <w:ilvl w:val="0"/>
                <w:numId w:val="21"/>
              </w:numPr>
              <w:spacing w:line="240" w:lineRule="auto"/>
              <w:ind w:left="314"/>
              <w:jc w:val="both"/>
              <w:rPr>
                <w:rFonts w:cstheme="minorHAnsi"/>
                <w:bCs/>
              </w:rPr>
            </w:pPr>
            <w:r w:rsidRPr="0020113D">
              <w:rPr>
                <w:rFonts w:cstheme="minorHAnsi"/>
                <w:bCs/>
              </w:rPr>
              <w:t>Names of schools supported</w:t>
            </w:r>
          </w:p>
          <w:p w14:paraId="181148C9" w14:textId="77777777" w:rsidR="002F15AA" w:rsidRPr="0020113D" w:rsidRDefault="002F15AA" w:rsidP="00EF076A">
            <w:pPr>
              <w:numPr>
                <w:ilvl w:val="0"/>
                <w:numId w:val="21"/>
              </w:numPr>
              <w:spacing w:line="240" w:lineRule="auto"/>
              <w:ind w:left="314"/>
              <w:jc w:val="both"/>
              <w:rPr>
                <w:rFonts w:cstheme="minorHAnsi"/>
                <w:bCs/>
              </w:rPr>
            </w:pPr>
            <w:r w:rsidRPr="0020113D">
              <w:rPr>
                <w:rFonts w:cstheme="minorHAnsi"/>
                <w:bCs/>
              </w:rPr>
              <w:t>Amounts provided</w:t>
            </w:r>
          </w:p>
          <w:p w14:paraId="6A22128C" w14:textId="77777777" w:rsidR="002F15AA" w:rsidRPr="0020113D" w:rsidRDefault="002F15AA" w:rsidP="00EF076A">
            <w:pPr>
              <w:numPr>
                <w:ilvl w:val="0"/>
                <w:numId w:val="21"/>
              </w:numPr>
              <w:spacing w:line="240" w:lineRule="auto"/>
              <w:ind w:left="314"/>
              <w:jc w:val="both"/>
              <w:rPr>
                <w:rFonts w:cstheme="minorHAnsi"/>
                <w:bCs/>
              </w:rPr>
            </w:pPr>
            <w:r w:rsidRPr="0020113D">
              <w:rPr>
                <w:rFonts w:cstheme="minorHAnsi"/>
                <w:bCs/>
              </w:rPr>
              <w:t>Indicators – enrolments, fee increases etc that provide some evidence of impact</w:t>
            </w:r>
            <w:r>
              <w:rPr>
                <w:rFonts w:cstheme="minorHAnsi"/>
                <w:bCs/>
              </w:rPr>
              <w:t xml:space="preserve"> in terms of maintain choice and affordability in that small regional centre</w:t>
            </w:r>
          </w:p>
        </w:tc>
      </w:tr>
      <w:bookmarkEnd w:id="12"/>
    </w:tbl>
    <w:p w14:paraId="243D85A6" w14:textId="7D49E3D0" w:rsidR="003401BB" w:rsidRDefault="003401BB">
      <w:pPr>
        <w:spacing w:before="0" w:after="160" w:line="259" w:lineRule="auto"/>
        <w:rPr>
          <w:rFonts w:cstheme="minorHAnsi"/>
          <w:b/>
          <w:u w:val="single"/>
        </w:rPr>
      </w:pPr>
    </w:p>
    <w:p w14:paraId="673D09EF" w14:textId="21E84166" w:rsidR="003401BB" w:rsidRDefault="003401BB" w:rsidP="003401BB">
      <w:pPr>
        <w:spacing w:line="240" w:lineRule="auto"/>
        <w:rPr>
          <w:rFonts w:cstheme="minorHAnsi"/>
          <w:b/>
          <w:u w:val="single"/>
        </w:rPr>
      </w:pPr>
      <w:r>
        <w:rPr>
          <w:rFonts w:cstheme="minorHAnsi"/>
          <w:b/>
          <w:u w:val="single"/>
        </w:rPr>
        <w:lastRenderedPageBreak/>
        <w:t xml:space="preserve">PRIORITY C – SPECIAL </w:t>
      </w:r>
      <w:r w:rsidR="00245A99">
        <w:rPr>
          <w:rFonts w:cstheme="minorHAnsi"/>
          <w:b/>
          <w:u w:val="single"/>
        </w:rPr>
        <w:t xml:space="preserve">CIRCUMSTANCES </w:t>
      </w:r>
      <w:r>
        <w:rPr>
          <w:rFonts w:cstheme="minorHAnsi"/>
          <w:b/>
          <w:u w:val="single"/>
        </w:rPr>
        <w:t>FUNDING</w:t>
      </w:r>
    </w:p>
    <w:p w14:paraId="2BB30236" w14:textId="77777777" w:rsidR="003401BB" w:rsidRDefault="003401BB" w:rsidP="003401BB">
      <w:pPr>
        <w:spacing w:line="240" w:lineRule="auto"/>
        <w:rPr>
          <w:rFonts w:cstheme="minorHAnsi"/>
          <w:b/>
          <w:u w:val="single"/>
        </w:rPr>
      </w:pPr>
    </w:p>
    <w:p w14:paraId="0D688E76" w14:textId="77777777" w:rsidR="003401BB" w:rsidRDefault="003401BB" w:rsidP="003401BB">
      <w:pPr>
        <w:spacing w:after="0" w:line="240" w:lineRule="auto"/>
        <w:jc w:val="both"/>
        <w:rPr>
          <w:rFonts w:cs="Arial"/>
        </w:rPr>
      </w:pPr>
      <w:r>
        <w:rPr>
          <w:rFonts w:cs="Arial"/>
        </w:rPr>
        <w:t>CEWA is not specifically allocating funding to this priority and will adopt a responsive approach if a circumstance/s arise. It is anticipated that such circumstances may arise as a result of ongoing impacts of COVID-19; these impacts are likely to include student wellbeing support, particularly in vulnerable communities, as well as financial support for some schools where unemployment and economic circumstances may necessitate support to maintain choice and affordability for parents.</w:t>
      </w:r>
    </w:p>
    <w:p w14:paraId="7F2E0B39" w14:textId="77777777" w:rsidR="003401BB" w:rsidRDefault="003401BB" w:rsidP="003401BB">
      <w:pPr>
        <w:spacing w:after="0" w:line="240" w:lineRule="auto"/>
        <w:jc w:val="both"/>
        <w:rPr>
          <w:rFonts w:cs="Arial"/>
        </w:rPr>
      </w:pPr>
      <w:r w:rsidRPr="003264F7">
        <w:rPr>
          <w:rFonts w:cs="Arial"/>
        </w:rPr>
        <w:t xml:space="preserve">It is also important to note that CEWA is a cohesive system of </w:t>
      </w:r>
      <w:r>
        <w:rPr>
          <w:rFonts w:cs="Arial"/>
        </w:rPr>
        <w:t>represented</w:t>
      </w:r>
      <w:r w:rsidRPr="003264F7">
        <w:rPr>
          <w:rFonts w:cs="Arial"/>
        </w:rPr>
        <w:t xml:space="preserve"> schools in Western Australia</w:t>
      </w:r>
      <w:r>
        <w:rPr>
          <w:rFonts w:cs="Arial"/>
        </w:rPr>
        <w:t xml:space="preserve">. Several processes and capacity </w:t>
      </w:r>
      <w:proofErr w:type="gramStart"/>
      <w:r>
        <w:rPr>
          <w:rFonts w:cs="Arial"/>
        </w:rPr>
        <w:t>exists</w:t>
      </w:r>
      <w:proofErr w:type="gramEnd"/>
      <w:r>
        <w:rPr>
          <w:rFonts w:cs="Arial"/>
        </w:rPr>
        <w:t xml:space="preserve"> to support individual schools or categories of schools through system funding loadings, co-responsibility and cross subsidisation and special funding and support arrangements where special circumstances arise. An example was the catastrophic flooding of the </w:t>
      </w:r>
      <w:proofErr w:type="spellStart"/>
      <w:r>
        <w:rPr>
          <w:rFonts w:cs="Arial"/>
        </w:rPr>
        <w:t>Warmun</w:t>
      </w:r>
      <w:proofErr w:type="spellEnd"/>
      <w:r>
        <w:rPr>
          <w:rFonts w:cs="Arial"/>
        </w:rPr>
        <w:t xml:space="preserve"> community in the Kimberley four years ago where significant funding was provided to support the school and community.</w:t>
      </w:r>
    </w:p>
    <w:p w14:paraId="2471790D" w14:textId="77777777" w:rsidR="003401BB" w:rsidRPr="001B2811" w:rsidRDefault="003401BB" w:rsidP="003401BB">
      <w:pPr>
        <w:spacing w:after="0" w:line="240" w:lineRule="auto"/>
        <w:jc w:val="both"/>
        <w:rPr>
          <w:rFonts w:cs="Arial"/>
        </w:rPr>
      </w:pPr>
      <w:r>
        <w:rPr>
          <w:rFonts w:cs="Arial"/>
        </w:rPr>
        <w:t>CEWA is therefore in a strong position to be agile and responsive in the provision of support in unforeseen and special circumstances, both through CAF and systemic support.</w:t>
      </w:r>
    </w:p>
    <w:p w14:paraId="303DBE91" w14:textId="77777777" w:rsidR="003401BB" w:rsidRDefault="003401BB" w:rsidP="003401BB">
      <w:pPr>
        <w:spacing w:line="240" w:lineRule="auto"/>
        <w:rPr>
          <w:rFonts w:cstheme="minorHAnsi"/>
          <w:b/>
          <w:u w:val="single"/>
        </w:rPr>
      </w:pPr>
    </w:p>
    <w:tbl>
      <w:tblPr>
        <w:tblStyle w:val="TableGrid"/>
        <w:tblW w:w="0" w:type="auto"/>
        <w:tblLook w:val="04A0" w:firstRow="1" w:lastRow="0" w:firstColumn="1" w:lastColumn="0" w:noHBand="0" w:noVBand="1"/>
      </w:tblPr>
      <w:tblGrid>
        <w:gridCol w:w="3441"/>
        <w:gridCol w:w="3441"/>
        <w:gridCol w:w="3441"/>
      </w:tblGrid>
      <w:tr w:rsidR="008343BF" w:rsidRPr="0020113D" w14:paraId="4DA84B4F" w14:textId="77777777" w:rsidTr="00E640B6">
        <w:tc>
          <w:tcPr>
            <w:tcW w:w="10323" w:type="dxa"/>
            <w:gridSpan w:val="3"/>
            <w:shd w:val="clear" w:color="auto" w:fill="D9D9D9" w:themeFill="background1" w:themeFillShade="D9"/>
          </w:tcPr>
          <w:p w14:paraId="4BC48828" w14:textId="396BC45E" w:rsidR="008343BF" w:rsidRPr="009441BA" w:rsidRDefault="008343BF" w:rsidP="00C07F61">
            <w:pPr>
              <w:spacing w:line="240" w:lineRule="auto"/>
              <w:ind w:left="360"/>
              <w:jc w:val="center"/>
              <w:rPr>
                <w:rFonts w:cstheme="minorHAnsi"/>
                <w:b/>
              </w:rPr>
            </w:pPr>
            <w:r w:rsidRPr="009441BA">
              <w:rPr>
                <w:rFonts w:cstheme="minorHAnsi"/>
                <w:b/>
              </w:rPr>
              <w:t xml:space="preserve">Special </w:t>
            </w:r>
            <w:r w:rsidR="00245A99">
              <w:rPr>
                <w:rFonts w:cstheme="minorHAnsi"/>
                <w:b/>
              </w:rPr>
              <w:t>Circumstances</w:t>
            </w:r>
            <w:r w:rsidR="00245A99" w:rsidRPr="009441BA">
              <w:rPr>
                <w:rFonts w:cstheme="minorHAnsi"/>
                <w:b/>
              </w:rPr>
              <w:t xml:space="preserve"> </w:t>
            </w:r>
            <w:r w:rsidRPr="009441BA">
              <w:rPr>
                <w:rFonts w:cstheme="minorHAnsi"/>
                <w:b/>
              </w:rPr>
              <w:t>Funding</w:t>
            </w:r>
          </w:p>
        </w:tc>
      </w:tr>
      <w:tr w:rsidR="003401BB" w:rsidRPr="0020113D" w14:paraId="7B49794A" w14:textId="77777777" w:rsidTr="00EF076A">
        <w:tc>
          <w:tcPr>
            <w:tcW w:w="3441" w:type="dxa"/>
            <w:shd w:val="clear" w:color="auto" w:fill="FFFFFF" w:themeFill="background1"/>
          </w:tcPr>
          <w:p w14:paraId="4C5DFB4D" w14:textId="77777777" w:rsidR="003401BB" w:rsidRPr="00A9330B" w:rsidRDefault="003401BB" w:rsidP="00C07F61">
            <w:pPr>
              <w:spacing w:after="0"/>
              <w:ind w:right="57"/>
              <w:rPr>
                <w:rFonts w:cs="Arial"/>
                <w:szCs w:val="20"/>
              </w:rPr>
            </w:pPr>
            <w:r w:rsidRPr="00A9330B">
              <w:rPr>
                <w:rFonts w:cs="Arial"/>
                <w:szCs w:val="20"/>
              </w:rPr>
              <w:t xml:space="preserve">Description, Timeframe, </w:t>
            </w:r>
          </w:p>
          <w:p w14:paraId="4C7E9E80" w14:textId="77777777" w:rsidR="003401BB" w:rsidRPr="0020113D" w:rsidRDefault="003401BB" w:rsidP="00C07F61">
            <w:pPr>
              <w:spacing w:line="240" w:lineRule="auto"/>
              <w:rPr>
                <w:rFonts w:cstheme="minorHAnsi"/>
                <w:b/>
              </w:rPr>
            </w:pPr>
            <w:r w:rsidRPr="00A9330B">
              <w:rPr>
                <w:rFonts w:cs="Arial"/>
                <w:szCs w:val="20"/>
              </w:rPr>
              <w:t>Eligible Schools</w:t>
            </w:r>
          </w:p>
        </w:tc>
        <w:tc>
          <w:tcPr>
            <w:tcW w:w="3441" w:type="dxa"/>
            <w:shd w:val="clear" w:color="auto" w:fill="FFFFFF" w:themeFill="background1"/>
          </w:tcPr>
          <w:p w14:paraId="30937310" w14:textId="77777777" w:rsidR="003401BB" w:rsidRDefault="003401BB" w:rsidP="00EF076A">
            <w:pPr>
              <w:spacing w:line="240" w:lineRule="auto"/>
              <w:jc w:val="both"/>
              <w:rPr>
                <w:rFonts w:cstheme="minorHAnsi"/>
                <w:bCs/>
              </w:rPr>
            </w:pPr>
            <w:r w:rsidRPr="00FE2E35">
              <w:rPr>
                <w:rFonts w:cs="Arial"/>
                <w:szCs w:val="20"/>
              </w:rPr>
              <w:t>Outcomes/objectives</w:t>
            </w:r>
          </w:p>
        </w:tc>
        <w:tc>
          <w:tcPr>
            <w:tcW w:w="3441" w:type="dxa"/>
            <w:shd w:val="clear" w:color="auto" w:fill="FFFFFF" w:themeFill="background1"/>
          </w:tcPr>
          <w:p w14:paraId="23B1E922" w14:textId="77777777" w:rsidR="003401BB" w:rsidRPr="0020113D" w:rsidRDefault="003401BB" w:rsidP="00EF076A">
            <w:pPr>
              <w:spacing w:line="240" w:lineRule="auto"/>
              <w:jc w:val="both"/>
              <w:rPr>
                <w:rFonts w:cstheme="minorHAnsi"/>
                <w:bCs/>
              </w:rPr>
            </w:pPr>
            <w:r w:rsidRPr="00FE2E35">
              <w:rPr>
                <w:rFonts w:cs="Arial"/>
                <w:szCs w:val="20"/>
              </w:rPr>
              <w:t>Indicators of Success</w:t>
            </w:r>
          </w:p>
        </w:tc>
      </w:tr>
      <w:tr w:rsidR="003401BB" w:rsidRPr="0020113D" w14:paraId="76678AEF" w14:textId="77777777" w:rsidTr="00EF076A">
        <w:tc>
          <w:tcPr>
            <w:tcW w:w="3441" w:type="dxa"/>
            <w:shd w:val="clear" w:color="auto" w:fill="FFFFFF" w:themeFill="background1"/>
          </w:tcPr>
          <w:p w14:paraId="4CBF1813" w14:textId="77777777" w:rsidR="003401BB" w:rsidRPr="00BC5BD1" w:rsidRDefault="003401BB" w:rsidP="00C07F61">
            <w:pPr>
              <w:spacing w:line="240" w:lineRule="auto"/>
              <w:jc w:val="both"/>
              <w:rPr>
                <w:rFonts w:cstheme="minorHAnsi"/>
                <w:b/>
              </w:rPr>
            </w:pPr>
            <w:r w:rsidRPr="0020113D">
              <w:rPr>
                <w:rFonts w:cstheme="minorHAnsi"/>
                <w:b/>
              </w:rPr>
              <w:t>Details</w:t>
            </w:r>
          </w:p>
          <w:p w14:paraId="5A0B650C" w14:textId="77777777" w:rsidR="003401BB" w:rsidRPr="0020113D" w:rsidRDefault="003401BB" w:rsidP="00C07F61">
            <w:pPr>
              <w:spacing w:line="240" w:lineRule="auto"/>
              <w:jc w:val="both"/>
              <w:rPr>
                <w:rFonts w:cstheme="minorHAnsi"/>
                <w:bCs/>
              </w:rPr>
            </w:pPr>
            <w:r>
              <w:rPr>
                <w:rFonts w:cstheme="minorHAnsi"/>
                <w:bCs/>
              </w:rPr>
              <w:t>Funds are not specifically reserved for this purpose but as outlined above, CEWA will provide support to any school impacted by a significant event which would include specialist staff, including IT and capital development consultants, also ensuring quick processing of insurance claims if applicable. CAF support will be applied immediately and CEWA will underwrite the allocation in advance, if necessary, in collaboration with AGDESE; this will assist in maintaining continuity with existing projects.</w:t>
            </w:r>
          </w:p>
          <w:p w14:paraId="02305687" w14:textId="77777777" w:rsidR="003401BB" w:rsidRPr="0020113D" w:rsidRDefault="003401BB" w:rsidP="00C07F61">
            <w:pPr>
              <w:spacing w:line="240" w:lineRule="auto"/>
              <w:jc w:val="both"/>
              <w:rPr>
                <w:rFonts w:cstheme="minorHAnsi"/>
                <w:b/>
              </w:rPr>
            </w:pPr>
            <w:r w:rsidRPr="0020113D">
              <w:rPr>
                <w:rFonts w:cstheme="minorHAnsi"/>
                <w:b/>
              </w:rPr>
              <w:t>Timeframe</w:t>
            </w:r>
          </w:p>
          <w:p w14:paraId="1374325E" w14:textId="77777777" w:rsidR="003401BB" w:rsidRPr="0020113D" w:rsidRDefault="003401BB" w:rsidP="00C07F61">
            <w:pPr>
              <w:spacing w:line="240" w:lineRule="auto"/>
              <w:jc w:val="both"/>
              <w:rPr>
                <w:rFonts w:cstheme="minorHAnsi"/>
                <w:bCs/>
              </w:rPr>
            </w:pPr>
            <w:r>
              <w:rPr>
                <w:rFonts w:cstheme="minorHAnsi"/>
                <w:bCs/>
              </w:rPr>
              <w:t>An emergency action plan would be implemented by CEWA immediately, including a comprehensive risk assessment in accordance with established procedures</w:t>
            </w:r>
          </w:p>
          <w:p w14:paraId="6BBCF1E7" w14:textId="77777777" w:rsidR="003401BB" w:rsidRDefault="003401BB" w:rsidP="00C07F61">
            <w:pPr>
              <w:spacing w:line="240" w:lineRule="auto"/>
              <w:jc w:val="both"/>
              <w:rPr>
                <w:rFonts w:cstheme="minorHAnsi"/>
                <w:b/>
              </w:rPr>
            </w:pPr>
            <w:r w:rsidRPr="0020113D">
              <w:rPr>
                <w:rFonts w:cstheme="minorHAnsi"/>
                <w:b/>
              </w:rPr>
              <w:t>Eligible schools</w:t>
            </w:r>
          </w:p>
          <w:p w14:paraId="4A990CC6" w14:textId="77777777" w:rsidR="003401BB" w:rsidRPr="0020113D" w:rsidRDefault="003401BB" w:rsidP="00C07F61">
            <w:pPr>
              <w:spacing w:line="240" w:lineRule="auto"/>
              <w:jc w:val="both"/>
              <w:rPr>
                <w:rFonts w:cstheme="minorHAnsi"/>
                <w:bCs/>
              </w:rPr>
            </w:pPr>
            <w:r w:rsidRPr="00614360">
              <w:rPr>
                <w:rFonts w:cstheme="minorHAnsi"/>
                <w:bCs/>
              </w:rPr>
              <w:t>Available to all schools.</w:t>
            </w:r>
          </w:p>
          <w:p w14:paraId="6C8BEA75" w14:textId="77777777" w:rsidR="003401BB" w:rsidRDefault="003401BB" w:rsidP="00C07F61">
            <w:pPr>
              <w:spacing w:line="240" w:lineRule="auto"/>
              <w:rPr>
                <w:rFonts w:cstheme="minorHAnsi"/>
                <w:bCs/>
              </w:rPr>
            </w:pPr>
            <w:r>
              <w:rPr>
                <w:rFonts w:cstheme="minorHAnsi"/>
                <w:bCs/>
              </w:rPr>
              <w:t>.</w:t>
            </w:r>
          </w:p>
          <w:p w14:paraId="4EAE853C" w14:textId="77777777" w:rsidR="003401BB" w:rsidRPr="0020113D" w:rsidRDefault="003401BB" w:rsidP="00C07F61">
            <w:pPr>
              <w:spacing w:line="240" w:lineRule="auto"/>
              <w:rPr>
                <w:rFonts w:cstheme="minorHAnsi"/>
                <w:bCs/>
              </w:rPr>
            </w:pPr>
          </w:p>
        </w:tc>
        <w:tc>
          <w:tcPr>
            <w:tcW w:w="3441" w:type="dxa"/>
            <w:shd w:val="clear" w:color="auto" w:fill="FFFFFF" w:themeFill="background1"/>
          </w:tcPr>
          <w:p w14:paraId="183A3D05" w14:textId="77777777" w:rsidR="003401BB" w:rsidRDefault="003401BB" w:rsidP="00EF076A">
            <w:pPr>
              <w:numPr>
                <w:ilvl w:val="0"/>
                <w:numId w:val="21"/>
              </w:numPr>
              <w:spacing w:line="240" w:lineRule="auto"/>
              <w:ind w:left="316"/>
              <w:jc w:val="both"/>
              <w:rPr>
                <w:rFonts w:cstheme="minorHAnsi"/>
                <w:bCs/>
              </w:rPr>
            </w:pPr>
            <w:r>
              <w:rPr>
                <w:rFonts w:cstheme="minorHAnsi"/>
                <w:bCs/>
              </w:rPr>
              <w:t>Apply funds and other logistical support to an affected school to enable resumption of teaching and learning asap – which may include temporary access to online support</w:t>
            </w:r>
          </w:p>
          <w:p w14:paraId="0D43A3B7" w14:textId="77777777" w:rsidR="003401BB" w:rsidRDefault="003401BB" w:rsidP="00EF076A">
            <w:pPr>
              <w:numPr>
                <w:ilvl w:val="0"/>
                <w:numId w:val="21"/>
              </w:numPr>
              <w:spacing w:line="240" w:lineRule="auto"/>
              <w:ind w:left="316"/>
              <w:jc w:val="both"/>
              <w:rPr>
                <w:rFonts w:cstheme="minorHAnsi"/>
                <w:bCs/>
              </w:rPr>
            </w:pPr>
            <w:r>
              <w:rPr>
                <w:rFonts w:cstheme="minorHAnsi"/>
                <w:bCs/>
              </w:rPr>
              <w:t>Develop a risk management and school recovery plan which will direct short- and longer-term support processes as appropriate</w:t>
            </w:r>
          </w:p>
          <w:p w14:paraId="76EC4E1D" w14:textId="77777777" w:rsidR="003401BB" w:rsidRPr="0020113D" w:rsidRDefault="003401BB" w:rsidP="00EF076A">
            <w:pPr>
              <w:numPr>
                <w:ilvl w:val="0"/>
                <w:numId w:val="21"/>
              </w:numPr>
              <w:spacing w:line="240" w:lineRule="auto"/>
              <w:ind w:left="316"/>
              <w:jc w:val="both"/>
              <w:rPr>
                <w:rFonts w:cstheme="minorHAnsi"/>
                <w:bCs/>
              </w:rPr>
            </w:pPr>
            <w:r>
              <w:rPr>
                <w:rFonts w:cstheme="minorHAnsi"/>
                <w:bCs/>
              </w:rPr>
              <w:t>Establish a clear liaison and communication process to ensure the needs of the school community are met – particularly important for remote locations</w:t>
            </w:r>
          </w:p>
        </w:tc>
        <w:tc>
          <w:tcPr>
            <w:tcW w:w="3441" w:type="dxa"/>
            <w:shd w:val="clear" w:color="auto" w:fill="FFFFFF" w:themeFill="background1"/>
          </w:tcPr>
          <w:p w14:paraId="627D95EF" w14:textId="77777777" w:rsidR="003401BB" w:rsidRDefault="003401BB" w:rsidP="00EF076A">
            <w:pPr>
              <w:numPr>
                <w:ilvl w:val="0"/>
                <w:numId w:val="21"/>
              </w:numPr>
              <w:spacing w:line="240" w:lineRule="auto"/>
              <w:ind w:left="322"/>
              <w:jc w:val="both"/>
              <w:rPr>
                <w:rFonts w:cstheme="minorHAnsi"/>
                <w:bCs/>
              </w:rPr>
            </w:pPr>
            <w:r w:rsidRPr="0020113D">
              <w:rPr>
                <w:rFonts w:cstheme="minorHAnsi"/>
                <w:bCs/>
              </w:rPr>
              <w:t>Name</w:t>
            </w:r>
            <w:r>
              <w:rPr>
                <w:rFonts w:cstheme="minorHAnsi"/>
                <w:bCs/>
              </w:rPr>
              <w:t xml:space="preserve"> of school involved and details of the nature and impact of the significant event</w:t>
            </w:r>
          </w:p>
          <w:p w14:paraId="06EDE525" w14:textId="77777777" w:rsidR="003401BB" w:rsidRDefault="003401BB" w:rsidP="00EF076A">
            <w:pPr>
              <w:numPr>
                <w:ilvl w:val="0"/>
                <w:numId w:val="21"/>
              </w:numPr>
              <w:spacing w:line="240" w:lineRule="auto"/>
              <w:ind w:left="322"/>
              <w:jc w:val="both"/>
              <w:rPr>
                <w:rFonts w:cstheme="minorHAnsi"/>
                <w:bCs/>
              </w:rPr>
            </w:pPr>
            <w:r>
              <w:rPr>
                <w:rFonts w:cstheme="minorHAnsi"/>
                <w:bCs/>
              </w:rPr>
              <w:t>Details of both CEWA support and CAF support provided</w:t>
            </w:r>
          </w:p>
          <w:p w14:paraId="6F7C5E75" w14:textId="77777777" w:rsidR="003401BB" w:rsidRDefault="003401BB" w:rsidP="00EF076A">
            <w:pPr>
              <w:numPr>
                <w:ilvl w:val="0"/>
                <w:numId w:val="21"/>
              </w:numPr>
              <w:spacing w:line="240" w:lineRule="auto"/>
              <w:ind w:left="322"/>
              <w:jc w:val="both"/>
              <w:rPr>
                <w:rFonts w:cstheme="minorHAnsi"/>
                <w:bCs/>
              </w:rPr>
            </w:pPr>
            <w:r>
              <w:rPr>
                <w:rFonts w:cstheme="minorHAnsi"/>
                <w:bCs/>
              </w:rPr>
              <w:t xml:space="preserve">Details of processes used to </w:t>
            </w:r>
            <w:proofErr w:type="gramStart"/>
            <w:r>
              <w:rPr>
                <w:rFonts w:cstheme="minorHAnsi"/>
                <w:bCs/>
              </w:rPr>
              <w:t>provide assistance</w:t>
            </w:r>
            <w:proofErr w:type="gramEnd"/>
            <w:r>
              <w:rPr>
                <w:rFonts w:cstheme="minorHAnsi"/>
                <w:bCs/>
              </w:rPr>
              <w:t xml:space="preserve"> including timelines for continuance of education provision</w:t>
            </w:r>
          </w:p>
          <w:p w14:paraId="11409A2E" w14:textId="77777777" w:rsidR="003401BB" w:rsidRPr="0020113D" w:rsidRDefault="003401BB" w:rsidP="00EF076A">
            <w:pPr>
              <w:numPr>
                <w:ilvl w:val="0"/>
                <w:numId w:val="21"/>
              </w:numPr>
              <w:spacing w:line="240" w:lineRule="auto"/>
              <w:ind w:left="322"/>
              <w:jc w:val="both"/>
              <w:rPr>
                <w:rFonts w:cstheme="minorHAnsi"/>
                <w:bCs/>
              </w:rPr>
            </w:pPr>
            <w:r>
              <w:rPr>
                <w:rFonts w:cstheme="minorHAnsi"/>
                <w:bCs/>
              </w:rPr>
              <w:t>Details of any longer-term planning and support negotiated with the school</w:t>
            </w:r>
          </w:p>
        </w:tc>
      </w:tr>
    </w:tbl>
    <w:p w14:paraId="0EE23FF2" w14:textId="08C5B857" w:rsidR="00FD7D4F" w:rsidRDefault="00FD7D4F">
      <w:pPr>
        <w:spacing w:before="0" w:after="160" w:line="259" w:lineRule="auto"/>
        <w:rPr>
          <w:rFonts w:cstheme="minorHAnsi"/>
          <w:b/>
          <w:u w:val="single"/>
        </w:rPr>
      </w:pPr>
      <w:r>
        <w:rPr>
          <w:rFonts w:cstheme="minorHAnsi"/>
          <w:b/>
          <w:u w:val="single"/>
        </w:rPr>
        <w:br w:type="page"/>
      </w:r>
    </w:p>
    <w:p w14:paraId="09FC3E52" w14:textId="618001EC" w:rsidR="000B7CE7" w:rsidRDefault="004C7381" w:rsidP="00826AA4">
      <w:pPr>
        <w:spacing w:line="240" w:lineRule="auto"/>
        <w:rPr>
          <w:rFonts w:cstheme="minorHAnsi"/>
          <w:b/>
          <w:u w:val="single"/>
        </w:rPr>
      </w:pPr>
      <w:r w:rsidRPr="003264F7">
        <w:rPr>
          <w:rFonts w:cstheme="minorHAnsi"/>
          <w:b/>
          <w:u w:val="single"/>
        </w:rPr>
        <w:lastRenderedPageBreak/>
        <w:t>PRIORITY D</w:t>
      </w:r>
      <w:r>
        <w:rPr>
          <w:rFonts w:cstheme="minorHAnsi"/>
          <w:b/>
          <w:u w:val="single"/>
        </w:rPr>
        <w:t xml:space="preserve"> – STRENGTHENING OUTCOMES FOR SCHOOLS AND EDUCATIONALLY DISADVANTAGED SCHOOLS AND STUDENTS</w:t>
      </w:r>
    </w:p>
    <w:tbl>
      <w:tblPr>
        <w:tblStyle w:val="TableGrid"/>
        <w:tblW w:w="10323" w:type="dxa"/>
        <w:tblCellMar>
          <w:top w:w="28" w:type="dxa"/>
          <w:bottom w:w="28" w:type="dxa"/>
        </w:tblCellMar>
        <w:tblLook w:val="04A0" w:firstRow="1" w:lastRow="0" w:firstColumn="1" w:lastColumn="0" w:noHBand="0" w:noVBand="1"/>
      </w:tblPr>
      <w:tblGrid>
        <w:gridCol w:w="3441"/>
        <w:gridCol w:w="3441"/>
        <w:gridCol w:w="3441"/>
      </w:tblGrid>
      <w:tr w:rsidR="008343BF" w14:paraId="1C5D1748" w14:textId="77777777" w:rsidTr="002F774E">
        <w:tc>
          <w:tcPr>
            <w:tcW w:w="10323" w:type="dxa"/>
            <w:gridSpan w:val="3"/>
            <w:shd w:val="clear" w:color="auto" w:fill="D9D9D9" w:themeFill="background1" w:themeFillShade="D9"/>
          </w:tcPr>
          <w:p w14:paraId="6DDB97D7" w14:textId="79CBE0C8" w:rsidR="008343BF" w:rsidRPr="009D033F" w:rsidRDefault="008343BF" w:rsidP="009D033F">
            <w:pPr>
              <w:spacing w:after="0" w:line="240" w:lineRule="auto"/>
              <w:jc w:val="center"/>
              <w:rPr>
                <w:rFonts w:cs="Arial"/>
                <w:b/>
                <w:bCs/>
                <w:szCs w:val="20"/>
              </w:rPr>
            </w:pPr>
            <w:r w:rsidRPr="009D033F">
              <w:rPr>
                <w:rFonts w:cs="Arial"/>
                <w:b/>
                <w:bCs/>
                <w:szCs w:val="20"/>
              </w:rPr>
              <w:t>Curriculum and Re</w:t>
            </w:r>
            <w:r>
              <w:rPr>
                <w:rFonts w:cs="Arial"/>
                <w:b/>
                <w:bCs/>
                <w:szCs w:val="20"/>
              </w:rPr>
              <w:t>-</w:t>
            </w:r>
            <w:r w:rsidRPr="009D033F">
              <w:rPr>
                <w:rFonts w:cs="Arial"/>
                <w:b/>
                <w:bCs/>
                <w:szCs w:val="20"/>
              </w:rPr>
              <w:t xml:space="preserve">engagement Education (CARE) </w:t>
            </w:r>
            <w:r>
              <w:rPr>
                <w:rFonts w:cs="Arial"/>
                <w:b/>
                <w:bCs/>
                <w:szCs w:val="20"/>
              </w:rPr>
              <w:t>S</w:t>
            </w:r>
            <w:r w:rsidRPr="009D033F">
              <w:rPr>
                <w:rFonts w:cs="Arial"/>
                <w:b/>
                <w:bCs/>
                <w:szCs w:val="20"/>
              </w:rPr>
              <w:t>ervices</w:t>
            </w:r>
          </w:p>
        </w:tc>
      </w:tr>
      <w:tr w:rsidR="00B00D26" w14:paraId="5445E0FA" w14:textId="77777777" w:rsidTr="00EF076A">
        <w:tc>
          <w:tcPr>
            <w:tcW w:w="3441" w:type="dxa"/>
            <w:shd w:val="clear" w:color="auto" w:fill="FFFFFF" w:themeFill="background1"/>
          </w:tcPr>
          <w:p w14:paraId="4E0F6F08" w14:textId="77777777" w:rsidR="00B00D26" w:rsidRDefault="00B00D26" w:rsidP="00B00D26">
            <w:pPr>
              <w:spacing w:before="0" w:after="0"/>
              <w:ind w:right="57"/>
              <w:jc w:val="both"/>
              <w:rPr>
                <w:rFonts w:cs="Arial"/>
                <w:szCs w:val="20"/>
              </w:rPr>
            </w:pPr>
            <w:r w:rsidRPr="000914E6">
              <w:rPr>
                <w:rFonts w:cs="Arial"/>
                <w:szCs w:val="20"/>
              </w:rPr>
              <w:t xml:space="preserve">Description, Timeframe, </w:t>
            </w:r>
          </w:p>
          <w:p w14:paraId="675EAA68" w14:textId="41235375" w:rsidR="00B00D26" w:rsidRPr="000F1ECD" w:rsidRDefault="00B00D26" w:rsidP="00B00D26">
            <w:pPr>
              <w:ind w:right="57"/>
              <w:jc w:val="both"/>
              <w:rPr>
                <w:rFonts w:cs="Arial"/>
                <w:b/>
                <w:bCs/>
                <w:szCs w:val="20"/>
              </w:rPr>
            </w:pPr>
            <w:r w:rsidRPr="000914E6">
              <w:rPr>
                <w:rFonts w:cs="Arial"/>
                <w:szCs w:val="20"/>
              </w:rPr>
              <w:t>Eligible Schools</w:t>
            </w:r>
          </w:p>
        </w:tc>
        <w:tc>
          <w:tcPr>
            <w:tcW w:w="3441" w:type="dxa"/>
            <w:shd w:val="clear" w:color="auto" w:fill="FFFFFF" w:themeFill="background1"/>
          </w:tcPr>
          <w:p w14:paraId="35BC4ACC" w14:textId="034594BC" w:rsidR="00B00D26" w:rsidRPr="00B00D26" w:rsidRDefault="00B00D26" w:rsidP="00B00D26">
            <w:pPr>
              <w:spacing w:after="0" w:line="240" w:lineRule="auto"/>
              <w:rPr>
                <w:rFonts w:cs="Arial"/>
                <w:szCs w:val="20"/>
              </w:rPr>
            </w:pPr>
            <w:r w:rsidRPr="00B00D26">
              <w:rPr>
                <w:rFonts w:cs="Arial"/>
                <w:szCs w:val="20"/>
              </w:rPr>
              <w:t>Outcomes/objectives</w:t>
            </w:r>
          </w:p>
        </w:tc>
        <w:tc>
          <w:tcPr>
            <w:tcW w:w="3441" w:type="dxa"/>
            <w:shd w:val="clear" w:color="auto" w:fill="FFFFFF" w:themeFill="background1"/>
          </w:tcPr>
          <w:p w14:paraId="138E46FC" w14:textId="1F67B2FC" w:rsidR="00B00D26" w:rsidRPr="00B00D26" w:rsidRDefault="00B00D26" w:rsidP="00B00D26">
            <w:pPr>
              <w:spacing w:after="0" w:line="240" w:lineRule="auto"/>
              <w:rPr>
                <w:rFonts w:cs="Arial"/>
                <w:szCs w:val="20"/>
              </w:rPr>
            </w:pPr>
            <w:r w:rsidRPr="00B00D26">
              <w:rPr>
                <w:rFonts w:cs="Arial"/>
                <w:szCs w:val="20"/>
              </w:rPr>
              <w:t>Indicators of Success</w:t>
            </w:r>
          </w:p>
        </w:tc>
      </w:tr>
      <w:tr w:rsidR="00B00D26" w14:paraId="565398C1" w14:textId="77777777" w:rsidTr="00EF076A">
        <w:tc>
          <w:tcPr>
            <w:tcW w:w="3441" w:type="dxa"/>
            <w:shd w:val="clear" w:color="auto" w:fill="FFFFFF" w:themeFill="background1"/>
          </w:tcPr>
          <w:p w14:paraId="44E2F2D6" w14:textId="77777777" w:rsidR="00B00D26" w:rsidRPr="000F1ECD" w:rsidRDefault="00B00D26" w:rsidP="00B00D26">
            <w:pPr>
              <w:ind w:right="57"/>
              <w:jc w:val="both"/>
              <w:rPr>
                <w:rFonts w:cs="Arial"/>
                <w:b/>
                <w:bCs/>
                <w:szCs w:val="20"/>
              </w:rPr>
            </w:pPr>
            <w:r w:rsidRPr="000F1ECD">
              <w:rPr>
                <w:rFonts w:cs="Arial"/>
                <w:b/>
                <w:bCs/>
                <w:szCs w:val="20"/>
              </w:rPr>
              <w:t>Details</w:t>
            </w:r>
          </w:p>
          <w:p w14:paraId="518ADC79" w14:textId="77777777" w:rsidR="00B00D26" w:rsidRPr="007422E2" w:rsidRDefault="00B00D26" w:rsidP="00B00D26">
            <w:pPr>
              <w:ind w:right="57"/>
              <w:jc w:val="both"/>
              <w:rPr>
                <w:rFonts w:cs="Arial"/>
                <w:szCs w:val="20"/>
              </w:rPr>
            </w:pPr>
            <w:r w:rsidRPr="007422E2">
              <w:rPr>
                <w:rFonts w:cs="Arial"/>
                <w:szCs w:val="20"/>
              </w:rPr>
              <w:t xml:space="preserve">Curriculum and Reengagement Education (CARE) schools cater exclusively for disengaged students who typically have mental and social health issues and are significantly disengaged from mainstream education. CEWA currently operates </w:t>
            </w:r>
            <w:r>
              <w:rPr>
                <w:rFonts w:cs="Arial"/>
                <w:szCs w:val="20"/>
              </w:rPr>
              <w:t>6</w:t>
            </w:r>
            <w:r w:rsidRPr="007422E2">
              <w:rPr>
                <w:rFonts w:cs="Arial"/>
                <w:szCs w:val="20"/>
              </w:rPr>
              <w:t xml:space="preserve"> CARE schools</w:t>
            </w:r>
            <w:r>
              <w:rPr>
                <w:rFonts w:cs="Arial"/>
                <w:szCs w:val="20"/>
              </w:rPr>
              <w:t>.</w:t>
            </w:r>
            <w:r w:rsidRPr="007422E2">
              <w:rPr>
                <w:rFonts w:cs="Arial"/>
                <w:szCs w:val="20"/>
              </w:rPr>
              <w:t xml:space="preserve"> These schools increasingly require wrap around support from staff such as Aboriginal Teacher Assistants and social workers. Support for these schools also recognises the particular issues emergent from COVID-19 in terms of family, economic and student wellbeing. This proposal will involve appointing 1 x ATA and 1 x social worker who will be shared by the metropolitan CARE schools. Support for Broome involves wrap around services etc. Funds will also be provided to the Broome school – St Martin de </w:t>
            </w:r>
            <w:proofErr w:type="spellStart"/>
            <w:r w:rsidRPr="007422E2">
              <w:rPr>
                <w:rFonts w:cs="Arial"/>
                <w:szCs w:val="20"/>
              </w:rPr>
              <w:t>Porres</w:t>
            </w:r>
            <w:proofErr w:type="spellEnd"/>
            <w:r w:rsidRPr="007422E2">
              <w:rPr>
                <w:rFonts w:cs="Arial"/>
                <w:szCs w:val="20"/>
              </w:rPr>
              <w:t xml:space="preserve"> for part FTE ATA and social/youth worker support.</w:t>
            </w:r>
          </w:p>
          <w:p w14:paraId="5738FAE7" w14:textId="77777777" w:rsidR="00B00D26" w:rsidRDefault="00B00D26" w:rsidP="00B00D26">
            <w:pPr>
              <w:jc w:val="both"/>
              <w:rPr>
                <w:rFonts w:cs="Arial"/>
                <w:szCs w:val="20"/>
              </w:rPr>
            </w:pPr>
            <w:r w:rsidRPr="007422E2">
              <w:rPr>
                <w:rFonts w:cs="Arial"/>
                <w:szCs w:val="20"/>
              </w:rPr>
              <w:t>In both the metropolitan and Broome CARE school, funds are provided directly to the schools to employ the staff involved.</w:t>
            </w:r>
          </w:p>
          <w:p w14:paraId="3FFE4DCE" w14:textId="77777777" w:rsidR="00B00D26" w:rsidRDefault="00B00D26" w:rsidP="00B00D26">
            <w:pPr>
              <w:jc w:val="both"/>
              <w:rPr>
                <w:rFonts w:cs="Arial"/>
                <w:b/>
                <w:bCs/>
                <w:szCs w:val="20"/>
              </w:rPr>
            </w:pPr>
            <w:r>
              <w:rPr>
                <w:rFonts w:cs="Arial"/>
                <w:b/>
                <w:bCs/>
                <w:szCs w:val="20"/>
              </w:rPr>
              <w:t>Timeframe</w:t>
            </w:r>
          </w:p>
          <w:p w14:paraId="19FBA22B" w14:textId="77777777" w:rsidR="00B00D26" w:rsidRDefault="00B00D26" w:rsidP="00B00D26">
            <w:pPr>
              <w:jc w:val="both"/>
              <w:rPr>
                <w:rFonts w:cs="Arial"/>
                <w:b/>
                <w:bCs/>
                <w:szCs w:val="20"/>
              </w:rPr>
            </w:pPr>
            <w:r w:rsidRPr="000F1ECD">
              <w:rPr>
                <w:rFonts w:cs="Arial"/>
                <w:szCs w:val="20"/>
              </w:rPr>
              <w:t>Funds</w:t>
            </w:r>
            <w:r>
              <w:rPr>
                <w:rFonts w:cs="Arial"/>
                <w:b/>
                <w:bCs/>
                <w:szCs w:val="20"/>
              </w:rPr>
              <w:t xml:space="preserve"> </w:t>
            </w:r>
            <w:r w:rsidRPr="000F1ECD">
              <w:rPr>
                <w:rFonts w:cs="Arial"/>
                <w:szCs w:val="20"/>
              </w:rPr>
              <w:t>allocated for 2022 school year in the first instance. Planning and indications of what support is required is occurring currently, including possible sharing of staff</w:t>
            </w:r>
            <w:r>
              <w:rPr>
                <w:rFonts w:cs="Arial"/>
                <w:b/>
                <w:bCs/>
                <w:szCs w:val="20"/>
              </w:rPr>
              <w:t>.</w:t>
            </w:r>
          </w:p>
          <w:p w14:paraId="6589064A" w14:textId="77777777" w:rsidR="00B00D26" w:rsidRDefault="00B00D26" w:rsidP="00B00D26">
            <w:pPr>
              <w:jc w:val="both"/>
              <w:rPr>
                <w:rFonts w:cs="Arial"/>
                <w:b/>
                <w:bCs/>
                <w:szCs w:val="20"/>
              </w:rPr>
            </w:pPr>
            <w:r>
              <w:rPr>
                <w:rFonts w:cs="Arial"/>
                <w:b/>
                <w:bCs/>
                <w:szCs w:val="20"/>
              </w:rPr>
              <w:t>Eligible schools</w:t>
            </w:r>
          </w:p>
          <w:p w14:paraId="54C32756" w14:textId="77777777" w:rsidR="00B00D26" w:rsidRPr="000F1ECD" w:rsidRDefault="00B00D26" w:rsidP="00B00D26">
            <w:pPr>
              <w:jc w:val="both"/>
              <w:rPr>
                <w:rFonts w:cs="Arial"/>
                <w:szCs w:val="20"/>
              </w:rPr>
            </w:pPr>
            <w:r>
              <w:rPr>
                <w:rFonts w:cs="Arial"/>
                <w:szCs w:val="20"/>
              </w:rPr>
              <w:t xml:space="preserve">St Clare’s School; St Francis School; Clontarf Aboriginal College; St Martin De </w:t>
            </w:r>
            <w:proofErr w:type="spellStart"/>
            <w:r>
              <w:rPr>
                <w:rFonts w:cs="Arial"/>
                <w:szCs w:val="20"/>
              </w:rPr>
              <w:t>Porres</w:t>
            </w:r>
            <w:proofErr w:type="spellEnd"/>
            <w:r>
              <w:rPr>
                <w:rFonts w:cs="Arial"/>
                <w:szCs w:val="20"/>
              </w:rPr>
              <w:t xml:space="preserve"> School, Broome</w:t>
            </w:r>
          </w:p>
        </w:tc>
        <w:tc>
          <w:tcPr>
            <w:tcW w:w="3441" w:type="dxa"/>
            <w:shd w:val="clear" w:color="auto" w:fill="FFFFFF" w:themeFill="background1"/>
          </w:tcPr>
          <w:p w14:paraId="5DC90201" w14:textId="77777777" w:rsidR="00B00D26" w:rsidRPr="007422E2" w:rsidRDefault="00B00D26" w:rsidP="00610F1F">
            <w:pPr>
              <w:pStyle w:val="ListParagraph"/>
              <w:numPr>
                <w:ilvl w:val="0"/>
                <w:numId w:val="21"/>
              </w:numPr>
              <w:spacing w:after="0" w:line="240" w:lineRule="auto"/>
              <w:ind w:left="360"/>
              <w:jc w:val="both"/>
              <w:rPr>
                <w:rFonts w:ascii="Arial" w:hAnsi="Arial" w:cs="Arial"/>
                <w:sz w:val="20"/>
                <w:szCs w:val="20"/>
              </w:rPr>
            </w:pPr>
            <w:r w:rsidRPr="007422E2">
              <w:rPr>
                <w:rFonts w:ascii="Arial" w:hAnsi="Arial" w:cs="Arial"/>
                <w:sz w:val="20"/>
                <w:szCs w:val="20"/>
              </w:rPr>
              <w:t>Improved liaison with communities and families.</w:t>
            </w:r>
          </w:p>
          <w:p w14:paraId="035ED28F" w14:textId="77777777" w:rsidR="00B00D26" w:rsidRPr="007422E2" w:rsidRDefault="00B00D26" w:rsidP="00610F1F">
            <w:pPr>
              <w:pStyle w:val="ListParagraph"/>
              <w:numPr>
                <w:ilvl w:val="0"/>
                <w:numId w:val="21"/>
              </w:numPr>
              <w:spacing w:after="0" w:line="240" w:lineRule="auto"/>
              <w:ind w:left="360"/>
              <w:jc w:val="both"/>
              <w:rPr>
                <w:rFonts w:ascii="Arial" w:hAnsi="Arial" w:cs="Arial"/>
                <w:sz w:val="20"/>
                <w:szCs w:val="20"/>
              </w:rPr>
            </w:pPr>
            <w:r w:rsidRPr="007422E2">
              <w:rPr>
                <w:rFonts w:ascii="Arial" w:hAnsi="Arial" w:cs="Arial"/>
                <w:sz w:val="20"/>
                <w:szCs w:val="20"/>
              </w:rPr>
              <w:t>Increased provision of therapeutic support for students</w:t>
            </w:r>
          </w:p>
          <w:p w14:paraId="67C06488" w14:textId="77777777" w:rsidR="00B00D26" w:rsidRPr="007422E2" w:rsidRDefault="00B00D26" w:rsidP="00610F1F">
            <w:pPr>
              <w:pStyle w:val="ListParagraph"/>
              <w:numPr>
                <w:ilvl w:val="0"/>
                <w:numId w:val="21"/>
              </w:numPr>
              <w:spacing w:after="0" w:line="240" w:lineRule="auto"/>
              <w:ind w:left="360"/>
              <w:jc w:val="both"/>
              <w:rPr>
                <w:rFonts w:ascii="Arial" w:hAnsi="Arial" w:cs="Arial"/>
                <w:sz w:val="20"/>
                <w:szCs w:val="20"/>
              </w:rPr>
            </w:pPr>
            <w:r w:rsidRPr="007422E2">
              <w:rPr>
                <w:rFonts w:ascii="Arial" w:hAnsi="Arial" w:cs="Arial"/>
                <w:sz w:val="20"/>
                <w:szCs w:val="20"/>
              </w:rPr>
              <w:t>Increased awareness by staff in how to best support students</w:t>
            </w:r>
          </w:p>
          <w:p w14:paraId="5ADD922B" w14:textId="77777777" w:rsidR="00B00D26" w:rsidRPr="007422E2" w:rsidRDefault="00B00D26" w:rsidP="00610F1F">
            <w:pPr>
              <w:pStyle w:val="ListParagraph"/>
              <w:numPr>
                <w:ilvl w:val="0"/>
                <w:numId w:val="21"/>
              </w:numPr>
              <w:spacing w:after="0" w:line="240" w:lineRule="auto"/>
              <w:ind w:left="360"/>
              <w:jc w:val="both"/>
              <w:rPr>
                <w:rFonts w:ascii="Arial" w:hAnsi="Arial" w:cs="Arial"/>
                <w:sz w:val="20"/>
                <w:szCs w:val="20"/>
              </w:rPr>
            </w:pPr>
            <w:r w:rsidRPr="007422E2">
              <w:rPr>
                <w:rFonts w:ascii="Arial" w:hAnsi="Arial" w:cs="Arial"/>
                <w:sz w:val="20"/>
                <w:szCs w:val="20"/>
              </w:rPr>
              <w:t>Increased student engagement</w:t>
            </w:r>
          </w:p>
          <w:p w14:paraId="013D5085" w14:textId="77777777" w:rsidR="00B00D26" w:rsidRPr="009814E3" w:rsidRDefault="00B00D26" w:rsidP="00610F1F">
            <w:pPr>
              <w:pStyle w:val="ListParagraph"/>
              <w:numPr>
                <w:ilvl w:val="0"/>
                <w:numId w:val="21"/>
              </w:numPr>
              <w:spacing w:after="0" w:line="240" w:lineRule="auto"/>
              <w:ind w:left="360"/>
              <w:jc w:val="both"/>
              <w:rPr>
                <w:rFonts w:ascii="Arial" w:hAnsi="Arial" w:cs="Arial"/>
                <w:b/>
                <w:bCs/>
                <w:sz w:val="20"/>
                <w:szCs w:val="20"/>
              </w:rPr>
            </w:pPr>
            <w:r w:rsidRPr="007422E2">
              <w:rPr>
                <w:rFonts w:ascii="Arial" w:hAnsi="Arial" w:cs="Arial"/>
                <w:sz w:val="20"/>
                <w:szCs w:val="20"/>
              </w:rPr>
              <w:t>Increased capacity to secure related interagency support</w:t>
            </w:r>
          </w:p>
        </w:tc>
        <w:tc>
          <w:tcPr>
            <w:tcW w:w="3441" w:type="dxa"/>
            <w:shd w:val="clear" w:color="auto" w:fill="FFFFFF" w:themeFill="background1"/>
          </w:tcPr>
          <w:p w14:paraId="2846AA14" w14:textId="1015D558" w:rsidR="00B00D26" w:rsidRPr="00635195" w:rsidRDefault="00B00D26" w:rsidP="00610F1F">
            <w:pPr>
              <w:pStyle w:val="ListParagraph"/>
              <w:numPr>
                <w:ilvl w:val="0"/>
                <w:numId w:val="21"/>
              </w:numPr>
              <w:spacing w:after="0" w:line="240" w:lineRule="auto"/>
              <w:ind w:left="360"/>
              <w:jc w:val="both"/>
              <w:rPr>
                <w:rFonts w:ascii="Arial" w:hAnsi="Arial" w:cs="Arial"/>
                <w:sz w:val="20"/>
                <w:szCs w:val="20"/>
              </w:rPr>
            </w:pPr>
            <w:r w:rsidRPr="007422E2">
              <w:rPr>
                <w:rFonts w:ascii="Arial" w:hAnsi="Arial" w:cs="Arial"/>
                <w:sz w:val="20"/>
                <w:szCs w:val="20"/>
              </w:rPr>
              <w:t>Appointment of 1 x FTE ATAs for St Clare’s and St Francis’ School 0.5FTE each</w:t>
            </w:r>
            <w:r>
              <w:rPr>
                <w:rFonts w:ascii="Arial" w:hAnsi="Arial" w:cs="Arial"/>
                <w:sz w:val="20"/>
                <w:szCs w:val="20"/>
              </w:rPr>
              <w:t xml:space="preserve"> – part suppor</w:t>
            </w:r>
            <w:r w:rsidR="00012C77">
              <w:rPr>
                <w:rFonts w:ascii="Arial" w:hAnsi="Arial" w:cs="Arial"/>
                <w:sz w:val="20"/>
                <w:szCs w:val="20"/>
              </w:rPr>
              <w:t>t</w:t>
            </w:r>
          </w:p>
          <w:p w14:paraId="39F777BE" w14:textId="77777777" w:rsidR="00B00D26" w:rsidRPr="007422E2" w:rsidRDefault="00B00D26" w:rsidP="00610F1F">
            <w:pPr>
              <w:pStyle w:val="ListParagraph"/>
              <w:numPr>
                <w:ilvl w:val="0"/>
                <w:numId w:val="21"/>
              </w:numPr>
              <w:spacing w:after="0" w:line="240" w:lineRule="auto"/>
              <w:ind w:left="360"/>
              <w:jc w:val="both"/>
              <w:rPr>
                <w:rFonts w:ascii="Arial" w:hAnsi="Arial" w:cs="Arial"/>
                <w:sz w:val="20"/>
                <w:szCs w:val="20"/>
              </w:rPr>
            </w:pPr>
            <w:r w:rsidRPr="007422E2">
              <w:rPr>
                <w:rFonts w:ascii="Arial" w:hAnsi="Arial" w:cs="Arial"/>
                <w:sz w:val="20"/>
                <w:szCs w:val="20"/>
              </w:rPr>
              <w:t xml:space="preserve">Appointment of part FTE social worker and health officer at St Martin de </w:t>
            </w:r>
            <w:proofErr w:type="spellStart"/>
            <w:r w:rsidRPr="007422E2">
              <w:rPr>
                <w:rFonts w:ascii="Arial" w:hAnsi="Arial" w:cs="Arial"/>
                <w:sz w:val="20"/>
                <w:szCs w:val="20"/>
              </w:rPr>
              <w:t>Porres</w:t>
            </w:r>
            <w:proofErr w:type="spellEnd"/>
            <w:r w:rsidRPr="007422E2">
              <w:rPr>
                <w:rFonts w:ascii="Arial" w:hAnsi="Arial" w:cs="Arial"/>
                <w:sz w:val="20"/>
                <w:szCs w:val="20"/>
              </w:rPr>
              <w:t xml:space="preserve"> in Broome</w:t>
            </w:r>
          </w:p>
          <w:p w14:paraId="65B97506" w14:textId="77777777" w:rsidR="00B00D26" w:rsidRPr="007422E2" w:rsidRDefault="00B00D26" w:rsidP="00610F1F">
            <w:pPr>
              <w:pStyle w:val="ListParagraph"/>
              <w:numPr>
                <w:ilvl w:val="0"/>
                <w:numId w:val="21"/>
              </w:numPr>
              <w:spacing w:after="0" w:line="240" w:lineRule="auto"/>
              <w:ind w:left="360"/>
              <w:jc w:val="both"/>
              <w:rPr>
                <w:rFonts w:ascii="Arial" w:hAnsi="Arial" w:cs="Arial"/>
                <w:sz w:val="20"/>
                <w:szCs w:val="20"/>
              </w:rPr>
            </w:pPr>
            <w:r w:rsidRPr="007422E2">
              <w:rPr>
                <w:rFonts w:ascii="Arial" w:hAnsi="Arial" w:cs="Arial"/>
                <w:sz w:val="20"/>
                <w:szCs w:val="20"/>
              </w:rPr>
              <w:t xml:space="preserve">Qualitative information on roles of the staff, including evaluation </w:t>
            </w:r>
            <w:r>
              <w:rPr>
                <w:rFonts w:ascii="Arial" w:hAnsi="Arial" w:cs="Arial"/>
                <w:sz w:val="20"/>
                <w:szCs w:val="20"/>
              </w:rPr>
              <w:t>of</w:t>
            </w:r>
            <w:r w:rsidRPr="007422E2">
              <w:rPr>
                <w:rFonts w:ascii="Arial" w:hAnsi="Arial" w:cs="Arial"/>
                <w:sz w:val="20"/>
                <w:szCs w:val="20"/>
              </w:rPr>
              <w:t xml:space="preserve"> improved outcomes for students</w:t>
            </w:r>
          </w:p>
          <w:p w14:paraId="16CB43CB" w14:textId="77777777" w:rsidR="00B00D26" w:rsidRPr="007422E2" w:rsidRDefault="00B00D26" w:rsidP="00610F1F">
            <w:pPr>
              <w:pStyle w:val="ListParagraph"/>
              <w:numPr>
                <w:ilvl w:val="0"/>
                <w:numId w:val="21"/>
              </w:numPr>
              <w:spacing w:after="0" w:line="240" w:lineRule="auto"/>
              <w:ind w:left="360"/>
              <w:jc w:val="both"/>
              <w:rPr>
                <w:rFonts w:ascii="Arial" w:hAnsi="Arial" w:cs="Arial"/>
                <w:sz w:val="20"/>
                <w:szCs w:val="20"/>
              </w:rPr>
            </w:pPr>
            <w:r w:rsidRPr="007422E2">
              <w:rPr>
                <w:rFonts w:ascii="Arial" w:hAnsi="Arial" w:cs="Arial"/>
                <w:sz w:val="20"/>
                <w:szCs w:val="20"/>
              </w:rPr>
              <w:t>Qualitative information re; student attendance and engagement</w:t>
            </w:r>
          </w:p>
          <w:p w14:paraId="0EF489B5" w14:textId="77777777" w:rsidR="00B00D26" w:rsidRPr="009814E3" w:rsidRDefault="00B00D26" w:rsidP="00610F1F">
            <w:pPr>
              <w:jc w:val="both"/>
              <w:rPr>
                <w:rFonts w:cs="Arial"/>
                <w:b/>
                <w:bCs/>
                <w:szCs w:val="20"/>
              </w:rPr>
            </w:pPr>
          </w:p>
        </w:tc>
      </w:tr>
    </w:tbl>
    <w:p w14:paraId="69DBE2A0" w14:textId="77777777" w:rsidR="007C2E49" w:rsidRDefault="007C2E49">
      <w:r>
        <w:br w:type="page"/>
      </w:r>
    </w:p>
    <w:tbl>
      <w:tblPr>
        <w:tblStyle w:val="TableGrid"/>
        <w:tblW w:w="10323" w:type="dxa"/>
        <w:tblCellMar>
          <w:top w:w="28" w:type="dxa"/>
          <w:bottom w:w="28" w:type="dxa"/>
        </w:tblCellMar>
        <w:tblLook w:val="04A0" w:firstRow="1" w:lastRow="0" w:firstColumn="1" w:lastColumn="0" w:noHBand="0" w:noVBand="1"/>
      </w:tblPr>
      <w:tblGrid>
        <w:gridCol w:w="3441"/>
        <w:gridCol w:w="3441"/>
        <w:gridCol w:w="3441"/>
      </w:tblGrid>
      <w:tr w:rsidR="008343BF" w14:paraId="0C3BF5FE" w14:textId="77777777" w:rsidTr="003E368C">
        <w:tc>
          <w:tcPr>
            <w:tcW w:w="10323" w:type="dxa"/>
            <w:gridSpan w:val="3"/>
            <w:shd w:val="clear" w:color="auto" w:fill="D9D9D9" w:themeFill="background1" w:themeFillShade="D9"/>
          </w:tcPr>
          <w:p w14:paraId="0B3F08A9" w14:textId="72446F9B" w:rsidR="008343BF" w:rsidRPr="007C2E49" w:rsidRDefault="008343BF" w:rsidP="007C2E49">
            <w:pPr>
              <w:ind w:right="57"/>
              <w:jc w:val="center"/>
              <w:rPr>
                <w:rFonts w:cs="Arial"/>
                <w:b/>
                <w:bCs/>
                <w:szCs w:val="20"/>
              </w:rPr>
            </w:pPr>
            <w:bookmarkStart w:id="13" w:name="_Hlk86217985"/>
            <w:r w:rsidRPr="007C2E49">
              <w:rPr>
                <w:rFonts w:cs="Arial"/>
                <w:b/>
                <w:bCs/>
                <w:szCs w:val="20"/>
              </w:rPr>
              <w:lastRenderedPageBreak/>
              <w:t>Aboriginal Families as First Educators-AFAFE</w:t>
            </w:r>
          </w:p>
        </w:tc>
      </w:tr>
      <w:tr w:rsidR="007C2E49" w14:paraId="3287257F" w14:textId="77777777" w:rsidTr="00EF076A">
        <w:tc>
          <w:tcPr>
            <w:tcW w:w="3441" w:type="dxa"/>
            <w:shd w:val="clear" w:color="auto" w:fill="FFFFFF" w:themeFill="background1"/>
          </w:tcPr>
          <w:p w14:paraId="1B70EDE9" w14:textId="77777777" w:rsidR="007C2E49" w:rsidRDefault="007C2E49" w:rsidP="007C2E49">
            <w:pPr>
              <w:spacing w:before="0" w:after="0"/>
              <w:ind w:right="57"/>
              <w:jc w:val="both"/>
              <w:rPr>
                <w:rFonts w:cs="Arial"/>
                <w:szCs w:val="20"/>
              </w:rPr>
            </w:pPr>
            <w:r w:rsidRPr="000914E6">
              <w:rPr>
                <w:rFonts w:cs="Arial"/>
                <w:szCs w:val="20"/>
              </w:rPr>
              <w:t xml:space="preserve">Description, Timeframe, </w:t>
            </w:r>
          </w:p>
          <w:p w14:paraId="249A2A33" w14:textId="5663B6AB" w:rsidR="007C2E49" w:rsidRPr="00C56F92" w:rsidRDefault="007C2E49" w:rsidP="007C2E49">
            <w:pPr>
              <w:ind w:right="57"/>
              <w:jc w:val="both"/>
              <w:rPr>
                <w:rFonts w:cs="Arial"/>
                <w:b/>
                <w:bCs/>
                <w:szCs w:val="20"/>
              </w:rPr>
            </w:pPr>
            <w:r w:rsidRPr="000914E6">
              <w:rPr>
                <w:rFonts w:cs="Arial"/>
                <w:szCs w:val="20"/>
              </w:rPr>
              <w:t>Eligible Schools</w:t>
            </w:r>
          </w:p>
        </w:tc>
        <w:tc>
          <w:tcPr>
            <w:tcW w:w="3441" w:type="dxa"/>
            <w:shd w:val="clear" w:color="auto" w:fill="FFFFFF" w:themeFill="background1"/>
          </w:tcPr>
          <w:p w14:paraId="4951A5C4" w14:textId="4A63B2B6" w:rsidR="007C2E49" w:rsidRPr="006668E7" w:rsidRDefault="007C2E49" w:rsidP="007C2E49">
            <w:pPr>
              <w:pStyle w:val="ListParagraph"/>
              <w:spacing w:after="0" w:line="240" w:lineRule="auto"/>
              <w:ind w:left="360"/>
              <w:rPr>
                <w:rFonts w:ascii="Arial" w:hAnsi="Arial" w:cs="Arial"/>
                <w:sz w:val="20"/>
                <w:szCs w:val="20"/>
              </w:rPr>
            </w:pPr>
            <w:r w:rsidRPr="00B00D26">
              <w:rPr>
                <w:rFonts w:ascii="Arial" w:hAnsi="Arial" w:cs="Arial"/>
                <w:sz w:val="20"/>
                <w:szCs w:val="20"/>
              </w:rPr>
              <w:t>Outcomes/objectives</w:t>
            </w:r>
          </w:p>
        </w:tc>
        <w:tc>
          <w:tcPr>
            <w:tcW w:w="3441" w:type="dxa"/>
            <w:shd w:val="clear" w:color="auto" w:fill="FFFFFF" w:themeFill="background1"/>
          </w:tcPr>
          <w:p w14:paraId="5C5135BB" w14:textId="6DCBBBDE" w:rsidR="007C2E49" w:rsidRPr="006668E7" w:rsidRDefault="007C2E49" w:rsidP="007C2E49">
            <w:pPr>
              <w:pStyle w:val="ListParagraph"/>
              <w:spacing w:after="0" w:line="240" w:lineRule="auto"/>
              <w:ind w:left="360"/>
              <w:rPr>
                <w:rFonts w:ascii="Arial" w:hAnsi="Arial" w:cs="Arial"/>
                <w:sz w:val="20"/>
                <w:szCs w:val="20"/>
              </w:rPr>
            </w:pPr>
            <w:r w:rsidRPr="00B00D26">
              <w:rPr>
                <w:rFonts w:ascii="Arial" w:hAnsi="Arial" w:cs="Arial"/>
                <w:sz w:val="20"/>
                <w:szCs w:val="20"/>
              </w:rPr>
              <w:t>Indicators of Success</w:t>
            </w:r>
          </w:p>
        </w:tc>
      </w:tr>
      <w:bookmarkEnd w:id="13"/>
      <w:tr w:rsidR="007C2E49" w14:paraId="37996DD0" w14:textId="77777777" w:rsidTr="00EF076A">
        <w:tc>
          <w:tcPr>
            <w:tcW w:w="3441" w:type="dxa"/>
            <w:shd w:val="clear" w:color="auto" w:fill="FFFFFF" w:themeFill="background1"/>
          </w:tcPr>
          <w:p w14:paraId="5CBF8E0B" w14:textId="77777777" w:rsidR="007C2E49" w:rsidRPr="00C56F92" w:rsidRDefault="007C2E49" w:rsidP="007C2E49">
            <w:pPr>
              <w:ind w:right="57"/>
              <w:jc w:val="both"/>
              <w:rPr>
                <w:rFonts w:cs="Arial"/>
                <w:b/>
                <w:bCs/>
                <w:szCs w:val="20"/>
              </w:rPr>
            </w:pPr>
            <w:r w:rsidRPr="00C56F92">
              <w:rPr>
                <w:rFonts w:cs="Arial"/>
                <w:b/>
                <w:bCs/>
                <w:szCs w:val="20"/>
              </w:rPr>
              <w:t>Details</w:t>
            </w:r>
          </w:p>
          <w:p w14:paraId="3BB91649" w14:textId="168BC683" w:rsidR="007C2E49" w:rsidRDefault="007C2E49" w:rsidP="007C2E49">
            <w:pPr>
              <w:ind w:right="57"/>
              <w:jc w:val="both"/>
              <w:rPr>
                <w:rFonts w:cs="Arial"/>
                <w:szCs w:val="20"/>
              </w:rPr>
            </w:pPr>
            <w:r w:rsidRPr="006668E7">
              <w:rPr>
                <w:rFonts w:cs="Arial"/>
                <w:szCs w:val="20"/>
              </w:rPr>
              <w:t xml:space="preserve">This project is a continuation of the program funded by the former Indigenous Advancement </w:t>
            </w:r>
            <w:r w:rsidR="00610F1F" w:rsidRPr="006668E7">
              <w:rPr>
                <w:rFonts w:cs="Arial"/>
                <w:szCs w:val="20"/>
              </w:rPr>
              <w:t>Strategy and</w:t>
            </w:r>
            <w:r w:rsidRPr="006668E7">
              <w:rPr>
                <w:rFonts w:cs="Arial"/>
                <w:szCs w:val="20"/>
              </w:rPr>
              <w:t xml:space="preserve"> supports schools and Aboriginal mothers and their children to engage with schools in early childhood settings. It uses the </w:t>
            </w:r>
            <w:proofErr w:type="spellStart"/>
            <w:r w:rsidRPr="006668E7">
              <w:rPr>
                <w:rFonts w:cs="Arial"/>
                <w:szCs w:val="20"/>
              </w:rPr>
              <w:t>Abecedarean</w:t>
            </w:r>
            <w:proofErr w:type="spellEnd"/>
            <w:r w:rsidRPr="006668E7">
              <w:rPr>
                <w:rFonts w:cs="Arial"/>
                <w:szCs w:val="20"/>
              </w:rPr>
              <w:t xml:space="preserve"> approach in training school staff involved in the program. The project involves schools in country and city locations with pre-school education settings and where Aboriginal Families are enrolled. CEWA conducted a formal review of the program through Charles Darwin University at the end of 2018, reinforcing the positive outcomes. The funding will be used to provide training to school staff and salary payments for staff where necessary. Payments are provided to the schools involved</w:t>
            </w:r>
            <w:r>
              <w:rPr>
                <w:rFonts w:cs="Arial"/>
                <w:szCs w:val="20"/>
              </w:rPr>
              <w:t xml:space="preserve"> for some aspects of the program</w:t>
            </w:r>
            <w:r w:rsidRPr="006668E7">
              <w:rPr>
                <w:rFonts w:cs="Arial"/>
                <w:szCs w:val="20"/>
              </w:rPr>
              <w:t>.</w:t>
            </w:r>
          </w:p>
          <w:p w14:paraId="4698C3A3" w14:textId="77777777" w:rsidR="007C2E49" w:rsidRPr="007533B1" w:rsidRDefault="007C2E49" w:rsidP="007C2E49">
            <w:pPr>
              <w:ind w:right="57"/>
              <w:jc w:val="both"/>
              <w:rPr>
                <w:rFonts w:cs="Arial"/>
                <w:b/>
                <w:bCs/>
                <w:szCs w:val="20"/>
              </w:rPr>
            </w:pPr>
            <w:r w:rsidRPr="007533B1">
              <w:rPr>
                <w:rFonts w:cs="Arial"/>
                <w:b/>
                <w:bCs/>
                <w:szCs w:val="20"/>
              </w:rPr>
              <w:t>Timeframe</w:t>
            </w:r>
          </w:p>
          <w:p w14:paraId="6D962B3D" w14:textId="77777777" w:rsidR="007C2E49" w:rsidRDefault="007C2E49" w:rsidP="007C2E49">
            <w:pPr>
              <w:ind w:right="57"/>
              <w:jc w:val="both"/>
              <w:rPr>
                <w:rFonts w:cs="Arial"/>
                <w:szCs w:val="20"/>
              </w:rPr>
            </w:pPr>
            <w:r>
              <w:rPr>
                <w:rFonts w:cs="Arial"/>
                <w:szCs w:val="20"/>
              </w:rPr>
              <w:t>Planning underway to finalise list of schools and levels of support required; Program commences at beginning of school year and continues until end of school year; typically delivered one day per week; intended duration – indefinite.</w:t>
            </w:r>
          </w:p>
          <w:p w14:paraId="3505B9FF" w14:textId="77777777" w:rsidR="007C2E49" w:rsidRPr="007533B1" w:rsidRDefault="007C2E49" w:rsidP="007C2E49">
            <w:pPr>
              <w:ind w:right="57"/>
              <w:jc w:val="both"/>
              <w:rPr>
                <w:rFonts w:cs="Arial"/>
                <w:b/>
                <w:bCs/>
                <w:szCs w:val="20"/>
              </w:rPr>
            </w:pPr>
            <w:r w:rsidRPr="007533B1">
              <w:rPr>
                <w:rFonts w:cs="Arial"/>
                <w:b/>
                <w:bCs/>
                <w:szCs w:val="20"/>
              </w:rPr>
              <w:t>Eligible Schools</w:t>
            </w:r>
          </w:p>
          <w:p w14:paraId="48B60168" w14:textId="30CC6589" w:rsidR="007C2E49" w:rsidRDefault="007C2E49" w:rsidP="007C2E49">
            <w:pPr>
              <w:ind w:right="57"/>
              <w:jc w:val="both"/>
              <w:rPr>
                <w:rFonts w:cs="Arial"/>
                <w:szCs w:val="20"/>
              </w:rPr>
            </w:pPr>
            <w:r>
              <w:rPr>
                <w:rFonts w:cs="Arial"/>
                <w:szCs w:val="20"/>
              </w:rPr>
              <w:t>Confined to primary schools with reasonable sized Aboriginal cohort and where staff and resources exist to support the playgroup – likely to be 13 – 16 schools in 2022 subject to finalisation of planning this year.</w:t>
            </w:r>
            <w:r w:rsidR="00012C77">
              <w:rPr>
                <w:rFonts w:cs="Arial"/>
                <w:szCs w:val="20"/>
              </w:rPr>
              <w:t xml:space="preserve"> School list finalised in coming months.</w:t>
            </w:r>
          </w:p>
          <w:p w14:paraId="0960DFBB" w14:textId="77777777" w:rsidR="007C2E49" w:rsidRPr="006668E7" w:rsidRDefault="007C2E49" w:rsidP="007C2E49">
            <w:pPr>
              <w:ind w:right="57"/>
              <w:jc w:val="both"/>
              <w:rPr>
                <w:rFonts w:cs="Arial"/>
                <w:szCs w:val="20"/>
              </w:rPr>
            </w:pPr>
          </w:p>
          <w:p w14:paraId="6473C074" w14:textId="77777777" w:rsidR="007C2E49" w:rsidRPr="006668E7" w:rsidRDefault="007C2E49" w:rsidP="007C2E49">
            <w:pPr>
              <w:ind w:right="57"/>
              <w:jc w:val="both"/>
              <w:rPr>
                <w:rFonts w:cs="Arial"/>
                <w:szCs w:val="20"/>
              </w:rPr>
            </w:pPr>
          </w:p>
        </w:tc>
        <w:tc>
          <w:tcPr>
            <w:tcW w:w="3441" w:type="dxa"/>
            <w:shd w:val="clear" w:color="auto" w:fill="FFFFFF" w:themeFill="background1"/>
          </w:tcPr>
          <w:p w14:paraId="47AB12D5" w14:textId="77777777"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At least 13 schools to be involved</w:t>
            </w:r>
          </w:p>
          <w:p w14:paraId="08FE566A" w14:textId="77777777"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All staff involved to be appropriately trained in program methodology</w:t>
            </w:r>
          </w:p>
          <w:p w14:paraId="2045DC9A" w14:textId="77777777"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Maximise involvement of Aboriginal families to at least 80%</w:t>
            </w:r>
          </w:p>
          <w:p w14:paraId="332CCD59" w14:textId="651E8964"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 xml:space="preserve">Increase participation and engagement of these families in </w:t>
            </w:r>
            <w:r w:rsidR="00610F1F" w:rsidRPr="006668E7">
              <w:rPr>
                <w:rFonts w:ascii="Arial" w:hAnsi="Arial" w:cs="Arial"/>
                <w:sz w:val="20"/>
                <w:szCs w:val="20"/>
              </w:rPr>
              <w:t>kindergarten</w:t>
            </w:r>
            <w:r w:rsidRPr="006668E7">
              <w:rPr>
                <w:rFonts w:ascii="Arial" w:hAnsi="Arial" w:cs="Arial"/>
                <w:sz w:val="20"/>
                <w:szCs w:val="20"/>
              </w:rPr>
              <w:t xml:space="preserve">, </w:t>
            </w:r>
            <w:proofErr w:type="gramStart"/>
            <w:r w:rsidRPr="006668E7">
              <w:rPr>
                <w:rFonts w:ascii="Arial" w:hAnsi="Arial" w:cs="Arial"/>
                <w:sz w:val="20"/>
                <w:szCs w:val="20"/>
              </w:rPr>
              <w:t>pre-primary</w:t>
            </w:r>
            <w:proofErr w:type="gramEnd"/>
            <w:r w:rsidRPr="006668E7">
              <w:rPr>
                <w:rFonts w:ascii="Arial" w:hAnsi="Arial" w:cs="Arial"/>
                <w:sz w:val="20"/>
                <w:szCs w:val="20"/>
              </w:rPr>
              <w:t xml:space="preserve"> and year one onwards at that school</w:t>
            </w:r>
          </w:p>
          <w:p w14:paraId="58CE9B29" w14:textId="77777777"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Increase learning and socio-emotional outcomes for children</w:t>
            </w:r>
          </w:p>
          <w:p w14:paraId="092346D8" w14:textId="3853A333" w:rsidR="007C2E49"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Evaluate program by November 202</w:t>
            </w:r>
            <w:r w:rsidR="00012C77">
              <w:rPr>
                <w:rFonts w:ascii="Arial" w:hAnsi="Arial" w:cs="Arial"/>
                <w:sz w:val="20"/>
                <w:szCs w:val="20"/>
              </w:rPr>
              <w:t>2</w:t>
            </w:r>
            <w:r w:rsidRPr="006668E7">
              <w:rPr>
                <w:rFonts w:ascii="Arial" w:hAnsi="Arial" w:cs="Arial"/>
                <w:sz w:val="20"/>
                <w:szCs w:val="20"/>
              </w:rPr>
              <w:t>; make decisions for 202</w:t>
            </w:r>
            <w:r w:rsidR="00012C77">
              <w:rPr>
                <w:rFonts w:ascii="Arial" w:hAnsi="Arial" w:cs="Arial"/>
                <w:sz w:val="20"/>
                <w:szCs w:val="20"/>
              </w:rPr>
              <w:t>3</w:t>
            </w:r>
          </w:p>
          <w:p w14:paraId="1381BA78" w14:textId="77777777" w:rsidR="007C2E49" w:rsidRDefault="007C2E49" w:rsidP="00610F1F">
            <w:pPr>
              <w:pStyle w:val="ListParagraph"/>
              <w:numPr>
                <w:ilvl w:val="0"/>
                <w:numId w:val="21"/>
              </w:numPr>
              <w:spacing w:after="0" w:line="240" w:lineRule="auto"/>
              <w:ind w:left="360"/>
              <w:jc w:val="both"/>
              <w:rPr>
                <w:rFonts w:ascii="Arial" w:hAnsi="Arial" w:cs="Arial"/>
                <w:sz w:val="20"/>
                <w:szCs w:val="20"/>
              </w:rPr>
            </w:pPr>
            <w:r>
              <w:rPr>
                <w:rFonts w:ascii="Arial" w:hAnsi="Arial" w:cs="Arial"/>
                <w:sz w:val="20"/>
                <w:szCs w:val="20"/>
              </w:rPr>
              <w:t>Increase family engagement and knowledge in education in subsequent years of schooling.</w:t>
            </w:r>
          </w:p>
          <w:p w14:paraId="4CF3C00C" w14:textId="77777777" w:rsidR="00012C77" w:rsidRDefault="00012C77" w:rsidP="00610F1F">
            <w:pPr>
              <w:pStyle w:val="ListParagraph"/>
              <w:numPr>
                <w:ilvl w:val="0"/>
                <w:numId w:val="21"/>
              </w:numPr>
              <w:spacing w:after="0" w:line="240" w:lineRule="auto"/>
              <w:ind w:left="360"/>
              <w:jc w:val="both"/>
              <w:rPr>
                <w:rFonts w:ascii="Arial" w:hAnsi="Arial" w:cs="Arial"/>
                <w:sz w:val="20"/>
                <w:szCs w:val="20"/>
              </w:rPr>
            </w:pPr>
            <w:r>
              <w:rPr>
                <w:rFonts w:ascii="Arial" w:hAnsi="Arial" w:cs="Arial"/>
                <w:sz w:val="20"/>
                <w:szCs w:val="20"/>
              </w:rPr>
              <w:t>Address Closing the Gap targets</w:t>
            </w:r>
          </w:p>
          <w:p w14:paraId="317A73DA" w14:textId="77777777" w:rsidR="00CA40B0" w:rsidRDefault="00CA40B0" w:rsidP="00610F1F">
            <w:pPr>
              <w:pStyle w:val="ListParagraph"/>
              <w:spacing w:after="0" w:line="240" w:lineRule="auto"/>
              <w:ind w:left="360"/>
              <w:jc w:val="both"/>
              <w:rPr>
                <w:rFonts w:ascii="Arial" w:hAnsi="Arial" w:cs="Arial"/>
                <w:sz w:val="20"/>
                <w:szCs w:val="20"/>
              </w:rPr>
            </w:pPr>
          </w:p>
          <w:p w14:paraId="296182DE" w14:textId="44163D72" w:rsidR="00CA40B0" w:rsidRPr="006668E7" w:rsidRDefault="00CA40B0" w:rsidP="00610F1F">
            <w:pPr>
              <w:pStyle w:val="ListParagraph"/>
              <w:spacing w:after="0" w:line="240" w:lineRule="auto"/>
              <w:ind w:left="360"/>
              <w:jc w:val="both"/>
              <w:rPr>
                <w:rFonts w:ascii="Arial" w:hAnsi="Arial" w:cs="Arial"/>
                <w:sz w:val="20"/>
                <w:szCs w:val="20"/>
              </w:rPr>
            </w:pPr>
          </w:p>
        </w:tc>
        <w:tc>
          <w:tcPr>
            <w:tcW w:w="3441" w:type="dxa"/>
            <w:shd w:val="clear" w:color="auto" w:fill="FFFFFF" w:themeFill="background1"/>
          </w:tcPr>
          <w:p w14:paraId="1CE6538B" w14:textId="77777777"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Names of schools</w:t>
            </w:r>
          </w:p>
          <w:p w14:paraId="4B1FCD9E" w14:textId="77777777"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Demographics of schools</w:t>
            </w:r>
          </w:p>
          <w:p w14:paraId="1E20033D" w14:textId="77777777"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Number of staff trained; type of training</w:t>
            </w:r>
          </w:p>
          <w:p w14:paraId="4D28F0A9" w14:textId="77777777"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Number of children and families</w:t>
            </w:r>
          </w:p>
          <w:p w14:paraId="36A55165" w14:textId="77777777"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Qualitative feedback from schools and families</w:t>
            </w:r>
          </w:p>
          <w:p w14:paraId="7F306CE6" w14:textId="77777777" w:rsidR="007C2E49" w:rsidRPr="006668E7" w:rsidRDefault="007C2E49" w:rsidP="00610F1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Report on possible expansion  to more schools</w:t>
            </w:r>
          </w:p>
          <w:p w14:paraId="7FCEB241" w14:textId="77777777" w:rsidR="007C2E49" w:rsidRPr="006668E7" w:rsidRDefault="007C2E49" w:rsidP="00610F1F">
            <w:pPr>
              <w:pStyle w:val="ListParagraph"/>
              <w:jc w:val="both"/>
              <w:rPr>
                <w:rFonts w:ascii="Arial" w:hAnsi="Arial" w:cs="Arial"/>
                <w:sz w:val="20"/>
                <w:szCs w:val="20"/>
              </w:rPr>
            </w:pPr>
          </w:p>
        </w:tc>
      </w:tr>
    </w:tbl>
    <w:p w14:paraId="1CC82BCA" w14:textId="76182ECE" w:rsidR="008343BF" w:rsidRDefault="008343BF"/>
    <w:p w14:paraId="18C89A49" w14:textId="77777777" w:rsidR="008343BF" w:rsidRDefault="008343BF"/>
    <w:tbl>
      <w:tblPr>
        <w:tblStyle w:val="TableGrid"/>
        <w:tblW w:w="10323" w:type="dxa"/>
        <w:tblCellMar>
          <w:top w:w="28" w:type="dxa"/>
          <w:bottom w:w="28" w:type="dxa"/>
        </w:tblCellMar>
        <w:tblLook w:val="04A0" w:firstRow="1" w:lastRow="0" w:firstColumn="1" w:lastColumn="0" w:noHBand="0" w:noVBand="1"/>
      </w:tblPr>
      <w:tblGrid>
        <w:gridCol w:w="3441"/>
        <w:gridCol w:w="3441"/>
        <w:gridCol w:w="3441"/>
      </w:tblGrid>
      <w:tr w:rsidR="008343BF" w14:paraId="7BBF2A45" w14:textId="77777777" w:rsidTr="00EF076A">
        <w:trPr>
          <w:trHeight w:val="482"/>
        </w:trPr>
        <w:tc>
          <w:tcPr>
            <w:tcW w:w="10323" w:type="dxa"/>
            <w:gridSpan w:val="3"/>
            <w:shd w:val="clear" w:color="auto" w:fill="D9D9D9" w:themeFill="background1" w:themeFillShade="D9"/>
            <w:vAlign w:val="center"/>
          </w:tcPr>
          <w:p w14:paraId="64F08F87" w14:textId="7A63D1A2" w:rsidR="008343BF" w:rsidRPr="00B00D26" w:rsidRDefault="008343BF" w:rsidP="00EF076A">
            <w:pPr>
              <w:spacing w:before="0" w:after="0" w:line="240" w:lineRule="auto"/>
              <w:jc w:val="center"/>
              <w:rPr>
                <w:rFonts w:cs="Arial"/>
                <w:szCs w:val="20"/>
              </w:rPr>
            </w:pPr>
            <w:r w:rsidRPr="007C2E49">
              <w:rPr>
                <w:rFonts w:cs="Arial"/>
                <w:b/>
                <w:bCs/>
                <w:szCs w:val="20"/>
              </w:rPr>
              <w:lastRenderedPageBreak/>
              <w:t>ATA Upskilling Program</w:t>
            </w:r>
          </w:p>
        </w:tc>
      </w:tr>
      <w:tr w:rsidR="00C3632A" w14:paraId="446FAF13" w14:textId="77777777" w:rsidTr="00EF076A">
        <w:trPr>
          <w:trHeight w:val="482"/>
        </w:trPr>
        <w:tc>
          <w:tcPr>
            <w:tcW w:w="3441" w:type="dxa"/>
            <w:shd w:val="clear" w:color="auto" w:fill="FFFFFF" w:themeFill="background1"/>
          </w:tcPr>
          <w:p w14:paraId="3064B7B9" w14:textId="77777777" w:rsidR="00C3632A" w:rsidRDefault="00C3632A" w:rsidP="00C3632A">
            <w:pPr>
              <w:spacing w:before="0" w:after="0"/>
              <w:ind w:right="57"/>
              <w:jc w:val="both"/>
              <w:rPr>
                <w:rFonts w:cs="Arial"/>
                <w:szCs w:val="20"/>
              </w:rPr>
            </w:pPr>
            <w:r w:rsidRPr="000914E6">
              <w:rPr>
                <w:rFonts w:cs="Arial"/>
                <w:szCs w:val="20"/>
              </w:rPr>
              <w:t xml:space="preserve">Description, Timeframe, </w:t>
            </w:r>
          </w:p>
          <w:p w14:paraId="633B97F5" w14:textId="22E8F985" w:rsidR="00C3632A" w:rsidRPr="007533B1" w:rsidRDefault="00C3632A" w:rsidP="00C3632A">
            <w:pPr>
              <w:ind w:right="57"/>
              <w:jc w:val="both"/>
              <w:rPr>
                <w:rFonts w:cs="Arial"/>
                <w:b/>
                <w:bCs/>
                <w:szCs w:val="20"/>
              </w:rPr>
            </w:pPr>
            <w:r w:rsidRPr="000914E6">
              <w:rPr>
                <w:rFonts w:cs="Arial"/>
                <w:szCs w:val="20"/>
              </w:rPr>
              <w:t>Eligible Schools</w:t>
            </w:r>
          </w:p>
        </w:tc>
        <w:tc>
          <w:tcPr>
            <w:tcW w:w="3441" w:type="dxa"/>
            <w:shd w:val="clear" w:color="auto" w:fill="FFFFFF" w:themeFill="background1"/>
          </w:tcPr>
          <w:p w14:paraId="004180AD" w14:textId="5EB91777" w:rsidR="00C3632A" w:rsidRPr="007C2E49" w:rsidRDefault="00C3632A" w:rsidP="00C3632A">
            <w:pPr>
              <w:spacing w:after="0" w:line="240" w:lineRule="auto"/>
              <w:rPr>
                <w:rFonts w:cs="Arial"/>
                <w:szCs w:val="20"/>
              </w:rPr>
            </w:pPr>
            <w:r w:rsidRPr="00B00D26">
              <w:rPr>
                <w:rFonts w:cs="Arial"/>
                <w:szCs w:val="20"/>
              </w:rPr>
              <w:t>Outcomes/objectives</w:t>
            </w:r>
          </w:p>
        </w:tc>
        <w:tc>
          <w:tcPr>
            <w:tcW w:w="3441" w:type="dxa"/>
            <w:shd w:val="clear" w:color="auto" w:fill="FFFFFF" w:themeFill="background1"/>
          </w:tcPr>
          <w:p w14:paraId="6BF22B30" w14:textId="7DC61A40" w:rsidR="00C3632A" w:rsidRPr="007C2E49" w:rsidRDefault="00C3632A" w:rsidP="00C3632A">
            <w:pPr>
              <w:spacing w:after="0" w:line="240" w:lineRule="auto"/>
              <w:rPr>
                <w:rFonts w:cs="Arial"/>
                <w:szCs w:val="20"/>
              </w:rPr>
            </w:pPr>
            <w:r w:rsidRPr="00B00D26">
              <w:rPr>
                <w:rFonts w:cs="Arial"/>
                <w:szCs w:val="20"/>
              </w:rPr>
              <w:t>Indicators of Success</w:t>
            </w:r>
          </w:p>
        </w:tc>
      </w:tr>
      <w:tr w:rsidR="00C3632A" w14:paraId="67A1E79C" w14:textId="77777777" w:rsidTr="00EF076A">
        <w:trPr>
          <w:trHeight w:val="482"/>
        </w:trPr>
        <w:tc>
          <w:tcPr>
            <w:tcW w:w="3441" w:type="dxa"/>
            <w:shd w:val="clear" w:color="auto" w:fill="FFFFFF" w:themeFill="background1"/>
          </w:tcPr>
          <w:p w14:paraId="4D86C50C" w14:textId="77777777" w:rsidR="00C3632A" w:rsidRPr="007533B1" w:rsidRDefault="00C3632A" w:rsidP="00C3632A">
            <w:pPr>
              <w:ind w:right="57"/>
              <w:jc w:val="both"/>
              <w:rPr>
                <w:rFonts w:cs="Arial"/>
                <w:b/>
                <w:bCs/>
                <w:szCs w:val="20"/>
              </w:rPr>
            </w:pPr>
            <w:r w:rsidRPr="007533B1">
              <w:rPr>
                <w:rFonts w:cs="Arial"/>
                <w:b/>
                <w:bCs/>
                <w:szCs w:val="20"/>
              </w:rPr>
              <w:t>Details</w:t>
            </w:r>
          </w:p>
          <w:p w14:paraId="46424D61" w14:textId="77777777" w:rsidR="00C3632A" w:rsidRPr="00293A78" w:rsidRDefault="00C3632A" w:rsidP="00C3632A">
            <w:pPr>
              <w:ind w:right="57"/>
              <w:jc w:val="both"/>
              <w:rPr>
                <w:rFonts w:cs="Arial"/>
                <w:szCs w:val="20"/>
              </w:rPr>
            </w:pPr>
            <w:r w:rsidRPr="00293A78">
              <w:rPr>
                <w:rFonts w:cs="Arial"/>
                <w:szCs w:val="20"/>
              </w:rPr>
              <w:t>ATAs play an important role in supporting teachers in the learning and teaching program and can also assist in small group and one-on-one learning at the school. This project supports ATAs to study towards higher credentials such as Certificate III and Certificate IV courses, thereby enhancing their education support role as well as enhancing pathways for tertiary study to qualify as a teacher. The program also involves an experienced Aboriginal educator to assist the ATAs in their studies with the University of Notre Dame.</w:t>
            </w:r>
          </w:p>
          <w:p w14:paraId="789F4AEA" w14:textId="77777777" w:rsidR="00C3632A" w:rsidRDefault="00C3632A" w:rsidP="00C3632A">
            <w:pPr>
              <w:ind w:right="57"/>
              <w:jc w:val="both"/>
              <w:rPr>
                <w:rFonts w:cs="Arial"/>
                <w:szCs w:val="20"/>
              </w:rPr>
            </w:pPr>
            <w:r w:rsidRPr="00293A78">
              <w:rPr>
                <w:rFonts w:cs="Arial"/>
                <w:szCs w:val="20"/>
              </w:rPr>
              <w:t>Funds are used to pay the service provider, UNDA</w:t>
            </w:r>
            <w:r>
              <w:rPr>
                <w:rFonts w:cs="Arial"/>
                <w:szCs w:val="20"/>
              </w:rPr>
              <w:t xml:space="preserve"> for training, support and certification.</w:t>
            </w:r>
          </w:p>
          <w:p w14:paraId="1209FA8E" w14:textId="77777777" w:rsidR="00C3632A" w:rsidRPr="004E5FF7" w:rsidRDefault="00C3632A" w:rsidP="00C3632A">
            <w:pPr>
              <w:ind w:right="57"/>
              <w:jc w:val="both"/>
              <w:rPr>
                <w:rFonts w:cs="Arial"/>
                <w:b/>
                <w:bCs/>
                <w:szCs w:val="20"/>
              </w:rPr>
            </w:pPr>
            <w:r w:rsidRPr="004E5FF7">
              <w:rPr>
                <w:rFonts w:cs="Arial"/>
                <w:b/>
                <w:bCs/>
                <w:szCs w:val="20"/>
              </w:rPr>
              <w:t>Timeframe</w:t>
            </w:r>
          </w:p>
          <w:p w14:paraId="23DDE3B1" w14:textId="77777777" w:rsidR="00C3632A" w:rsidRDefault="00C3632A" w:rsidP="00C3632A">
            <w:pPr>
              <w:ind w:right="57"/>
              <w:jc w:val="both"/>
              <w:rPr>
                <w:rFonts w:cs="Arial"/>
                <w:szCs w:val="20"/>
              </w:rPr>
            </w:pPr>
            <w:r>
              <w:rPr>
                <w:rFonts w:cs="Arial"/>
                <w:szCs w:val="20"/>
              </w:rPr>
              <w:t>Planning currently occurring to identify status of training of ATAs; Program commences start of 2022 school year and continues online for duration of year online, with opportunity to finalise qualification beyond closure of school at end of school year; planned to deliver this program indefinitely.</w:t>
            </w:r>
          </w:p>
          <w:p w14:paraId="1274C96E" w14:textId="77777777" w:rsidR="00C3632A" w:rsidRPr="004E5FF7" w:rsidRDefault="00C3632A" w:rsidP="00C3632A">
            <w:pPr>
              <w:ind w:right="57"/>
              <w:jc w:val="both"/>
              <w:rPr>
                <w:rFonts w:cs="Arial"/>
                <w:b/>
                <w:bCs/>
                <w:szCs w:val="20"/>
              </w:rPr>
            </w:pPr>
            <w:r w:rsidRPr="004E5FF7">
              <w:rPr>
                <w:rFonts w:cs="Arial"/>
                <w:b/>
                <w:bCs/>
                <w:szCs w:val="20"/>
              </w:rPr>
              <w:t>Eligible Schools</w:t>
            </w:r>
          </w:p>
          <w:p w14:paraId="2560496B" w14:textId="77777777" w:rsidR="00C3632A" w:rsidRPr="006668E7" w:rsidRDefault="00C3632A" w:rsidP="00C3632A">
            <w:pPr>
              <w:ind w:right="57"/>
              <w:jc w:val="both"/>
              <w:rPr>
                <w:rFonts w:cs="Arial"/>
                <w:szCs w:val="20"/>
              </w:rPr>
            </w:pPr>
            <w:r>
              <w:rPr>
                <w:rFonts w:cs="Arial"/>
                <w:szCs w:val="20"/>
              </w:rPr>
              <w:t>Confined to Kimberley schools which have eligible ATAs for training; up to 13 schools.</w:t>
            </w:r>
          </w:p>
        </w:tc>
        <w:tc>
          <w:tcPr>
            <w:tcW w:w="3441" w:type="dxa"/>
            <w:shd w:val="clear" w:color="auto" w:fill="FFFFFF" w:themeFill="background1"/>
          </w:tcPr>
          <w:p w14:paraId="79ED5A25"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At least 20 ATAs enrolled in Certificate III or higher with UNDA</w:t>
            </w:r>
          </w:p>
          <w:p w14:paraId="21A83A33"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At least 75% have good standing at the end of the year – still enrolled and either completed or nearly completed their studies</w:t>
            </w:r>
          </w:p>
          <w:p w14:paraId="4DCD7AA3"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CEWA consultant supports ATAs along with a school-based mentor; partnership enhanced</w:t>
            </w:r>
          </w:p>
          <w:p w14:paraId="5EE69D53" w14:textId="77777777" w:rsidR="00C3632A" w:rsidRPr="006668E7"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Higher levels of engagement and proficiency of ATAs in classroom support</w:t>
            </w:r>
          </w:p>
        </w:tc>
        <w:tc>
          <w:tcPr>
            <w:tcW w:w="3441" w:type="dxa"/>
            <w:shd w:val="clear" w:color="auto" w:fill="FFFFFF" w:themeFill="background1"/>
          </w:tcPr>
          <w:p w14:paraId="502E5863"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Names of schools involved</w:t>
            </w:r>
          </w:p>
          <w:p w14:paraId="1D01A2A3"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Number of ATAs involved</w:t>
            </w:r>
          </w:p>
          <w:p w14:paraId="62C9046E"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Credentials completed</w:t>
            </w:r>
          </w:p>
          <w:p w14:paraId="54BBD929"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Qualitative feedback from principals and ATAs as well as CEWA consultant</w:t>
            </w:r>
          </w:p>
          <w:p w14:paraId="4586D4A2" w14:textId="77777777" w:rsidR="00C3632A"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Feedback from UNDA trainers</w:t>
            </w:r>
          </w:p>
          <w:p w14:paraId="6098236A" w14:textId="77777777" w:rsidR="00C3632A" w:rsidRPr="00E01F65" w:rsidRDefault="00C3632A" w:rsidP="00610F1F">
            <w:pPr>
              <w:pStyle w:val="ListParagraph"/>
              <w:numPr>
                <w:ilvl w:val="0"/>
                <w:numId w:val="21"/>
              </w:numPr>
              <w:spacing w:after="0" w:line="240" w:lineRule="auto"/>
              <w:ind w:left="360"/>
              <w:jc w:val="both"/>
              <w:rPr>
                <w:rFonts w:ascii="Arial" w:hAnsi="Arial" w:cs="Arial"/>
                <w:sz w:val="20"/>
                <w:szCs w:val="20"/>
              </w:rPr>
            </w:pPr>
            <w:r w:rsidRPr="00E01F65">
              <w:rPr>
                <w:rFonts w:ascii="Arial" w:hAnsi="Arial" w:cs="Arial"/>
                <w:sz w:val="20"/>
                <w:szCs w:val="20"/>
              </w:rPr>
              <w:t>Proportion</w:t>
            </w:r>
            <w:r>
              <w:rPr>
                <w:rFonts w:ascii="Arial" w:hAnsi="Arial" w:cs="Arial"/>
                <w:sz w:val="20"/>
                <w:szCs w:val="20"/>
              </w:rPr>
              <w:t xml:space="preserve"> of participants </w:t>
            </w:r>
            <w:r w:rsidRPr="00E01F65">
              <w:rPr>
                <w:rFonts w:ascii="Arial" w:hAnsi="Arial" w:cs="Arial"/>
                <w:sz w:val="20"/>
                <w:szCs w:val="20"/>
              </w:rPr>
              <w:t>with good standing</w:t>
            </w:r>
            <w:r>
              <w:rPr>
                <w:rFonts w:ascii="Arial" w:hAnsi="Arial" w:cs="Arial"/>
                <w:sz w:val="20"/>
                <w:szCs w:val="20"/>
              </w:rPr>
              <w:t xml:space="preserve"> at the end of the year</w:t>
            </w:r>
          </w:p>
          <w:p w14:paraId="47938E2C" w14:textId="77777777" w:rsidR="00C3632A" w:rsidRPr="00293A78" w:rsidRDefault="00C3632A" w:rsidP="00610F1F">
            <w:pPr>
              <w:ind w:right="57"/>
              <w:jc w:val="both"/>
              <w:rPr>
                <w:rFonts w:cs="Arial"/>
                <w:szCs w:val="20"/>
              </w:rPr>
            </w:pPr>
          </w:p>
          <w:p w14:paraId="02C200B6" w14:textId="77777777" w:rsidR="00C3632A" w:rsidRPr="006668E7" w:rsidRDefault="00C3632A" w:rsidP="00610F1F">
            <w:pPr>
              <w:pStyle w:val="ListParagraph"/>
              <w:jc w:val="both"/>
              <w:rPr>
                <w:rFonts w:ascii="Arial" w:hAnsi="Arial" w:cs="Arial"/>
                <w:sz w:val="20"/>
                <w:szCs w:val="20"/>
              </w:rPr>
            </w:pPr>
          </w:p>
        </w:tc>
      </w:tr>
    </w:tbl>
    <w:p w14:paraId="36D86E04" w14:textId="77777777" w:rsidR="00C3632A" w:rsidRDefault="00C3632A">
      <w:r>
        <w:br w:type="page"/>
      </w:r>
    </w:p>
    <w:tbl>
      <w:tblPr>
        <w:tblStyle w:val="TableGrid"/>
        <w:tblW w:w="10323" w:type="dxa"/>
        <w:tblCellMar>
          <w:top w:w="28" w:type="dxa"/>
          <w:bottom w:w="28" w:type="dxa"/>
        </w:tblCellMar>
        <w:tblLook w:val="04A0" w:firstRow="1" w:lastRow="0" w:firstColumn="1" w:lastColumn="0" w:noHBand="0" w:noVBand="1"/>
      </w:tblPr>
      <w:tblGrid>
        <w:gridCol w:w="3441"/>
        <w:gridCol w:w="3441"/>
        <w:gridCol w:w="3441"/>
      </w:tblGrid>
      <w:tr w:rsidR="008343BF" w14:paraId="368DFAE2" w14:textId="77777777" w:rsidTr="00EF076A">
        <w:trPr>
          <w:trHeight w:val="482"/>
        </w:trPr>
        <w:tc>
          <w:tcPr>
            <w:tcW w:w="10323" w:type="dxa"/>
            <w:gridSpan w:val="3"/>
            <w:shd w:val="clear" w:color="auto" w:fill="D9D9D9" w:themeFill="background1" w:themeFillShade="D9"/>
            <w:vAlign w:val="center"/>
          </w:tcPr>
          <w:p w14:paraId="394F6978" w14:textId="2B2864BC" w:rsidR="008343BF" w:rsidRPr="00C3632A" w:rsidRDefault="008343BF" w:rsidP="00EF076A">
            <w:pPr>
              <w:spacing w:before="0" w:after="0" w:line="240" w:lineRule="auto"/>
              <w:jc w:val="center"/>
              <w:rPr>
                <w:rFonts w:cs="Arial"/>
                <w:b/>
                <w:bCs/>
                <w:szCs w:val="20"/>
              </w:rPr>
            </w:pPr>
            <w:bookmarkStart w:id="14" w:name="_Hlk86218237"/>
            <w:r w:rsidRPr="00C3632A">
              <w:rPr>
                <w:rFonts w:cs="Arial"/>
                <w:b/>
                <w:bCs/>
                <w:szCs w:val="20"/>
              </w:rPr>
              <w:lastRenderedPageBreak/>
              <w:t>Mentor Support Rural and Remote</w:t>
            </w:r>
          </w:p>
        </w:tc>
      </w:tr>
      <w:tr w:rsidR="00C3632A" w14:paraId="57B237AD" w14:textId="77777777" w:rsidTr="00EF076A">
        <w:tc>
          <w:tcPr>
            <w:tcW w:w="3441" w:type="dxa"/>
            <w:shd w:val="clear" w:color="auto" w:fill="FFFFFF" w:themeFill="background1"/>
          </w:tcPr>
          <w:p w14:paraId="599FFBFA" w14:textId="77777777" w:rsidR="00C3632A" w:rsidRDefault="00C3632A" w:rsidP="00C3632A">
            <w:pPr>
              <w:spacing w:before="0" w:after="0"/>
              <w:ind w:right="57"/>
              <w:jc w:val="both"/>
              <w:rPr>
                <w:rFonts w:cs="Arial"/>
                <w:szCs w:val="20"/>
              </w:rPr>
            </w:pPr>
            <w:r w:rsidRPr="000914E6">
              <w:rPr>
                <w:rFonts w:cs="Arial"/>
                <w:szCs w:val="20"/>
              </w:rPr>
              <w:t xml:space="preserve">Description, Timeframe, </w:t>
            </w:r>
          </w:p>
          <w:p w14:paraId="7B30BD70" w14:textId="69929802" w:rsidR="00C3632A" w:rsidRPr="004E5FF7" w:rsidRDefault="00C3632A" w:rsidP="00C3632A">
            <w:pPr>
              <w:ind w:right="57"/>
              <w:jc w:val="both"/>
              <w:rPr>
                <w:rFonts w:cs="Arial"/>
                <w:b/>
                <w:bCs/>
                <w:szCs w:val="20"/>
              </w:rPr>
            </w:pPr>
            <w:r w:rsidRPr="000914E6">
              <w:rPr>
                <w:rFonts w:cs="Arial"/>
                <w:szCs w:val="20"/>
              </w:rPr>
              <w:t>Eligible Schools</w:t>
            </w:r>
          </w:p>
        </w:tc>
        <w:tc>
          <w:tcPr>
            <w:tcW w:w="3441" w:type="dxa"/>
            <w:shd w:val="clear" w:color="auto" w:fill="FFFFFF" w:themeFill="background1"/>
          </w:tcPr>
          <w:p w14:paraId="17E073EA" w14:textId="37DE7E09" w:rsidR="00C3632A" w:rsidRPr="00293A78" w:rsidRDefault="00C3632A" w:rsidP="00C3632A">
            <w:pPr>
              <w:pStyle w:val="ListParagraph"/>
              <w:numPr>
                <w:ilvl w:val="0"/>
                <w:numId w:val="21"/>
              </w:numPr>
              <w:spacing w:after="0" w:line="240" w:lineRule="auto"/>
              <w:ind w:left="360"/>
              <w:rPr>
                <w:rFonts w:ascii="Arial" w:hAnsi="Arial" w:cs="Arial"/>
                <w:sz w:val="20"/>
                <w:szCs w:val="20"/>
              </w:rPr>
            </w:pPr>
            <w:r w:rsidRPr="00B00D26">
              <w:rPr>
                <w:rFonts w:ascii="Arial" w:hAnsi="Arial" w:cs="Arial"/>
                <w:sz w:val="20"/>
                <w:szCs w:val="20"/>
              </w:rPr>
              <w:t>Outcomes/objectives</w:t>
            </w:r>
          </w:p>
        </w:tc>
        <w:tc>
          <w:tcPr>
            <w:tcW w:w="3441" w:type="dxa"/>
            <w:shd w:val="clear" w:color="auto" w:fill="FFFFFF" w:themeFill="background1"/>
          </w:tcPr>
          <w:p w14:paraId="18CBA629" w14:textId="6D95FC07" w:rsidR="00C3632A" w:rsidRPr="00293A78" w:rsidRDefault="00C3632A" w:rsidP="00C3632A">
            <w:pPr>
              <w:pStyle w:val="ListParagraph"/>
              <w:numPr>
                <w:ilvl w:val="0"/>
                <w:numId w:val="21"/>
              </w:numPr>
              <w:spacing w:after="0" w:line="240" w:lineRule="auto"/>
              <w:ind w:left="360"/>
              <w:rPr>
                <w:rFonts w:ascii="Arial" w:hAnsi="Arial" w:cs="Arial"/>
                <w:sz w:val="20"/>
                <w:szCs w:val="20"/>
              </w:rPr>
            </w:pPr>
            <w:r w:rsidRPr="00B00D26">
              <w:rPr>
                <w:rFonts w:ascii="Arial" w:hAnsi="Arial" w:cs="Arial"/>
                <w:sz w:val="20"/>
                <w:szCs w:val="20"/>
              </w:rPr>
              <w:t>Indicators of Success</w:t>
            </w:r>
          </w:p>
        </w:tc>
      </w:tr>
      <w:bookmarkEnd w:id="14"/>
      <w:tr w:rsidR="00C3632A" w14:paraId="71958817" w14:textId="77777777" w:rsidTr="00EF076A">
        <w:tc>
          <w:tcPr>
            <w:tcW w:w="3441" w:type="dxa"/>
            <w:shd w:val="clear" w:color="auto" w:fill="FFFFFF" w:themeFill="background1"/>
          </w:tcPr>
          <w:p w14:paraId="1A3A348A" w14:textId="42279457" w:rsidR="00876F2E" w:rsidRPr="00EF076A" w:rsidRDefault="00876F2E" w:rsidP="00C3632A">
            <w:pPr>
              <w:ind w:right="57"/>
              <w:jc w:val="both"/>
              <w:rPr>
                <w:rFonts w:cs="Arial"/>
                <w:color w:val="FF0000"/>
                <w:sz w:val="18"/>
                <w:szCs w:val="18"/>
              </w:rPr>
            </w:pPr>
            <w:r w:rsidRPr="00EF076A">
              <w:rPr>
                <w:rFonts w:cs="Arial"/>
                <w:color w:val="FF0000"/>
                <w:sz w:val="18"/>
                <w:szCs w:val="18"/>
              </w:rPr>
              <w:t>NOTE – THIS PROGRAM WILL BE DISCONTINUED IN 2023 AND THEREAFTER. SUPPORT TO REGIONAL AND REMOTE SCHOOLS WILL BE BUILT INTO THE CEWA BUDGETS FOR SCHOOL IMPROVEMENT ADVISORS AND REGIONAL OFFICERS; THERE WILL BE REDUCTION IN SUPPORT FOR THESE SCHOOLS.</w:t>
            </w:r>
          </w:p>
          <w:p w14:paraId="2B852334" w14:textId="7E3A2205" w:rsidR="00C3632A" w:rsidRPr="004E5FF7" w:rsidRDefault="00C3632A" w:rsidP="00C3632A">
            <w:pPr>
              <w:ind w:right="57"/>
              <w:jc w:val="both"/>
              <w:rPr>
                <w:rFonts w:cs="Arial"/>
                <w:b/>
                <w:bCs/>
                <w:szCs w:val="20"/>
              </w:rPr>
            </w:pPr>
            <w:r w:rsidRPr="004E5FF7">
              <w:rPr>
                <w:rFonts w:cs="Arial"/>
                <w:b/>
                <w:bCs/>
                <w:szCs w:val="20"/>
              </w:rPr>
              <w:t>Details</w:t>
            </w:r>
          </w:p>
          <w:p w14:paraId="2DA44FAB" w14:textId="77777777" w:rsidR="00C3632A" w:rsidRDefault="00C3632A" w:rsidP="00C3632A">
            <w:pPr>
              <w:ind w:right="57"/>
              <w:jc w:val="both"/>
              <w:rPr>
                <w:rFonts w:cs="Arial"/>
                <w:szCs w:val="20"/>
              </w:rPr>
            </w:pPr>
            <w:r w:rsidRPr="00293A78">
              <w:rPr>
                <w:rFonts w:cs="Arial"/>
                <w:szCs w:val="20"/>
              </w:rPr>
              <w:t xml:space="preserve">Principals and teachers in rural and especially remote schools are often less experienced and this can impact on overall school improvement. This project will involve the appointment of an experienced principal mentor who can assist principals and leadership teams in rural and remote schools. The mentor will work in collaboration with the Regional Officer and will also be available to support Early Career Teachers </w:t>
            </w:r>
            <w:r>
              <w:rPr>
                <w:rFonts w:cs="Arial"/>
                <w:szCs w:val="20"/>
              </w:rPr>
              <w:t xml:space="preserve">(ECT) </w:t>
            </w:r>
            <w:r w:rsidRPr="00293A78">
              <w:rPr>
                <w:rFonts w:cs="Arial"/>
                <w:szCs w:val="20"/>
              </w:rPr>
              <w:t>in these schools. The leadership teams will be supported in the induction process before taking up the appointment in cultural competency programs, ongoing school improvement planning, leadership development including with the school leadership team, school strategic planning and community building. Funds will be directed to the engagement of a mentor/s plus professional learning and travel costs.</w:t>
            </w:r>
          </w:p>
          <w:p w14:paraId="13911B6E" w14:textId="77777777" w:rsidR="00C3632A" w:rsidRPr="009800D4" w:rsidRDefault="00C3632A" w:rsidP="00C3632A">
            <w:pPr>
              <w:ind w:right="57"/>
              <w:jc w:val="both"/>
              <w:rPr>
                <w:rFonts w:cs="Arial"/>
                <w:b/>
                <w:bCs/>
                <w:szCs w:val="20"/>
              </w:rPr>
            </w:pPr>
            <w:r w:rsidRPr="009800D4">
              <w:rPr>
                <w:rFonts w:cs="Arial"/>
                <w:b/>
                <w:bCs/>
                <w:szCs w:val="20"/>
              </w:rPr>
              <w:t>Timeframes</w:t>
            </w:r>
          </w:p>
          <w:p w14:paraId="40D6094D" w14:textId="76CA6D81" w:rsidR="00C3632A" w:rsidRDefault="00C3632A" w:rsidP="00C3632A">
            <w:pPr>
              <w:ind w:right="57"/>
              <w:jc w:val="both"/>
              <w:rPr>
                <w:rFonts w:cs="Arial"/>
                <w:szCs w:val="20"/>
              </w:rPr>
            </w:pPr>
            <w:r>
              <w:rPr>
                <w:rFonts w:cs="Arial"/>
                <w:szCs w:val="20"/>
              </w:rPr>
              <w:t>Support to selected principals commences at start of school year This project will cease to be funded from CAF at the</w:t>
            </w:r>
            <w:r w:rsidR="00012C77">
              <w:rPr>
                <w:rFonts w:cs="Arial"/>
                <w:szCs w:val="20"/>
              </w:rPr>
              <w:t xml:space="preserve"> </w:t>
            </w:r>
            <w:r>
              <w:rPr>
                <w:rFonts w:cs="Arial"/>
                <w:szCs w:val="20"/>
              </w:rPr>
              <w:t>end of the 2022 school year and transferred to alternate CEWA cost centres</w:t>
            </w:r>
          </w:p>
          <w:p w14:paraId="6E2FAD9B" w14:textId="77777777" w:rsidR="00C3632A" w:rsidRPr="009800D4" w:rsidRDefault="00C3632A" w:rsidP="00C3632A">
            <w:pPr>
              <w:ind w:right="57"/>
              <w:jc w:val="both"/>
              <w:rPr>
                <w:rFonts w:cs="Arial"/>
                <w:b/>
                <w:bCs/>
                <w:szCs w:val="20"/>
              </w:rPr>
            </w:pPr>
            <w:r w:rsidRPr="009800D4">
              <w:rPr>
                <w:rFonts w:cs="Arial"/>
                <w:b/>
                <w:bCs/>
                <w:szCs w:val="20"/>
              </w:rPr>
              <w:t>Eligible Schools</w:t>
            </w:r>
          </w:p>
          <w:p w14:paraId="1DAC2157" w14:textId="024D6128" w:rsidR="00C3632A" w:rsidRPr="00293A78" w:rsidRDefault="00C3632A" w:rsidP="00C3632A">
            <w:pPr>
              <w:ind w:right="57"/>
              <w:jc w:val="both"/>
              <w:rPr>
                <w:rFonts w:cs="Arial"/>
                <w:szCs w:val="20"/>
              </w:rPr>
            </w:pPr>
            <w:r>
              <w:rPr>
                <w:rFonts w:cs="Arial"/>
                <w:szCs w:val="20"/>
              </w:rPr>
              <w:t>Confined to two or three smaller regional schools where relatively less experienced principals exist.</w:t>
            </w:r>
          </w:p>
        </w:tc>
        <w:tc>
          <w:tcPr>
            <w:tcW w:w="3441" w:type="dxa"/>
            <w:shd w:val="clear" w:color="auto" w:fill="FFFFFF" w:themeFill="background1"/>
          </w:tcPr>
          <w:p w14:paraId="6F87D461"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Raise levels of proficiency of principals and leadership teams</w:t>
            </w:r>
          </w:p>
          <w:p w14:paraId="48EB7BE8"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Assist ECTs in collaboration with the CEWA ECT program.</w:t>
            </w:r>
          </w:p>
          <w:p w14:paraId="0CFD5810" w14:textId="257FC5AF" w:rsidR="00C3632A" w:rsidRPr="00293A78" w:rsidRDefault="00E65A47"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Generally,</w:t>
            </w:r>
            <w:r w:rsidR="00C3632A" w:rsidRPr="00293A78">
              <w:rPr>
                <w:rFonts w:ascii="Arial" w:hAnsi="Arial" w:cs="Arial"/>
                <w:sz w:val="20"/>
                <w:szCs w:val="20"/>
              </w:rPr>
              <w:t xml:space="preserve"> assist in the whole school improvement process, indicated by improved student outcomes</w:t>
            </w:r>
          </w:p>
          <w:p w14:paraId="6E281D0D"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Assist in improving the health and wellbeing of leaders and staff in rural and remote schools</w:t>
            </w:r>
          </w:p>
        </w:tc>
        <w:tc>
          <w:tcPr>
            <w:tcW w:w="3441" w:type="dxa"/>
            <w:shd w:val="clear" w:color="auto" w:fill="FFFFFF" w:themeFill="background1"/>
          </w:tcPr>
          <w:p w14:paraId="13EF6141"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Successful engagement of part time mentor</w:t>
            </w:r>
          </w:p>
          <w:p w14:paraId="6172B2E2"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 xml:space="preserve">Records of </w:t>
            </w:r>
            <w:proofErr w:type="gramStart"/>
            <w:r w:rsidRPr="00293A78">
              <w:rPr>
                <w:rFonts w:ascii="Arial" w:hAnsi="Arial" w:cs="Arial"/>
                <w:sz w:val="20"/>
                <w:szCs w:val="20"/>
              </w:rPr>
              <w:t>schools</w:t>
            </w:r>
            <w:proofErr w:type="gramEnd"/>
            <w:r w:rsidRPr="00293A78">
              <w:rPr>
                <w:rFonts w:ascii="Arial" w:hAnsi="Arial" w:cs="Arial"/>
                <w:sz w:val="20"/>
                <w:szCs w:val="20"/>
              </w:rPr>
              <w:t xml:space="preserve"> principals visited; frequency; others assisted</w:t>
            </w:r>
          </w:p>
          <w:p w14:paraId="084571C1"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Records of ECTs assisted</w:t>
            </w:r>
          </w:p>
          <w:p w14:paraId="6B29B0EF"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Evidence of improvement in leadership effectiveness</w:t>
            </w:r>
          </w:p>
          <w:p w14:paraId="3975A707" w14:textId="77777777" w:rsidR="00C3632A" w:rsidRPr="00293A78" w:rsidRDefault="00C3632A"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Evidence of school improvement – mainly qualitative</w:t>
            </w:r>
          </w:p>
        </w:tc>
      </w:tr>
    </w:tbl>
    <w:p w14:paraId="5ADD3FD1" w14:textId="3E198744" w:rsidR="00A9330B" w:rsidRDefault="00A9330B"/>
    <w:tbl>
      <w:tblPr>
        <w:tblStyle w:val="TableGrid"/>
        <w:tblW w:w="0" w:type="auto"/>
        <w:tblCellMar>
          <w:top w:w="28" w:type="dxa"/>
          <w:bottom w:w="28" w:type="dxa"/>
        </w:tblCellMar>
        <w:tblLook w:val="04A0" w:firstRow="1" w:lastRow="0" w:firstColumn="1" w:lastColumn="0" w:noHBand="0" w:noVBand="1"/>
      </w:tblPr>
      <w:tblGrid>
        <w:gridCol w:w="3441"/>
        <w:gridCol w:w="3441"/>
        <w:gridCol w:w="3441"/>
      </w:tblGrid>
      <w:tr w:rsidR="008343BF" w14:paraId="68886A7B" w14:textId="77777777" w:rsidTr="00EF076A">
        <w:trPr>
          <w:trHeight w:val="482"/>
        </w:trPr>
        <w:tc>
          <w:tcPr>
            <w:tcW w:w="10323" w:type="dxa"/>
            <w:gridSpan w:val="3"/>
            <w:shd w:val="clear" w:color="auto" w:fill="D9D9D9" w:themeFill="background1" w:themeFillShade="D9"/>
            <w:vAlign w:val="center"/>
          </w:tcPr>
          <w:p w14:paraId="329A67AF" w14:textId="3E290FC3" w:rsidR="008343BF" w:rsidRPr="00A9330B" w:rsidRDefault="008343BF" w:rsidP="00EF076A">
            <w:pPr>
              <w:spacing w:before="0" w:after="0" w:line="240" w:lineRule="auto"/>
              <w:jc w:val="center"/>
              <w:rPr>
                <w:rFonts w:cs="Arial"/>
                <w:b/>
                <w:bCs/>
                <w:szCs w:val="20"/>
              </w:rPr>
            </w:pPr>
            <w:r w:rsidRPr="00A9330B">
              <w:rPr>
                <w:rFonts w:cs="Arial"/>
                <w:b/>
                <w:bCs/>
                <w:szCs w:val="20"/>
              </w:rPr>
              <w:t>Kimberley IT support and enhancement</w:t>
            </w:r>
          </w:p>
        </w:tc>
      </w:tr>
      <w:tr w:rsidR="00A9330B" w14:paraId="34852403" w14:textId="77777777" w:rsidTr="00EF076A">
        <w:tc>
          <w:tcPr>
            <w:tcW w:w="3441" w:type="dxa"/>
            <w:shd w:val="clear" w:color="auto" w:fill="FFFFFF" w:themeFill="background1"/>
          </w:tcPr>
          <w:p w14:paraId="5708A40A" w14:textId="77777777" w:rsidR="00A9330B" w:rsidRPr="00A9330B" w:rsidRDefault="00A9330B" w:rsidP="00A9330B">
            <w:pPr>
              <w:spacing w:after="0"/>
              <w:ind w:right="57"/>
              <w:rPr>
                <w:rFonts w:cs="Arial"/>
                <w:szCs w:val="20"/>
              </w:rPr>
            </w:pPr>
            <w:bookmarkStart w:id="15" w:name="_Hlk86218307"/>
            <w:r w:rsidRPr="00A9330B">
              <w:rPr>
                <w:rFonts w:cs="Arial"/>
                <w:szCs w:val="20"/>
              </w:rPr>
              <w:t xml:space="preserve">Description, Timeframe, </w:t>
            </w:r>
          </w:p>
          <w:p w14:paraId="2AA33C9E" w14:textId="0189EE73" w:rsidR="00A9330B" w:rsidRPr="00A9330B" w:rsidRDefault="00A9330B" w:rsidP="00A9330B">
            <w:pPr>
              <w:ind w:right="57"/>
              <w:rPr>
                <w:rFonts w:cs="Arial"/>
                <w:b/>
                <w:bCs/>
                <w:szCs w:val="20"/>
              </w:rPr>
            </w:pPr>
            <w:r w:rsidRPr="00A9330B">
              <w:rPr>
                <w:rFonts w:cs="Arial"/>
                <w:szCs w:val="20"/>
              </w:rPr>
              <w:t>Eligible Schools</w:t>
            </w:r>
          </w:p>
        </w:tc>
        <w:tc>
          <w:tcPr>
            <w:tcW w:w="3441" w:type="dxa"/>
            <w:shd w:val="clear" w:color="auto" w:fill="FFFFFF" w:themeFill="background1"/>
          </w:tcPr>
          <w:p w14:paraId="5359460D" w14:textId="238D6AF3" w:rsidR="00A9330B" w:rsidRPr="00A9330B" w:rsidRDefault="00A9330B" w:rsidP="00A9330B">
            <w:pPr>
              <w:spacing w:after="0" w:line="240" w:lineRule="auto"/>
              <w:rPr>
                <w:rFonts w:cs="Arial"/>
                <w:szCs w:val="20"/>
              </w:rPr>
            </w:pPr>
            <w:r w:rsidRPr="00A9330B">
              <w:rPr>
                <w:rFonts w:cs="Arial"/>
                <w:szCs w:val="20"/>
              </w:rPr>
              <w:t>Outcomes/objectives</w:t>
            </w:r>
          </w:p>
        </w:tc>
        <w:tc>
          <w:tcPr>
            <w:tcW w:w="3441" w:type="dxa"/>
            <w:shd w:val="clear" w:color="auto" w:fill="FFFFFF" w:themeFill="background1"/>
          </w:tcPr>
          <w:p w14:paraId="22E13398" w14:textId="034CB676" w:rsidR="00A9330B" w:rsidRPr="00A9330B" w:rsidRDefault="00A9330B" w:rsidP="00A9330B">
            <w:pPr>
              <w:spacing w:after="0" w:line="240" w:lineRule="auto"/>
              <w:rPr>
                <w:rFonts w:cs="Arial"/>
                <w:szCs w:val="20"/>
              </w:rPr>
            </w:pPr>
            <w:r w:rsidRPr="00A9330B">
              <w:rPr>
                <w:rFonts w:cs="Arial"/>
                <w:szCs w:val="20"/>
              </w:rPr>
              <w:t>Indicators of Success</w:t>
            </w:r>
          </w:p>
        </w:tc>
      </w:tr>
      <w:bookmarkEnd w:id="15"/>
      <w:tr w:rsidR="00A9330B" w14:paraId="324D3F18" w14:textId="77777777" w:rsidTr="00EF076A">
        <w:tc>
          <w:tcPr>
            <w:tcW w:w="3441" w:type="dxa"/>
            <w:shd w:val="clear" w:color="auto" w:fill="FFFFFF" w:themeFill="background1"/>
          </w:tcPr>
          <w:p w14:paraId="3CD2EFBB" w14:textId="77777777" w:rsidR="00A9330B" w:rsidRPr="009800D4" w:rsidRDefault="00A9330B" w:rsidP="00C3632A">
            <w:pPr>
              <w:ind w:right="57"/>
              <w:jc w:val="both"/>
              <w:rPr>
                <w:rFonts w:cs="Arial"/>
                <w:b/>
                <w:bCs/>
                <w:szCs w:val="20"/>
              </w:rPr>
            </w:pPr>
            <w:r w:rsidRPr="009800D4">
              <w:rPr>
                <w:rFonts w:cs="Arial"/>
                <w:b/>
                <w:bCs/>
                <w:szCs w:val="20"/>
              </w:rPr>
              <w:t>Details</w:t>
            </w:r>
          </w:p>
          <w:p w14:paraId="0343BCBE" w14:textId="62CCE62F" w:rsidR="00A9330B" w:rsidRPr="00293A78" w:rsidRDefault="00A9330B" w:rsidP="00C3632A">
            <w:pPr>
              <w:ind w:right="57"/>
              <w:jc w:val="both"/>
              <w:rPr>
                <w:rFonts w:cs="Arial"/>
                <w:szCs w:val="20"/>
              </w:rPr>
            </w:pPr>
            <w:r w:rsidRPr="00293A78">
              <w:rPr>
                <w:rFonts w:cs="Arial"/>
                <w:szCs w:val="20"/>
              </w:rPr>
              <w:t>CEWA is implementing new IT systems and processes across all schools. Notwithstanding, problems exist in CEWA’s capacity to properly service Kimberley schools for a variety of reasons, including, but not limited to; connectivity issues; different hardware being used; variable IT capacity of staff; and the need for routine in situ maintenance and support. The capacity for students to access reliable interne</w:t>
            </w:r>
            <w:r>
              <w:rPr>
                <w:rFonts w:cs="Arial"/>
                <w:szCs w:val="20"/>
              </w:rPr>
              <w:t>t</w:t>
            </w:r>
            <w:r w:rsidRPr="00293A78">
              <w:rPr>
                <w:rFonts w:cs="Arial"/>
                <w:szCs w:val="20"/>
              </w:rPr>
              <w:t xml:space="preserve"> impacts on learning </w:t>
            </w:r>
            <w:r w:rsidR="007B040F" w:rsidRPr="00293A78">
              <w:rPr>
                <w:rFonts w:cs="Arial"/>
                <w:szCs w:val="20"/>
              </w:rPr>
              <w:t>e.g.,</w:t>
            </w:r>
            <w:r w:rsidRPr="00293A78">
              <w:rPr>
                <w:rFonts w:cs="Arial"/>
                <w:szCs w:val="20"/>
              </w:rPr>
              <w:t xml:space="preserve"> NAPLAN online; </w:t>
            </w:r>
            <w:proofErr w:type="spellStart"/>
            <w:r w:rsidRPr="00293A78">
              <w:rPr>
                <w:rFonts w:cs="Arial"/>
                <w:szCs w:val="20"/>
              </w:rPr>
              <w:t>ViSN</w:t>
            </w:r>
            <w:proofErr w:type="spellEnd"/>
            <w:r w:rsidRPr="00293A78">
              <w:rPr>
                <w:rFonts w:cs="Arial"/>
                <w:szCs w:val="20"/>
              </w:rPr>
              <w:t>. The project aims to standardise hardware in the 13 Kimberley schools; establish a more reliable network access and provide technicians who can visit schools more regularly This project is important in establishing greater equity for these schools and their students compared with their metropolitan counterparts.</w:t>
            </w:r>
          </w:p>
          <w:p w14:paraId="58AC7666" w14:textId="77777777" w:rsidR="00A9330B" w:rsidRDefault="00A9330B" w:rsidP="00C3632A">
            <w:pPr>
              <w:ind w:right="57"/>
              <w:jc w:val="both"/>
              <w:rPr>
                <w:rFonts w:cs="Arial"/>
                <w:szCs w:val="20"/>
              </w:rPr>
            </w:pPr>
            <w:r w:rsidRPr="00293A78">
              <w:rPr>
                <w:rFonts w:cs="Arial"/>
                <w:szCs w:val="20"/>
              </w:rPr>
              <w:t>Remote learning will continue to provide important support for these schools. Funds will be used partly to improve infrastructure and connectivity as well as materials for schools.</w:t>
            </w:r>
          </w:p>
          <w:p w14:paraId="6B471BCB" w14:textId="77777777" w:rsidR="00A9330B" w:rsidRPr="006D0487" w:rsidRDefault="00A9330B" w:rsidP="00C3632A">
            <w:pPr>
              <w:ind w:right="57"/>
              <w:jc w:val="both"/>
              <w:rPr>
                <w:rFonts w:cs="Arial"/>
                <w:b/>
                <w:bCs/>
                <w:szCs w:val="20"/>
              </w:rPr>
            </w:pPr>
            <w:r w:rsidRPr="006D0487">
              <w:rPr>
                <w:rFonts w:cs="Arial"/>
                <w:b/>
                <w:bCs/>
                <w:szCs w:val="20"/>
              </w:rPr>
              <w:t>Timeframe</w:t>
            </w:r>
          </w:p>
          <w:p w14:paraId="22022B71" w14:textId="12E5E563" w:rsidR="00A9330B" w:rsidRDefault="00A9330B" w:rsidP="00C3632A">
            <w:pPr>
              <w:ind w:right="57"/>
              <w:jc w:val="both"/>
              <w:rPr>
                <w:rFonts w:cs="Arial"/>
                <w:szCs w:val="20"/>
              </w:rPr>
            </w:pPr>
            <w:r>
              <w:rPr>
                <w:rFonts w:cs="Arial"/>
                <w:szCs w:val="20"/>
              </w:rPr>
              <w:t>Continuous technical support to the schools and staff involved 365 days of the year; program commenced beginning of</w:t>
            </w:r>
            <w:r w:rsidR="00B73B1A">
              <w:rPr>
                <w:rFonts w:cs="Arial"/>
                <w:szCs w:val="20"/>
              </w:rPr>
              <w:t xml:space="preserve"> </w:t>
            </w:r>
            <w:r>
              <w:rPr>
                <w:rFonts w:cs="Arial"/>
                <w:szCs w:val="20"/>
              </w:rPr>
              <w:t>2021 school year and is planned to continue to at least 2029.</w:t>
            </w:r>
          </w:p>
          <w:p w14:paraId="484948B8" w14:textId="77777777" w:rsidR="00A9330B" w:rsidRPr="006D0487" w:rsidRDefault="00A9330B" w:rsidP="00C3632A">
            <w:pPr>
              <w:ind w:right="57"/>
              <w:jc w:val="both"/>
              <w:rPr>
                <w:rFonts w:cs="Arial"/>
                <w:b/>
                <w:bCs/>
                <w:szCs w:val="20"/>
              </w:rPr>
            </w:pPr>
            <w:r w:rsidRPr="006D0487">
              <w:rPr>
                <w:rFonts w:cs="Arial"/>
                <w:b/>
                <w:bCs/>
                <w:szCs w:val="20"/>
              </w:rPr>
              <w:t>Eligible Schools</w:t>
            </w:r>
          </w:p>
          <w:p w14:paraId="3E779D4D" w14:textId="25D13F68" w:rsidR="00A9330B" w:rsidRPr="00293A78" w:rsidRDefault="00A9330B" w:rsidP="00C3632A">
            <w:pPr>
              <w:ind w:right="57"/>
              <w:jc w:val="both"/>
              <w:rPr>
                <w:rFonts w:cs="Arial"/>
                <w:szCs w:val="20"/>
              </w:rPr>
            </w:pPr>
            <w:r>
              <w:rPr>
                <w:rFonts w:cs="Arial"/>
                <w:szCs w:val="20"/>
              </w:rPr>
              <w:t>Confined to 13 Kimberley schools only; all support is provided by outside providers and central CEWA technical support.</w:t>
            </w:r>
            <w:r w:rsidR="00B73B1A">
              <w:rPr>
                <w:rFonts w:cs="Arial"/>
                <w:szCs w:val="20"/>
              </w:rPr>
              <w:t xml:space="preserve"> </w:t>
            </w:r>
          </w:p>
        </w:tc>
        <w:tc>
          <w:tcPr>
            <w:tcW w:w="3441" w:type="dxa"/>
            <w:shd w:val="clear" w:color="auto" w:fill="FFFFFF" w:themeFill="background1"/>
          </w:tcPr>
          <w:p w14:paraId="0DDA6061" w14:textId="77777777" w:rsidR="00A9330B" w:rsidRPr="00293A78" w:rsidRDefault="00A9330B"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 xml:space="preserve">Standardise </w:t>
            </w:r>
            <w:r>
              <w:rPr>
                <w:rFonts w:ascii="Arial" w:hAnsi="Arial" w:cs="Arial"/>
                <w:sz w:val="20"/>
                <w:szCs w:val="20"/>
              </w:rPr>
              <w:t>h</w:t>
            </w:r>
            <w:r w:rsidRPr="00293A78">
              <w:rPr>
                <w:rFonts w:ascii="Arial" w:hAnsi="Arial" w:cs="Arial"/>
                <w:sz w:val="20"/>
                <w:szCs w:val="20"/>
              </w:rPr>
              <w:t>ardware in Kimberley schools to allow for easier training and support</w:t>
            </w:r>
          </w:p>
          <w:p w14:paraId="0DB00EB5" w14:textId="77777777" w:rsidR="00A9330B" w:rsidRPr="00293A78" w:rsidRDefault="00A9330B"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Improve and establish a more sustainable network as a basis for more learning</w:t>
            </w:r>
          </w:p>
          <w:p w14:paraId="3630E256" w14:textId="77777777" w:rsidR="00A9330B" w:rsidRPr="00293A78" w:rsidRDefault="00A9330B"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Establish a more frequent and consistent in situ support service to schools</w:t>
            </w:r>
          </w:p>
          <w:p w14:paraId="0C67DA02" w14:textId="77777777" w:rsidR="00A9330B" w:rsidRPr="00293A78" w:rsidRDefault="00A9330B"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Improve learning outcomes for students and access to professional learning for staff.</w:t>
            </w:r>
          </w:p>
        </w:tc>
        <w:tc>
          <w:tcPr>
            <w:tcW w:w="3441" w:type="dxa"/>
            <w:shd w:val="clear" w:color="auto" w:fill="FFFFFF" w:themeFill="background1"/>
          </w:tcPr>
          <w:p w14:paraId="07232D43" w14:textId="77777777" w:rsidR="00A9330B" w:rsidRPr="00293A78" w:rsidRDefault="00A9330B"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Names of schools involved; geolocation, student and staff numbers who will benefit</w:t>
            </w:r>
          </w:p>
          <w:p w14:paraId="6B8C0F18" w14:textId="77777777" w:rsidR="00A9330B" w:rsidRPr="00293A78" w:rsidRDefault="00A9330B"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Details of IT hardware and internet services provided</w:t>
            </w:r>
          </w:p>
          <w:p w14:paraId="772C0EEA" w14:textId="77777777" w:rsidR="00A9330B" w:rsidRPr="00293A78" w:rsidRDefault="00A9330B"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Details of technical support provided – FTE staff; schools visited; services provided; issues arising</w:t>
            </w:r>
          </w:p>
          <w:p w14:paraId="7045294E" w14:textId="77777777" w:rsidR="00A9330B" w:rsidRPr="00293A78" w:rsidRDefault="00A9330B"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Qualitative feedback on efficiency of IT processes and outcomes in schools</w:t>
            </w:r>
          </w:p>
          <w:p w14:paraId="284E90BF" w14:textId="77777777" w:rsidR="00A9330B" w:rsidRPr="00293A78" w:rsidRDefault="00A9330B"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Tangible evidence of improvement in student outcomes</w:t>
            </w:r>
          </w:p>
          <w:p w14:paraId="6913A927" w14:textId="77777777" w:rsidR="00A9330B" w:rsidRPr="00293A78" w:rsidRDefault="00A9330B" w:rsidP="00610F1F">
            <w:pPr>
              <w:pStyle w:val="ListParagraph"/>
              <w:numPr>
                <w:ilvl w:val="0"/>
                <w:numId w:val="21"/>
              </w:numPr>
              <w:spacing w:after="0" w:line="240" w:lineRule="auto"/>
              <w:ind w:left="360"/>
              <w:jc w:val="both"/>
              <w:rPr>
                <w:rFonts w:ascii="Arial" w:hAnsi="Arial" w:cs="Arial"/>
                <w:sz w:val="20"/>
                <w:szCs w:val="20"/>
              </w:rPr>
            </w:pPr>
            <w:r w:rsidRPr="00293A78">
              <w:rPr>
                <w:rFonts w:ascii="Arial" w:hAnsi="Arial" w:cs="Arial"/>
                <w:sz w:val="20"/>
                <w:szCs w:val="20"/>
              </w:rPr>
              <w:t>Evidence of staff engagement and increasing expertise</w:t>
            </w:r>
          </w:p>
        </w:tc>
      </w:tr>
    </w:tbl>
    <w:p w14:paraId="587A5435" w14:textId="2CED61E8" w:rsidR="00A9330B" w:rsidRDefault="00A9330B" w:rsidP="000B7CE7">
      <w:pPr>
        <w:spacing w:after="0" w:line="240" w:lineRule="auto"/>
        <w:jc w:val="both"/>
        <w:rPr>
          <w:rFonts w:cs="Arial"/>
          <w:b/>
          <w:bCs/>
          <w:color w:val="2F5496" w:themeColor="accent1" w:themeShade="BF"/>
        </w:rPr>
      </w:pPr>
    </w:p>
    <w:p w14:paraId="59B66DA3" w14:textId="77777777" w:rsidR="00E65A47" w:rsidRDefault="00E65A47" w:rsidP="00E65A47">
      <w:pPr>
        <w:spacing w:before="0" w:after="160" w:line="259" w:lineRule="auto"/>
        <w:rPr>
          <w:rFonts w:cs="Arial"/>
          <w:b/>
          <w:bCs/>
          <w:color w:val="2F5496" w:themeColor="accent1" w:themeShade="BF"/>
        </w:rPr>
      </w:pPr>
    </w:p>
    <w:p w14:paraId="3BF652A5" w14:textId="69A78BB6" w:rsidR="000B7CE7" w:rsidRPr="00E65A47" w:rsidRDefault="004C7381" w:rsidP="00E65A47">
      <w:pPr>
        <w:spacing w:before="0" w:after="160" w:line="259" w:lineRule="auto"/>
        <w:rPr>
          <w:rFonts w:cs="Arial"/>
          <w:b/>
          <w:bCs/>
          <w:color w:val="2F5496" w:themeColor="accent1" w:themeShade="BF"/>
        </w:rPr>
      </w:pPr>
      <w:r>
        <w:rPr>
          <w:rFonts w:cstheme="minorHAnsi"/>
          <w:b/>
          <w:u w:val="single"/>
        </w:rPr>
        <w:lastRenderedPageBreak/>
        <w:t>PRIORITY E – STUDENT WELLBEING AND SUPPORT</w:t>
      </w:r>
    </w:p>
    <w:tbl>
      <w:tblPr>
        <w:tblStyle w:val="TableGrid"/>
        <w:tblW w:w="10323" w:type="dxa"/>
        <w:tblInd w:w="137" w:type="dxa"/>
        <w:tblLayout w:type="fixed"/>
        <w:tblLook w:val="04A0" w:firstRow="1" w:lastRow="0" w:firstColumn="1" w:lastColumn="0" w:noHBand="0" w:noVBand="1"/>
      </w:tblPr>
      <w:tblGrid>
        <w:gridCol w:w="3827"/>
        <w:gridCol w:w="3261"/>
        <w:gridCol w:w="3235"/>
      </w:tblGrid>
      <w:tr w:rsidR="008343BF" w:rsidRPr="003A2572" w14:paraId="530A6EB0" w14:textId="77777777" w:rsidTr="00EF076A">
        <w:trPr>
          <w:trHeight w:val="482"/>
        </w:trPr>
        <w:tc>
          <w:tcPr>
            <w:tcW w:w="10323" w:type="dxa"/>
            <w:gridSpan w:val="3"/>
            <w:shd w:val="clear" w:color="auto" w:fill="D9D9D9" w:themeFill="background1" w:themeFillShade="D9"/>
            <w:vAlign w:val="center"/>
          </w:tcPr>
          <w:p w14:paraId="4E8803E6" w14:textId="26C3B34D" w:rsidR="008343BF" w:rsidRPr="00A9330B" w:rsidRDefault="008343BF" w:rsidP="00EF076A">
            <w:pPr>
              <w:spacing w:before="0" w:after="0" w:line="240" w:lineRule="auto"/>
              <w:jc w:val="center"/>
              <w:rPr>
                <w:rFonts w:cs="Arial"/>
                <w:b/>
                <w:bCs/>
                <w:szCs w:val="20"/>
              </w:rPr>
            </w:pPr>
            <w:r w:rsidRPr="00A9330B">
              <w:rPr>
                <w:rFonts w:cs="Arial"/>
                <w:b/>
                <w:bCs/>
                <w:szCs w:val="20"/>
              </w:rPr>
              <w:t>Student Well Being</w:t>
            </w:r>
          </w:p>
        </w:tc>
      </w:tr>
      <w:tr w:rsidR="00A9330B" w:rsidRPr="003A2572" w14:paraId="7B52857F" w14:textId="77777777" w:rsidTr="00EF076A">
        <w:tc>
          <w:tcPr>
            <w:tcW w:w="3827" w:type="dxa"/>
          </w:tcPr>
          <w:p w14:paraId="4B6857B5" w14:textId="77777777" w:rsidR="00A9330B" w:rsidRPr="00A9330B" w:rsidRDefault="00A9330B" w:rsidP="00A9330B">
            <w:pPr>
              <w:spacing w:after="0"/>
              <w:ind w:right="57"/>
              <w:rPr>
                <w:rFonts w:cs="Arial"/>
                <w:szCs w:val="20"/>
              </w:rPr>
            </w:pPr>
            <w:r w:rsidRPr="00A9330B">
              <w:rPr>
                <w:rFonts w:cs="Arial"/>
                <w:szCs w:val="20"/>
              </w:rPr>
              <w:t xml:space="preserve">Description, Timeframe, </w:t>
            </w:r>
          </w:p>
          <w:p w14:paraId="57F43707" w14:textId="7CF99890" w:rsidR="00A9330B" w:rsidRPr="006D0487" w:rsidRDefault="00A9330B" w:rsidP="00A9330B">
            <w:pPr>
              <w:ind w:right="57"/>
              <w:jc w:val="both"/>
              <w:rPr>
                <w:rFonts w:cs="Arial"/>
                <w:b/>
                <w:bCs/>
                <w:szCs w:val="20"/>
              </w:rPr>
            </w:pPr>
            <w:r w:rsidRPr="00A9330B">
              <w:rPr>
                <w:rFonts w:cs="Arial"/>
                <w:szCs w:val="20"/>
              </w:rPr>
              <w:t>Eligible Schools</w:t>
            </w:r>
          </w:p>
        </w:tc>
        <w:tc>
          <w:tcPr>
            <w:tcW w:w="3261" w:type="dxa"/>
          </w:tcPr>
          <w:p w14:paraId="4EEFEFFE" w14:textId="0E5EB60A" w:rsidR="00A9330B" w:rsidRPr="00A9330B" w:rsidRDefault="00A9330B" w:rsidP="00A9330B">
            <w:pPr>
              <w:spacing w:after="0" w:line="240" w:lineRule="auto"/>
              <w:rPr>
                <w:rFonts w:cs="Arial"/>
                <w:szCs w:val="20"/>
              </w:rPr>
            </w:pPr>
            <w:r w:rsidRPr="00A9330B">
              <w:rPr>
                <w:rFonts w:cs="Arial"/>
                <w:szCs w:val="20"/>
              </w:rPr>
              <w:t>Outcomes/objectives</w:t>
            </w:r>
          </w:p>
        </w:tc>
        <w:tc>
          <w:tcPr>
            <w:tcW w:w="3235" w:type="dxa"/>
          </w:tcPr>
          <w:p w14:paraId="65D6C50E" w14:textId="627A5C7F" w:rsidR="00A9330B" w:rsidRPr="00A9330B" w:rsidRDefault="00A9330B" w:rsidP="00A9330B">
            <w:pPr>
              <w:spacing w:after="0" w:line="240" w:lineRule="auto"/>
              <w:rPr>
                <w:rFonts w:cs="Arial"/>
                <w:szCs w:val="20"/>
              </w:rPr>
            </w:pPr>
            <w:r w:rsidRPr="00A9330B">
              <w:rPr>
                <w:rFonts w:cs="Arial"/>
                <w:szCs w:val="20"/>
              </w:rPr>
              <w:t>Indicators of Success</w:t>
            </w:r>
          </w:p>
        </w:tc>
      </w:tr>
      <w:tr w:rsidR="00A9330B" w:rsidRPr="003A2572" w14:paraId="6C678DE2" w14:textId="77777777" w:rsidTr="00EF076A">
        <w:tc>
          <w:tcPr>
            <w:tcW w:w="3827" w:type="dxa"/>
          </w:tcPr>
          <w:p w14:paraId="4449B530" w14:textId="77777777" w:rsidR="00A9330B" w:rsidRPr="003264F7" w:rsidRDefault="00A9330B" w:rsidP="00A9330B">
            <w:pPr>
              <w:ind w:right="57"/>
              <w:jc w:val="both"/>
              <w:rPr>
                <w:rFonts w:cs="Arial"/>
                <w:b/>
                <w:bCs/>
                <w:szCs w:val="20"/>
              </w:rPr>
            </w:pPr>
            <w:r w:rsidRPr="003264F7">
              <w:rPr>
                <w:rFonts w:cs="Arial"/>
                <w:b/>
                <w:bCs/>
                <w:szCs w:val="20"/>
              </w:rPr>
              <w:t>Details</w:t>
            </w:r>
          </w:p>
          <w:p w14:paraId="5AB8D411" w14:textId="68C47B69" w:rsidR="00A9330B" w:rsidRPr="003264F7" w:rsidRDefault="00A9330B" w:rsidP="00A9330B">
            <w:pPr>
              <w:ind w:right="57"/>
              <w:jc w:val="both"/>
              <w:rPr>
                <w:rFonts w:cs="Arial"/>
                <w:szCs w:val="20"/>
              </w:rPr>
            </w:pPr>
            <w:r w:rsidRPr="003264F7">
              <w:rPr>
                <w:rFonts w:cs="Arial"/>
                <w:szCs w:val="20"/>
              </w:rPr>
              <w:t xml:space="preserve">Student wellbeing is a major priority in schools. CEWA currently has a team of school psychologists and child </w:t>
            </w:r>
            <w:r w:rsidR="00C77F7E" w:rsidRPr="003264F7">
              <w:rPr>
                <w:rFonts w:cs="Arial"/>
                <w:szCs w:val="20"/>
              </w:rPr>
              <w:t>safe consultants</w:t>
            </w:r>
            <w:r w:rsidRPr="003264F7">
              <w:rPr>
                <w:rFonts w:cs="Arial"/>
                <w:szCs w:val="20"/>
              </w:rPr>
              <w:t xml:space="preserve"> to support schools although demand is challenging their capacity to service schools</w:t>
            </w:r>
            <w:r w:rsidR="00C77F7E" w:rsidRPr="003264F7">
              <w:rPr>
                <w:rFonts w:cs="Arial"/>
                <w:szCs w:val="20"/>
              </w:rPr>
              <w:t>.</w:t>
            </w:r>
            <w:r w:rsidRPr="003264F7">
              <w:rPr>
                <w:rFonts w:cs="Arial"/>
                <w:szCs w:val="20"/>
              </w:rPr>
              <w:t xml:space="preserve"> This project seeks to establish a specialist Wellbeing team consisting of a team leader and </w:t>
            </w:r>
            <w:r w:rsidR="003264F7">
              <w:rPr>
                <w:rFonts w:cs="Arial"/>
                <w:szCs w:val="20"/>
              </w:rPr>
              <w:t>4.5</w:t>
            </w:r>
            <w:r w:rsidRPr="003264F7">
              <w:rPr>
                <w:rFonts w:cs="Arial"/>
                <w:szCs w:val="20"/>
              </w:rPr>
              <w:t xml:space="preserve"> additional consultants to further support </w:t>
            </w:r>
            <w:r w:rsidR="007B040F" w:rsidRPr="003264F7">
              <w:rPr>
                <w:rFonts w:cs="Arial"/>
                <w:szCs w:val="20"/>
              </w:rPr>
              <w:t>schools -</w:t>
            </w:r>
            <w:r w:rsidRPr="003264F7">
              <w:rPr>
                <w:rFonts w:cs="Arial"/>
                <w:szCs w:val="20"/>
              </w:rPr>
              <w:t xml:space="preserve"> staff; students and parents. Funds will be used for staffing; resource development; partnerships. The team will develop a wellbeing framework which will be consistent with the Australian Student Wellbeing Framework, especially in recognising student voice.; provide professional </w:t>
            </w:r>
            <w:r w:rsidR="007B040F" w:rsidRPr="003264F7">
              <w:rPr>
                <w:rFonts w:cs="Arial"/>
                <w:szCs w:val="20"/>
              </w:rPr>
              <w:t>learning, early</w:t>
            </w:r>
            <w:r w:rsidRPr="003264F7">
              <w:rPr>
                <w:rFonts w:cs="Arial"/>
                <w:szCs w:val="20"/>
              </w:rPr>
              <w:t xml:space="preserve"> intervention; coaching to schools; </w:t>
            </w:r>
            <w:r w:rsidR="007B040F" w:rsidRPr="003264F7">
              <w:rPr>
                <w:rFonts w:cs="Arial"/>
                <w:szCs w:val="20"/>
              </w:rPr>
              <w:t>and introduce</w:t>
            </w:r>
            <w:r w:rsidRPr="003264F7">
              <w:rPr>
                <w:rFonts w:cs="Arial"/>
                <w:szCs w:val="20"/>
              </w:rPr>
              <w:t xml:space="preserve"> measurement and evaluation processes. This project also recognises the likelihood of significant student wellbeing issues as a result of the ongoing health and financial implications of COVID-19 for families, particularly in lower SES communities and amongst vulnerable groups.</w:t>
            </w:r>
          </w:p>
          <w:p w14:paraId="7FAC8403" w14:textId="54B99FEC" w:rsidR="00A9330B" w:rsidRPr="003264F7" w:rsidRDefault="00A9330B" w:rsidP="00A9330B">
            <w:pPr>
              <w:ind w:right="57"/>
              <w:jc w:val="both"/>
              <w:rPr>
                <w:rFonts w:cs="Arial"/>
                <w:szCs w:val="20"/>
              </w:rPr>
            </w:pPr>
            <w:r w:rsidRPr="003264F7">
              <w:rPr>
                <w:rFonts w:cs="Arial"/>
                <w:szCs w:val="20"/>
              </w:rPr>
              <w:t xml:space="preserve">A further initiative will involve the development of a wellbeing </w:t>
            </w:r>
            <w:r w:rsidR="007B040F" w:rsidRPr="003264F7">
              <w:rPr>
                <w:rFonts w:cs="Arial"/>
                <w:szCs w:val="20"/>
              </w:rPr>
              <w:t>survey for</w:t>
            </w:r>
            <w:r w:rsidRPr="003264F7">
              <w:rPr>
                <w:rFonts w:cs="Arial"/>
                <w:szCs w:val="20"/>
              </w:rPr>
              <w:t xml:space="preserve"> students where student voice is paramount. The survey will be piloted in 2022 and progressively rolled out</w:t>
            </w:r>
          </w:p>
          <w:p w14:paraId="18516040" w14:textId="77777777" w:rsidR="00A9330B" w:rsidRPr="003264F7" w:rsidRDefault="00A9330B" w:rsidP="00A9330B">
            <w:pPr>
              <w:ind w:right="57"/>
              <w:jc w:val="both"/>
              <w:rPr>
                <w:rFonts w:cs="Arial"/>
                <w:b/>
                <w:bCs/>
                <w:szCs w:val="20"/>
              </w:rPr>
            </w:pPr>
            <w:r w:rsidRPr="003264F7">
              <w:rPr>
                <w:rFonts w:cs="Arial"/>
                <w:b/>
                <w:bCs/>
                <w:szCs w:val="20"/>
              </w:rPr>
              <w:t>Timeframe</w:t>
            </w:r>
          </w:p>
          <w:p w14:paraId="04E64627" w14:textId="59D692C2" w:rsidR="00A9330B" w:rsidRPr="003264F7" w:rsidRDefault="00A9330B" w:rsidP="00A9330B">
            <w:pPr>
              <w:ind w:right="57"/>
              <w:jc w:val="both"/>
              <w:rPr>
                <w:rFonts w:cs="Arial"/>
                <w:szCs w:val="20"/>
              </w:rPr>
            </w:pPr>
            <w:r w:rsidRPr="003264F7">
              <w:rPr>
                <w:rFonts w:cs="Arial"/>
                <w:szCs w:val="20"/>
              </w:rPr>
              <w:t xml:space="preserve">Work on the wellbeing framework will be concluded at the end of 2021 and from 2022, this will be implemented in schools. The wellbeing survey instrument will be progressively developed during 2022, with piloting planned. Wellbeing central consultancy support continues to be provided to schools. The wellbeing project is ongoing beyond CAF support </w:t>
            </w:r>
            <w:r w:rsidR="00B10CB8">
              <w:rPr>
                <w:rFonts w:cs="Arial"/>
                <w:szCs w:val="20"/>
              </w:rPr>
              <w:t xml:space="preserve">to </w:t>
            </w:r>
            <w:r w:rsidRPr="003264F7">
              <w:rPr>
                <w:rFonts w:cs="Arial"/>
                <w:szCs w:val="20"/>
              </w:rPr>
              <w:t>2029.</w:t>
            </w:r>
          </w:p>
          <w:p w14:paraId="111E03E9" w14:textId="77777777" w:rsidR="00A9330B" w:rsidRPr="003264F7" w:rsidRDefault="00A9330B" w:rsidP="00A9330B">
            <w:pPr>
              <w:ind w:right="57"/>
              <w:jc w:val="both"/>
              <w:rPr>
                <w:rFonts w:cs="Arial"/>
                <w:b/>
                <w:bCs/>
                <w:szCs w:val="20"/>
              </w:rPr>
            </w:pPr>
            <w:r w:rsidRPr="003264F7">
              <w:rPr>
                <w:rFonts w:cs="Arial"/>
                <w:b/>
                <w:bCs/>
                <w:szCs w:val="20"/>
              </w:rPr>
              <w:t>Eligible schools</w:t>
            </w:r>
          </w:p>
          <w:p w14:paraId="59A1EF9A" w14:textId="4FB028A7" w:rsidR="00A9330B" w:rsidRPr="003264F7" w:rsidRDefault="00A9330B" w:rsidP="00D77097">
            <w:pPr>
              <w:ind w:right="57"/>
              <w:jc w:val="both"/>
              <w:rPr>
                <w:rFonts w:cs="Arial"/>
                <w:szCs w:val="20"/>
              </w:rPr>
            </w:pPr>
            <w:r w:rsidRPr="003264F7">
              <w:rPr>
                <w:rFonts w:cs="Arial"/>
                <w:szCs w:val="20"/>
              </w:rPr>
              <w:t xml:space="preserve">All schools will be </w:t>
            </w:r>
            <w:r w:rsidR="00B73B1A" w:rsidRPr="003264F7">
              <w:rPr>
                <w:rFonts w:cs="Arial"/>
                <w:szCs w:val="20"/>
              </w:rPr>
              <w:t xml:space="preserve">potentially </w:t>
            </w:r>
            <w:r w:rsidRPr="003264F7">
              <w:rPr>
                <w:rFonts w:cs="Arial"/>
                <w:szCs w:val="20"/>
              </w:rPr>
              <w:t>supported under this project.</w:t>
            </w:r>
          </w:p>
        </w:tc>
        <w:tc>
          <w:tcPr>
            <w:tcW w:w="3261" w:type="dxa"/>
          </w:tcPr>
          <w:p w14:paraId="3471C2F5" w14:textId="77777777" w:rsidR="00A9330B" w:rsidRPr="003264F7" w:rsidRDefault="00A9330B" w:rsidP="00EF076A">
            <w:pPr>
              <w:pStyle w:val="ListParagraph"/>
              <w:numPr>
                <w:ilvl w:val="0"/>
                <w:numId w:val="21"/>
              </w:numPr>
              <w:spacing w:after="0" w:line="240" w:lineRule="auto"/>
              <w:ind w:left="360"/>
              <w:rPr>
                <w:rFonts w:ascii="Arial" w:hAnsi="Arial" w:cs="Arial"/>
                <w:sz w:val="20"/>
                <w:szCs w:val="20"/>
              </w:rPr>
            </w:pPr>
            <w:r w:rsidRPr="003264F7">
              <w:rPr>
                <w:rFonts w:ascii="Arial" w:hAnsi="Arial" w:cs="Arial"/>
                <w:sz w:val="20"/>
                <w:szCs w:val="20"/>
              </w:rPr>
              <w:t>Wellbeing framework developed and rolled out to schools</w:t>
            </w:r>
          </w:p>
          <w:p w14:paraId="0B510CF2" w14:textId="04FC703A" w:rsidR="00A9330B" w:rsidRPr="003264F7" w:rsidRDefault="003264F7" w:rsidP="007B040F">
            <w:pPr>
              <w:pStyle w:val="ListParagraph"/>
              <w:numPr>
                <w:ilvl w:val="0"/>
                <w:numId w:val="21"/>
              </w:numPr>
              <w:spacing w:after="0" w:line="240" w:lineRule="auto"/>
              <w:ind w:left="360"/>
              <w:jc w:val="both"/>
              <w:rPr>
                <w:rFonts w:ascii="Arial" w:hAnsi="Arial" w:cs="Arial"/>
                <w:sz w:val="20"/>
                <w:szCs w:val="20"/>
              </w:rPr>
            </w:pPr>
            <w:r>
              <w:rPr>
                <w:rFonts w:ascii="Arial" w:hAnsi="Arial" w:cs="Arial"/>
                <w:sz w:val="20"/>
                <w:szCs w:val="20"/>
              </w:rPr>
              <w:t>4.5</w:t>
            </w:r>
            <w:r w:rsidR="00A9330B" w:rsidRPr="003264F7">
              <w:rPr>
                <w:rFonts w:ascii="Arial" w:hAnsi="Arial" w:cs="Arial"/>
                <w:sz w:val="20"/>
                <w:szCs w:val="20"/>
              </w:rPr>
              <w:t xml:space="preserve"> consultants continuing to support schools</w:t>
            </w:r>
          </w:p>
          <w:p w14:paraId="3F6A4E85" w14:textId="77777777" w:rsidR="00A9330B" w:rsidRPr="003264F7" w:rsidRDefault="00A9330B" w:rsidP="007B040F">
            <w:pPr>
              <w:pStyle w:val="ListParagraph"/>
              <w:numPr>
                <w:ilvl w:val="0"/>
                <w:numId w:val="21"/>
              </w:numPr>
              <w:spacing w:after="0" w:line="240" w:lineRule="auto"/>
              <w:ind w:left="360"/>
              <w:jc w:val="both"/>
              <w:rPr>
                <w:rFonts w:ascii="Arial" w:hAnsi="Arial" w:cs="Arial"/>
                <w:sz w:val="20"/>
                <w:szCs w:val="20"/>
              </w:rPr>
            </w:pPr>
            <w:r w:rsidRPr="003264F7">
              <w:rPr>
                <w:rFonts w:ascii="Arial" w:hAnsi="Arial" w:cs="Arial"/>
                <w:sz w:val="20"/>
                <w:szCs w:val="20"/>
              </w:rPr>
              <w:t>Resource development for schools, students and parents continues – especially online</w:t>
            </w:r>
          </w:p>
          <w:p w14:paraId="6C531D67" w14:textId="77777777" w:rsidR="00A9330B" w:rsidRPr="003264F7" w:rsidRDefault="00A9330B" w:rsidP="007B040F">
            <w:pPr>
              <w:pStyle w:val="ListParagraph"/>
              <w:numPr>
                <w:ilvl w:val="0"/>
                <w:numId w:val="21"/>
              </w:numPr>
              <w:spacing w:after="0" w:line="240" w:lineRule="auto"/>
              <w:ind w:left="360"/>
              <w:jc w:val="both"/>
              <w:rPr>
                <w:rFonts w:ascii="Arial" w:hAnsi="Arial" w:cs="Arial"/>
                <w:sz w:val="20"/>
                <w:szCs w:val="20"/>
              </w:rPr>
            </w:pPr>
            <w:r w:rsidRPr="003264F7">
              <w:rPr>
                <w:rFonts w:ascii="Arial" w:hAnsi="Arial" w:cs="Arial"/>
                <w:sz w:val="20"/>
                <w:szCs w:val="20"/>
              </w:rPr>
              <w:t>Partnerships with outside organisations established and consolidated to maximise school support.</w:t>
            </w:r>
          </w:p>
          <w:p w14:paraId="4B9BF77F" w14:textId="77777777" w:rsidR="00A9330B" w:rsidRPr="003264F7" w:rsidRDefault="00A9330B" w:rsidP="007B040F">
            <w:pPr>
              <w:pStyle w:val="ListParagraph"/>
              <w:numPr>
                <w:ilvl w:val="0"/>
                <w:numId w:val="21"/>
              </w:numPr>
              <w:spacing w:after="0" w:line="240" w:lineRule="auto"/>
              <w:ind w:left="360"/>
              <w:jc w:val="both"/>
              <w:rPr>
                <w:rFonts w:ascii="Arial" w:hAnsi="Arial" w:cs="Arial"/>
                <w:sz w:val="20"/>
                <w:szCs w:val="20"/>
              </w:rPr>
            </w:pPr>
            <w:r w:rsidRPr="003264F7">
              <w:rPr>
                <w:rFonts w:ascii="Arial" w:hAnsi="Arial" w:cs="Arial"/>
                <w:sz w:val="20"/>
                <w:szCs w:val="20"/>
              </w:rPr>
              <w:t>Professional learning delivered to schools</w:t>
            </w:r>
          </w:p>
          <w:p w14:paraId="39729F60" w14:textId="77777777" w:rsidR="00A9330B" w:rsidRPr="003264F7" w:rsidRDefault="00A9330B" w:rsidP="007B040F">
            <w:pPr>
              <w:pStyle w:val="ListParagraph"/>
              <w:numPr>
                <w:ilvl w:val="0"/>
                <w:numId w:val="21"/>
              </w:numPr>
              <w:spacing w:after="0" w:line="240" w:lineRule="auto"/>
              <w:ind w:left="360"/>
              <w:jc w:val="both"/>
              <w:rPr>
                <w:rFonts w:ascii="Arial" w:hAnsi="Arial" w:cs="Arial"/>
                <w:sz w:val="20"/>
                <w:szCs w:val="20"/>
              </w:rPr>
            </w:pPr>
            <w:r w:rsidRPr="003264F7">
              <w:rPr>
                <w:rFonts w:ascii="Arial" w:hAnsi="Arial" w:cs="Arial"/>
                <w:sz w:val="20"/>
                <w:szCs w:val="20"/>
              </w:rPr>
              <w:t>Liaison with other CEWA teams has occurred; roles clarified</w:t>
            </w:r>
          </w:p>
          <w:p w14:paraId="7D58F05A" w14:textId="77777777" w:rsidR="00A9330B" w:rsidRPr="003264F7" w:rsidRDefault="00A9330B" w:rsidP="007B040F">
            <w:pPr>
              <w:pStyle w:val="ListParagraph"/>
              <w:numPr>
                <w:ilvl w:val="0"/>
                <w:numId w:val="21"/>
              </w:numPr>
              <w:spacing w:after="0" w:line="240" w:lineRule="auto"/>
              <w:ind w:left="360"/>
              <w:jc w:val="both"/>
              <w:rPr>
                <w:rFonts w:ascii="Arial" w:hAnsi="Arial" w:cs="Arial"/>
                <w:sz w:val="20"/>
                <w:szCs w:val="20"/>
              </w:rPr>
            </w:pPr>
            <w:r w:rsidRPr="003264F7">
              <w:rPr>
                <w:rFonts w:ascii="Arial" w:hAnsi="Arial" w:cs="Arial"/>
                <w:sz w:val="20"/>
                <w:szCs w:val="20"/>
              </w:rPr>
              <w:t>Professional learning opportunities and resources developed, particularly online</w:t>
            </w:r>
          </w:p>
          <w:p w14:paraId="58099BAA" w14:textId="77777777" w:rsidR="00A9330B" w:rsidRPr="003264F7" w:rsidRDefault="00A9330B" w:rsidP="007B040F">
            <w:pPr>
              <w:pStyle w:val="ListParagraph"/>
              <w:numPr>
                <w:ilvl w:val="0"/>
                <w:numId w:val="21"/>
              </w:numPr>
              <w:spacing w:after="0" w:line="240" w:lineRule="auto"/>
              <w:ind w:left="360"/>
              <w:jc w:val="both"/>
              <w:rPr>
                <w:rFonts w:ascii="Arial" w:hAnsi="Arial" w:cs="Arial"/>
                <w:sz w:val="20"/>
                <w:szCs w:val="20"/>
              </w:rPr>
            </w:pPr>
            <w:r w:rsidRPr="003264F7">
              <w:rPr>
                <w:rFonts w:ascii="Arial" w:hAnsi="Arial" w:cs="Arial"/>
                <w:sz w:val="20"/>
                <w:szCs w:val="20"/>
              </w:rPr>
              <w:t>Team works effectively with teachers and key staff in schools</w:t>
            </w:r>
          </w:p>
          <w:p w14:paraId="03A5A30D" w14:textId="77777777" w:rsidR="00A9330B" w:rsidRPr="003264F7" w:rsidRDefault="00A9330B" w:rsidP="007B040F">
            <w:pPr>
              <w:pStyle w:val="ListParagraph"/>
              <w:numPr>
                <w:ilvl w:val="0"/>
                <w:numId w:val="21"/>
              </w:numPr>
              <w:spacing w:after="0" w:line="240" w:lineRule="auto"/>
              <w:ind w:left="360"/>
              <w:jc w:val="both"/>
              <w:rPr>
                <w:rFonts w:ascii="Arial" w:hAnsi="Arial" w:cs="Arial"/>
                <w:sz w:val="20"/>
                <w:szCs w:val="20"/>
              </w:rPr>
            </w:pPr>
            <w:r w:rsidRPr="003264F7">
              <w:rPr>
                <w:rFonts w:ascii="Arial" w:hAnsi="Arial" w:cs="Arial"/>
                <w:sz w:val="20"/>
                <w:szCs w:val="20"/>
              </w:rPr>
              <w:t>Wellbeing Framework is used in schools to enhance support for students</w:t>
            </w:r>
          </w:p>
          <w:p w14:paraId="046CD87B" w14:textId="77777777" w:rsidR="00A9330B" w:rsidRPr="003264F7" w:rsidRDefault="00A9330B" w:rsidP="007B040F">
            <w:pPr>
              <w:pStyle w:val="ListParagraph"/>
              <w:numPr>
                <w:ilvl w:val="0"/>
                <w:numId w:val="21"/>
              </w:numPr>
              <w:spacing w:after="0" w:line="240" w:lineRule="auto"/>
              <w:ind w:left="360"/>
              <w:jc w:val="both"/>
              <w:rPr>
                <w:rFonts w:ascii="Arial" w:hAnsi="Arial" w:cs="Arial"/>
                <w:sz w:val="20"/>
                <w:szCs w:val="20"/>
              </w:rPr>
            </w:pPr>
            <w:r w:rsidRPr="003264F7">
              <w:rPr>
                <w:rFonts w:ascii="Arial" w:hAnsi="Arial" w:cs="Arial"/>
                <w:sz w:val="20"/>
                <w:szCs w:val="20"/>
              </w:rPr>
              <w:t>Student wellbeing survey completed, piloted and rolled out to all schools to assist in providing targeted support.</w:t>
            </w:r>
          </w:p>
        </w:tc>
        <w:tc>
          <w:tcPr>
            <w:tcW w:w="3235" w:type="dxa"/>
          </w:tcPr>
          <w:p w14:paraId="5EB9A758" w14:textId="77777777" w:rsidR="00A9330B" w:rsidRPr="006668E7" w:rsidRDefault="00A9330B" w:rsidP="007B040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Completion of wellbeing framework; dissemination to schools</w:t>
            </w:r>
          </w:p>
          <w:p w14:paraId="1355D1CF" w14:textId="77777777" w:rsidR="00A9330B" w:rsidRPr="006668E7" w:rsidRDefault="00A9330B" w:rsidP="007B040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Details of services to schools involved; number; geolocation</w:t>
            </w:r>
          </w:p>
          <w:p w14:paraId="5E5EA8D2" w14:textId="77777777" w:rsidR="00A9330B" w:rsidRPr="006668E7" w:rsidRDefault="00A9330B" w:rsidP="007B040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Details of students – numbers; types of support</w:t>
            </w:r>
          </w:p>
          <w:p w14:paraId="707F6A16" w14:textId="77777777" w:rsidR="00A9330B" w:rsidRPr="006668E7" w:rsidRDefault="00A9330B" w:rsidP="007B040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Details of resources developed</w:t>
            </w:r>
          </w:p>
          <w:p w14:paraId="6315BA1D" w14:textId="77777777" w:rsidR="00A9330B" w:rsidRPr="004A4700" w:rsidRDefault="00A9330B" w:rsidP="007B040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Professional learning offered – number, attendance; locations</w:t>
            </w:r>
          </w:p>
          <w:p w14:paraId="5391C892" w14:textId="77777777" w:rsidR="00A9330B" w:rsidRDefault="00A9330B" w:rsidP="007B040F">
            <w:pPr>
              <w:pStyle w:val="ListParagraph"/>
              <w:numPr>
                <w:ilvl w:val="0"/>
                <w:numId w:val="21"/>
              </w:numPr>
              <w:spacing w:after="0" w:line="240" w:lineRule="auto"/>
              <w:ind w:left="360"/>
              <w:jc w:val="both"/>
              <w:rPr>
                <w:rFonts w:ascii="Arial" w:hAnsi="Arial" w:cs="Arial"/>
                <w:sz w:val="20"/>
                <w:szCs w:val="20"/>
              </w:rPr>
            </w:pPr>
            <w:r w:rsidRPr="006668E7">
              <w:rPr>
                <w:rFonts w:ascii="Arial" w:hAnsi="Arial" w:cs="Arial"/>
                <w:sz w:val="20"/>
                <w:szCs w:val="20"/>
              </w:rPr>
              <w:t>Qualitative feedback from schools and parents.</w:t>
            </w:r>
          </w:p>
          <w:p w14:paraId="1AC8614F" w14:textId="77777777" w:rsidR="00A9330B" w:rsidRDefault="00A9330B" w:rsidP="007B040F">
            <w:pPr>
              <w:pStyle w:val="ListParagraph"/>
              <w:numPr>
                <w:ilvl w:val="0"/>
                <w:numId w:val="21"/>
              </w:numPr>
              <w:spacing w:after="0" w:line="240" w:lineRule="auto"/>
              <w:ind w:left="360"/>
              <w:jc w:val="both"/>
              <w:rPr>
                <w:rFonts w:ascii="Arial" w:hAnsi="Arial" w:cs="Arial"/>
                <w:sz w:val="20"/>
                <w:szCs w:val="20"/>
              </w:rPr>
            </w:pPr>
            <w:r>
              <w:rPr>
                <w:rFonts w:ascii="Arial" w:hAnsi="Arial" w:cs="Arial"/>
                <w:sz w:val="20"/>
                <w:szCs w:val="20"/>
              </w:rPr>
              <w:t>Details of wellbeing framework completion and rollout to schools – meetings, PL, number of schools, feedback from schools; evidence of effectiveness</w:t>
            </w:r>
          </w:p>
          <w:p w14:paraId="1449C621" w14:textId="77777777" w:rsidR="00A9330B" w:rsidRDefault="00A9330B" w:rsidP="007B040F">
            <w:pPr>
              <w:pStyle w:val="ListParagraph"/>
              <w:numPr>
                <w:ilvl w:val="0"/>
                <w:numId w:val="21"/>
              </w:numPr>
              <w:spacing w:after="0" w:line="240" w:lineRule="auto"/>
              <w:ind w:left="360"/>
              <w:jc w:val="both"/>
              <w:rPr>
                <w:rFonts w:ascii="Arial" w:hAnsi="Arial" w:cs="Arial"/>
                <w:sz w:val="20"/>
                <w:szCs w:val="20"/>
              </w:rPr>
            </w:pPr>
            <w:r>
              <w:rPr>
                <w:rFonts w:ascii="Arial" w:hAnsi="Arial" w:cs="Arial"/>
                <w:sz w:val="20"/>
                <w:szCs w:val="20"/>
              </w:rPr>
              <w:t>Details relating to student wellbeing survey – completion; liaison with schools; feedback; pilot and number of schools; rollout details; evidence of effectiveness</w:t>
            </w:r>
          </w:p>
          <w:p w14:paraId="6D429CD4" w14:textId="77777777" w:rsidR="00A9330B" w:rsidRPr="006668E7" w:rsidRDefault="00A9330B" w:rsidP="007B040F">
            <w:pPr>
              <w:pStyle w:val="ListParagraph"/>
              <w:ind w:left="360"/>
              <w:jc w:val="both"/>
              <w:rPr>
                <w:rFonts w:ascii="Arial" w:hAnsi="Arial" w:cs="Arial"/>
                <w:sz w:val="20"/>
                <w:szCs w:val="20"/>
              </w:rPr>
            </w:pPr>
          </w:p>
          <w:p w14:paraId="2F875DBD" w14:textId="77777777" w:rsidR="00A9330B" w:rsidRPr="006668E7" w:rsidRDefault="00A9330B" w:rsidP="007B040F">
            <w:pPr>
              <w:pStyle w:val="ListParagraph"/>
              <w:ind w:right="57"/>
              <w:jc w:val="both"/>
              <w:rPr>
                <w:rFonts w:ascii="Arial" w:hAnsi="Arial" w:cs="Arial"/>
                <w:sz w:val="20"/>
                <w:szCs w:val="20"/>
              </w:rPr>
            </w:pPr>
          </w:p>
          <w:p w14:paraId="7723E4B6" w14:textId="77777777" w:rsidR="00A9330B" w:rsidRPr="006668E7" w:rsidRDefault="00A9330B" w:rsidP="007B040F">
            <w:pPr>
              <w:ind w:right="57"/>
              <w:jc w:val="both"/>
              <w:rPr>
                <w:rFonts w:cs="Arial"/>
                <w:szCs w:val="20"/>
              </w:rPr>
            </w:pPr>
          </w:p>
          <w:p w14:paraId="370A1E24" w14:textId="77777777" w:rsidR="00A9330B" w:rsidRPr="006668E7" w:rsidRDefault="00A9330B" w:rsidP="007B040F">
            <w:pPr>
              <w:ind w:right="57"/>
              <w:jc w:val="both"/>
              <w:rPr>
                <w:rFonts w:cs="Arial"/>
                <w:szCs w:val="20"/>
              </w:rPr>
            </w:pPr>
          </w:p>
          <w:p w14:paraId="1A332705" w14:textId="77777777" w:rsidR="00A9330B" w:rsidRPr="006668E7" w:rsidRDefault="00A9330B" w:rsidP="007B040F">
            <w:pPr>
              <w:ind w:right="57"/>
              <w:jc w:val="both"/>
              <w:rPr>
                <w:rFonts w:cs="Arial"/>
                <w:szCs w:val="20"/>
              </w:rPr>
            </w:pPr>
          </w:p>
          <w:p w14:paraId="376C996C" w14:textId="77777777" w:rsidR="00A9330B" w:rsidRPr="006668E7" w:rsidRDefault="00A9330B" w:rsidP="007B040F">
            <w:pPr>
              <w:ind w:right="57"/>
              <w:jc w:val="both"/>
              <w:rPr>
                <w:rFonts w:cs="Arial"/>
                <w:szCs w:val="20"/>
              </w:rPr>
            </w:pPr>
          </w:p>
          <w:p w14:paraId="5C469D53" w14:textId="77777777" w:rsidR="00A9330B" w:rsidRPr="006668E7" w:rsidRDefault="00A9330B" w:rsidP="007B040F">
            <w:pPr>
              <w:ind w:right="57"/>
              <w:jc w:val="both"/>
              <w:rPr>
                <w:rFonts w:cs="Arial"/>
                <w:szCs w:val="20"/>
              </w:rPr>
            </w:pPr>
          </w:p>
          <w:p w14:paraId="1C0E51DF" w14:textId="77777777" w:rsidR="00A9330B" w:rsidRPr="006668E7" w:rsidRDefault="00A9330B" w:rsidP="007B040F">
            <w:pPr>
              <w:ind w:right="57"/>
              <w:jc w:val="both"/>
              <w:rPr>
                <w:rFonts w:cs="Arial"/>
                <w:szCs w:val="20"/>
              </w:rPr>
            </w:pPr>
          </w:p>
        </w:tc>
      </w:tr>
    </w:tbl>
    <w:p w14:paraId="3E2A762F" w14:textId="4A3BDBD3" w:rsidR="00D77097" w:rsidRDefault="00D77097"/>
    <w:tbl>
      <w:tblPr>
        <w:tblStyle w:val="TableGrid"/>
        <w:tblW w:w="10323" w:type="dxa"/>
        <w:tblInd w:w="137" w:type="dxa"/>
        <w:tblLayout w:type="fixed"/>
        <w:tblLook w:val="04A0" w:firstRow="1" w:lastRow="0" w:firstColumn="1" w:lastColumn="0" w:noHBand="0" w:noVBand="1"/>
      </w:tblPr>
      <w:tblGrid>
        <w:gridCol w:w="3441"/>
        <w:gridCol w:w="3441"/>
        <w:gridCol w:w="3441"/>
      </w:tblGrid>
      <w:tr w:rsidR="008343BF" w:rsidRPr="003A2572" w14:paraId="7BD12723" w14:textId="77777777" w:rsidTr="005829C5">
        <w:tc>
          <w:tcPr>
            <w:tcW w:w="10323" w:type="dxa"/>
            <w:gridSpan w:val="3"/>
            <w:shd w:val="clear" w:color="auto" w:fill="D9D9D9" w:themeFill="background1" w:themeFillShade="D9"/>
          </w:tcPr>
          <w:p w14:paraId="7FE1283A" w14:textId="54C44802" w:rsidR="008343BF" w:rsidRPr="00D77097" w:rsidRDefault="008343BF" w:rsidP="00D77097">
            <w:pPr>
              <w:ind w:right="57"/>
              <w:jc w:val="center"/>
              <w:rPr>
                <w:rFonts w:cs="Arial"/>
                <w:szCs w:val="20"/>
              </w:rPr>
            </w:pPr>
            <w:r w:rsidRPr="00293A78">
              <w:rPr>
                <w:rFonts w:cs="Arial"/>
                <w:szCs w:val="20"/>
              </w:rPr>
              <w:t>‘</w:t>
            </w:r>
            <w:r w:rsidRPr="00D77097">
              <w:rPr>
                <w:rFonts w:cs="Arial"/>
                <w:b/>
                <w:bCs/>
                <w:szCs w:val="20"/>
                <w:shd w:val="clear" w:color="auto" w:fill="D9D9D9" w:themeFill="background1" w:themeFillShade="D9"/>
              </w:rPr>
              <w:t>Transforming Lives’ Engagement Officers (TLEO) and Related Support Programs</w:t>
            </w:r>
          </w:p>
        </w:tc>
      </w:tr>
      <w:tr w:rsidR="00D77097" w:rsidRPr="003A2572" w14:paraId="1504E598" w14:textId="77777777" w:rsidTr="0094350D">
        <w:tc>
          <w:tcPr>
            <w:tcW w:w="3441" w:type="dxa"/>
          </w:tcPr>
          <w:p w14:paraId="1197B266" w14:textId="77777777" w:rsidR="00D77097" w:rsidRPr="00D77097" w:rsidRDefault="00D77097" w:rsidP="00D77097">
            <w:pPr>
              <w:spacing w:after="0"/>
              <w:ind w:right="57"/>
              <w:rPr>
                <w:rFonts w:cs="Arial"/>
                <w:szCs w:val="20"/>
              </w:rPr>
            </w:pPr>
            <w:r w:rsidRPr="00D77097">
              <w:rPr>
                <w:rFonts w:cs="Arial"/>
                <w:szCs w:val="20"/>
              </w:rPr>
              <w:t xml:space="preserve">Description, Timeframe, </w:t>
            </w:r>
          </w:p>
          <w:p w14:paraId="542E87C2" w14:textId="03A39CF2" w:rsidR="00D77097" w:rsidRPr="00D77097" w:rsidRDefault="00D77097" w:rsidP="00D77097">
            <w:pPr>
              <w:ind w:right="57"/>
              <w:jc w:val="both"/>
              <w:rPr>
                <w:rFonts w:cs="Arial"/>
                <w:b/>
                <w:bCs/>
                <w:szCs w:val="20"/>
              </w:rPr>
            </w:pPr>
            <w:r w:rsidRPr="00D77097">
              <w:rPr>
                <w:rFonts w:cs="Arial"/>
                <w:szCs w:val="20"/>
              </w:rPr>
              <w:t>Eligible Schools</w:t>
            </w:r>
          </w:p>
        </w:tc>
        <w:tc>
          <w:tcPr>
            <w:tcW w:w="3441" w:type="dxa"/>
          </w:tcPr>
          <w:p w14:paraId="181AEE54" w14:textId="36C891A2" w:rsidR="00D77097" w:rsidRPr="00D77097" w:rsidRDefault="00D77097" w:rsidP="00D77097">
            <w:pPr>
              <w:spacing w:after="0" w:line="240" w:lineRule="auto"/>
              <w:rPr>
                <w:rFonts w:cs="Arial"/>
                <w:szCs w:val="20"/>
              </w:rPr>
            </w:pPr>
            <w:r w:rsidRPr="00D77097">
              <w:rPr>
                <w:rFonts w:cs="Arial"/>
                <w:szCs w:val="20"/>
              </w:rPr>
              <w:t>Outcomes/objectives</w:t>
            </w:r>
          </w:p>
        </w:tc>
        <w:tc>
          <w:tcPr>
            <w:tcW w:w="3441" w:type="dxa"/>
          </w:tcPr>
          <w:p w14:paraId="5C35BF9E" w14:textId="4787C3A6" w:rsidR="00D77097" w:rsidRPr="00D77097" w:rsidRDefault="00D77097" w:rsidP="00D77097">
            <w:pPr>
              <w:spacing w:after="0" w:line="240" w:lineRule="auto"/>
              <w:rPr>
                <w:rFonts w:cs="Arial"/>
                <w:szCs w:val="20"/>
              </w:rPr>
            </w:pPr>
            <w:r w:rsidRPr="00D77097">
              <w:rPr>
                <w:rFonts w:cs="Arial"/>
                <w:szCs w:val="20"/>
              </w:rPr>
              <w:t>Indicators of Success</w:t>
            </w:r>
          </w:p>
        </w:tc>
      </w:tr>
      <w:tr w:rsidR="00D77097" w:rsidRPr="003A2572" w14:paraId="051B4496" w14:textId="77777777" w:rsidTr="0094350D">
        <w:tc>
          <w:tcPr>
            <w:tcW w:w="3441" w:type="dxa"/>
          </w:tcPr>
          <w:p w14:paraId="0F683686" w14:textId="77777777" w:rsidR="00D77097" w:rsidRPr="008B7B0F" w:rsidRDefault="00D77097" w:rsidP="00A9330B">
            <w:pPr>
              <w:ind w:right="57"/>
              <w:jc w:val="both"/>
              <w:rPr>
                <w:rFonts w:cs="Arial"/>
                <w:b/>
                <w:bCs/>
                <w:szCs w:val="20"/>
              </w:rPr>
            </w:pPr>
            <w:r w:rsidRPr="008B7B0F">
              <w:rPr>
                <w:rFonts w:cs="Arial"/>
                <w:b/>
                <w:bCs/>
                <w:szCs w:val="20"/>
              </w:rPr>
              <w:t>Details</w:t>
            </w:r>
          </w:p>
          <w:p w14:paraId="2C006F99" w14:textId="77777777" w:rsidR="00D77097" w:rsidRPr="00293A78" w:rsidRDefault="00D77097" w:rsidP="00A9330B">
            <w:pPr>
              <w:ind w:right="57"/>
              <w:jc w:val="both"/>
              <w:rPr>
                <w:rFonts w:cs="Arial"/>
                <w:szCs w:val="20"/>
              </w:rPr>
            </w:pPr>
            <w:r w:rsidRPr="00293A78">
              <w:rPr>
                <w:rFonts w:cs="Arial"/>
                <w:szCs w:val="20"/>
              </w:rPr>
              <w:t xml:space="preserve">This role involves working with families in the community to ensure that the home environment is supportive of the child’s education; to increase student engagement and to assist in increasing school attendance. The CEWA ‘Transforming Lives’ strategy has set specific targets in these areas as well as literacy, numeracy, cultural competence and Year 12 engagement This project will focus on up to 11 of CEWA’s Kimberley schools; Balgo will be receiving additional support under project 5. </w:t>
            </w:r>
          </w:p>
          <w:p w14:paraId="27C60DE9" w14:textId="77777777" w:rsidR="00D77097" w:rsidRPr="00293A78" w:rsidRDefault="00D77097" w:rsidP="00A9330B">
            <w:pPr>
              <w:ind w:right="57"/>
              <w:jc w:val="both"/>
              <w:rPr>
                <w:rFonts w:cs="Arial"/>
                <w:szCs w:val="20"/>
              </w:rPr>
            </w:pPr>
            <w:r w:rsidRPr="00293A78">
              <w:rPr>
                <w:rFonts w:cs="Arial"/>
                <w:szCs w:val="20"/>
              </w:rPr>
              <w:t>A specific job description has been agreed to and TLEOs involved will be directing a significant part of their role to the duties described above.</w:t>
            </w:r>
          </w:p>
          <w:p w14:paraId="74106880" w14:textId="48263BD9" w:rsidR="00D77097" w:rsidRDefault="00D77097" w:rsidP="00A9330B">
            <w:pPr>
              <w:ind w:right="57"/>
              <w:jc w:val="both"/>
              <w:rPr>
                <w:rFonts w:cs="Arial"/>
                <w:szCs w:val="20"/>
              </w:rPr>
            </w:pPr>
            <w:r w:rsidRPr="00293A78">
              <w:rPr>
                <w:rFonts w:cs="Arial"/>
                <w:szCs w:val="20"/>
              </w:rPr>
              <w:t xml:space="preserve">Schools will typically appoint full time and fractional time Aboriginal staff. Funds will be directed </w:t>
            </w:r>
            <w:r w:rsidR="008028EB">
              <w:rPr>
                <w:rFonts w:cs="Arial"/>
                <w:szCs w:val="20"/>
              </w:rPr>
              <w:t>towards professional learning and support</w:t>
            </w:r>
            <w:r w:rsidR="00211D31">
              <w:rPr>
                <w:rFonts w:cs="Arial"/>
                <w:szCs w:val="20"/>
              </w:rPr>
              <w:t xml:space="preserve"> </w:t>
            </w:r>
            <w:r w:rsidR="00B21064">
              <w:rPr>
                <w:rFonts w:cs="Arial"/>
                <w:szCs w:val="20"/>
              </w:rPr>
              <w:t>from the central office.</w:t>
            </w:r>
          </w:p>
          <w:p w14:paraId="3485F3EE" w14:textId="4208A603" w:rsidR="00D77097" w:rsidRDefault="00D77097" w:rsidP="00A9330B">
            <w:pPr>
              <w:ind w:right="57"/>
              <w:jc w:val="both"/>
              <w:rPr>
                <w:rFonts w:cs="Arial"/>
                <w:szCs w:val="20"/>
              </w:rPr>
            </w:pPr>
            <w:r>
              <w:rPr>
                <w:rFonts w:cs="Arial"/>
                <w:szCs w:val="20"/>
              </w:rPr>
              <w:t xml:space="preserve">The project may also involve schools partnering with outside providers to deliver programs which are specifically aimed at increasing engagement and attendance </w:t>
            </w:r>
            <w:r w:rsidR="00E65A47">
              <w:rPr>
                <w:rFonts w:cs="Arial"/>
                <w:szCs w:val="20"/>
              </w:rPr>
              <w:t>e.g.,</w:t>
            </w:r>
            <w:r>
              <w:rPr>
                <w:rFonts w:cs="Arial"/>
                <w:szCs w:val="20"/>
              </w:rPr>
              <w:t xml:space="preserve"> Follow the </w:t>
            </w:r>
            <w:r w:rsidR="00E65A47">
              <w:rPr>
                <w:rFonts w:cs="Arial"/>
                <w:szCs w:val="20"/>
              </w:rPr>
              <w:t>Dream,</w:t>
            </w:r>
            <w:r>
              <w:rPr>
                <w:rFonts w:cs="Arial"/>
                <w:szCs w:val="20"/>
              </w:rPr>
              <w:t xml:space="preserve"> equine therapy programs.</w:t>
            </w:r>
          </w:p>
          <w:p w14:paraId="11EBCE00" w14:textId="77777777" w:rsidR="00D77097" w:rsidRDefault="00D77097" w:rsidP="00A9330B">
            <w:pPr>
              <w:ind w:right="57"/>
              <w:jc w:val="both"/>
              <w:rPr>
                <w:rFonts w:cs="Arial"/>
                <w:szCs w:val="20"/>
              </w:rPr>
            </w:pPr>
            <w:r>
              <w:rPr>
                <w:rFonts w:cs="Arial"/>
                <w:szCs w:val="20"/>
              </w:rPr>
              <w:t xml:space="preserve">Schools will make decisions regarding the balance of TLEOs and support programs that best fits the </w:t>
            </w:r>
            <w:proofErr w:type="spellStart"/>
            <w:r>
              <w:rPr>
                <w:rFonts w:cs="Arial"/>
                <w:szCs w:val="20"/>
              </w:rPr>
              <w:t>communities</w:t>
            </w:r>
            <w:proofErr w:type="spellEnd"/>
            <w:r>
              <w:rPr>
                <w:rFonts w:cs="Arial"/>
                <w:szCs w:val="20"/>
              </w:rPr>
              <w:t xml:space="preserve"> needs.</w:t>
            </w:r>
          </w:p>
          <w:p w14:paraId="575F8CD8" w14:textId="57CDC332" w:rsidR="00D77097" w:rsidRPr="004C76DD" w:rsidRDefault="00D77097" w:rsidP="00A9330B">
            <w:pPr>
              <w:ind w:right="57"/>
              <w:jc w:val="both"/>
              <w:rPr>
                <w:rFonts w:cs="Arial"/>
                <w:b/>
                <w:bCs/>
                <w:szCs w:val="20"/>
              </w:rPr>
            </w:pPr>
            <w:r w:rsidRPr="004C76DD">
              <w:rPr>
                <w:rFonts w:cs="Arial"/>
                <w:b/>
                <w:bCs/>
                <w:szCs w:val="20"/>
              </w:rPr>
              <w:t>Eligible schools</w:t>
            </w:r>
          </w:p>
          <w:p w14:paraId="4AF47853" w14:textId="1FF769EC" w:rsidR="00D77097" w:rsidRPr="00293A78" w:rsidRDefault="00D77097" w:rsidP="00D77097">
            <w:pPr>
              <w:ind w:right="57"/>
              <w:jc w:val="both"/>
              <w:rPr>
                <w:rFonts w:cs="Arial"/>
                <w:szCs w:val="20"/>
              </w:rPr>
            </w:pPr>
            <w:r>
              <w:rPr>
                <w:rFonts w:cs="Arial"/>
                <w:szCs w:val="20"/>
              </w:rPr>
              <w:t xml:space="preserve">Kimberley schools are eligible for </w:t>
            </w:r>
            <w:r w:rsidR="00651337" w:rsidRPr="00651337">
              <w:rPr>
                <w:rFonts w:cs="Arial"/>
                <w:szCs w:val="20"/>
              </w:rPr>
              <w:t>specialised support given strong community connection.</w:t>
            </w:r>
          </w:p>
        </w:tc>
        <w:tc>
          <w:tcPr>
            <w:tcW w:w="3441" w:type="dxa"/>
          </w:tcPr>
          <w:p w14:paraId="1FB8EEF5" w14:textId="1C409AAB" w:rsidR="00D77097" w:rsidRPr="00293A78" w:rsidRDefault="008028EB" w:rsidP="00A9330B">
            <w:pPr>
              <w:pStyle w:val="ListParagraph"/>
              <w:numPr>
                <w:ilvl w:val="0"/>
                <w:numId w:val="21"/>
              </w:numPr>
              <w:spacing w:after="0" w:line="240" w:lineRule="auto"/>
              <w:ind w:left="360"/>
              <w:rPr>
                <w:rFonts w:ascii="Arial" w:hAnsi="Arial" w:cs="Arial"/>
                <w:sz w:val="20"/>
                <w:szCs w:val="20"/>
              </w:rPr>
            </w:pPr>
            <w:r>
              <w:rPr>
                <w:rFonts w:ascii="Arial" w:hAnsi="Arial" w:cs="Arial"/>
                <w:sz w:val="20"/>
                <w:szCs w:val="20"/>
              </w:rPr>
              <w:t xml:space="preserve">School TLEOs are supported </w:t>
            </w:r>
            <w:r w:rsidR="00B21064">
              <w:rPr>
                <w:rFonts w:ascii="Arial" w:hAnsi="Arial" w:cs="Arial"/>
                <w:sz w:val="20"/>
                <w:szCs w:val="20"/>
              </w:rPr>
              <w:t xml:space="preserve">from the central office. </w:t>
            </w:r>
            <w:r w:rsidR="00D77097" w:rsidRPr="00293A78">
              <w:rPr>
                <w:rFonts w:ascii="Arial" w:hAnsi="Arial" w:cs="Arial"/>
                <w:sz w:val="20"/>
                <w:szCs w:val="20"/>
              </w:rPr>
              <w:t xml:space="preserve"> </w:t>
            </w:r>
          </w:p>
          <w:p w14:paraId="14B3E893"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Focus on community liaison with school families and others</w:t>
            </w:r>
          </w:p>
          <w:p w14:paraId="54EE1263"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Assist in increasing school engagement and particularly attendance, ideally approaching or exceeding the 90% threshold.</w:t>
            </w:r>
          </w:p>
          <w:p w14:paraId="4C4448A4"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Assist in developing personalised learning plans</w:t>
            </w:r>
          </w:p>
          <w:p w14:paraId="72A38BE6" w14:textId="7E61D97E" w:rsidR="00D77097" w:rsidRPr="00293A78" w:rsidRDefault="00E65A4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TLEOs also</w:t>
            </w:r>
            <w:r w:rsidR="00D77097" w:rsidRPr="00293A78">
              <w:rPr>
                <w:rFonts w:ascii="Arial" w:hAnsi="Arial" w:cs="Arial"/>
                <w:sz w:val="20"/>
                <w:szCs w:val="20"/>
              </w:rPr>
              <w:t xml:space="preserve"> supported by CEWA regional office in Broome.</w:t>
            </w:r>
          </w:p>
          <w:p w14:paraId="073AEBF9" w14:textId="77777777" w:rsidR="00D77097"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Develop greater connections with community agencies</w:t>
            </w:r>
          </w:p>
          <w:p w14:paraId="7A7B54D8"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Pr>
                <w:rFonts w:ascii="Arial" w:hAnsi="Arial" w:cs="Arial"/>
                <w:sz w:val="20"/>
                <w:szCs w:val="20"/>
              </w:rPr>
              <w:t>Engagement programs implemented by schools to meet cohort needs</w:t>
            </w:r>
          </w:p>
          <w:p w14:paraId="6872D4CF" w14:textId="77777777" w:rsidR="00D77097" w:rsidRPr="00293A78" w:rsidRDefault="00D77097" w:rsidP="00A9330B">
            <w:pPr>
              <w:pStyle w:val="ListParagraph"/>
              <w:ind w:right="57"/>
              <w:rPr>
                <w:rFonts w:ascii="Arial" w:hAnsi="Arial" w:cs="Arial"/>
                <w:sz w:val="20"/>
                <w:szCs w:val="20"/>
              </w:rPr>
            </w:pPr>
          </w:p>
        </w:tc>
        <w:tc>
          <w:tcPr>
            <w:tcW w:w="3441" w:type="dxa"/>
          </w:tcPr>
          <w:p w14:paraId="185AEA3C"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Names of schools; locations etc</w:t>
            </w:r>
          </w:p>
          <w:p w14:paraId="72D8BBE3"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Number of FTE TLEOs supported</w:t>
            </w:r>
          </w:p>
          <w:p w14:paraId="7FACE73A"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Qualitative and quantitative data re; roles and support by TLEOs – feedback from schools</w:t>
            </w:r>
          </w:p>
          <w:p w14:paraId="272F8E56"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Number of families connected with</w:t>
            </w:r>
          </w:p>
          <w:p w14:paraId="6674533B"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Data on student attendance rates</w:t>
            </w:r>
          </w:p>
          <w:p w14:paraId="17A9DE0B"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Number of personalised learning plans developed and effectiveness</w:t>
            </w:r>
          </w:p>
          <w:p w14:paraId="6AB81D24" w14:textId="77777777" w:rsidR="00D77097" w:rsidRDefault="00D77097" w:rsidP="00A9330B">
            <w:pPr>
              <w:pStyle w:val="ListParagraph"/>
              <w:numPr>
                <w:ilvl w:val="0"/>
                <w:numId w:val="21"/>
              </w:numPr>
              <w:spacing w:after="0" w:line="240" w:lineRule="auto"/>
              <w:ind w:left="360"/>
              <w:rPr>
                <w:rFonts w:ascii="Arial" w:hAnsi="Arial" w:cs="Arial"/>
                <w:sz w:val="20"/>
                <w:szCs w:val="20"/>
              </w:rPr>
            </w:pPr>
            <w:r w:rsidRPr="00293A78">
              <w:rPr>
                <w:rFonts w:ascii="Arial" w:hAnsi="Arial" w:cs="Arial"/>
                <w:sz w:val="20"/>
                <w:szCs w:val="20"/>
              </w:rPr>
              <w:t>Qualitative feedback on community development</w:t>
            </w:r>
          </w:p>
          <w:p w14:paraId="3442E36B" w14:textId="77777777" w:rsidR="00D77097" w:rsidRPr="00293A78" w:rsidRDefault="00D77097" w:rsidP="00A9330B">
            <w:pPr>
              <w:pStyle w:val="ListParagraph"/>
              <w:numPr>
                <w:ilvl w:val="0"/>
                <w:numId w:val="21"/>
              </w:numPr>
              <w:spacing w:after="0" w:line="240" w:lineRule="auto"/>
              <w:ind w:left="360"/>
              <w:rPr>
                <w:rFonts w:ascii="Arial" w:hAnsi="Arial" w:cs="Arial"/>
                <w:sz w:val="20"/>
                <w:szCs w:val="20"/>
              </w:rPr>
            </w:pPr>
            <w:r>
              <w:rPr>
                <w:rFonts w:ascii="Arial" w:hAnsi="Arial" w:cs="Arial"/>
                <w:sz w:val="20"/>
                <w:szCs w:val="20"/>
              </w:rPr>
              <w:t>Details of engagement/welfare programs implemented including provider, schools, outcomes.</w:t>
            </w:r>
          </w:p>
        </w:tc>
      </w:tr>
    </w:tbl>
    <w:p w14:paraId="7F7A1F35" w14:textId="49C552DA" w:rsidR="008343BF" w:rsidRDefault="008343BF"/>
    <w:p w14:paraId="3208443F" w14:textId="30CA0331" w:rsidR="008343BF" w:rsidRDefault="008343BF"/>
    <w:p w14:paraId="50E934C8" w14:textId="7905D98F" w:rsidR="008343BF" w:rsidRDefault="008343BF"/>
    <w:p w14:paraId="42F2ED71" w14:textId="77777777" w:rsidR="008343BF" w:rsidRDefault="008343BF"/>
    <w:p w14:paraId="5327D883" w14:textId="77777777" w:rsidR="00310E63" w:rsidRDefault="00310E63">
      <w:r>
        <w:lastRenderedPageBreak/>
        <w:br w:type="page"/>
      </w:r>
    </w:p>
    <w:tbl>
      <w:tblPr>
        <w:tblStyle w:val="TableGrid"/>
        <w:tblW w:w="10244" w:type="dxa"/>
        <w:tblInd w:w="137" w:type="dxa"/>
        <w:tblLayout w:type="fixed"/>
        <w:tblLook w:val="04A0" w:firstRow="1" w:lastRow="0" w:firstColumn="1" w:lastColumn="0" w:noHBand="0" w:noVBand="1"/>
      </w:tblPr>
      <w:tblGrid>
        <w:gridCol w:w="3686"/>
        <w:gridCol w:w="3260"/>
        <w:gridCol w:w="3260"/>
        <w:gridCol w:w="38"/>
      </w:tblGrid>
      <w:tr w:rsidR="00D77097" w:rsidRPr="00DB45D5" w14:paraId="51C1CAB8" w14:textId="77777777" w:rsidTr="00310E63">
        <w:tc>
          <w:tcPr>
            <w:tcW w:w="10244" w:type="dxa"/>
            <w:gridSpan w:val="4"/>
            <w:shd w:val="clear" w:color="auto" w:fill="D9D9D9" w:themeFill="background1" w:themeFillShade="D9"/>
          </w:tcPr>
          <w:p w14:paraId="47242C3C" w14:textId="6895BAB0" w:rsidR="00D77097" w:rsidRPr="00310E63" w:rsidRDefault="00310E63" w:rsidP="00310E63">
            <w:pPr>
              <w:ind w:right="57"/>
              <w:jc w:val="center"/>
              <w:rPr>
                <w:rFonts w:cs="Arial"/>
                <w:b/>
                <w:szCs w:val="20"/>
              </w:rPr>
            </w:pPr>
            <w:r w:rsidRPr="00310E63">
              <w:rPr>
                <w:rFonts w:cs="Arial"/>
                <w:b/>
                <w:szCs w:val="20"/>
              </w:rPr>
              <w:lastRenderedPageBreak/>
              <w:t>Child Safety</w:t>
            </w:r>
          </w:p>
        </w:tc>
      </w:tr>
      <w:tr w:rsidR="00310E63" w:rsidRPr="00DB45D5" w14:paraId="0421462C" w14:textId="77777777" w:rsidTr="00310E63">
        <w:trPr>
          <w:gridAfter w:val="1"/>
          <w:wAfter w:w="38" w:type="dxa"/>
        </w:trPr>
        <w:tc>
          <w:tcPr>
            <w:tcW w:w="3686" w:type="dxa"/>
          </w:tcPr>
          <w:p w14:paraId="7F2D6CD8" w14:textId="77777777" w:rsidR="00310E63" w:rsidRPr="00A9330B" w:rsidRDefault="00310E63" w:rsidP="00310E63">
            <w:pPr>
              <w:spacing w:after="0"/>
              <w:ind w:right="57"/>
              <w:rPr>
                <w:rFonts w:cs="Arial"/>
                <w:szCs w:val="20"/>
              </w:rPr>
            </w:pPr>
            <w:r w:rsidRPr="00A9330B">
              <w:rPr>
                <w:rFonts w:cs="Arial"/>
                <w:szCs w:val="20"/>
              </w:rPr>
              <w:t xml:space="preserve">Description, Timeframe, </w:t>
            </w:r>
          </w:p>
          <w:p w14:paraId="6CE0A9C9" w14:textId="0CB5A35E" w:rsidR="00310E63" w:rsidRPr="00932D33" w:rsidRDefault="00310E63" w:rsidP="00310E63">
            <w:pPr>
              <w:ind w:right="57"/>
              <w:jc w:val="both"/>
              <w:rPr>
                <w:rFonts w:cs="Arial"/>
                <w:b/>
                <w:szCs w:val="20"/>
              </w:rPr>
            </w:pPr>
            <w:r w:rsidRPr="00A9330B">
              <w:rPr>
                <w:rFonts w:cs="Arial"/>
                <w:szCs w:val="20"/>
              </w:rPr>
              <w:t>Eligible Schools</w:t>
            </w:r>
          </w:p>
        </w:tc>
        <w:tc>
          <w:tcPr>
            <w:tcW w:w="3260" w:type="dxa"/>
          </w:tcPr>
          <w:p w14:paraId="01DE8041" w14:textId="2F48FB3B" w:rsidR="00310E63" w:rsidRPr="00310E63" w:rsidRDefault="00310E63" w:rsidP="00310E63">
            <w:pPr>
              <w:spacing w:after="0" w:line="240" w:lineRule="auto"/>
              <w:rPr>
                <w:rFonts w:cs="Arial"/>
                <w:bCs/>
                <w:szCs w:val="20"/>
              </w:rPr>
            </w:pPr>
            <w:r w:rsidRPr="00310E63">
              <w:rPr>
                <w:rFonts w:cs="Arial"/>
                <w:szCs w:val="20"/>
              </w:rPr>
              <w:t>Outcomes/objectives</w:t>
            </w:r>
          </w:p>
        </w:tc>
        <w:tc>
          <w:tcPr>
            <w:tcW w:w="3260" w:type="dxa"/>
          </w:tcPr>
          <w:p w14:paraId="4FEAF762" w14:textId="1DDAD51C" w:rsidR="00310E63" w:rsidRPr="00310E63" w:rsidRDefault="00310E63" w:rsidP="00310E63">
            <w:pPr>
              <w:spacing w:after="0" w:line="240" w:lineRule="auto"/>
              <w:rPr>
                <w:rFonts w:cs="Arial"/>
                <w:bCs/>
                <w:szCs w:val="20"/>
              </w:rPr>
            </w:pPr>
            <w:r w:rsidRPr="00310E63">
              <w:rPr>
                <w:rFonts w:cs="Arial"/>
                <w:szCs w:val="20"/>
              </w:rPr>
              <w:t>Indicators of Success</w:t>
            </w:r>
          </w:p>
        </w:tc>
      </w:tr>
      <w:tr w:rsidR="00310E63" w:rsidRPr="00DB45D5" w14:paraId="36A56875" w14:textId="77777777" w:rsidTr="00310E63">
        <w:trPr>
          <w:gridAfter w:val="1"/>
          <w:wAfter w:w="38" w:type="dxa"/>
        </w:trPr>
        <w:tc>
          <w:tcPr>
            <w:tcW w:w="3686" w:type="dxa"/>
          </w:tcPr>
          <w:p w14:paraId="4508D444" w14:textId="77777777" w:rsidR="00310E63" w:rsidRPr="00932D33" w:rsidRDefault="00310E63" w:rsidP="00A9330B">
            <w:pPr>
              <w:ind w:right="57"/>
              <w:jc w:val="both"/>
              <w:rPr>
                <w:rFonts w:cs="Arial"/>
                <w:b/>
                <w:szCs w:val="20"/>
              </w:rPr>
            </w:pPr>
            <w:r w:rsidRPr="00932D33">
              <w:rPr>
                <w:rFonts w:cs="Arial"/>
                <w:b/>
                <w:szCs w:val="20"/>
              </w:rPr>
              <w:t>Details</w:t>
            </w:r>
          </w:p>
          <w:p w14:paraId="7EC40B8B" w14:textId="151CABE0" w:rsidR="00310E63" w:rsidRDefault="00310E63" w:rsidP="00A9330B">
            <w:pPr>
              <w:ind w:right="57"/>
              <w:jc w:val="both"/>
              <w:rPr>
                <w:rFonts w:cs="Arial"/>
                <w:bCs/>
                <w:szCs w:val="20"/>
              </w:rPr>
            </w:pPr>
            <w:r w:rsidRPr="00293A78">
              <w:rPr>
                <w:rFonts w:cs="Arial"/>
                <w:bCs/>
                <w:szCs w:val="20"/>
              </w:rPr>
              <w:t xml:space="preserve">CEWA already has a Child Safety Policy and team of consultants who are able to visit schools and who also provide some professional learning and training for schools and their staff. There is also a Student Wellbeing Team. Both teams have a degree of overlap although this project has a sharper focus on child safety. This project seeks to expand the operation of the team to include supporting the production of resources for schools and especially parents. Part of the project will involve the development of more online resources to replace some of the </w:t>
            </w:r>
            <w:r w:rsidR="00E65A47" w:rsidRPr="00293A78">
              <w:rPr>
                <w:rFonts w:cs="Arial"/>
                <w:bCs/>
                <w:szCs w:val="20"/>
              </w:rPr>
              <w:t>face-to-face</w:t>
            </w:r>
            <w:r w:rsidRPr="00293A78">
              <w:rPr>
                <w:rFonts w:cs="Arial"/>
                <w:bCs/>
                <w:szCs w:val="20"/>
              </w:rPr>
              <w:t xml:space="preserve"> programs such as mandatory reporting professional learning and other programs. The impact of COVID-</w:t>
            </w:r>
            <w:r w:rsidR="00E65A47" w:rsidRPr="00293A78">
              <w:rPr>
                <w:rFonts w:cs="Arial"/>
                <w:bCs/>
                <w:szCs w:val="20"/>
              </w:rPr>
              <w:t>19 will</w:t>
            </w:r>
            <w:r>
              <w:rPr>
                <w:rFonts w:cs="Arial"/>
                <w:bCs/>
                <w:szCs w:val="20"/>
              </w:rPr>
              <w:t xml:space="preserve"> </w:t>
            </w:r>
            <w:r w:rsidRPr="00293A78">
              <w:rPr>
                <w:rFonts w:cs="Arial"/>
                <w:bCs/>
                <w:szCs w:val="20"/>
              </w:rPr>
              <w:t>see difficulties arising in home environments and this is likely to be more observable in lower SES communities. Funds will be directed centrally to the operation of the team and production of resources.</w:t>
            </w:r>
          </w:p>
          <w:p w14:paraId="41FBC157" w14:textId="77777777" w:rsidR="00310E63" w:rsidRPr="001E1AA3" w:rsidRDefault="00310E63" w:rsidP="00A9330B">
            <w:pPr>
              <w:ind w:right="57"/>
              <w:jc w:val="both"/>
              <w:rPr>
                <w:rFonts w:cs="Arial"/>
                <w:b/>
                <w:szCs w:val="20"/>
              </w:rPr>
            </w:pPr>
            <w:r w:rsidRPr="001E1AA3">
              <w:rPr>
                <w:rFonts w:cs="Arial"/>
                <w:b/>
                <w:szCs w:val="20"/>
              </w:rPr>
              <w:t>Timeframes</w:t>
            </w:r>
          </w:p>
          <w:p w14:paraId="72350B88" w14:textId="3AD389E9" w:rsidR="00310E63" w:rsidRDefault="00310E63" w:rsidP="00A9330B">
            <w:pPr>
              <w:ind w:right="57"/>
              <w:jc w:val="both"/>
              <w:rPr>
                <w:rFonts w:cs="Arial"/>
                <w:bCs/>
                <w:szCs w:val="20"/>
              </w:rPr>
            </w:pPr>
            <w:r>
              <w:rPr>
                <w:rFonts w:cs="Arial"/>
                <w:bCs/>
                <w:szCs w:val="20"/>
              </w:rPr>
              <w:t xml:space="preserve">Work </w:t>
            </w:r>
            <w:r w:rsidR="00E65A47">
              <w:rPr>
                <w:rFonts w:cs="Arial"/>
                <w:bCs/>
                <w:szCs w:val="20"/>
              </w:rPr>
              <w:t>continues</w:t>
            </w:r>
            <w:r>
              <w:rPr>
                <w:rFonts w:cs="Arial"/>
                <w:bCs/>
                <w:szCs w:val="20"/>
              </w:rPr>
              <w:t xml:space="preserve"> </w:t>
            </w:r>
            <w:r w:rsidR="00E65A47">
              <w:rPr>
                <w:rFonts w:cs="Arial"/>
                <w:bCs/>
                <w:szCs w:val="20"/>
              </w:rPr>
              <w:t xml:space="preserve">on </w:t>
            </w:r>
            <w:r>
              <w:rPr>
                <w:rFonts w:cs="Arial"/>
                <w:bCs/>
                <w:szCs w:val="20"/>
              </w:rPr>
              <w:t>this project and given its importance, will continue indefinitely</w:t>
            </w:r>
            <w:r w:rsidR="00DE5C61">
              <w:rPr>
                <w:rFonts w:cs="Arial"/>
                <w:bCs/>
                <w:szCs w:val="20"/>
              </w:rPr>
              <w:t>.</w:t>
            </w:r>
            <w:r>
              <w:rPr>
                <w:rFonts w:cs="Arial"/>
                <w:bCs/>
                <w:szCs w:val="20"/>
              </w:rPr>
              <w:t xml:space="preserve"> Expansion in activities is anticipated.</w:t>
            </w:r>
          </w:p>
          <w:p w14:paraId="780853F1" w14:textId="77777777" w:rsidR="00310E63" w:rsidRPr="001E1AA3" w:rsidRDefault="00310E63" w:rsidP="00A9330B">
            <w:pPr>
              <w:ind w:right="57"/>
              <w:jc w:val="both"/>
              <w:rPr>
                <w:rFonts w:cs="Arial"/>
                <w:b/>
                <w:szCs w:val="20"/>
              </w:rPr>
            </w:pPr>
            <w:r w:rsidRPr="001E1AA3">
              <w:rPr>
                <w:rFonts w:cs="Arial"/>
                <w:b/>
                <w:szCs w:val="20"/>
              </w:rPr>
              <w:t>Eligible schools</w:t>
            </w:r>
          </w:p>
          <w:p w14:paraId="72894859" w14:textId="19C6B3A6" w:rsidR="00310E63" w:rsidRPr="00293A78" w:rsidRDefault="00310E63" w:rsidP="00A9330B">
            <w:pPr>
              <w:ind w:right="57"/>
              <w:jc w:val="both"/>
              <w:rPr>
                <w:rFonts w:cs="Arial"/>
                <w:bCs/>
                <w:szCs w:val="20"/>
              </w:rPr>
            </w:pPr>
            <w:r>
              <w:rPr>
                <w:rFonts w:cs="Arial"/>
                <w:bCs/>
                <w:szCs w:val="20"/>
              </w:rPr>
              <w:t xml:space="preserve">All schools will be </w:t>
            </w:r>
            <w:r w:rsidR="00B73B1A">
              <w:rPr>
                <w:rFonts w:cs="Arial"/>
                <w:bCs/>
                <w:szCs w:val="20"/>
              </w:rPr>
              <w:t xml:space="preserve">potentially </w:t>
            </w:r>
            <w:r>
              <w:rPr>
                <w:rFonts w:cs="Arial"/>
                <w:bCs/>
                <w:szCs w:val="20"/>
              </w:rPr>
              <w:t>involved in this project.</w:t>
            </w:r>
          </w:p>
        </w:tc>
        <w:tc>
          <w:tcPr>
            <w:tcW w:w="3260" w:type="dxa"/>
          </w:tcPr>
          <w:p w14:paraId="17A96BA8" w14:textId="77777777" w:rsidR="00310E63" w:rsidRPr="00293A78" w:rsidRDefault="00310E63" w:rsidP="007662C8">
            <w:pPr>
              <w:pStyle w:val="ListParagraph"/>
              <w:numPr>
                <w:ilvl w:val="0"/>
                <w:numId w:val="21"/>
              </w:numPr>
              <w:spacing w:after="0" w:line="240" w:lineRule="auto"/>
              <w:ind w:left="360"/>
              <w:jc w:val="both"/>
              <w:rPr>
                <w:rFonts w:ascii="Arial" w:hAnsi="Arial" w:cs="Arial"/>
                <w:bCs/>
                <w:sz w:val="20"/>
                <w:szCs w:val="20"/>
              </w:rPr>
            </w:pPr>
            <w:r w:rsidRPr="00293A78">
              <w:rPr>
                <w:rFonts w:ascii="Arial" w:hAnsi="Arial" w:cs="Arial"/>
                <w:bCs/>
                <w:sz w:val="20"/>
                <w:szCs w:val="20"/>
              </w:rPr>
              <w:t xml:space="preserve">Increased capacity to support schools – teachers, </w:t>
            </w:r>
            <w:proofErr w:type="gramStart"/>
            <w:r w:rsidRPr="00293A78">
              <w:rPr>
                <w:rFonts w:ascii="Arial" w:hAnsi="Arial" w:cs="Arial"/>
                <w:bCs/>
                <w:sz w:val="20"/>
                <w:szCs w:val="20"/>
              </w:rPr>
              <w:t>students</w:t>
            </w:r>
            <w:proofErr w:type="gramEnd"/>
            <w:r w:rsidRPr="00293A78">
              <w:rPr>
                <w:rFonts w:ascii="Arial" w:hAnsi="Arial" w:cs="Arial"/>
                <w:bCs/>
                <w:sz w:val="20"/>
                <w:szCs w:val="20"/>
              </w:rPr>
              <w:t xml:space="preserve"> and parents</w:t>
            </w:r>
          </w:p>
          <w:p w14:paraId="5993C01B" w14:textId="77777777" w:rsidR="00310E63" w:rsidRPr="00293A78" w:rsidRDefault="00310E63" w:rsidP="007662C8">
            <w:pPr>
              <w:pStyle w:val="ListParagraph"/>
              <w:numPr>
                <w:ilvl w:val="0"/>
                <w:numId w:val="21"/>
              </w:numPr>
              <w:spacing w:after="0" w:line="240" w:lineRule="auto"/>
              <w:ind w:left="360"/>
              <w:jc w:val="both"/>
              <w:rPr>
                <w:rFonts w:ascii="Arial" w:hAnsi="Arial" w:cs="Arial"/>
                <w:bCs/>
                <w:sz w:val="20"/>
                <w:szCs w:val="20"/>
              </w:rPr>
            </w:pPr>
            <w:r w:rsidRPr="00293A78">
              <w:rPr>
                <w:rFonts w:ascii="Arial" w:hAnsi="Arial" w:cs="Arial"/>
                <w:bCs/>
                <w:sz w:val="20"/>
                <w:szCs w:val="20"/>
              </w:rPr>
              <w:t>Greater liaison with other CEWA teams such as school psychology; wellbeing; and School Improvement Advisors.</w:t>
            </w:r>
          </w:p>
          <w:p w14:paraId="143DAEDE" w14:textId="77777777" w:rsidR="00310E63" w:rsidRPr="00293A78" w:rsidRDefault="00310E63" w:rsidP="007662C8">
            <w:pPr>
              <w:pStyle w:val="ListParagraph"/>
              <w:numPr>
                <w:ilvl w:val="0"/>
                <w:numId w:val="21"/>
              </w:numPr>
              <w:spacing w:after="0" w:line="240" w:lineRule="auto"/>
              <w:ind w:left="360"/>
              <w:jc w:val="both"/>
              <w:rPr>
                <w:rFonts w:ascii="Arial" w:hAnsi="Arial" w:cs="Arial"/>
                <w:bCs/>
                <w:sz w:val="20"/>
                <w:szCs w:val="20"/>
              </w:rPr>
            </w:pPr>
            <w:r w:rsidRPr="00293A78">
              <w:rPr>
                <w:rFonts w:ascii="Arial" w:hAnsi="Arial" w:cs="Arial"/>
                <w:bCs/>
                <w:sz w:val="20"/>
                <w:szCs w:val="20"/>
              </w:rPr>
              <w:t>Development of resources for parents</w:t>
            </w:r>
          </w:p>
          <w:p w14:paraId="1D6A3312" w14:textId="77777777" w:rsidR="00310E63" w:rsidRPr="00293A78" w:rsidRDefault="00310E63" w:rsidP="007662C8">
            <w:pPr>
              <w:pStyle w:val="ListParagraph"/>
              <w:numPr>
                <w:ilvl w:val="0"/>
                <w:numId w:val="21"/>
              </w:numPr>
              <w:spacing w:after="0" w:line="240" w:lineRule="auto"/>
              <w:ind w:left="360"/>
              <w:jc w:val="both"/>
              <w:rPr>
                <w:rFonts w:ascii="Arial" w:hAnsi="Arial" w:cs="Arial"/>
                <w:bCs/>
                <w:sz w:val="20"/>
                <w:szCs w:val="20"/>
              </w:rPr>
            </w:pPr>
            <w:r w:rsidRPr="00293A78">
              <w:rPr>
                <w:rFonts w:ascii="Arial" w:hAnsi="Arial" w:cs="Arial"/>
                <w:bCs/>
                <w:sz w:val="20"/>
                <w:szCs w:val="20"/>
              </w:rPr>
              <w:t>Development of other online resources for schools</w:t>
            </w:r>
          </w:p>
        </w:tc>
        <w:tc>
          <w:tcPr>
            <w:tcW w:w="3260" w:type="dxa"/>
          </w:tcPr>
          <w:p w14:paraId="0E360AC4" w14:textId="77777777" w:rsidR="00310E63" w:rsidRPr="00293A78" w:rsidRDefault="00310E63" w:rsidP="007662C8">
            <w:pPr>
              <w:pStyle w:val="ListParagraph"/>
              <w:numPr>
                <w:ilvl w:val="0"/>
                <w:numId w:val="21"/>
              </w:numPr>
              <w:spacing w:after="0" w:line="240" w:lineRule="auto"/>
              <w:ind w:left="360"/>
              <w:jc w:val="both"/>
              <w:rPr>
                <w:rFonts w:ascii="Arial" w:hAnsi="Arial" w:cs="Arial"/>
                <w:bCs/>
                <w:sz w:val="20"/>
                <w:szCs w:val="20"/>
              </w:rPr>
            </w:pPr>
            <w:r w:rsidRPr="00293A78">
              <w:rPr>
                <w:rFonts w:ascii="Arial" w:hAnsi="Arial" w:cs="Arial"/>
                <w:bCs/>
                <w:sz w:val="20"/>
                <w:szCs w:val="20"/>
              </w:rPr>
              <w:t>Details of professional learning provided</w:t>
            </w:r>
          </w:p>
          <w:p w14:paraId="4A47B0C8" w14:textId="77777777" w:rsidR="00310E63" w:rsidRPr="00293A78" w:rsidRDefault="00310E63" w:rsidP="007662C8">
            <w:pPr>
              <w:pStyle w:val="ListParagraph"/>
              <w:numPr>
                <w:ilvl w:val="0"/>
                <w:numId w:val="21"/>
              </w:numPr>
              <w:spacing w:after="0" w:line="240" w:lineRule="auto"/>
              <w:ind w:left="360"/>
              <w:jc w:val="both"/>
              <w:rPr>
                <w:rFonts w:ascii="Arial" w:hAnsi="Arial" w:cs="Arial"/>
                <w:bCs/>
                <w:sz w:val="20"/>
                <w:szCs w:val="20"/>
              </w:rPr>
            </w:pPr>
            <w:r w:rsidRPr="00293A78">
              <w:rPr>
                <w:rFonts w:ascii="Arial" w:hAnsi="Arial" w:cs="Arial"/>
                <w:bCs/>
                <w:sz w:val="20"/>
                <w:szCs w:val="20"/>
              </w:rPr>
              <w:t>Details of resources produced</w:t>
            </w:r>
          </w:p>
          <w:p w14:paraId="3B55CF9C" w14:textId="77777777" w:rsidR="00310E63" w:rsidRPr="00293A78" w:rsidRDefault="00310E63" w:rsidP="007662C8">
            <w:pPr>
              <w:pStyle w:val="ListParagraph"/>
              <w:numPr>
                <w:ilvl w:val="0"/>
                <w:numId w:val="21"/>
              </w:numPr>
              <w:spacing w:after="0" w:line="240" w:lineRule="auto"/>
              <w:ind w:left="360"/>
              <w:jc w:val="both"/>
              <w:rPr>
                <w:rFonts w:ascii="Arial" w:hAnsi="Arial" w:cs="Arial"/>
                <w:bCs/>
                <w:sz w:val="20"/>
                <w:szCs w:val="20"/>
              </w:rPr>
            </w:pPr>
            <w:r w:rsidRPr="00293A78">
              <w:rPr>
                <w:rFonts w:ascii="Arial" w:hAnsi="Arial" w:cs="Arial"/>
                <w:bCs/>
                <w:sz w:val="20"/>
                <w:szCs w:val="20"/>
              </w:rPr>
              <w:t>Qualitative feedback from schools on value of services and resources</w:t>
            </w:r>
          </w:p>
          <w:p w14:paraId="660A5D2D" w14:textId="77777777" w:rsidR="00310E63" w:rsidRPr="00293A78" w:rsidRDefault="00310E63" w:rsidP="007662C8">
            <w:pPr>
              <w:pStyle w:val="ListParagraph"/>
              <w:numPr>
                <w:ilvl w:val="0"/>
                <w:numId w:val="21"/>
              </w:numPr>
              <w:spacing w:after="0" w:line="240" w:lineRule="auto"/>
              <w:ind w:left="360"/>
              <w:jc w:val="both"/>
              <w:rPr>
                <w:rFonts w:ascii="Arial" w:hAnsi="Arial" w:cs="Arial"/>
                <w:bCs/>
                <w:sz w:val="20"/>
                <w:szCs w:val="20"/>
              </w:rPr>
            </w:pPr>
            <w:r w:rsidRPr="00293A78">
              <w:rPr>
                <w:rFonts w:ascii="Arial" w:hAnsi="Arial" w:cs="Arial"/>
                <w:bCs/>
                <w:sz w:val="20"/>
                <w:szCs w:val="20"/>
              </w:rPr>
              <w:t>Statistical information re; cases in general terms.</w:t>
            </w:r>
          </w:p>
        </w:tc>
      </w:tr>
    </w:tbl>
    <w:p w14:paraId="11945C82" w14:textId="2624A92B" w:rsidR="000B7CE7" w:rsidRDefault="000B7CE7" w:rsidP="00826AA4">
      <w:pPr>
        <w:spacing w:line="240" w:lineRule="auto"/>
        <w:rPr>
          <w:rFonts w:cstheme="minorHAnsi"/>
          <w:b/>
          <w:u w:val="single"/>
        </w:rPr>
      </w:pPr>
    </w:p>
    <w:p w14:paraId="677AA96A" w14:textId="457C3587" w:rsidR="00FE2E35" w:rsidRDefault="00FE2E35">
      <w:pPr>
        <w:spacing w:before="0" w:after="160" w:line="259" w:lineRule="auto"/>
        <w:rPr>
          <w:rFonts w:cstheme="minorHAnsi"/>
          <w:b/>
          <w:u w:val="single"/>
        </w:rPr>
      </w:pPr>
      <w:r>
        <w:rPr>
          <w:rFonts w:cstheme="minorHAnsi"/>
          <w:b/>
          <w:u w:val="single"/>
        </w:rPr>
        <w:br w:type="page"/>
      </w:r>
    </w:p>
    <w:p w14:paraId="2563B0F8" w14:textId="77777777" w:rsidR="00221E9E" w:rsidRDefault="00221E9E" w:rsidP="00AD53A0">
      <w:pPr>
        <w:spacing w:line="240" w:lineRule="auto"/>
        <w:jc w:val="center"/>
        <w:rPr>
          <w:rFonts w:cstheme="minorHAnsi"/>
          <w:b/>
          <w:sz w:val="22"/>
          <w:szCs w:val="22"/>
          <w:u w:val="single"/>
        </w:rPr>
      </w:pPr>
    </w:p>
    <w:p w14:paraId="7AF4961C" w14:textId="255E154B" w:rsidR="00826AA4" w:rsidRPr="00AD53A0" w:rsidRDefault="00826AA4" w:rsidP="00AD53A0">
      <w:pPr>
        <w:spacing w:line="240" w:lineRule="auto"/>
        <w:jc w:val="center"/>
        <w:rPr>
          <w:rFonts w:cstheme="minorHAnsi"/>
          <w:b/>
          <w:sz w:val="22"/>
          <w:szCs w:val="22"/>
          <w:u w:val="single"/>
        </w:rPr>
      </w:pPr>
      <w:r w:rsidRPr="00AD53A0">
        <w:rPr>
          <w:rFonts w:cstheme="minorHAnsi"/>
          <w:b/>
          <w:sz w:val="22"/>
          <w:szCs w:val="22"/>
          <w:u w:val="single"/>
        </w:rPr>
        <w:t>Key stakeholders</w:t>
      </w:r>
    </w:p>
    <w:p w14:paraId="0440BD41" w14:textId="42A90D47" w:rsidR="00D73142" w:rsidRDefault="00D73142" w:rsidP="00826AA4">
      <w:pPr>
        <w:spacing w:line="240" w:lineRule="auto"/>
        <w:rPr>
          <w:rFonts w:cstheme="minorHAnsi"/>
          <w:b/>
          <w:u w:val="single"/>
        </w:rPr>
      </w:pPr>
    </w:p>
    <w:p w14:paraId="6A6F2C24" w14:textId="1020328C" w:rsidR="00D73142" w:rsidRDefault="00D73142" w:rsidP="005D7043">
      <w:pPr>
        <w:spacing w:line="240" w:lineRule="auto"/>
        <w:jc w:val="both"/>
        <w:rPr>
          <w:rFonts w:cstheme="minorHAnsi"/>
          <w:bCs/>
        </w:rPr>
      </w:pPr>
      <w:r w:rsidRPr="00D73142">
        <w:rPr>
          <w:rFonts w:cstheme="minorHAnsi"/>
          <w:bCs/>
        </w:rPr>
        <w:t>As outlined earlier, the approach adopted by CEWA has lar</w:t>
      </w:r>
      <w:r w:rsidR="00A55909">
        <w:rPr>
          <w:rFonts w:cstheme="minorHAnsi"/>
          <w:bCs/>
        </w:rPr>
        <w:t>g</w:t>
      </w:r>
      <w:r w:rsidRPr="00D73142">
        <w:rPr>
          <w:rFonts w:cstheme="minorHAnsi"/>
          <w:bCs/>
        </w:rPr>
        <w:t>ely involved</w:t>
      </w:r>
      <w:r w:rsidR="00D84A30">
        <w:rPr>
          <w:rFonts w:cstheme="minorHAnsi"/>
          <w:bCs/>
        </w:rPr>
        <w:t xml:space="preserve"> centrally </w:t>
      </w:r>
      <w:r w:rsidR="00A55909">
        <w:rPr>
          <w:rFonts w:cstheme="minorHAnsi"/>
          <w:bCs/>
        </w:rPr>
        <w:t>o</w:t>
      </w:r>
      <w:r w:rsidR="00D84A30">
        <w:rPr>
          <w:rFonts w:cstheme="minorHAnsi"/>
          <w:bCs/>
        </w:rPr>
        <w:t>rganised</w:t>
      </w:r>
      <w:r w:rsidR="00A55909">
        <w:rPr>
          <w:rFonts w:cstheme="minorHAnsi"/>
          <w:bCs/>
        </w:rPr>
        <w:t xml:space="preserve"> </w:t>
      </w:r>
      <w:r w:rsidR="00D84A30">
        <w:rPr>
          <w:rFonts w:cstheme="minorHAnsi"/>
          <w:bCs/>
        </w:rPr>
        <w:t>activities and support which reflect system priorities as outlined in Stra</w:t>
      </w:r>
      <w:r w:rsidR="00A55909">
        <w:rPr>
          <w:rFonts w:cstheme="minorHAnsi"/>
          <w:bCs/>
        </w:rPr>
        <w:t>t</w:t>
      </w:r>
      <w:r w:rsidR="00D84A30">
        <w:rPr>
          <w:rFonts w:cstheme="minorHAnsi"/>
          <w:bCs/>
        </w:rPr>
        <w:t>egic Directions 2019 – 23</w:t>
      </w:r>
      <w:r w:rsidR="00B73B1A">
        <w:rPr>
          <w:rFonts w:cstheme="minorHAnsi"/>
          <w:bCs/>
        </w:rPr>
        <w:t xml:space="preserve"> </w:t>
      </w:r>
      <w:r w:rsidR="00D84A30">
        <w:rPr>
          <w:rFonts w:cstheme="minorHAnsi"/>
          <w:bCs/>
        </w:rPr>
        <w:t>and the system improvement framework Quality Catho</w:t>
      </w:r>
      <w:r w:rsidR="00A55909">
        <w:rPr>
          <w:rFonts w:cstheme="minorHAnsi"/>
          <w:bCs/>
        </w:rPr>
        <w:t>l</w:t>
      </w:r>
      <w:r w:rsidR="00D84A30">
        <w:rPr>
          <w:rFonts w:cstheme="minorHAnsi"/>
          <w:bCs/>
        </w:rPr>
        <w:t>ic Education.</w:t>
      </w:r>
      <w:r w:rsidR="00A55909">
        <w:rPr>
          <w:rFonts w:cstheme="minorHAnsi"/>
          <w:bCs/>
        </w:rPr>
        <w:t xml:space="preserve"> </w:t>
      </w:r>
      <w:r w:rsidR="00D84A30">
        <w:rPr>
          <w:rFonts w:cstheme="minorHAnsi"/>
          <w:bCs/>
        </w:rPr>
        <w:t>An extensi</w:t>
      </w:r>
      <w:r w:rsidR="00A55909">
        <w:rPr>
          <w:rFonts w:cstheme="minorHAnsi"/>
          <w:bCs/>
        </w:rPr>
        <w:t>v</w:t>
      </w:r>
      <w:r w:rsidR="00D84A30">
        <w:rPr>
          <w:rFonts w:cstheme="minorHAnsi"/>
          <w:bCs/>
        </w:rPr>
        <w:t>e consultation process has underpinned these plans and schools reflect the priorities in their individual strategic plans. CEWA is also aware, through the liaison processes in the</w:t>
      </w:r>
      <w:r w:rsidR="00A55909">
        <w:rPr>
          <w:rFonts w:cstheme="minorHAnsi"/>
          <w:bCs/>
        </w:rPr>
        <w:t xml:space="preserve"> </w:t>
      </w:r>
      <w:r w:rsidR="00D84A30">
        <w:rPr>
          <w:rFonts w:cstheme="minorHAnsi"/>
          <w:bCs/>
        </w:rPr>
        <w:t>table be</w:t>
      </w:r>
      <w:r w:rsidR="00A55909">
        <w:rPr>
          <w:rFonts w:cstheme="minorHAnsi"/>
          <w:bCs/>
        </w:rPr>
        <w:t>l</w:t>
      </w:r>
      <w:r w:rsidR="00D84A30">
        <w:rPr>
          <w:rFonts w:cstheme="minorHAnsi"/>
          <w:bCs/>
        </w:rPr>
        <w:t>ow, that many schools will have nuances and local variations to meet</w:t>
      </w:r>
      <w:r w:rsidR="00A55909">
        <w:rPr>
          <w:rFonts w:cstheme="minorHAnsi"/>
          <w:bCs/>
        </w:rPr>
        <w:t xml:space="preserve"> the needs of their communities. Individual projects have been approved to support these needs.</w:t>
      </w:r>
    </w:p>
    <w:p w14:paraId="7C94E106" w14:textId="76899212" w:rsidR="00A55909" w:rsidRDefault="00A55909" w:rsidP="005D7043">
      <w:pPr>
        <w:spacing w:line="240" w:lineRule="auto"/>
        <w:jc w:val="both"/>
        <w:rPr>
          <w:rFonts w:cstheme="minorHAnsi"/>
          <w:bCs/>
        </w:rPr>
      </w:pPr>
    </w:p>
    <w:p w14:paraId="16B5B627" w14:textId="69AFD2B0" w:rsidR="00A55909" w:rsidRDefault="00A55909" w:rsidP="005D7043">
      <w:pPr>
        <w:spacing w:line="240" w:lineRule="auto"/>
        <w:jc w:val="both"/>
        <w:rPr>
          <w:rFonts w:cstheme="minorHAnsi"/>
          <w:bCs/>
        </w:rPr>
      </w:pPr>
      <w:r>
        <w:rPr>
          <w:rFonts w:cstheme="minorHAnsi"/>
          <w:bCs/>
        </w:rPr>
        <w:t xml:space="preserve">It also needs to be recognised that funding allocation processes used by CEWA, </w:t>
      </w:r>
      <w:r w:rsidR="005D136A">
        <w:rPr>
          <w:rFonts w:cstheme="minorHAnsi"/>
          <w:bCs/>
        </w:rPr>
        <w:t>other than CAF</w:t>
      </w:r>
      <w:r>
        <w:rPr>
          <w:rFonts w:cstheme="minorHAnsi"/>
          <w:bCs/>
        </w:rPr>
        <w:t xml:space="preserve">, also address school </w:t>
      </w:r>
      <w:r w:rsidR="00C45EA6">
        <w:rPr>
          <w:rFonts w:cstheme="minorHAnsi"/>
          <w:bCs/>
        </w:rPr>
        <w:t>need</w:t>
      </w:r>
      <w:r>
        <w:rPr>
          <w:rFonts w:cstheme="minorHAnsi"/>
          <w:bCs/>
        </w:rPr>
        <w:t>. These</w:t>
      </w:r>
      <w:r w:rsidR="005D136A">
        <w:rPr>
          <w:rFonts w:cstheme="minorHAnsi"/>
          <w:bCs/>
        </w:rPr>
        <w:t xml:space="preserve"> </w:t>
      </w:r>
      <w:r>
        <w:rPr>
          <w:rFonts w:cstheme="minorHAnsi"/>
          <w:bCs/>
        </w:rPr>
        <w:t xml:space="preserve">include, but are not limited to; fee top ups; health care </w:t>
      </w:r>
      <w:r w:rsidR="00C76DFD">
        <w:rPr>
          <w:rFonts w:cstheme="minorHAnsi"/>
          <w:bCs/>
        </w:rPr>
        <w:t>C</w:t>
      </w:r>
      <w:r>
        <w:rPr>
          <w:rFonts w:cstheme="minorHAnsi"/>
          <w:bCs/>
        </w:rPr>
        <w:t>ard ini</w:t>
      </w:r>
      <w:r w:rsidR="00C76DFD">
        <w:rPr>
          <w:rFonts w:cstheme="minorHAnsi"/>
          <w:bCs/>
        </w:rPr>
        <w:t>t</w:t>
      </w:r>
      <w:r>
        <w:rPr>
          <w:rFonts w:cstheme="minorHAnsi"/>
          <w:bCs/>
        </w:rPr>
        <w:t>iatives; regional support and size loadings; cross subsidisation</w:t>
      </w:r>
      <w:r w:rsidR="005D136A">
        <w:rPr>
          <w:rFonts w:cstheme="minorHAnsi"/>
          <w:bCs/>
        </w:rPr>
        <w:t xml:space="preserve"> and co-responsibility arrangements; support for students with disability; psychology support services; </w:t>
      </w:r>
      <w:r w:rsidR="00C76DFD">
        <w:rPr>
          <w:rFonts w:cstheme="minorHAnsi"/>
          <w:bCs/>
        </w:rPr>
        <w:t>loadings and additional support for Kimberley and remote schools; loadings for schools with higher Aboriginal and CALD cohorts etc.</w:t>
      </w:r>
      <w:r w:rsidR="0097669E">
        <w:rPr>
          <w:rFonts w:cstheme="minorHAnsi"/>
          <w:bCs/>
        </w:rPr>
        <w:t xml:space="preserve"> As part of the CAF allocative processes and development of projects, existing central support is a consideration </w:t>
      </w:r>
      <w:r w:rsidR="00B67B27">
        <w:rPr>
          <w:rFonts w:cstheme="minorHAnsi"/>
          <w:bCs/>
        </w:rPr>
        <w:t>to</w:t>
      </w:r>
      <w:r w:rsidR="0097669E">
        <w:rPr>
          <w:rFonts w:cstheme="minorHAnsi"/>
          <w:bCs/>
        </w:rPr>
        <w:t xml:space="preserve"> maintain equity and sustainability. Schools accept this.</w:t>
      </w:r>
    </w:p>
    <w:p w14:paraId="3E11D442" w14:textId="4D08B42E" w:rsidR="00A55909" w:rsidRDefault="00A55909" w:rsidP="005D7043">
      <w:pPr>
        <w:spacing w:line="240" w:lineRule="auto"/>
        <w:jc w:val="both"/>
        <w:rPr>
          <w:rFonts w:cstheme="minorHAnsi"/>
          <w:bCs/>
        </w:rPr>
      </w:pPr>
    </w:p>
    <w:p w14:paraId="61F51822" w14:textId="6ED403B0" w:rsidR="00A55909" w:rsidRDefault="00A55909" w:rsidP="005D7043">
      <w:pPr>
        <w:spacing w:line="240" w:lineRule="auto"/>
        <w:jc w:val="both"/>
        <w:rPr>
          <w:rFonts w:cstheme="minorHAnsi"/>
          <w:bCs/>
        </w:rPr>
      </w:pPr>
      <w:r>
        <w:rPr>
          <w:rFonts w:cstheme="minorHAnsi"/>
          <w:bCs/>
        </w:rPr>
        <w:t xml:space="preserve">CEWA, as part of its governance </w:t>
      </w:r>
      <w:r w:rsidR="00B67B27">
        <w:rPr>
          <w:rFonts w:cstheme="minorHAnsi"/>
          <w:bCs/>
        </w:rPr>
        <w:t>structure, has</w:t>
      </w:r>
      <w:r>
        <w:rPr>
          <w:rFonts w:cstheme="minorHAnsi"/>
          <w:bCs/>
        </w:rPr>
        <w:t xml:space="preserve"> a number of standing committees</w:t>
      </w:r>
      <w:r w:rsidR="0097669E">
        <w:rPr>
          <w:rFonts w:cstheme="minorHAnsi"/>
          <w:bCs/>
        </w:rPr>
        <w:t xml:space="preserve"> across areas such as finance, audit and risk, curriculum, Aboriginal </w:t>
      </w:r>
      <w:r w:rsidR="005D7043">
        <w:rPr>
          <w:rFonts w:cstheme="minorHAnsi"/>
          <w:bCs/>
        </w:rPr>
        <w:t>education,</w:t>
      </w:r>
      <w:r w:rsidR="0097669E">
        <w:rPr>
          <w:rFonts w:cstheme="minorHAnsi"/>
          <w:bCs/>
        </w:rPr>
        <w:t xml:space="preserve"> and community with school and parental representation. While matters relating directly to CAF projects are not necessarily considered by</w:t>
      </w:r>
      <w:r w:rsidR="00E5075A">
        <w:rPr>
          <w:rFonts w:cstheme="minorHAnsi"/>
          <w:bCs/>
        </w:rPr>
        <w:t xml:space="preserve">’ </w:t>
      </w:r>
      <w:r w:rsidR="0097669E">
        <w:rPr>
          <w:rFonts w:cstheme="minorHAnsi"/>
          <w:bCs/>
        </w:rPr>
        <w:t xml:space="preserve">these standing committees, policy and strategic directions are developed and agreed to; these influence CAF project development </w:t>
      </w:r>
      <w:r w:rsidR="00B73B1A">
        <w:rPr>
          <w:rFonts w:cstheme="minorHAnsi"/>
          <w:bCs/>
        </w:rPr>
        <w:t>a</w:t>
      </w:r>
      <w:r w:rsidR="0097669E">
        <w:rPr>
          <w:rFonts w:cstheme="minorHAnsi"/>
          <w:bCs/>
        </w:rPr>
        <w:t>nd allocations.</w:t>
      </w:r>
    </w:p>
    <w:p w14:paraId="5A10FE33" w14:textId="58F4C351" w:rsidR="0097669E" w:rsidRDefault="0097669E" w:rsidP="005D7043">
      <w:pPr>
        <w:spacing w:line="240" w:lineRule="auto"/>
        <w:jc w:val="both"/>
        <w:rPr>
          <w:rFonts w:cstheme="minorHAnsi"/>
          <w:bCs/>
        </w:rPr>
      </w:pPr>
    </w:p>
    <w:p w14:paraId="40F5DDA2" w14:textId="1FB2BE25" w:rsidR="0097669E" w:rsidRDefault="0097669E" w:rsidP="005D7043">
      <w:pPr>
        <w:spacing w:line="240" w:lineRule="auto"/>
        <w:jc w:val="both"/>
        <w:rPr>
          <w:rFonts w:cstheme="minorHAnsi"/>
          <w:bCs/>
        </w:rPr>
      </w:pPr>
      <w:r>
        <w:rPr>
          <w:rFonts w:cstheme="minorHAnsi"/>
          <w:bCs/>
        </w:rPr>
        <w:t xml:space="preserve">An example of school representation in action is the ongoing work with schools regarding emerging patterns of impact regarding the DMI funding model. This workplan demonstrates a substantial allocation of direct funding support in 2024, and a </w:t>
      </w:r>
      <w:r w:rsidR="004F6ED8">
        <w:rPr>
          <w:rFonts w:cstheme="minorHAnsi"/>
          <w:bCs/>
        </w:rPr>
        <w:t>large proportion of annual funding thereafter. The work plan also indicates the reduction in funding or termination of some projects</w:t>
      </w:r>
      <w:r w:rsidR="00B73B1A">
        <w:rPr>
          <w:rFonts w:cstheme="minorHAnsi"/>
          <w:bCs/>
        </w:rPr>
        <w:t xml:space="preserve"> that were previously offered in 2020/21</w:t>
      </w:r>
      <w:r w:rsidR="004F6ED8">
        <w:rPr>
          <w:rFonts w:cstheme="minorHAnsi"/>
          <w:bCs/>
        </w:rPr>
        <w:t xml:space="preserve"> to reflect schools’ needs </w:t>
      </w:r>
      <w:r w:rsidR="004C2300">
        <w:rPr>
          <w:rFonts w:cstheme="minorHAnsi"/>
          <w:bCs/>
        </w:rPr>
        <w:t>and the redirection of funds to higher need areas.</w:t>
      </w:r>
    </w:p>
    <w:p w14:paraId="4E20980B" w14:textId="5969714A" w:rsidR="004C2300" w:rsidRDefault="004C2300" w:rsidP="005D7043">
      <w:pPr>
        <w:spacing w:line="240" w:lineRule="auto"/>
        <w:jc w:val="both"/>
        <w:rPr>
          <w:rFonts w:cstheme="minorHAnsi"/>
          <w:bCs/>
        </w:rPr>
      </w:pPr>
      <w:r>
        <w:rPr>
          <w:rFonts w:cstheme="minorHAnsi"/>
          <w:bCs/>
        </w:rPr>
        <w:t>Examples of good practice in schools is shared amongst schools through principal and deputy principal networks primary and secondary, central consultants, SIAs and ROs.</w:t>
      </w:r>
      <w:r w:rsidR="0086513A">
        <w:rPr>
          <w:rFonts w:cstheme="minorHAnsi"/>
          <w:bCs/>
        </w:rPr>
        <w:t xml:space="preserve"> This includes centrally organised showcases, professional learning; school networks and discussions when consultants visit schools.</w:t>
      </w:r>
    </w:p>
    <w:p w14:paraId="310EA8F4" w14:textId="1A745F27" w:rsidR="004C2300" w:rsidRDefault="004C2300" w:rsidP="005D7043">
      <w:pPr>
        <w:spacing w:line="240" w:lineRule="auto"/>
        <w:jc w:val="both"/>
        <w:rPr>
          <w:rFonts w:cstheme="minorHAnsi"/>
          <w:bCs/>
        </w:rPr>
      </w:pPr>
    </w:p>
    <w:p w14:paraId="44509513" w14:textId="2CE266F2" w:rsidR="00D51625" w:rsidRPr="007704CC" w:rsidRDefault="004C2300" w:rsidP="005D7043">
      <w:pPr>
        <w:spacing w:line="240" w:lineRule="auto"/>
        <w:jc w:val="both"/>
        <w:rPr>
          <w:rFonts w:ascii="Calibri" w:eastAsia="Calibri" w:hAnsi="Calibri" w:cs="Calibri"/>
          <w:color w:val="FF0000"/>
          <w:szCs w:val="20"/>
          <w:lang w:eastAsia="en-US"/>
        </w:rPr>
      </w:pPr>
      <w:r>
        <w:rPr>
          <w:rFonts w:cstheme="minorHAnsi"/>
          <w:bCs/>
        </w:rPr>
        <w:t>While there is limited liaison across education systems, many of CEWA’s projects and priorities are reflected in the current Bilateral Agreement</w:t>
      </w:r>
      <w:r w:rsidR="0086513A">
        <w:rPr>
          <w:rFonts w:cstheme="minorHAnsi"/>
          <w:bCs/>
        </w:rPr>
        <w:t xml:space="preserve"> and also address key national stakeholder priorities in ‘Closing</w:t>
      </w:r>
      <w:r w:rsidR="005929BD">
        <w:rPr>
          <w:rFonts w:cstheme="minorHAnsi"/>
          <w:bCs/>
        </w:rPr>
        <w:t xml:space="preserve"> </w:t>
      </w:r>
      <w:r w:rsidR="0086513A">
        <w:rPr>
          <w:rFonts w:cstheme="minorHAnsi"/>
          <w:bCs/>
        </w:rPr>
        <w:t>the Gap’; Alice Springs Declaration; and Ministers’ Meeting agen</w:t>
      </w:r>
      <w:r w:rsidR="005929BD">
        <w:rPr>
          <w:rFonts w:cstheme="minorHAnsi"/>
          <w:bCs/>
        </w:rPr>
        <w:t>d</w:t>
      </w:r>
      <w:r w:rsidR="0086513A">
        <w:rPr>
          <w:rFonts w:cstheme="minorHAnsi"/>
          <w:bCs/>
        </w:rPr>
        <w:t>a</w:t>
      </w:r>
      <w:r w:rsidR="005929BD">
        <w:rPr>
          <w:rFonts w:cstheme="minorHAnsi"/>
          <w:bCs/>
        </w:rPr>
        <w:t>/action</w:t>
      </w:r>
      <w:r w:rsidR="0086513A">
        <w:rPr>
          <w:rFonts w:cstheme="minorHAnsi"/>
          <w:bCs/>
        </w:rPr>
        <w:t xml:space="preserve"> items</w:t>
      </w:r>
      <w:r w:rsidR="00D51625">
        <w:rPr>
          <w:rFonts w:cstheme="minorHAnsi"/>
          <w:bCs/>
        </w:rPr>
        <w:t>.</w:t>
      </w:r>
    </w:p>
    <w:tbl>
      <w:tblPr>
        <w:tblStyle w:val="TableGrid"/>
        <w:tblW w:w="5000" w:type="pct"/>
        <w:tblInd w:w="0" w:type="dxa"/>
        <w:tblLook w:val="04A0" w:firstRow="1" w:lastRow="0" w:firstColumn="1" w:lastColumn="0" w:noHBand="0" w:noVBand="1"/>
      </w:tblPr>
      <w:tblGrid>
        <w:gridCol w:w="5228"/>
        <w:gridCol w:w="5228"/>
      </w:tblGrid>
      <w:tr w:rsidR="0038025B" w:rsidRPr="00F85F4F" w14:paraId="7A63759F" w14:textId="77777777" w:rsidTr="00914DEB">
        <w:trPr>
          <w:trHeight w:val="397"/>
          <w:tblHeader/>
        </w:trPr>
        <w:tc>
          <w:tcPr>
            <w:tcW w:w="2500" w:type="pct"/>
            <w:tcBorders>
              <w:top w:val="single" w:sz="4" w:space="0" w:color="auto"/>
              <w:bottom w:val="single" w:sz="4" w:space="0" w:color="auto"/>
              <w:right w:val="nil"/>
            </w:tcBorders>
            <w:shd w:val="clear" w:color="auto" w:fill="B4C6E7" w:themeFill="accent1" w:themeFillTint="66"/>
          </w:tcPr>
          <w:p w14:paraId="74C58EC4" w14:textId="03C922C8" w:rsidR="0038025B" w:rsidRPr="00D3526E" w:rsidRDefault="00885B4D" w:rsidP="00D252A8">
            <w:pPr>
              <w:rPr>
                <w:rFonts w:asciiTheme="minorHAnsi" w:hAnsiTheme="minorHAnsi" w:cstheme="minorHAnsi"/>
                <w:b/>
              </w:rPr>
            </w:pPr>
            <w:r>
              <w:rPr>
                <w:rFonts w:asciiTheme="minorHAnsi" w:hAnsiTheme="minorHAnsi" w:cstheme="minorHAnsi"/>
                <w:b/>
              </w:rPr>
              <w:lastRenderedPageBreak/>
              <w:t>Stakeholder &amp; Interest/Impact</w:t>
            </w:r>
          </w:p>
        </w:tc>
        <w:tc>
          <w:tcPr>
            <w:tcW w:w="2500" w:type="pct"/>
            <w:tcBorders>
              <w:top w:val="single" w:sz="4" w:space="0" w:color="auto"/>
              <w:left w:val="nil"/>
              <w:bottom w:val="single" w:sz="4" w:space="0" w:color="auto"/>
            </w:tcBorders>
            <w:shd w:val="clear" w:color="auto" w:fill="B4C6E7" w:themeFill="accent1" w:themeFillTint="66"/>
          </w:tcPr>
          <w:p w14:paraId="082123B4" w14:textId="72A5663F" w:rsidR="00DE5165" w:rsidRPr="00D3526E" w:rsidRDefault="00885B4D" w:rsidP="00D252A8">
            <w:pPr>
              <w:rPr>
                <w:rFonts w:asciiTheme="minorHAnsi" w:hAnsiTheme="minorHAnsi" w:cstheme="minorHAnsi"/>
                <w:b/>
              </w:rPr>
            </w:pPr>
            <w:r>
              <w:rPr>
                <w:rFonts w:asciiTheme="minorHAnsi" w:hAnsiTheme="minorHAnsi" w:cstheme="minorHAnsi"/>
                <w:b/>
              </w:rPr>
              <w:t>Engagement Strategy</w:t>
            </w:r>
          </w:p>
        </w:tc>
      </w:tr>
      <w:tr w:rsidR="007362ED" w:rsidRPr="00F85F4F" w14:paraId="19DCC523" w14:textId="77777777" w:rsidTr="00525C60">
        <w:trPr>
          <w:trHeight w:val="397"/>
          <w:tblHeader/>
        </w:trPr>
        <w:tc>
          <w:tcPr>
            <w:tcW w:w="2500" w:type="pct"/>
            <w:tcBorders>
              <w:bottom w:val="nil"/>
              <w:right w:val="nil"/>
            </w:tcBorders>
          </w:tcPr>
          <w:p w14:paraId="02106A9A" w14:textId="293B0065" w:rsidR="007362ED" w:rsidRPr="00C14013" w:rsidRDefault="009D62D7" w:rsidP="00D252A8">
            <w:pPr>
              <w:rPr>
                <w:rFonts w:asciiTheme="minorHAnsi" w:hAnsiTheme="minorHAnsi" w:cstheme="minorHAnsi"/>
                <w:b/>
                <w:szCs w:val="20"/>
              </w:rPr>
            </w:pPr>
            <w:r w:rsidRPr="00C14013">
              <w:rPr>
                <w:color w:val="000000"/>
                <w:szCs w:val="20"/>
              </w:rPr>
              <w:t>School principals and leadership teams, typically deputy principals, business managers</w:t>
            </w:r>
          </w:p>
        </w:tc>
        <w:tc>
          <w:tcPr>
            <w:tcW w:w="2500" w:type="pct"/>
            <w:tcBorders>
              <w:left w:val="nil"/>
              <w:bottom w:val="nil"/>
            </w:tcBorders>
          </w:tcPr>
          <w:p w14:paraId="2BA6C6D5" w14:textId="62CD82E1" w:rsidR="00C14013" w:rsidRDefault="00A14F58" w:rsidP="00525C60">
            <w:pPr>
              <w:spacing w:before="0" w:after="40"/>
              <w:jc w:val="both"/>
              <w:rPr>
                <w:color w:val="000000"/>
                <w:szCs w:val="20"/>
              </w:rPr>
            </w:pPr>
            <w:r w:rsidRPr="00C14013">
              <w:rPr>
                <w:color w:val="000000"/>
                <w:szCs w:val="20"/>
              </w:rPr>
              <w:t xml:space="preserve">Projects largely reflect existing system priorities, those that are relatively common to schools and those in the CEWA Strategic Directions 2019 - 23 and Quality Catholic </w:t>
            </w:r>
            <w:r w:rsidR="00C45EA6">
              <w:rPr>
                <w:color w:val="000000"/>
                <w:szCs w:val="20"/>
              </w:rPr>
              <w:t>Education</w:t>
            </w:r>
            <w:r w:rsidRPr="00C14013">
              <w:rPr>
                <w:color w:val="000000"/>
                <w:szCs w:val="20"/>
              </w:rPr>
              <w:t xml:space="preserve">. The following processes are in place to communicate and </w:t>
            </w:r>
            <w:r w:rsidR="00525C60" w:rsidRPr="00C14013">
              <w:rPr>
                <w:color w:val="000000"/>
                <w:szCs w:val="20"/>
              </w:rPr>
              <w:t>liaise</w:t>
            </w:r>
            <w:r w:rsidR="00525C60">
              <w:rPr>
                <w:color w:val="000000"/>
                <w:szCs w:val="20"/>
              </w:rPr>
              <w:t>:</w:t>
            </w:r>
          </w:p>
          <w:p w14:paraId="3B273186" w14:textId="77777777" w:rsidR="00C14013" w:rsidRDefault="00A14F58" w:rsidP="00525C60">
            <w:pPr>
              <w:spacing w:before="0" w:after="40"/>
              <w:jc w:val="both"/>
              <w:rPr>
                <w:color w:val="000000"/>
                <w:szCs w:val="20"/>
              </w:rPr>
            </w:pPr>
            <w:r w:rsidRPr="00C14013">
              <w:rPr>
                <w:color w:val="000000"/>
                <w:szCs w:val="20"/>
              </w:rPr>
              <w:t xml:space="preserve">Two monthly meetings are held with the principal associations, primary and secondary </w:t>
            </w:r>
          </w:p>
          <w:p w14:paraId="4713495F" w14:textId="77777777" w:rsidR="00C14013" w:rsidRDefault="00A14F58" w:rsidP="00525C60">
            <w:pPr>
              <w:spacing w:before="0" w:after="40"/>
              <w:jc w:val="both"/>
              <w:rPr>
                <w:color w:val="000000"/>
                <w:szCs w:val="20"/>
              </w:rPr>
            </w:pPr>
            <w:r w:rsidRPr="00C14013">
              <w:rPr>
                <w:color w:val="000000"/>
                <w:szCs w:val="20"/>
              </w:rPr>
              <w:t xml:space="preserve">CEWA staff attend and present at leadership associations professional learning days </w:t>
            </w:r>
          </w:p>
          <w:p w14:paraId="7AAEE3D5" w14:textId="77777777" w:rsidR="00C14013" w:rsidRDefault="00A14F58" w:rsidP="00525C60">
            <w:pPr>
              <w:spacing w:before="0" w:after="40"/>
              <w:jc w:val="both"/>
              <w:rPr>
                <w:color w:val="000000"/>
                <w:szCs w:val="20"/>
              </w:rPr>
            </w:pPr>
            <w:r w:rsidRPr="00C14013">
              <w:rPr>
                <w:color w:val="000000"/>
                <w:szCs w:val="20"/>
              </w:rPr>
              <w:t xml:space="preserve">Principal associations propose ideas to CEWA Executive </w:t>
            </w:r>
          </w:p>
          <w:p w14:paraId="602BA818" w14:textId="77777777" w:rsidR="00C12EB9" w:rsidRDefault="00A14F58" w:rsidP="00525C60">
            <w:pPr>
              <w:spacing w:before="0" w:after="40"/>
              <w:jc w:val="both"/>
              <w:rPr>
                <w:color w:val="000000"/>
                <w:szCs w:val="20"/>
              </w:rPr>
            </w:pPr>
            <w:r w:rsidRPr="00C14013">
              <w:rPr>
                <w:color w:val="000000"/>
                <w:szCs w:val="20"/>
              </w:rPr>
              <w:t xml:space="preserve">CEWA Strategic Directions and the Quality Catholic Education school improvement framework went through an intensive consultation process ensuring that system priorities are universally agreed – school leadership teams and teachers </w:t>
            </w:r>
          </w:p>
          <w:p w14:paraId="777324D1" w14:textId="77777777" w:rsidR="00C12EB9" w:rsidRDefault="00A14F58" w:rsidP="00525C60">
            <w:pPr>
              <w:spacing w:before="0" w:after="40"/>
              <w:jc w:val="both"/>
              <w:rPr>
                <w:color w:val="000000"/>
                <w:szCs w:val="20"/>
              </w:rPr>
            </w:pPr>
            <w:r w:rsidRPr="00C14013">
              <w:rPr>
                <w:color w:val="000000"/>
                <w:szCs w:val="20"/>
              </w:rPr>
              <w:t xml:space="preserve">Two leadership forums are held each year involving about 500 participants each; strategic plans and system priorities are discussed </w:t>
            </w:r>
          </w:p>
          <w:p w14:paraId="319B5C78" w14:textId="445D6F71" w:rsidR="00C12EB9" w:rsidRDefault="00A14F58" w:rsidP="00525C60">
            <w:pPr>
              <w:spacing w:before="0" w:after="40"/>
              <w:jc w:val="both"/>
              <w:rPr>
                <w:color w:val="000000"/>
                <w:szCs w:val="20"/>
              </w:rPr>
            </w:pPr>
            <w:r w:rsidRPr="00C14013">
              <w:rPr>
                <w:color w:val="000000"/>
                <w:szCs w:val="20"/>
              </w:rPr>
              <w:t xml:space="preserve">CEWA Consultants deliver PL in schools, often at whole school </w:t>
            </w:r>
            <w:r w:rsidR="00525C60" w:rsidRPr="00C14013">
              <w:rPr>
                <w:color w:val="000000"/>
                <w:szCs w:val="20"/>
              </w:rPr>
              <w:t>activities,</w:t>
            </w:r>
            <w:r w:rsidRPr="00C14013">
              <w:rPr>
                <w:color w:val="000000"/>
                <w:szCs w:val="20"/>
              </w:rPr>
              <w:t xml:space="preserve"> shared understandings of strategic priorities </w:t>
            </w:r>
          </w:p>
          <w:p w14:paraId="50384F21" w14:textId="77777777" w:rsidR="00C12EB9" w:rsidRDefault="00A14F58" w:rsidP="00525C60">
            <w:pPr>
              <w:spacing w:before="0" w:after="40"/>
              <w:jc w:val="both"/>
              <w:rPr>
                <w:color w:val="000000"/>
                <w:szCs w:val="20"/>
              </w:rPr>
            </w:pPr>
            <w:r w:rsidRPr="00C14013">
              <w:rPr>
                <w:color w:val="000000"/>
                <w:szCs w:val="20"/>
              </w:rPr>
              <w:t xml:space="preserve">SIAs and ROs liaise regularly with school leadership teams to develop shared understandings and gather feedback </w:t>
            </w:r>
          </w:p>
          <w:p w14:paraId="14683B87" w14:textId="77777777" w:rsidR="00C12EB9" w:rsidRDefault="00A14F58" w:rsidP="00525C60">
            <w:pPr>
              <w:spacing w:before="0" w:after="40"/>
              <w:jc w:val="both"/>
              <w:rPr>
                <w:color w:val="000000"/>
                <w:szCs w:val="20"/>
              </w:rPr>
            </w:pPr>
            <w:r w:rsidRPr="00C14013">
              <w:rPr>
                <w:color w:val="000000"/>
                <w:szCs w:val="20"/>
              </w:rPr>
              <w:t xml:space="preserve">School leadership teams develop school strategic plans which align with system strategic initiatives </w:t>
            </w:r>
          </w:p>
          <w:p w14:paraId="57F02791" w14:textId="77777777" w:rsidR="00C12EB9" w:rsidRDefault="00A14F58" w:rsidP="00525C60">
            <w:pPr>
              <w:spacing w:before="0" w:after="40"/>
              <w:jc w:val="both"/>
              <w:rPr>
                <w:color w:val="000000"/>
                <w:szCs w:val="20"/>
              </w:rPr>
            </w:pPr>
            <w:r w:rsidRPr="00C14013">
              <w:rPr>
                <w:color w:val="000000"/>
                <w:szCs w:val="20"/>
              </w:rPr>
              <w:t xml:space="preserve">Where some degree of certainty about schools to be involved exists, communication with schools and planning occurs as early as possible to support budgeting and planning </w:t>
            </w:r>
          </w:p>
          <w:p w14:paraId="08E8494D" w14:textId="3C1FE367" w:rsidR="00C12EB9" w:rsidRDefault="00A14F58" w:rsidP="00525C60">
            <w:pPr>
              <w:spacing w:before="0" w:after="40"/>
              <w:jc w:val="both"/>
              <w:rPr>
                <w:color w:val="000000"/>
                <w:szCs w:val="20"/>
              </w:rPr>
            </w:pPr>
            <w:r w:rsidRPr="00C14013">
              <w:rPr>
                <w:color w:val="000000"/>
                <w:szCs w:val="20"/>
              </w:rPr>
              <w:t xml:space="preserve">Working Groups exist in relation to </w:t>
            </w:r>
            <w:proofErr w:type="gramStart"/>
            <w:r w:rsidRPr="00C14013">
              <w:rPr>
                <w:color w:val="000000"/>
                <w:szCs w:val="20"/>
              </w:rPr>
              <w:t>a number of</w:t>
            </w:r>
            <w:proofErr w:type="gramEnd"/>
            <w:r w:rsidRPr="00C14013">
              <w:rPr>
                <w:color w:val="000000"/>
                <w:szCs w:val="20"/>
              </w:rPr>
              <w:t xml:space="preserve"> projects </w:t>
            </w:r>
            <w:r w:rsidR="00525C60" w:rsidRPr="00C14013">
              <w:rPr>
                <w:color w:val="000000"/>
                <w:szCs w:val="20"/>
              </w:rPr>
              <w:t>e.g.,</w:t>
            </w:r>
            <w:r w:rsidRPr="00C14013">
              <w:rPr>
                <w:color w:val="000000"/>
                <w:szCs w:val="20"/>
              </w:rPr>
              <w:t xml:space="preserve"> </w:t>
            </w:r>
            <w:proofErr w:type="spellStart"/>
            <w:r w:rsidRPr="00C14013">
              <w:rPr>
                <w:color w:val="000000"/>
                <w:szCs w:val="20"/>
              </w:rPr>
              <w:t>ViSN</w:t>
            </w:r>
            <w:proofErr w:type="spellEnd"/>
            <w:r w:rsidRPr="00C14013">
              <w:rPr>
                <w:color w:val="000000"/>
                <w:szCs w:val="20"/>
              </w:rPr>
              <w:t xml:space="preserve">; Wellbeing Framework; school funding and these include school leadership groups, Cultural Security Project has significant school leadership representation </w:t>
            </w:r>
          </w:p>
          <w:p w14:paraId="4AD649DF" w14:textId="74B59C65" w:rsidR="00C12EB9" w:rsidRPr="00C14013" w:rsidRDefault="00A14F58" w:rsidP="00525C60">
            <w:pPr>
              <w:spacing w:before="0" w:after="40"/>
              <w:jc w:val="both"/>
              <w:rPr>
                <w:rFonts w:asciiTheme="minorHAnsi" w:hAnsiTheme="minorHAnsi" w:cstheme="minorHAnsi"/>
                <w:b/>
                <w:szCs w:val="20"/>
              </w:rPr>
            </w:pPr>
            <w:r w:rsidRPr="00C14013">
              <w:rPr>
                <w:color w:val="000000"/>
                <w:szCs w:val="20"/>
              </w:rPr>
              <w:t>In the case of CARE school support, funds were provided to explicitly reflect the request of principals In the case of Transition Assistance, planning groups will include school leadership</w:t>
            </w:r>
          </w:p>
        </w:tc>
      </w:tr>
      <w:tr w:rsidR="007362ED" w:rsidRPr="007668F8" w14:paraId="2AF9221B" w14:textId="77777777" w:rsidTr="00525C60">
        <w:trPr>
          <w:trHeight w:val="862"/>
          <w:tblHeader/>
        </w:trPr>
        <w:tc>
          <w:tcPr>
            <w:tcW w:w="2500" w:type="pct"/>
            <w:tcBorders>
              <w:top w:val="nil"/>
              <w:bottom w:val="single" w:sz="4" w:space="0" w:color="auto"/>
              <w:right w:val="nil"/>
            </w:tcBorders>
          </w:tcPr>
          <w:p w14:paraId="65E07D9D" w14:textId="5C8CDECA" w:rsidR="007362ED" w:rsidRPr="00BA2674" w:rsidRDefault="00BA2674" w:rsidP="007362ED">
            <w:pPr>
              <w:spacing w:line="240" w:lineRule="auto"/>
              <w:rPr>
                <w:rFonts w:asciiTheme="minorHAnsi" w:hAnsiTheme="minorHAnsi" w:cstheme="minorHAnsi"/>
                <w:szCs w:val="20"/>
                <w:lang w:eastAsia="ja-JP"/>
              </w:rPr>
            </w:pPr>
            <w:r w:rsidRPr="00BA2674">
              <w:rPr>
                <w:color w:val="000000"/>
                <w:szCs w:val="20"/>
              </w:rPr>
              <w:t>Families and Students</w:t>
            </w:r>
          </w:p>
        </w:tc>
        <w:tc>
          <w:tcPr>
            <w:tcW w:w="2500" w:type="pct"/>
            <w:tcBorders>
              <w:top w:val="nil"/>
              <w:left w:val="nil"/>
              <w:bottom w:val="single" w:sz="4" w:space="0" w:color="auto"/>
            </w:tcBorders>
          </w:tcPr>
          <w:p w14:paraId="5E101B6E" w14:textId="44D8A9D1" w:rsidR="007362ED" w:rsidRPr="00BA2674" w:rsidRDefault="00BA2674" w:rsidP="00525C60">
            <w:pPr>
              <w:spacing w:line="240" w:lineRule="auto"/>
              <w:jc w:val="both"/>
              <w:rPr>
                <w:rFonts w:ascii="Calibri" w:hAnsi="Calibri" w:cs="Calibri"/>
                <w:szCs w:val="20"/>
              </w:rPr>
            </w:pPr>
            <w:r w:rsidRPr="00BA2674">
              <w:rPr>
                <w:color w:val="000000"/>
                <w:szCs w:val="20"/>
              </w:rPr>
              <w:t xml:space="preserve">In those projects which are more student or family facing, the nature of the program is informed by feedback from these groups. This has involved formal and informal liaison and examples are </w:t>
            </w:r>
            <w:proofErr w:type="spellStart"/>
            <w:r w:rsidRPr="00BA2674">
              <w:rPr>
                <w:color w:val="000000"/>
                <w:szCs w:val="20"/>
              </w:rPr>
              <w:t>ViSN</w:t>
            </w:r>
            <w:proofErr w:type="spellEnd"/>
            <w:r w:rsidRPr="00BA2674">
              <w:rPr>
                <w:color w:val="000000"/>
                <w:szCs w:val="20"/>
              </w:rPr>
              <w:t>, Wellbeing Framework (including the voice of the child) AFAFE, ATA Upskilling</w:t>
            </w:r>
          </w:p>
        </w:tc>
      </w:tr>
      <w:tr w:rsidR="00BA2674" w:rsidRPr="007668F8" w14:paraId="6DF6D65F" w14:textId="77777777" w:rsidTr="00525C60">
        <w:trPr>
          <w:trHeight w:val="862"/>
          <w:tblHeader/>
        </w:trPr>
        <w:tc>
          <w:tcPr>
            <w:tcW w:w="2500" w:type="pct"/>
            <w:tcBorders>
              <w:top w:val="single" w:sz="4" w:space="0" w:color="auto"/>
              <w:right w:val="nil"/>
            </w:tcBorders>
          </w:tcPr>
          <w:p w14:paraId="00AFC4CC" w14:textId="68BBCC0B" w:rsidR="00BA2674" w:rsidRPr="00914DEB" w:rsidRDefault="00BA2674" w:rsidP="007362ED">
            <w:pPr>
              <w:spacing w:line="240" w:lineRule="auto"/>
              <w:rPr>
                <w:color w:val="000000"/>
                <w:szCs w:val="20"/>
              </w:rPr>
            </w:pPr>
            <w:r w:rsidRPr="00914DEB">
              <w:rPr>
                <w:color w:val="000000"/>
                <w:szCs w:val="20"/>
              </w:rPr>
              <w:lastRenderedPageBreak/>
              <w:t>Expert community representatives including parents; cultural groups; tertiary institutions; business people; regional representation</w:t>
            </w:r>
            <w:r w:rsidR="00914DEB" w:rsidRPr="00914DEB">
              <w:rPr>
                <w:color w:val="000000"/>
                <w:szCs w:val="20"/>
              </w:rPr>
              <w:t>.</w:t>
            </w:r>
          </w:p>
        </w:tc>
        <w:tc>
          <w:tcPr>
            <w:tcW w:w="2500" w:type="pct"/>
            <w:tcBorders>
              <w:top w:val="single" w:sz="4" w:space="0" w:color="auto"/>
              <w:left w:val="nil"/>
            </w:tcBorders>
          </w:tcPr>
          <w:p w14:paraId="721D6D4B" w14:textId="69B5D496" w:rsidR="00BA2674" w:rsidRPr="00914DEB" w:rsidRDefault="00914DEB" w:rsidP="007362ED">
            <w:pPr>
              <w:spacing w:line="240" w:lineRule="auto"/>
              <w:rPr>
                <w:color w:val="000000"/>
                <w:szCs w:val="20"/>
              </w:rPr>
            </w:pPr>
            <w:r w:rsidRPr="00914DEB">
              <w:rPr>
                <w:color w:val="000000"/>
                <w:szCs w:val="20"/>
              </w:rPr>
              <w:t>CEWA’s governance mode includes a peak group – Catholic Education Commission of WA as well Standing Committees in areas of Aboriginal education, community engagement; finance and risk; education; religious education. These consist of wide representation including outside the system and while they do not specifically address CAF projects, they are responsible for policy and strategic settings which provide the system framework for school improvement – which is the fundamental aim of CAF.</w:t>
            </w:r>
          </w:p>
        </w:tc>
      </w:tr>
      <w:bookmarkEnd w:id="7"/>
    </w:tbl>
    <w:p w14:paraId="54B63DE7" w14:textId="77777777" w:rsidR="002E495F" w:rsidRDefault="002E495F" w:rsidP="00216A6D">
      <w:pPr>
        <w:rPr>
          <w:rFonts w:asciiTheme="minorHAnsi" w:hAnsiTheme="minorHAnsi" w:cstheme="minorHAnsi"/>
          <w:sz w:val="22"/>
          <w:szCs w:val="22"/>
        </w:rPr>
      </w:pPr>
    </w:p>
    <w:p w14:paraId="3B5F57B6" w14:textId="43274606" w:rsidR="007D2695" w:rsidRDefault="007D2695" w:rsidP="00216A6D">
      <w:pPr>
        <w:rPr>
          <w:rFonts w:asciiTheme="minorHAnsi" w:hAnsiTheme="minorHAnsi" w:cstheme="minorHAnsi"/>
          <w:sz w:val="22"/>
          <w:szCs w:val="22"/>
        </w:rPr>
        <w:sectPr w:rsidR="007D2695" w:rsidSect="005C6ED7">
          <w:pgSz w:w="11906" w:h="16838"/>
          <w:pgMar w:top="720" w:right="720" w:bottom="720" w:left="720" w:header="708" w:footer="169" w:gutter="0"/>
          <w:cols w:space="708"/>
          <w:docGrid w:linePitch="360"/>
        </w:sectPr>
      </w:pPr>
    </w:p>
    <w:p w14:paraId="64EEF69F" w14:textId="6D93324C" w:rsidR="00924AB5" w:rsidRPr="00D16DE8" w:rsidRDefault="007D2695" w:rsidP="00D16DE8">
      <w:pPr>
        <w:rPr>
          <w:rFonts w:asciiTheme="minorHAnsi" w:hAnsiTheme="minorHAnsi" w:cstheme="minorHAnsi"/>
          <w:b/>
          <w:bCs/>
          <w:color w:val="000000" w:themeColor="text1"/>
          <w:szCs w:val="18"/>
          <w:u w:val="single"/>
        </w:rPr>
      </w:pPr>
      <w:r w:rsidRPr="00D16DE8">
        <w:rPr>
          <w:rFonts w:cs="Arial"/>
          <w:b/>
          <w:bCs/>
          <w:color w:val="000000" w:themeColor="text1"/>
          <w:szCs w:val="18"/>
          <w:u w:val="single"/>
        </w:rPr>
        <w:lastRenderedPageBreak/>
        <w:t>2022-25 CAF Workplan NGRB Sign Off</w:t>
      </w:r>
      <w:r w:rsidRPr="00D16DE8">
        <w:rPr>
          <w:rFonts w:cs="Arial"/>
          <w:b/>
          <w:bCs/>
          <w:color w:val="000000" w:themeColor="text1"/>
          <w:szCs w:val="18"/>
        </w:rPr>
        <w:t xml:space="preserve"> </w:t>
      </w:r>
    </w:p>
    <w:p w14:paraId="19E3109F" w14:textId="7551ECC7" w:rsidR="007D2695" w:rsidRPr="00D16DE8" w:rsidRDefault="007D2695" w:rsidP="007D2695">
      <w:pPr>
        <w:rPr>
          <w:rFonts w:ascii="Calibri" w:hAnsi="Calibri" w:cs="Calibri"/>
          <w:szCs w:val="20"/>
        </w:rPr>
      </w:pPr>
      <w:r w:rsidRPr="00D16DE8">
        <w:rPr>
          <w:rFonts w:ascii="Calibri" w:hAnsi="Calibri" w:cs="Calibri"/>
          <w:szCs w:val="20"/>
        </w:rPr>
        <w:t xml:space="preserve">This 2022-25 CAF Workplan is submitted in fulfillment of the workplan requirement in </w:t>
      </w:r>
      <w:r w:rsidR="00D00330" w:rsidRPr="00D16DE8">
        <w:rPr>
          <w:rFonts w:ascii="Calibri" w:hAnsi="Calibri" w:cs="Calibri"/>
          <w:szCs w:val="20"/>
        </w:rPr>
        <w:t xml:space="preserve">part 4 of </w:t>
      </w:r>
      <w:r w:rsidRPr="00D16DE8">
        <w:rPr>
          <w:rFonts w:ascii="Calibri" w:hAnsi="Calibri" w:cs="Calibri"/>
          <w:szCs w:val="20"/>
        </w:rPr>
        <w:t xml:space="preserve">the CAF Agreement and I understand that, once approved, the work plan forms Attachment A to the CAF Agreement.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8"/>
      </w:tblGrid>
      <w:tr w:rsidR="007D2695" w:rsidRPr="00D16DE8" w14:paraId="032C0DB2" w14:textId="77777777" w:rsidTr="00C07F61">
        <w:tc>
          <w:tcPr>
            <w:tcW w:w="3686" w:type="dxa"/>
            <w:hideMark/>
          </w:tcPr>
          <w:p w14:paraId="17E68367" w14:textId="77777777" w:rsidR="00343E3D" w:rsidRDefault="00343E3D" w:rsidP="00C07F61">
            <w:pPr>
              <w:spacing w:after="0" w:line="240" w:lineRule="auto"/>
              <w:jc w:val="right"/>
              <w:rPr>
                <w:b/>
                <w:bCs/>
                <w:szCs w:val="20"/>
              </w:rPr>
            </w:pPr>
          </w:p>
          <w:p w14:paraId="5535092D" w14:textId="1F95DA5F" w:rsidR="00343E3D" w:rsidRDefault="00343E3D" w:rsidP="00C07F61">
            <w:pPr>
              <w:spacing w:after="0" w:line="240" w:lineRule="auto"/>
              <w:jc w:val="right"/>
              <w:rPr>
                <w:b/>
                <w:bCs/>
                <w:szCs w:val="20"/>
              </w:rPr>
            </w:pPr>
            <w:r>
              <w:rPr>
                <w:b/>
                <w:bCs/>
                <w:szCs w:val="20"/>
              </w:rPr>
              <w:t>S</w:t>
            </w:r>
            <w:r w:rsidR="0078400B">
              <w:rPr>
                <w:b/>
                <w:bCs/>
                <w:szCs w:val="20"/>
              </w:rPr>
              <w:t>ignature:</w:t>
            </w:r>
          </w:p>
          <w:p w14:paraId="370174C3" w14:textId="014BD4F2" w:rsidR="007D2695" w:rsidRPr="00D16DE8" w:rsidRDefault="007D2695" w:rsidP="00C07F61">
            <w:pPr>
              <w:spacing w:after="0" w:line="240" w:lineRule="auto"/>
              <w:jc w:val="right"/>
              <w:rPr>
                <w:rFonts w:asciiTheme="minorHAnsi" w:hAnsiTheme="minorHAnsi" w:cstheme="minorBidi"/>
                <w:b/>
                <w:bCs/>
                <w:szCs w:val="20"/>
              </w:rPr>
            </w:pPr>
            <w:r w:rsidRPr="00D16DE8">
              <w:rPr>
                <w:b/>
                <w:bCs/>
                <w:szCs w:val="20"/>
              </w:rPr>
              <w:t>Name and Position of the person signing off on behalf of the NGRB:</w:t>
            </w:r>
          </w:p>
        </w:tc>
        <w:tc>
          <w:tcPr>
            <w:tcW w:w="3688" w:type="dxa"/>
            <w:vAlign w:val="bottom"/>
          </w:tcPr>
          <w:p w14:paraId="4DE91DE1" w14:textId="4A8CC7F3" w:rsidR="007D2695" w:rsidRPr="00D16DE8" w:rsidRDefault="00DE5C61" w:rsidP="00C07F61">
            <w:pPr>
              <w:spacing w:after="0" w:line="240" w:lineRule="auto"/>
              <w:rPr>
                <w:szCs w:val="20"/>
              </w:rPr>
            </w:pPr>
            <w:r>
              <w:rPr>
                <w:szCs w:val="20"/>
              </w:rPr>
              <w:t xml:space="preserve">Wayne Bull, Acting Executive Director </w:t>
            </w:r>
            <w:r w:rsidR="00D16DE8">
              <w:rPr>
                <w:szCs w:val="20"/>
              </w:rPr>
              <w:t>CEWA Ltd</w:t>
            </w:r>
          </w:p>
        </w:tc>
      </w:tr>
      <w:tr w:rsidR="007D2695" w14:paraId="01E9525C" w14:textId="77777777" w:rsidTr="00C07F61">
        <w:tc>
          <w:tcPr>
            <w:tcW w:w="3686" w:type="dxa"/>
          </w:tcPr>
          <w:p w14:paraId="4C1607AE" w14:textId="77777777" w:rsidR="007D2695" w:rsidRPr="00D16DE8" w:rsidRDefault="007D2695" w:rsidP="00C07F61">
            <w:pPr>
              <w:spacing w:after="0" w:line="240" w:lineRule="auto"/>
              <w:ind w:left="1440"/>
              <w:jc w:val="right"/>
              <w:rPr>
                <w:szCs w:val="20"/>
              </w:rPr>
            </w:pPr>
          </w:p>
          <w:p w14:paraId="043189E4" w14:textId="77777777" w:rsidR="007D2695" w:rsidRDefault="007D2695" w:rsidP="00C07F61">
            <w:pPr>
              <w:spacing w:after="0" w:line="240" w:lineRule="auto"/>
              <w:ind w:left="1440"/>
              <w:jc w:val="right"/>
              <w:rPr>
                <w:b/>
                <w:bCs/>
                <w:szCs w:val="20"/>
              </w:rPr>
            </w:pPr>
            <w:r w:rsidRPr="00D16DE8">
              <w:rPr>
                <w:b/>
                <w:bCs/>
                <w:szCs w:val="20"/>
              </w:rPr>
              <w:t>Date:</w:t>
            </w:r>
          </w:p>
        </w:tc>
        <w:tc>
          <w:tcPr>
            <w:tcW w:w="3688" w:type="dxa"/>
          </w:tcPr>
          <w:p w14:paraId="3AFD4DEC" w14:textId="77777777" w:rsidR="007D2695" w:rsidRDefault="007D2695" w:rsidP="00C07F61">
            <w:pPr>
              <w:spacing w:after="0" w:line="240" w:lineRule="auto"/>
              <w:rPr>
                <w:szCs w:val="20"/>
              </w:rPr>
            </w:pPr>
          </w:p>
          <w:p w14:paraId="7B83949D" w14:textId="1021000D" w:rsidR="00D16DE8" w:rsidRDefault="00674579" w:rsidP="00C07F61">
            <w:pPr>
              <w:spacing w:after="0" w:line="240" w:lineRule="auto"/>
              <w:rPr>
                <w:szCs w:val="20"/>
              </w:rPr>
            </w:pPr>
            <w:r>
              <w:rPr>
                <w:szCs w:val="20"/>
              </w:rPr>
              <w:t>16 February 2023</w:t>
            </w:r>
          </w:p>
        </w:tc>
      </w:tr>
    </w:tbl>
    <w:p w14:paraId="3DD75D98" w14:textId="77777777" w:rsidR="007D2695" w:rsidRDefault="007D2695" w:rsidP="00555CC4">
      <w:pPr>
        <w:spacing w:line="240" w:lineRule="auto"/>
        <w:rPr>
          <w:rFonts w:cstheme="minorHAnsi"/>
          <w:b/>
          <w:color w:val="000000" w:themeColor="text1"/>
          <w:sz w:val="22"/>
          <w:szCs w:val="28"/>
        </w:rPr>
      </w:pPr>
    </w:p>
    <w:p w14:paraId="3323020D" w14:textId="77777777" w:rsidR="007D2695" w:rsidRDefault="007D2695" w:rsidP="00555CC4">
      <w:pPr>
        <w:spacing w:line="240" w:lineRule="auto"/>
        <w:rPr>
          <w:rFonts w:cstheme="minorHAnsi"/>
          <w:b/>
          <w:color w:val="000000" w:themeColor="text1"/>
          <w:sz w:val="22"/>
          <w:szCs w:val="28"/>
        </w:rPr>
      </w:pPr>
    </w:p>
    <w:p w14:paraId="1DA760A9" w14:textId="77777777" w:rsidR="007D2695" w:rsidRDefault="007D2695" w:rsidP="00555CC4">
      <w:pPr>
        <w:spacing w:line="240" w:lineRule="auto"/>
        <w:rPr>
          <w:rFonts w:cstheme="minorHAnsi"/>
          <w:b/>
          <w:color w:val="000000" w:themeColor="text1"/>
          <w:sz w:val="22"/>
          <w:szCs w:val="28"/>
        </w:rPr>
        <w:sectPr w:rsidR="007D2695" w:rsidSect="00395087">
          <w:pgSz w:w="11906" w:h="16838"/>
          <w:pgMar w:top="720" w:right="720" w:bottom="720" w:left="720" w:header="709" w:footer="170" w:gutter="0"/>
          <w:cols w:space="708"/>
          <w:docGrid w:linePitch="360"/>
        </w:sectPr>
      </w:pPr>
    </w:p>
    <w:p w14:paraId="0A6E2D3C" w14:textId="61127F38" w:rsidR="00321099" w:rsidRPr="002E5596" w:rsidRDefault="00321099" w:rsidP="00555CC4">
      <w:pPr>
        <w:spacing w:line="240" w:lineRule="auto"/>
        <w:rPr>
          <w:rFonts w:cstheme="minorHAnsi"/>
          <w:b/>
          <w:color w:val="000000" w:themeColor="text1"/>
          <w:sz w:val="22"/>
          <w:szCs w:val="28"/>
        </w:rPr>
      </w:pPr>
      <w:r w:rsidRPr="002E5596">
        <w:rPr>
          <w:rFonts w:cstheme="minorHAnsi"/>
          <w:b/>
          <w:color w:val="000000" w:themeColor="text1"/>
          <w:sz w:val="22"/>
          <w:szCs w:val="28"/>
        </w:rPr>
        <w:lastRenderedPageBreak/>
        <w:t xml:space="preserve">Schedule 1 – Indicative </w:t>
      </w:r>
      <w:r w:rsidR="00F210E6">
        <w:rPr>
          <w:rFonts w:cstheme="minorHAnsi"/>
          <w:b/>
          <w:color w:val="000000" w:themeColor="text1"/>
          <w:sz w:val="22"/>
          <w:szCs w:val="28"/>
        </w:rPr>
        <w:t xml:space="preserve">school-level distributions </w:t>
      </w:r>
      <w:r w:rsidR="0094555B">
        <w:rPr>
          <w:rFonts w:cstheme="minorHAnsi"/>
          <w:b/>
          <w:color w:val="000000" w:themeColor="text1"/>
          <w:sz w:val="22"/>
          <w:szCs w:val="28"/>
        </w:rPr>
        <w:t>2022–2025</w:t>
      </w:r>
    </w:p>
    <w:p w14:paraId="33D923C5" w14:textId="3A43BF9C" w:rsidR="00A64432" w:rsidRDefault="00321099" w:rsidP="00321099">
      <w:pPr>
        <w:rPr>
          <w:rFonts w:asciiTheme="minorHAnsi" w:hAnsiTheme="minorHAnsi" w:cstheme="minorHAnsi"/>
          <w:b/>
          <w:bCs/>
          <w:sz w:val="22"/>
          <w:szCs w:val="22"/>
        </w:rPr>
      </w:pPr>
      <w:r w:rsidRPr="00953910">
        <w:rPr>
          <w:rFonts w:asciiTheme="minorHAnsi" w:hAnsiTheme="minorHAnsi" w:cstheme="minorHAnsi"/>
          <w:b/>
          <w:bCs/>
          <w:sz w:val="22"/>
          <w:szCs w:val="22"/>
        </w:rPr>
        <w:t>Priority A – Choice and Affordability</w:t>
      </w:r>
    </w:p>
    <w:tbl>
      <w:tblPr>
        <w:tblStyle w:val="TableGrid"/>
        <w:tblW w:w="4954" w:type="pct"/>
        <w:tblInd w:w="0" w:type="dxa"/>
        <w:tblBorders>
          <w:insideV w:val="none" w:sz="0" w:space="0" w:color="auto"/>
        </w:tblBorders>
        <w:tblLayout w:type="fixed"/>
        <w:tblLook w:val="04A0" w:firstRow="1" w:lastRow="0" w:firstColumn="1" w:lastColumn="0" w:noHBand="0" w:noVBand="1"/>
      </w:tblPr>
      <w:tblGrid>
        <w:gridCol w:w="807"/>
        <w:gridCol w:w="4337"/>
        <w:gridCol w:w="1305"/>
        <w:gridCol w:w="1305"/>
        <w:gridCol w:w="1303"/>
        <w:gridCol w:w="1303"/>
      </w:tblGrid>
      <w:tr w:rsidR="00701ED8" w:rsidRPr="00A64432" w14:paraId="53DA5F47" w14:textId="77777777" w:rsidTr="00B54B8D">
        <w:trPr>
          <w:trHeight w:val="153"/>
        </w:trPr>
        <w:tc>
          <w:tcPr>
            <w:tcW w:w="389" w:type="pct"/>
            <w:shd w:val="clear" w:color="auto" w:fill="B4C6E7" w:themeFill="accent1" w:themeFillTint="66"/>
            <w:vAlign w:val="center"/>
          </w:tcPr>
          <w:p w14:paraId="57AB59D1" w14:textId="12BB10EC" w:rsidR="00A64432" w:rsidRPr="00A64432" w:rsidRDefault="00A64432" w:rsidP="00C67F01">
            <w:pPr>
              <w:spacing w:line="240" w:lineRule="auto"/>
              <w:rPr>
                <w:rFonts w:asciiTheme="minorHAnsi" w:hAnsiTheme="minorHAnsi" w:cstheme="minorHAnsi"/>
                <w:b/>
                <w:bCs/>
                <w:sz w:val="18"/>
                <w:szCs w:val="18"/>
              </w:rPr>
            </w:pPr>
            <w:r w:rsidRPr="00A64432">
              <w:rPr>
                <w:rFonts w:asciiTheme="minorHAnsi" w:hAnsiTheme="minorHAnsi" w:cstheme="minorHAnsi"/>
                <w:b/>
                <w:bCs/>
                <w:sz w:val="18"/>
                <w:szCs w:val="18"/>
              </w:rPr>
              <w:t>AGEID</w:t>
            </w:r>
          </w:p>
        </w:tc>
        <w:tc>
          <w:tcPr>
            <w:tcW w:w="2093" w:type="pct"/>
            <w:shd w:val="clear" w:color="auto" w:fill="B4C6E7" w:themeFill="accent1" w:themeFillTint="66"/>
            <w:vAlign w:val="center"/>
          </w:tcPr>
          <w:p w14:paraId="63A19CF0" w14:textId="77777777" w:rsidR="00A64432" w:rsidRPr="00A64432" w:rsidRDefault="00A64432" w:rsidP="00C07F61">
            <w:pPr>
              <w:spacing w:line="240" w:lineRule="auto"/>
              <w:rPr>
                <w:rFonts w:asciiTheme="minorHAnsi" w:hAnsiTheme="minorHAnsi" w:cstheme="minorHAnsi"/>
                <w:b/>
                <w:bCs/>
                <w:sz w:val="18"/>
                <w:szCs w:val="18"/>
              </w:rPr>
            </w:pPr>
            <w:r w:rsidRPr="00A64432">
              <w:rPr>
                <w:rFonts w:asciiTheme="minorHAnsi" w:hAnsiTheme="minorHAnsi" w:cstheme="minorHAnsi"/>
                <w:b/>
                <w:bCs/>
                <w:sz w:val="18"/>
                <w:szCs w:val="18"/>
              </w:rPr>
              <w:t>School Name</w:t>
            </w:r>
          </w:p>
        </w:tc>
        <w:tc>
          <w:tcPr>
            <w:tcW w:w="630" w:type="pct"/>
            <w:shd w:val="clear" w:color="auto" w:fill="B4C6E7" w:themeFill="accent1" w:themeFillTint="66"/>
          </w:tcPr>
          <w:p w14:paraId="4A0E8040" w14:textId="77777777" w:rsidR="00A64432" w:rsidRPr="00A64432" w:rsidRDefault="00A64432" w:rsidP="00B54B8D">
            <w:pPr>
              <w:jc w:val="center"/>
              <w:rPr>
                <w:rFonts w:asciiTheme="minorHAnsi" w:hAnsiTheme="minorHAnsi" w:cstheme="minorHAnsi"/>
                <w:b/>
                <w:bCs/>
                <w:sz w:val="18"/>
                <w:szCs w:val="18"/>
              </w:rPr>
            </w:pPr>
            <w:r w:rsidRPr="00A64432">
              <w:rPr>
                <w:rFonts w:asciiTheme="minorHAnsi" w:hAnsiTheme="minorHAnsi" w:cstheme="minorHAnsi"/>
                <w:b/>
                <w:bCs/>
                <w:sz w:val="18"/>
                <w:szCs w:val="18"/>
              </w:rPr>
              <w:t>2022</w:t>
            </w:r>
          </w:p>
        </w:tc>
        <w:tc>
          <w:tcPr>
            <w:tcW w:w="630" w:type="pct"/>
            <w:shd w:val="clear" w:color="auto" w:fill="B4C6E7" w:themeFill="accent1" w:themeFillTint="66"/>
            <w:vAlign w:val="center"/>
          </w:tcPr>
          <w:p w14:paraId="295AE1A8" w14:textId="77777777" w:rsidR="00A64432" w:rsidRPr="00A64432" w:rsidRDefault="00A64432" w:rsidP="00B54B8D">
            <w:pPr>
              <w:jc w:val="center"/>
              <w:rPr>
                <w:rFonts w:asciiTheme="minorHAnsi" w:hAnsiTheme="minorHAnsi" w:cstheme="minorHAnsi"/>
                <w:b/>
                <w:bCs/>
                <w:sz w:val="18"/>
                <w:szCs w:val="18"/>
              </w:rPr>
            </w:pPr>
            <w:r w:rsidRPr="00A64432">
              <w:rPr>
                <w:rFonts w:asciiTheme="minorHAnsi" w:hAnsiTheme="minorHAnsi" w:cstheme="minorHAnsi"/>
                <w:b/>
                <w:bCs/>
                <w:sz w:val="18"/>
                <w:szCs w:val="18"/>
              </w:rPr>
              <w:t>2023</w:t>
            </w:r>
          </w:p>
        </w:tc>
        <w:tc>
          <w:tcPr>
            <w:tcW w:w="629" w:type="pct"/>
            <w:shd w:val="clear" w:color="auto" w:fill="B4C6E7" w:themeFill="accent1" w:themeFillTint="66"/>
          </w:tcPr>
          <w:p w14:paraId="1E8FABAC" w14:textId="77777777" w:rsidR="00A64432" w:rsidRPr="00A64432" w:rsidRDefault="00A64432" w:rsidP="00B54B8D">
            <w:pPr>
              <w:jc w:val="center"/>
              <w:rPr>
                <w:rFonts w:asciiTheme="minorHAnsi" w:hAnsiTheme="minorHAnsi" w:cstheme="minorHAnsi"/>
                <w:b/>
                <w:bCs/>
                <w:sz w:val="18"/>
                <w:szCs w:val="18"/>
              </w:rPr>
            </w:pPr>
            <w:r w:rsidRPr="00A64432">
              <w:rPr>
                <w:rFonts w:asciiTheme="minorHAnsi" w:hAnsiTheme="minorHAnsi" w:cstheme="minorHAnsi"/>
                <w:b/>
                <w:bCs/>
                <w:sz w:val="18"/>
                <w:szCs w:val="18"/>
              </w:rPr>
              <w:t>2024</w:t>
            </w:r>
          </w:p>
        </w:tc>
        <w:tc>
          <w:tcPr>
            <w:tcW w:w="629" w:type="pct"/>
            <w:shd w:val="clear" w:color="auto" w:fill="B4C6E7" w:themeFill="accent1" w:themeFillTint="66"/>
            <w:vAlign w:val="center"/>
          </w:tcPr>
          <w:p w14:paraId="08B99D76" w14:textId="77777777" w:rsidR="00A64432" w:rsidRPr="00A64432" w:rsidRDefault="00A64432" w:rsidP="00B54B8D">
            <w:pPr>
              <w:jc w:val="center"/>
              <w:rPr>
                <w:rFonts w:asciiTheme="minorHAnsi" w:hAnsiTheme="minorHAnsi" w:cstheme="minorHAnsi"/>
                <w:b/>
                <w:bCs/>
                <w:sz w:val="18"/>
                <w:szCs w:val="18"/>
              </w:rPr>
            </w:pPr>
            <w:r w:rsidRPr="00A64432">
              <w:rPr>
                <w:rFonts w:asciiTheme="minorHAnsi" w:hAnsiTheme="minorHAnsi" w:cstheme="minorHAnsi"/>
                <w:b/>
                <w:bCs/>
                <w:sz w:val="18"/>
                <w:szCs w:val="18"/>
              </w:rPr>
              <w:t>2025</w:t>
            </w:r>
          </w:p>
        </w:tc>
      </w:tr>
      <w:tr w:rsidR="00701ED8" w:rsidRPr="00A64432" w14:paraId="03548ABC" w14:textId="77777777" w:rsidTr="00B54B8D">
        <w:trPr>
          <w:trHeight w:val="236"/>
        </w:trPr>
        <w:tc>
          <w:tcPr>
            <w:tcW w:w="389" w:type="pct"/>
            <w:vAlign w:val="center"/>
          </w:tcPr>
          <w:p w14:paraId="69EB9006" w14:textId="565C95CC" w:rsidR="00BA07FB"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100</w:t>
            </w:r>
          </w:p>
        </w:tc>
        <w:tc>
          <w:tcPr>
            <w:tcW w:w="2093" w:type="pct"/>
          </w:tcPr>
          <w:p w14:paraId="0D011890" w14:textId="46B4B9B6" w:rsidR="00BA07FB" w:rsidRDefault="00BA07FB" w:rsidP="00BA07FB">
            <w:pPr>
              <w:spacing w:before="0" w:after="0" w:line="240" w:lineRule="auto"/>
              <w:rPr>
                <w:rFonts w:asciiTheme="minorHAnsi" w:hAnsiTheme="minorHAnsi" w:cstheme="minorHAnsi"/>
                <w:szCs w:val="20"/>
              </w:rPr>
            </w:pPr>
            <w:r>
              <w:rPr>
                <w:rFonts w:asciiTheme="minorHAnsi" w:hAnsiTheme="minorHAnsi" w:cstheme="minorHAnsi"/>
                <w:szCs w:val="20"/>
              </w:rPr>
              <w:t>Majella Primary School BALGA</w:t>
            </w:r>
          </w:p>
        </w:tc>
        <w:tc>
          <w:tcPr>
            <w:tcW w:w="630" w:type="pct"/>
            <w:vAlign w:val="center"/>
          </w:tcPr>
          <w:p w14:paraId="7E1812BE" w14:textId="1CC5CAA7"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$131,905</w:t>
            </w:r>
          </w:p>
        </w:tc>
        <w:tc>
          <w:tcPr>
            <w:tcW w:w="630" w:type="pct"/>
            <w:vAlign w:val="center"/>
          </w:tcPr>
          <w:p w14:paraId="7C93F955" w14:textId="6AFC3145"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29" w:type="pct"/>
            <w:vAlign w:val="center"/>
          </w:tcPr>
          <w:p w14:paraId="53D12AE3" w14:textId="67FB24A4"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29" w:type="pct"/>
            <w:vAlign w:val="center"/>
          </w:tcPr>
          <w:p w14:paraId="1A672DCB" w14:textId="28B99C18"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r>
      <w:tr w:rsidR="00701ED8" w:rsidRPr="00A64432" w14:paraId="7B440AED" w14:textId="77777777" w:rsidTr="00B54B8D">
        <w:trPr>
          <w:trHeight w:val="143"/>
        </w:trPr>
        <w:tc>
          <w:tcPr>
            <w:tcW w:w="389" w:type="pct"/>
            <w:vAlign w:val="center"/>
          </w:tcPr>
          <w:p w14:paraId="22143E6F" w14:textId="7BD2E0EE" w:rsidR="00BA07FB" w:rsidRPr="003C3B97" w:rsidRDefault="00BA07FB" w:rsidP="00190923">
            <w:pPr>
              <w:spacing w:before="0" w:after="0" w:line="240" w:lineRule="auto"/>
              <w:rPr>
                <w:rFonts w:ascii="Calibri" w:hAnsi="Calibri" w:cs="Calibri"/>
                <w:color w:val="000000"/>
                <w:szCs w:val="20"/>
              </w:rPr>
            </w:pPr>
            <w:r>
              <w:rPr>
                <w:rFonts w:ascii="Calibri" w:hAnsi="Calibri" w:cs="Calibri"/>
                <w:color w:val="000000"/>
                <w:szCs w:val="20"/>
              </w:rPr>
              <w:t>193</w:t>
            </w:r>
          </w:p>
        </w:tc>
        <w:tc>
          <w:tcPr>
            <w:tcW w:w="2093" w:type="pct"/>
          </w:tcPr>
          <w:p w14:paraId="7DABE251" w14:textId="15D10434" w:rsidR="00BA07FB" w:rsidRPr="000F4117" w:rsidRDefault="00BA07FB" w:rsidP="00BA07FB">
            <w:pPr>
              <w:spacing w:before="0" w:after="0" w:line="240" w:lineRule="auto"/>
              <w:rPr>
                <w:rFonts w:asciiTheme="minorHAnsi" w:hAnsiTheme="minorHAnsi" w:cstheme="minorHAnsi"/>
                <w:szCs w:val="20"/>
              </w:rPr>
            </w:pPr>
            <w:r>
              <w:rPr>
                <w:rFonts w:asciiTheme="minorHAnsi" w:hAnsiTheme="minorHAnsi" w:cstheme="minorHAnsi"/>
                <w:szCs w:val="20"/>
              </w:rPr>
              <w:t>St Joseph’s School WAROONA</w:t>
            </w:r>
          </w:p>
        </w:tc>
        <w:tc>
          <w:tcPr>
            <w:tcW w:w="630" w:type="pct"/>
            <w:vAlign w:val="center"/>
          </w:tcPr>
          <w:p w14:paraId="46162DE5" w14:textId="73A60980"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D81517">
              <w:rPr>
                <w:rFonts w:asciiTheme="minorHAnsi" w:hAnsiTheme="minorHAnsi" w:cstheme="minorHAnsi"/>
                <w:color w:val="4472C4" w:themeColor="accent1"/>
                <w:szCs w:val="20"/>
              </w:rPr>
              <w:t xml:space="preserve">$47,497 </w:t>
            </w:r>
          </w:p>
        </w:tc>
        <w:tc>
          <w:tcPr>
            <w:tcW w:w="630" w:type="pct"/>
            <w:vAlign w:val="center"/>
          </w:tcPr>
          <w:p w14:paraId="5BEB7664" w14:textId="43C769F6"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D81517">
              <w:rPr>
                <w:rFonts w:asciiTheme="minorHAnsi" w:hAnsiTheme="minorHAnsi" w:cstheme="minorHAnsi"/>
                <w:color w:val="4472C4" w:themeColor="accent1"/>
                <w:szCs w:val="20"/>
              </w:rPr>
              <w:t xml:space="preserve">$139,185 </w:t>
            </w:r>
          </w:p>
        </w:tc>
        <w:tc>
          <w:tcPr>
            <w:tcW w:w="629" w:type="pct"/>
            <w:vAlign w:val="center"/>
          </w:tcPr>
          <w:p w14:paraId="7329D01D" w14:textId="5438E2F3"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D81517">
              <w:rPr>
                <w:rFonts w:asciiTheme="minorHAnsi" w:hAnsiTheme="minorHAnsi" w:cstheme="minorHAnsi"/>
                <w:color w:val="4472C4" w:themeColor="accent1"/>
                <w:szCs w:val="20"/>
              </w:rPr>
              <w:t xml:space="preserve">$143,361 </w:t>
            </w:r>
          </w:p>
        </w:tc>
        <w:tc>
          <w:tcPr>
            <w:tcW w:w="629" w:type="pct"/>
            <w:vAlign w:val="center"/>
          </w:tcPr>
          <w:p w14:paraId="2621D70E" w14:textId="2567634A"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D81517">
              <w:rPr>
                <w:rFonts w:asciiTheme="minorHAnsi" w:hAnsiTheme="minorHAnsi" w:cstheme="minorHAnsi"/>
                <w:color w:val="4472C4" w:themeColor="accent1"/>
                <w:szCs w:val="20"/>
              </w:rPr>
              <w:t xml:space="preserve">$147,661 </w:t>
            </w:r>
          </w:p>
        </w:tc>
      </w:tr>
      <w:tr w:rsidR="00701ED8" w:rsidRPr="00A64432" w14:paraId="1FD20A3C" w14:textId="77777777" w:rsidTr="00B54B8D">
        <w:trPr>
          <w:trHeight w:val="143"/>
        </w:trPr>
        <w:tc>
          <w:tcPr>
            <w:tcW w:w="389" w:type="pct"/>
            <w:vAlign w:val="center"/>
          </w:tcPr>
          <w:p w14:paraId="7A62E706" w14:textId="287E8866" w:rsidR="00BA07FB" w:rsidRPr="003C3B97" w:rsidRDefault="00BA07FB" w:rsidP="00190923">
            <w:pPr>
              <w:spacing w:before="0" w:after="0" w:line="240" w:lineRule="auto"/>
              <w:rPr>
                <w:rFonts w:asciiTheme="minorHAnsi" w:hAnsiTheme="minorHAnsi" w:cstheme="minorHAnsi"/>
                <w:szCs w:val="20"/>
              </w:rPr>
            </w:pPr>
            <w:bookmarkStart w:id="16" w:name="_Hlk86760339"/>
            <w:r>
              <w:rPr>
                <w:rFonts w:asciiTheme="minorHAnsi" w:hAnsiTheme="minorHAnsi" w:cstheme="minorHAnsi"/>
                <w:szCs w:val="20"/>
              </w:rPr>
              <w:t>146</w:t>
            </w:r>
          </w:p>
        </w:tc>
        <w:tc>
          <w:tcPr>
            <w:tcW w:w="2093" w:type="pct"/>
          </w:tcPr>
          <w:p w14:paraId="3F45C8FE" w14:textId="5CA4131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St Bernard's School KOJONUP</w:t>
            </w:r>
          </w:p>
        </w:tc>
        <w:tc>
          <w:tcPr>
            <w:tcW w:w="630" w:type="pct"/>
            <w:vAlign w:val="center"/>
          </w:tcPr>
          <w:p w14:paraId="733C7CD4" w14:textId="7169C8C1"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195</w:t>
            </w: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000</w:t>
            </w:r>
          </w:p>
        </w:tc>
        <w:tc>
          <w:tcPr>
            <w:tcW w:w="630" w:type="pct"/>
            <w:vAlign w:val="center"/>
          </w:tcPr>
          <w:p w14:paraId="728DD8EF" w14:textId="369E90F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$200,850</w:t>
            </w:r>
          </w:p>
        </w:tc>
        <w:tc>
          <w:tcPr>
            <w:tcW w:w="629" w:type="pct"/>
            <w:vAlign w:val="center"/>
          </w:tcPr>
          <w:p w14:paraId="46C835D8" w14:textId="282054E0"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D81517">
              <w:rPr>
                <w:rFonts w:asciiTheme="minorHAnsi" w:hAnsiTheme="minorHAnsi" w:cstheme="minorHAnsi"/>
                <w:color w:val="4472C4" w:themeColor="accent1"/>
                <w:szCs w:val="20"/>
              </w:rPr>
              <w:t xml:space="preserve">$206,876 </w:t>
            </w:r>
          </w:p>
        </w:tc>
        <w:tc>
          <w:tcPr>
            <w:tcW w:w="629" w:type="pct"/>
            <w:vAlign w:val="center"/>
          </w:tcPr>
          <w:p w14:paraId="09C68467" w14:textId="44EA6FC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D81517">
              <w:rPr>
                <w:rFonts w:asciiTheme="minorHAnsi" w:hAnsiTheme="minorHAnsi" w:cstheme="minorHAnsi"/>
                <w:color w:val="4472C4" w:themeColor="accent1"/>
                <w:szCs w:val="20"/>
              </w:rPr>
              <w:t xml:space="preserve">$213,082 </w:t>
            </w:r>
          </w:p>
        </w:tc>
      </w:tr>
      <w:bookmarkEnd w:id="16"/>
      <w:tr w:rsidR="00701ED8" w:rsidRPr="00A64432" w14:paraId="5D63912F" w14:textId="77777777" w:rsidTr="00B54B8D">
        <w:trPr>
          <w:trHeight w:val="143"/>
        </w:trPr>
        <w:tc>
          <w:tcPr>
            <w:tcW w:w="389" w:type="pct"/>
            <w:vAlign w:val="center"/>
          </w:tcPr>
          <w:p w14:paraId="57DF56B8" w14:textId="726025E6"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151</w:t>
            </w:r>
          </w:p>
        </w:tc>
        <w:tc>
          <w:tcPr>
            <w:tcW w:w="2093" w:type="pct"/>
          </w:tcPr>
          <w:p w14:paraId="2E0EB027"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St Brigid's School BRIDGETOWN</w:t>
            </w:r>
          </w:p>
        </w:tc>
        <w:tc>
          <w:tcPr>
            <w:tcW w:w="630" w:type="pct"/>
            <w:vAlign w:val="center"/>
          </w:tcPr>
          <w:p w14:paraId="0488A3CF" w14:textId="1BC4173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71</w:t>
            </w: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933</w:t>
            </w:r>
          </w:p>
        </w:tc>
        <w:tc>
          <w:tcPr>
            <w:tcW w:w="630" w:type="pct"/>
            <w:vAlign w:val="center"/>
          </w:tcPr>
          <w:p w14:paraId="0900F54C" w14:textId="3241869B"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$74,091</w:t>
            </w:r>
          </w:p>
        </w:tc>
        <w:tc>
          <w:tcPr>
            <w:tcW w:w="629" w:type="pct"/>
            <w:vAlign w:val="center"/>
          </w:tcPr>
          <w:p w14:paraId="04CF27D3" w14:textId="26777F44"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$76,314</w:t>
            </w:r>
          </w:p>
        </w:tc>
        <w:tc>
          <w:tcPr>
            <w:tcW w:w="629" w:type="pct"/>
            <w:vAlign w:val="center"/>
          </w:tcPr>
          <w:p w14:paraId="1A377A82" w14:textId="40148D24"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$78,603</w:t>
            </w:r>
          </w:p>
        </w:tc>
      </w:tr>
      <w:tr w:rsidR="00701ED8" w:rsidRPr="00A64432" w14:paraId="6749E341" w14:textId="77777777" w:rsidTr="00B54B8D">
        <w:trPr>
          <w:trHeight w:val="143"/>
        </w:trPr>
        <w:tc>
          <w:tcPr>
            <w:tcW w:w="389" w:type="pct"/>
            <w:vAlign w:val="center"/>
          </w:tcPr>
          <w:p w14:paraId="4FC5AE9C" w14:textId="15A63D44"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127</w:t>
            </w:r>
          </w:p>
        </w:tc>
        <w:tc>
          <w:tcPr>
            <w:tcW w:w="2093" w:type="pct"/>
          </w:tcPr>
          <w:p w14:paraId="6DC87E25"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St Mary's Catholic School BOYUP BROOK</w:t>
            </w:r>
          </w:p>
        </w:tc>
        <w:tc>
          <w:tcPr>
            <w:tcW w:w="630" w:type="pct"/>
            <w:vAlign w:val="center"/>
          </w:tcPr>
          <w:p w14:paraId="3F9C4BBA" w14:textId="662D0E8B"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D81517">
              <w:rPr>
                <w:rFonts w:asciiTheme="minorHAnsi" w:hAnsiTheme="minorHAnsi" w:cstheme="minorHAnsi"/>
                <w:color w:val="4472C4" w:themeColor="accent1"/>
                <w:szCs w:val="20"/>
              </w:rPr>
              <w:t xml:space="preserve">$144,470 </w:t>
            </w:r>
          </w:p>
        </w:tc>
        <w:tc>
          <w:tcPr>
            <w:tcW w:w="630" w:type="pct"/>
            <w:vAlign w:val="center"/>
          </w:tcPr>
          <w:p w14:paraId="6A11E2D4" w14:textId="79787D42"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D81517">
              <w:rPr>
                <w:rFonts w:asciiTheme="minorHAnsi" w:hAnsiTheme="minorHAnsi" w:cstheme="minorHAnsi"/>
                <w:color w:val="4472C4" w:themeColor="accent1"/>
                <w:szCs w:val="20"/>
              </w:rPr>
              <w:t xml:space="preserve">$134,106 </w:t>
            </w:r>
          </w:p>
        </w:tc>
        <w:tc>
          <w:tcPr>
            <w:tcW w:w="629" w:type="pct"/>
            <w:vAlign w:val="center"/>
          </w:tcPr>
          <w:p w14:paraId="4B37CB10" w14:textId="78F8144B"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D81517">
              <w:rPr>
                <w:rFonts w:asciiTheme="minorHAnsi" w:hAnsiTheme="minorHAnsi" w:cstheme="minorHAnsi"/>
                <w:color w:val="4472C4" w:themeColor="accent1"/>
                <w:szCs w:val="20"/>
              </w:rPr>
              <w:t xml:space="preserve">$138,129 </w:t>
            </w:r>
          </w:p>
        </w:tc>
        <w:tc>
          <w:tcPr>
            <w:tcW w:w="629" w:type="pct"/>
            <w:vAlign w:val="center"/>
          </w:tcPr>
          <w:p w14:paraId="3675FBCE" w14:textId="4F622815"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D81517">
              <w:rPr>
                <w:rFonts w:asciiTheme="minorHAnsi" w:hAnsiTheme="minorHAnsi" w:cstheme="minorHAnsi"/>
                <w:color w:val="4472C4" w:themeColor="accent1"/>
                <w:szCs w:val="20"/>
              </w:rPr>
              <w:t xml:space="preserve">$142,273 </w:t>
            </w:r>
          </w:p>
        </w:tc>
      </w:tr>
      <w:tr w:rsidR="00701ED8" w:rsidRPr="00A64432" w14:paraId="6061B748" w14:textId="77777777" w:rsidTr="00B54B8D">
        <w:trPr>
          <w:trHeight w:val="143"/>
        </w:trPr>
        <w:tc>
          <w:tcPr>
            <w:tcW w:w="389" w:type="pct"/>
            <w:vAlign w:val="center"/>
          </w:tcPr>
          <w:p w14:paraId="18A01127" w14:textId="421E6D6B"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207</w:t>
            </w:r>
          </w:p>
        </w:tc>
        <w:tc>
          <w:tcPr>
            <w:tcW w:w="2093" w:type="pct"/>
          </w:tcPr>
          <w:p w14:paraId="4FBEC528"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St Mary's School DONNYBROOK</w:t>
            </w:r>
          </w:p>
        </w:tc>
        <w:tc>
          <w:tcPr>
            <w:tcW w:w="630" w:type="pct"/>
            <w:vAlign w:val="center"/>
          </w:tcPr>
          <w:p w14:paraId="649E6E04" w14:textId="21F914FC"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99</w:t>
            </w: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275</w:t>
            </w:r>
          </w:p>
        </w:tc>
        <w:tc>
          <w:tcPr>
            <w:tcW w:w="630" w:type="pct"/>
            <w:vAlign w:val="center"/>
          </w:tcPr>
          <w:p w14:paraId="2CEF6B2B" w14:textId="0FAC7053"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$102,253</w:t>
            </w:r>
          </w:p>
        </w:tc>
        <w:tc>
          <w:tcPr>
            <w:tcW w:w="629" w:type="pct"/>
            <w:vAlign w:val="center"/>
          </w:tcPr>
          <w:p w14:paraId="77EF10AF" w14:textId="36CF2EB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$105,321</w:t>
            </w:r>
          </w:p>
        </w:tc>
        <w:tc>
          <w:tcPr>
            <w:tcW w:w="629" w:type="pct"/>
            <w:vAlign w:val="center"/>
          </w:tcPr>
          <w:p w14:paraId="295FEF07" w14:textId="1CA60802"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$108,480</w:t>
            </w:r>
          </w:p>
        </w:tc>
      </w:tr>
      <w:tr w:rsidR="00701ED8" w:rsidRPr="00A64432" w14:paraId="17787658" w14:textId="77777777" w:rsidTr="00B54B8D">
        <w:trPr>
          <w:trHeight w:val="143"/>
        </w:trPr>
        <w:tc>
          <w:tcPr>
            <w:tcW w:w="389" w:type="pct"/>
            <w:vAlign w:val="center"/>
          </w:tcPr>
          <w:p w14:paraId="1FC139E6" w14:textId="2103F1B0"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2162</w:t>
            </w:r>
          </w:p>
        </w:tc>
        <w:tc>
          <w:tcPr>
            <w:tcW w:w="2093" w:type="pct"/>
          </w:tcPr>
          <w:p w14:paraId="52D6DFE1"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St Patrick's School KATANNING</w:t>
            </w:r>
          </w:p>
        </w:tc>
        <w:tc>
          <w:tcPr>
            <w:tcW w:w="630" w:type="pct"/>
            <w:vAlign w:val="center"/>
          </w:tcPr>
          <w:p w14:paraId="1857A4D7" w14:textId="7AABCEC5"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7</w:t>
            </w: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36</w:t>
            </w:r>
            <w:r>
              <w:rPr>
                <w:rFonts w:asciiTheme="minorHAnsi" w:hAnsiTheme="minorHAnsi" w:cstheme="minorHAnsi"/>
                <w:color w:val="4472C4" w:themeColor="accent1"/>
                <w:szCs w:val="20"/>
              </w:rPr>
              <w:t>1</w:t>
            </w:r>
          </w:p>
        </w:tc>
        <w:tc>
          <w:tcPr>
            <w:tcW w:w="630" w:type="pct"/>
            <w:vAlign w:val="center"/>
          </w:tcPr>
          <w:p w14:paraId="755B875F" w14:textId="392268C1"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$13,635</w:t>
            </w:r>
          </w:p>
        </w:tc>
        <w:tc>
          <w:tcPr>
            <w:tcW w:w="629" w:type="pct"/>
            <w:vAlign w:val="center"/>
          </w:tcPr>
          <w:p w14:paraId="53653B5A" w14:textId="7D8718A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$14,044</w:t>
            </w:r>
          </w:p>
        </w:tc>
        <w:tc>
          <w:tcPr>
            <w:tcW w:w="629" w:type="pct"/>
            <w:vAlign w:val="center"/>
          </w:tcPr>
          <w:p w14:paraId="6DA2BEA3" w14:textId="1406F615"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$14,465</w:t>
            </w:r>
          </w:p>
        </w:tc>
      </w:tr>
      <w:tr w:rsidR="00701ED8" w:rsidRPr="00A64432" w14:paraId="307F625D" w14:textId="77777777" w:rsidTr="00B54B8D">
        <w:trPr>
          <w:trHeight w:val="143"/>
        </w:trPr>
        <w:tc>
          <w:tcPr>
            <w:tcW w:w="389" w:type="pct"/>
            <w:vAlign w:val="center"/>
          </w:tcPr>
          <w:p w14:paraId="0360BCA7" w14:textId="387EBFE2"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15657</w:t>
            </w:r>
          </w:p>
        </w:tc>
        <w:tc>
          <w:tcPr>
            <w:tcW w:w="2093" w:type="pct"/>
          </w:tcPr>
          <w:p w14:paraId="31320C5D"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Aquinas College SALTER POINT</w:t>
            </w:r>
          </w:p>
        </w:tc>
        <w:tc>
          <w:tcPr>
            <w:tcW w:w="630" w:type="pct"/>
            <w:vAlign w:val="center"/>
          </w:tcPr>
          <w:p w14:paraId="68112061" w14:textId="1314BA94"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$41,532 </w:t>
            </w:r>
          </w:p>
        </w:tc>
        <w:tc>
          <w:tcPr>
            <w:tcW w:w="630" w:type="pct"/>
            <w:vAlign w:val="center"/>
          </w:tcPr>
          <w:p w14:paraId="741405D9" w14:textId="50B78350"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$100,110 </w:t>
            </w:r>
          </w:p>
        </w:tc>
        <w:tc>
          <w:tcPr>
            <w:tcW w:w="629" w:type="pct"/>
            <w:vAlign w:val="center"/>
          </w:tcPr>
          <w:p w14:paraId="3F314327" w14:textId="67D811D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$103,113 </w:t>
            </w:r>
          </w:p>
        </w:tc>
        <w:tc>
          <w:tcPr>
            <w:tcW w:w="629" w:type="pct"/>
            <w:vAlign w:val="center"/>
          </w:tcPr>
          <w:p w14:paraId="5FEA099B" w14:textId="1A34E30D"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$106,207 </w:t>
            </w:r>
          </w:p>
        </w:tc>
      </w:tr>
      <w:tr w:rsidR="00701ED8" w:rsidRPr="00A64432" w14:paraId="5A702CEF" w14:textId="77777777" w:rsidTr="00B54B8D">
        <w:trPr>
          <w:trHeight w:val="143"/>
        </w:trPr>
        <w:tc>
          <w:tcPr>
            <w:tcW w:w="389" w:type="pct"/>
            <w:vAlign w:val="center"/>
          </w:tcPr>
          <w:p w14:paraId="21ED6892" w14:textId="382A0FB5"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8785</w:t>
            </w:r>
          </w:p>
        </w:tc>
        <w:tc>
          <w:tcPr>
            <w:tcW w:w="2093" w:type="pct"/>
          </w:tcPr>
          <w:p w14:paraId="2BD17A43" w14:textId="77777777" w:rsidR="00BA07FB" w:rsidRPr="000F4117" w:rsidRDefault="00BA07FB" w:rsidP="00BA07FB">
            <w:pPr>
              <w:spacing w:before="0" w:after="0" w:line="240" w:lineRule="auto"/>
              <w:rPr>
                <w:rFonts w:asciiTheme="minorHAnsi" w:hAnsiTheme="minorHAnsi" w:cstheme="minorHAnsi"/>
                <w:szCs w:val="20"/>
              </w:rPr>
            </w:pPr>
            <w:proofErr w:type="spellStart"/>
            <w:r w:rsidRPr="000F4117">
              <w:rPr>
                <w:rFonts w:asciiTheme="minorHAnsi" w:hAnsiTheme="minorHAnsi" w:cstheme="minorHAnsi"/>
                <w:szCs w:val="20"/>
              </w:rPr>
              <w:t>Aranmore</w:t>
            </w:r>
            <w:proofErr w:type="spellEnd"/>
            <w:r w:rsidRPr="000F4117">
              <w:rPr>
                <w:rFonts w:asciiTheme="minorHAnsi" w:hAnsiTheme="minorHAnsi" w:cstheme="minorHAnsi"/>
                <w:szCs w:val="20"/>
              </w:rPr>
              <w:t xml:space="preserve"> Catholic College LEEDERVILLE</w:t>
            </w:r>
          </w:p>
        </w:tc>
        <w:tc>
          <w:tcPr>
            <w:tcW w:w="630" w:type="pct"/>
            <w:vAlign w:val="center"/>
          </w:tcPr>
          <w:p w14:paraId="1E4C3249" w14:textId="1B5662B0"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$7,472 </w:t>
            </w:r>
          </w:p>
        </w:tc>
        <w:tc>
          <w:tcPr>
            <w:tcW w:w="630" w:type="pct"/>
            <w:vAlign w:val="center"/>
          </w:tcPr>
          <w:p w14:paraId="6C31DB1B" w14:textId="0CC6345A"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$14,300 </w:t>
            </w:r>
          </w:p>
        </w:tc>
        <w:tc>
          <w:tcPr>
            <w:tcW w:w="629" w:type="pct"/>
            <w:vAlign w:val="center"/>
          </w:tcPr>
          <w:p w14:paraId="4FAF8AAD" w14:textId="2DDD0706"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$14,729 </w:t>
            </w:r>
          </w:p>
        </w:tc>
        <w:tc>
          <w:tcPr>
            <w:tcW w:w="629" w:type="pct"/>
            <w:vAlign w:val="center"/>
          </w:tcPr>
          <w:p w14:paraId="1C67F008" w14:textId="0E5D2E21"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$15,171 </w:t>
            </w:r>
          </w:p>
        </w:tc>
      </w:tr>
      <w:tr w:rsidR="00701ED8" w:rsidRPr="00A64432" w14:paraId="0078934E" w14:textId="77777777" w:rsidTr="00B54B8D">
        <w:trPr>
          <w:trHeight w:val="143"/>
        </w:trPr>
        <w:tc>
          <w:tcPr>
            <w:tcW w:w="389" w:type="pct"/>
            <w:vAlign w:val="center"/>
          </w:tcPr>
          <w:p w14:paraId="1C78B859" w14:textId="72ACB6CD"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161</w:t>
            </w:r>
          </w:p>
        </w:tc>
        <w:tc>
          <w:tcPr>
            <w:tcW w:w="2093" w:type="pct"/>
          </w:tcPr>
          <w:p w14:paraId="5E44FAE8"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Bunbury Catholic College BUNBURY</w:t>
            </w:r>
          </w:p>
        </w:tc>
        <w:tc>
          <w:tcPr>
            <w:tcW w:w="630" w:type="pct"/>
            <w:vAlign w:val="center"/>
          </w:tcPr>
          <w:p w14:paraId="175A888D" w14:textId="36EFFEA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30" w:type="pct"/>
            <w:vAlign w:val="center"/>
          </w:tcPr>
          <w:p w14:paraId="07353CC7" w14:textId="27275FC6"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$13,180</w:t>
            </w:r>
          </w:p>
        </w:tc>
        <w:tc>
          <w:tcPr>
            <w:tcW w:w="629" w:type="pct"/>
            <w:vAlign w:val="center"/>
          </w:tcPr>
          <w:p w14:paraId="20695092" w14:textId="4EFC9104"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$13,575</w:t>
            </w:r>
          </w:p>
        </w:tc>
        <w:tc>
          <w:tcPr>
            <w:tcW w:w="629" w:type="pct"/>
            <w:vAlign w:val="center"/>
          </w:tcPr>
          <w:p w14:paraId="0344C650" w14:textId="5D1A012D"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$13,983</w:t>
            </w:r>
          </w:p>
        </w:tc>
      </w:tr>
      <w:tr w:rsidR="00701ED8" w:rsidRPr="00A64432" w14:paraId="1F8E771A" w14:textId="77777777" w:rsidTr="00B54B8D">
        <w:trPr>
          <w:trHeight w:val="143"/>
        </w:trPr>
        <w:tc>
          <w:tcPr>
            <w:tcW w:w="389" w:type="pct"/>
            <w:vAlign w:val="center"/>
          </w:tcPr>
          <w:p w14:paraId="02F860EB" w14:textId="3B6E5567" w:rsidR="00BA07FB"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8095</w:t>
            </w:r>
          </w:p>
        </w:tc>
        <w:tc>
          <w:tcPr>
            <w:tcW w:w="2093" w:type="pct"/>
          </w:tcPr>
          <w:p w14:paraId="0DAABD37" w14:textId="64D3E2B2" w:rsidR="00BA07FB" w:rsidRPr="000F4117" w:rsidRDefault="00BA07FB" w:rsidP="00BA07FB">
            <w:pPr>
              <w:spacing w:before="0" w:after="0" w:line="240" w:lineRule="auto"/>
              <w:rPr>
                <w:rFonts w:asciiTheme="minorHAnsi" w:hAnsiTheme="minorHAnsi" w:cstheme="minorHAnsi"/>
                <w:szCs w:val="20"/>
              </w:rPr>
            </w:pPr>
            <w:r>
              <w:rPr>
                <w:rFonts w:asciiTheme="minorHAnsi" w:hAnsiTheme="minorHAnsi" w:cstheme="minorHAnsi"/>
                <w:szCs w:val="20"/>
              </w:rPr>
              <w:t>Chisholm Catholic College BEDFORD</w:t>
            </w:r>
          </w:p>
        </w:tc>
        <w:tc>
          <w:tcPr>
            <w:tcW w:w="630" w:type="pct"/>
            <w:vAlign w:val="center"/>
          </w:tcPr>
          <w:p w14:paraId="6A29900B" w14:textId="399FBCC8" w:rsidR="00BA07FB"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7</w:t>
            </w: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3</w:t>
            </w:r>
            <w:r>
              <w:rPr>
                <w:rFonts w:asciiTheme="minorHAnsi" w:hAnsiTheme="minorHAnsi" w:cstheme="minorHAnsi"/>
                <w:color w:val="4472C4" w:themeColor="accent1"/>
                <w:szCs w:val="20"/>
              </w:rPr>
              <w:t>61</w:t>
            </w:r>
          </w:p>
        </w:tc>
        <w:tc>
          <w:tcPr>
            <w:tcW w:w="630" w:type="pct"/>
            <w:vAlign w:val="center"/>
          </w:tcPr>
          <w:p w14:paraId="5787D527" w14:textId="45167F8D" w:rsidR="00BA07FB"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29" w:type="pct"/>
            <w:vAlign w:val="center"/>
          </w:tcPr>
          <w:p w14:paraId="11092D3C" w14:textId="1BC8AC7D" w:rsidR="00BA07FB"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29" w:type="pct"/>
            <w:vAlign w:val="center"/>
          </w:tcPr>
          <w:p w14:paraId="28191823" w14:textId="6E0DFA64" w:rsidR="00BA07FB"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r>
      <w:tr w:rsidR="00701ED8" w:rsidRPr="00A64432" w14:paraId="2B2233C8" w14:textId="77777777" w:rsidTr="00B54B8D">
        <w:trPr>
          <w:trHeight w:val="143"/>
        </w:trPr>
        <w:tc>
          <w:tcPr>
            <w:tcW w:w="389" w:type="pct"/>
            <w:vAlign w:val="center"/>
          </w:tcPr>
          <w:p w14:paraId="2CB7B935" w14:textId="00D756CD"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16319</w:t>
            </w:r>
          </w:p>
        </w:tc>
        <w:tc>
          <w:tcPr>
            <w:tcW w:w="2093" w:type="pct"/>
          </w:tcPr>
          <w:p w14:paraId="1F48F4A0"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Emmanuel Catholic College SUCCESS</w:t>
            </w:r>
          </w:p>
        </w:tc>
        <w:tc>
          <w:tcPr>
            <w:tcW w:w="630" w:type="pct"/>
            <w:vAlign w:val="center"/>
          </w:tcPr>
          <w:p w14:paraId="4CDD64AB" w14:textId="2B77692C"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$7,361 </w:t>
            </w:r>
          </w:p>
        </w:tc>
        <w:tc>
          <w:tcPr>
            <w:tcW w:w="630" w:type="pct"/>
            <w:vAlign w:val="center"/>
          </w:tcPr>
          <w:p w14:paraId="646BE1B4" w14:textId="5AF8E608"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$13,180 </w:t>
            </w:r>
          </w:p>
        </w:tc>
        <w:tc>
          <w:tcPr>
            <w:tcW w:w="629" w:type="pct"/>
            <w:vAlign w:val="center"/>
          </w:tcPr>
          <w:p w14:paraId="19BE9600" w14:textId="23C932F0"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$13,575 </w:t>
            </w:r>
          </w:p>
        </w:tc>
        <w:tc>
          <w:tcPr>
            <w:tcW w:w="629" w:type="pct"/>
            <w:vAlign w:val="center"/>
          </w:tcPr>
          <w:p w14:paraId="3F8D4F26" w14:textId="7C5BE307"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$13,983 </w:t>
            </w:r>
          </w:p>
        </w:tc>
      </w:tr>
      <w:tr w:rsidR="00701ED8" w:rsidRPr="00A64432" w14:paraId="2248E40F" w14:textId="77777777" w:rsidTr="00B54B8D">
        <w:trPr>
          <w:trHeight w:val="143"/>
        </w:trPr>
        <w:tc>
          <w:tcPr>
            <w:tcW w:w="389" w:type="pct"/>
            <w:vAlign w:val="center"/>
          </w:tcPr>
          <w:p w14:paraId="5A29445D" w14:textId="39CB9640"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27905</w:t>
            </w:r>
          </w:p>
        </w:tc>
        <w:tc>
          <w:tcPr>
            <w:tcW w:w="2093" w:type="pct"/>
          </w:tcPr>
          <w:p w14:paraId="7C309346"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Holy Cross College ELLENBROOK</w:t>
            </w:r>
          </w:p>
        </w:tc>
        <w:tc>
          <w:tcPr>
            <w:tcW w:w="630" w:type="pct"/>
            <w:vAlign w:val="center"/>
          </w:tcPr>
          <w:p w14:paraId="6E8EEF6B" w14:textId="23BD08CB"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$7,361 </w:t>
            </w:r>
          </w:p>
        </w:tc>
        <w:tc>
          <w:tcPr>
            <w:tcW w:w="630" w:type="pct"/>
            <w:vAlign w:val="center"/>
          </w:tcPr>
          <w:p w14:paraId="7C83D9F9" w14:textId="42B73F62"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$14,090 </w:t>
            </w:r>
          </w:p>
        </w:tc>
        <w:tc>
          <w:tcPr>
            <w:tcW w:w="629" w:type="pct"/>
            <w:vAlign w:val="center"/>
          </w:tcPr>
          <w:p w14:paraId="694E1A45" w14:textId="159F5270"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$14,513 </w:t>
            </w:r>
          </w:p>
        </w:tc>
        <w:tc>
          <w:tcPr>
            <w:tcW w:w="629" w:type="pct"/>
            <w:vAlign w:val="center"/>
          </w:tcPr>
          <w:p w14:paraId="7452A9CC" w14:textId="6888555E"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$14,948 </w:t>
            </w:r>
          </w:p>
        </w:tc>
      </w:tr>
      <w:tr w:rsidR="00701ED8" w:rsidRPr="00A64432" w14:paraId="44F75E51" w14:textId="77777777" w:rsidTr="00B54B8D">
        <w:trPr>
          <w:trHeight w:val="143"/>
        </w:trPr>
        <w:tc>
          <w:tcPr>
            <w:tcW w:w="389" w:type="pct"/>
            <w:vAlign w:val="center"/>
          </w:tcPr>
          <w:p w14:paraId="6161CB1F" w14:textId="2EDA8C23"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15801</w:t>
            </w:r>
          </w:p>
        </w:tc>
        <w:tc>
          <w:tcPr>
            <w:tcW w:w="2093" w:type="pct"/>
          </w:tcPr>
          <w:p w14:paraId="7FBA3C86"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Irene McCormack Catholic College QUINNS ROCKS</w:t>
            </w:r>
          </w:p>
        </w:tc>
        <w:tc>
          <w:tcPr>
            <w:tcW w:w="630" w:type="pct"/>
            <w:vAlign w:val="center"/>
          </w:tcPr>
          <w:p w14:paraId="26B0DFD6" w14:textId="595D5EB3"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$21,205 </w:t>
            </w:r>
          </w:p>
        </w:tc>
        <w:tc>
          <w:tcPr>
            <w:tcW w:w="630" w:type="pct"/>
            <w:vAlign w:val="center"/>
          </w:tcPr>
          <w:p w14:paraId="6A87D1A8" w14:textId="2C5A1C8E"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$27,620 </w:t>
            </w:r>
          </w:p>
        </w:tc>
        <w:tc>
          <w:tcPr>
            <w:tcW w:w="629" w:type="pct"/>
            <w:vAlign w:val="center"/>
          </w:tcPr>
          <w:p w14:paraId="77830DB8" w14:textId="2520071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$28,449 </w:t>
            </w:r>
          </w:p>
        </w:tc>
        <w:tc>
          <w:tcPr>
            <w:tcW w:w="629" w:type="pct"/>
            <w:vAlign w:val="center"/>
          </w:tcPr>
          <w:p w14:paraId="79B23710" w14:textId="324BCA6B"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$29,302 </w:t>
            </w:r>
          </w:p>
        </w:tc>
      </w:tr>
      <w:tr w:rsidR="00701ED8" w:rsidRPr="00A64432" w14:paraId="6C0BCDA8" w14:textId="77777777" w:rsidTr="00B54B8D">
        <w:trPr>
          <w:trHeight w:val="143"/>
        </w:trPr>
        <w:tc>
          <w:tcPr>
            <w:tcW w:w="389" w:type="pct"/>
            <w:vAlign w:val="center"/>
          </w:tcPr>
          <w:p w14:paraId="60EA2CDB" w14:textId="1480F260"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8783</w:t>
            </w:r>
          </w:p>
        </w:tc>
        <w:tc>
          <w:tcPr>
            <w:tcW w:w="2093" w:type="pct"/>
          </w:tcPr>
          <w:p w14:paraId="12C7A8D3"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John Paul College KALGOORLIE</w:t>
            </w:r>
          </w:p>
        </w:tc>
        <w:tc>
          <w:tcPr>
            <w:tcW w:w="630" w:type="pct"/>
            <w:vAlign w:val="center"/>
          </w:tcPr>
          <w:p w14:paraId="10A46346" w14:textId="3EB294FB"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30" w:type="pct"/>
            <w:vAlign w:val="center"/>
          </w:tcPr>
          <w:p w14:paraId="0D8125E3" w14:textId="6FEC0ECA"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$13,955</w:t>
            </w:r>
          </w:p>
        </w:tc>
        <w:tc>
          <w:tcPr>
            <w:tcW w:w="629" w:type="pct"/>
            <w:vAlign w:val="center"/>
          </w:tcPr>
          <w:p w14:paraId="2E972472" w14:textId="27C2687E"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$14,374</w:t>
            </w:r>
          </w:p>
        </w:tc>
        <w:tc>
          <w:tcPr>
            <w:tcW w:w="629" w:type="pct"/>
            <w:vAlign w:val="center"/>
          </w:tcPr>
          <w:p w14:paraId="775DFEFB" w14:textId="1C43223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$14,805</w:t>
            </w:r>
          </w:p>
        </w:tc>
      </w:tr>
      <w:tr w:rsidR="00701ED8" w:rsidRPr="00A64432" w14:paraId="0C9AF239" w14:textId="77777777" w:rsidTr="00B54B8D">
        <w:trPr>
          <w:trHeight w:val="143"/>
        </w:trPr>
        <w:tc>
          <w:tcPr>
            <w:tcW w:w="389" w:type="pct"/>
            <w:vAlign w:val="center"/>
          </w:tcPr>
          <w:p w14:paraId="0DBF90DB" w14:textId="79175959" w:rsidR="00BA07FB"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95</w:t>
            </w:r>
          </w:p>
        </w:tc>
        <w:tc>
          <w:tcPr>
            <w:tcW w:w="2093" w:type="pct"/>
          </w:tcPr>
          <w:p w14:paraId="0924CE12" w14:textId="0FCB979B" w:rsidR="00BA07FB" w:rsidRPr="000F4117" w:rsidRDefault="00BA07FB" w:rsidP="00BA07FB">
            <w:pPr>
              <w:spacing w:before="0" w:after="0" w:line="240" w:lineRule="auto"/>
              <w:rPr>
                <w:rFonts w:asciiTheme="minorHAnsi" w:hAnsiTheme="minorHAnsi" w:cstheme="minorHAnsi"/>
                <w:szCs w:val="20"/>
              </w:rPr>
            </w:pPr>
            <w:proofErr w:type="spellStart"/>
            <w:r>
              <w:rPr>
                <w:rFonts w:asciiTheme="minorHAnsi" w:hAnsiTheme="minorHAnsi" w:cstheme="minorHAnsi"/>
                <w:szCs w:val="20"/>
              </w:rPr>
              <w:t>Kearnan</w:t>
            </w:r>
            <w:proofErr w:type="spellEnd"/>
            <w:r>
              <w:rPr>
                <w:rFonts w:asciiTheme="minorHAnsi" w:hAnsiTheme="minorHAnsi" w:cstheme="minorHAnsi"/>
                <w:szCs w:val="20"/>
              </w:rPr>
              <w:t xml:space="preserve"> College MANJIMUP</w:t>
            </w:r>
          </w:p>
        </w:tc>
        <w:tc>
          <w:tcPr>
            <w:tcW w:w="630" w:type="pct"/>
            <w:vAlign w:val="center"/>
          </w:tcPr>
          <w:p w14:paraId="640237F8" w14:textId="1348DA25" w:rsidR="00BA07FB"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$20,407</w:t>
            </w:r>
          </w:p>
        </w:tc>
        <w:tc>
          <w:tcPr>
            <w:tcW w:w="630" w:type="pct"/>
            <w:vAlign w:val="center"/>
          </w:tcPr>
          <w:p w14:paraId="4429FE1C" w14:textId="76353FBD" w:rsidR="00BA07FB"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$26,590</w:t>
            </w:r>
          </w:p>
        </w:tc>
        <w:tc>
          <w:tcPr>
            <w:tcW w:w="629" w:type="pct"/>
            <w:vAlign w:val="center"/>
          </w:tcPr>
          <w:p w14:paraId="1A0649EC" w14:textId="46C8FBA5" w:rsidR="00BA07FB"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$27,388</w:t>
            </w:r>
          </w:p>
        </w:tc>
        <w:tc>
          <w:tcPr>
            <w:tcW w:w="629" w:type="pct"/>
            <w:vAlign w:val="center"/>
          </w:tcPr>
          <w:p w14:paraId="7E4E9CBA" w14:textId="11A29C54" w:rsidR="00BA07FB"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$28,209</w:t>
            </w:r>
          </w:p>
        </w:tc>
      </w:tr>
      <w:tr w:rsidR="00701ED8" w:rsidRPr="00A64432" w14:paraId="1897CAA7" w14:textId="77777777" w:rsidTr="00B54B8D">
        <w:trPr>
          <w:trHeight w:val="143"/>
        </w:trPr>
        <w:tc>
          <w:tcPr>
            <w:tcW w:w="389" w:type="pct"/>
            <w:vAlign w:val="center"/>
          </w:tcPr>
          <w:p w14:paraId="1BDD8438" w14:textId="1C5861BB"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13573</w:t>
            </w:r>
          </w:p>
        </w:tc>
        <w:tc>
          <w:tcPr>
            <w:tcW w:w="2093" w:type="pct"/>
          </w:tcPr>
          <w:p w14:paraId="1C261843"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Mandurah Catholic College MANDURAH</w:t>
            </w:r>
          </w:p>
        </w:tc>
        <w:tc>
          <w:tcPr>
            <w:tcW w:w="630" w:type="pct"/>
            <w:vAlign w:val="center"/>
          </w:tcPr>
          <w:p w14:paraId="7C7D737D" w14:textId="412C77A7"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$7,361 </w:t>
            </w:r>
          </w:p>
        </w:tc>
        <w:tc>
          <w:tcPr>
            <w:tcW w:w="630" w:type="pct"/>
            <w:vAlign w:val="center"/>
          </w:tcPr>
          <w:p w14:paraId="73C4889B" w14:textId="69705ACC"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$13,180 </w:t>
            </w:r>
          </w:p>
        </w:tc>
        <w:tc>
          <w:tcPr>
            <w:tcW w:w="629" w:type="pct"/>
            <w:vAlign w:val="center"/>
          </w:tcPr>
          <w:p w14:paraId="55B9886F" w14:textId="439319FE"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$13,575 </w:t>
            </w:r>
          </w:p>
        </w:tc>
        <w:tc>
          <w:tcPr>
            <w:tcW w:w="629" w:type="pct"/>
            <w:vAlign w:val="center"/>
          </w:tcPr>
          <w:p w14:paraId="49B3FA57" w14:textId="79C73FD4"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$13,983 </w:t>
            </w:r>
          </w:p>
        </w:tc>
      </w:tr>
      <w:tr w:rsidR="00701ED8" w:rsidRPr="00A64432" w14:paraId="24B466FF" w14:textId="77777777" w:rsidTr="00B54B8D">
        <w:trPr>
          <w:trHeight w:val="143"/>
        </w:trPr>
        <w:tc>
          <w:tcPr>
            <w:tcW w:w="389" w:type="pct"/>
            <w:vAlign w:val="center"/>
          </w:tcPr>
          <w:p w14:paraId="1246237D" w14:textId="23C3BAA8"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13609</w:t>
            </w:r>
          </w:p>
        </w:tc>
        <w:tc>
          <w:tcPr>
            <w:tcW w:w="2093" w:type="pct"/>
          </w:tcPr>
          <w:p w14:paraId="27CC3C71"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Mater Dei College EDGEWATER</w:t>
            </w:r>
          </w:p>
        </w:tc>
        <w:tc>
          <w:tcPr>
            <w:tcW w:w="630" w:type="pct"/>
            <w:vAlign w:val="center"/>
          </w:tcPr>
          <w:p w14:paraId="61378035" w14:textId="058EF13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$14,004 </w:t>
            </w:r>
          </w:p>
        </w:tc>
        <w:tc>
          <w:tcPr>
            <w:tcW w:w="630" w:type="pct"/>
            <w:vAlign w:val="center"/>
          </w:tcPr>
          <w:p w14:paraId="293E6432" w14:textId="4AEC4648"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$14,090 </w:t>
            </w:r>
          </w:p>
        </w:tc>
        <w:tc>
          <w:tcPr>
            <w:tcW w:w="629" w:type="pct"/>
            <w:vAlign w:val="center"/>
          </w:tcPr>
          <w:p w14:paraId="59969E11" w14:textId="56B1832F"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$14,513 </w:t>
            </w:r>
          </w:p>
        </w:tc>
        <w:tc>
          <w:tcPr>
            <w:tcW w:w="629" w:type="pct"/>
            <w:vAlign w:val="center"/>
          </w:tcPr>
          <w:p w14:paraId="023ACC18" w14:textId="73726343"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$14,948 </w:t>
            </w:r>
          </w:p>
        </w:tc>
      </w:tr>
      <w:tr w:rsidR="00701ED8" w:rsidRPr="00A64432" w14:paraId="458B9504" w14:textId="77777777" w:rsidTr="00B54B8D">
        <w:trPr>
          <w:trHeight w:val="143"/>
        </w:trPr>
        <w:tc>
          <w:tcPr>
            <w:tcW w:w="389" w:type="pct"/>
            <w:vAlign w:val="center"/>
          </w:tcPr>
          <w:p w14:paraId="37E019E9" w14:textId="42247792"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17688</w:t>
            </w:r>
          </w:p>
        </w:tc>
        <w:tc>
          <w:tcPr>
            <w:tcW w:w="2093" w:type="pct"/>
          </w:tcPr>
          <w:p w14:paraId="2B4EBEE3"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Mercy College KOONDOOLA</w:t>
            </w:r>
          </w:p>
        </w:tc>
        <w:tc>
          <w:tcPr>
            <w:tcW w:w="630" w:type="pct"/>
            <w:vAlign w:val="center"/>
          </w:tcPr>
          <w:p w14:paraId="06FDC9A2" w14:textId="4ED678F7"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$7,361 </w:t>
            </w:r>
          </w:p>
        </w:tc>
        <w:tc>
          <w:tcPr>
            <w:tcW w:w="630" w:type="pct"/>
            <w:vAlign w:val="center"/>
          </w:tcPr>
          <w:p w14:paraId="512D040C" w14:textId="00684815"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$14,090 </w:t>
            </w:r>
          </w:p>
        </w:tc>
        <w:tc>
          <w:tcPr>
            <w:tcW w:w="629" w:type="pct"/>
            <w:vAlign w:val="center"/>
          </w:tcPr>
          <w:p w14:paraId="4701230A" w14:textId="794ECBA6"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$14,513 </w:t>
            </w:r>
          </w:p>
        </w:tc>
        <w:tc>
          <w:tcPr>
            <w:tcW w:w="629" w:type="pct"/>
            <w:vAlign w:val="center"/>
          </w:tcPr>
          <w:p w14:paraId="11AA18F1" w14:textId="43780564"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$14,948 </w:t>
            </w:r>
          </w:p>
        </w:tc>
      </w:tr>
      <w:tr w:rsidR="00701ED8" w:rsidRPr="00A64432" w14:paraId="29FD676B" w14:textId="77777777" w:rsidTr="00B54B8D">
        <w:trPr>
          <w:trHeight w:val="143"/>
        </w:trPr>
        <w:tc>
          <w:tcPr>
            <w:tcW w:w="389" w:type="pct"/>
            <w:vAlign w:val="center"/>
          </w:tcPr>
          <w:p w14:paraId="16E08E87" w14:textId="7D63E3A6"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30116</w:t>
            </w:r>
          </w:p>
        </w:tc>
        <w:tc>
          <w:tcPr>
            <w:tcW w:w="2093" w:type="pct"/>
          </w:tcPr>
          <w:p w14:paraId="3FC87CE0"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Mother Teresa Catholic College BALDIVIS</w:t>
            </w:r>
          </w:p>
        </w:tc>
        <w:tc>
          <w:tcPr>
            <w:tcW w:w="630" w:type="pct"/>
            <w:vAlign w:val="center"/>
          </w:tcPr>
          <w:p w14:paraId="096B812F" w14:textId="4858C110"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$27,954 </w:t>
            </w:r>
          </w:p>
        </w:tc>
        <w:tc>
          <w:tcPr>
            <w:tcW w:w="630" w:type="pct"/>
            <w:vAlign w:val="center"/>
          </w:tcPr>
          <w:p w14:paraId="7C479973" w14:textId="17B03514"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$13,550 </w:t>
            </w:r>
          </w:p>
        </w:tc>
        <w:tc>
          <w:tcPr>
            <w:tcW w:w="629" w:type="pct"/>
            <w:vAlign w:val="center"/>
          </w:tcPr>
          <w:p w14:paraId="61D6C584" w14:textId="64D46168"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$13,957 </w:t>
            </w:r>
          </w:p>
        </w:tc>
        <w:tc>
          <w:tcPr>
            <w:tcW w:w="629" w:type="pct"/>
            <w:vAlign w:val="center"/>
          </w:tcPr>
          <w:p w14:paraId="076432CC" w14:textId="7CEDBA7B"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$14,375 </w:t>
            </w:r>
          </w:p>
        </w:tc>
      </w:tr>
      <w:tr w:rsidR="00701ED8" w:rsidRPr="00A64432" w14:paraId="5C7CFE17" w14:textId="77777777" w:rsidTr="00B54B8D">
        <w:trPr>
          <w:trHeight w:val="143"/>
        </w:trPr>
        <w:tc>
          <w:tcPr>
            <w:tcW w:w="389" w:type="pct"/>
            <w:vAlign w:val="center"/>
          </w:tcPr>
          <w:p w14:paraId="79754D42" w14:textId="5B9ADF5C"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86558</w:t>
            </w:r>
          </w:p>
        </w:tc>
        <w:tc>
          <w:tcPr>
            <w:tcW w:w="2093" w:type="pct"/>
          </w:tcPr>
          <w:p w14:paraId="2421D191"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Our Lady of Mercy College AUSTRALIND</w:t>
            </w:r>
          </w:p>
        </w:tc>
        <w:tc>
          <w:tcPr>
            <w:tcW w:w="630" w:type="pct"/>
            <w:vAlign w:val="center"/>
          </w:tcPr>
          <w:p w14:paraId="4071736E" w14:textId="2E93F01F"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20</w:t>
            </w:r>
            <w:r>
              <w:rPr>
                <w:rFonts w:asciiTheme="minorHAnsi" w:hAnsiTheme="minorHAnsi" w:cstheme="minorHAnsi"/>
                <w:color w:val="4472C4" w:themeColor="accent1"/>
                <w:szCs w:val="20"/>
              </w:rPr>
              <w:t>,</w:t>
            </w:r>
            <w:r w:rsidRPr="00371F31">
              <w:rPr>
                <w:rFonts w:asciiTheme="minorHAnsi" w:hAnsiTheme="minorHAnsi" w:cstheme="minorHAnsi"/>
                <w:color w:val="4472C4" w:themeColor="accent1"/>
                <w:szCs w:val="20"/>
              </w:rPr>
              <w:t>726</w:t>
            </w:r>
          </w:p>
        </w:tc>
        <w:tc>
          <w:tcPr>
            <w:tcW w:w="630" w:type="pct"/>
            <w:vAlign w:val="center"/>
          </w:tcPr>
          <w:p w14:paraId="5B660EF0" w14:textId="650F35AB"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29" w:type="pct"/>
            <w:vAlign w:val="center"/>
          </w:tcPr>
          <w:p w14:paraId="7557EE11" w14:textId="71FAF547"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29" w:type="pct"/>
            <w:vAlign w:val="center"/>
          </w:tcPr>
          <w:p w14:paraId="4954FD0F" w14:textId="01D20641"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r>
      <w:tr w:rsidR="00701ED8" w:rsidRPr="00A64432" w14:paraId="05BEC9AD" w14:textId="77777777" w:rsidTr="00B54B8D">
        <w:trPr>
          <w:trHeight w:val="143"/>
        </w:trPr>
        <w:tc>
          <w:tcPr>
            <w:tcW w:w="389" w:type="pct"/>
            <w:vAlign w:val="center"/>
          </w:tcPr>
          <w:p w14:paraId="422CA9CC" w14:textId="2F95879C"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2712</w:t>
            </w:r>
          </w:p>
        </w:tc>
        <w:tc>
          <w:tcPr>
            <w:tcW w:w="2093" w:type="pct"/>
          </w:tcPr>
          <w:p w14:paraId="467AD119"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St Joseph's College ALBANY</w:t>
            </w:r>
          </w:p>
        </w:tc>
        <w:tc>
          <w:tcPr>
            <w:tcW w:w="630" w:type="pct"/>
            <w:vAlign w:val="center"/>
          </w:tcPr>
          <w:p w14:paraId="70B48BB0" w14:textId="592995ED"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30" w:type="pct"/>
            <w:vAlign w:val="center"/>
          </w:tcPr>
          <w:p w14:paraId="595FD672" w14:textId="6F87D51B"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$55,475</w:t>
            </w:r>
          </w:p>
        </w:tc>
        <w:tc>
          <w:tcPr>
            <w:tcW w:w="629" w:type="pct"/>
            <w:vAlign w:val="center"/>
          </w:tcPr>
          <w:p w14:paraId="4CB2C8D4" w14:textId="5F58BD4B"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$57,139</w:t>
            </w:r>
          </w:p>
        </w:tc>
        <w:tc>
          <w:tcPr>
            <w:tcW w:w="629" w:type="pct"/>
            <w:vAlign w:val="center"/>
          </w:tcPr>
          <w:p w14:paraId="01CF38B3" w14:textId="03BA0492"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$58,853</w:t>
            </w:r>
          </w:p>
        </w:tc>
      </w:tr>
      <w:tr w:rsidR="00701ED8" w:rsidRPr="00A64432" w14:paraId="775B48C9" w14:textId="77777777" w:rsidTr="00B54B8D">
        <w:trPr>
          <w:trHeight w:val="143"/>
        </w:trPr>
        <w:tc>
          <w:tcPr>
            <w:tcW w:w="389" w:type="pct"/>
            <w:vAlign w:val="center"/>
          </w:tcPr>
          <w:p w14:paraId="74946154" w14:textId="78B5F226" w:rsidR="00BA07FB"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189</w:t>
            </w:r>
          </w:p>
        </w:tc>
        <w:tc>
          <w:tcPr>
            <w:tcW w:w="2093" w:type="pct"/>
          </w:tcPr>
          <w:p w14:paraId="7B66BA77" w14:textId="77179376" w:rsidR="00BA07FB" w:rsidRPr="000F4117" w:rsidRDefault="00BA07FB" w:rsidP="00BA07FB">
            <w:pPr>
              <w:spacing w:before="0" w:after="0" w:line="240" w:lineRule="auto"/>
              <w:rPr>
                <w:rFonts w:asciiTheme="minorHAnsi" w:hAnsiTheme="minorHAnsi" w:cstheme="minorHAnsi"/>
                <w:szCs w:val="20"/>
              </w:rPr>
            </w:pPr>
            <w:r>
              <w:rPr>
                <w:rFonts w:asciiTheme="minorHAnsi" w:hAnsiTheme="minorHAnsi" w:cstheme="minorHAnsi"/>
                <w:szCs w:val="20"/>
              </w:rPr>
              <w:t>St Joseph’s School NORTHAM</w:t>
            </w:r>
          </w:p>
        </w:tc>
        <w:tc>
          <w:tcPr>
            <w:tcW w:w="630" w:type="pct"/>
            <w:vAlign w:val="center"/>
          </w:tcPr>
          <w:p w14:paraId="2F0C5740" w14:textId="7F878F9F" w:rsidR="00BA07FB"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$14,928</w:t>
            </w:r>
          </w:p>
        </w:tc>
        <w:tc>
          <w:tcPr>
            <w:tcW w:w="630" w:type="pct"/>
            <w:vAlign w:val="center"/>
          </w:tcPr>
          <w:p w14:paraId="077BFB02" w14:textId="605E4BDE" w:rsidR="00BA07FB"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$14,045</w:t>
            </w:r>
          </w:p>
        </w:tc>
        <w:tc>
          <w:tcPr>
            <w:tcW w:w="629" w:type="pct"/>
            <w:vAlign w:val="center"/>
          </w:tcPr>
          <w:p w14:paraId="3A593D84" w14:textId="696D1CC4" w:rsidR="00BA07FB"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$14,466</w:t>
            </w:r>
          </w:p>
        </w:tc>
        <w:tc>
          <w:tcPr>
            <w:tcW w:w="629" w:type="pct"/>
            <w:vAlign w:val="center"/>
          </w:tcPr>
          <w:p w14:paraId="0C99B6DD" w14:textId="317428DC" w:rsidR="00BA07FB"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$14,900</w:t>
            </w:r>
          </w:p>
        </w:tc>
      </w:tr>
      <w:tr w:rsidR="00701ED8" w:rsidRPr="00A64432" w14:paraId="774490DD" w14:textId="77777777" w:rsidTr="00B54B8D">
        <w:trPr>
          <w:trHeight w:val="143"/>
        </w:trPr>
        <w:tc>
          <w:tcPr>
            <w:tcW w:w="389" w:type="pct"/>
            <w:vAlign w:val="center"/>
          </w:tcPr>
          <w:p w14:paraId="034BB07E" w14:textId="433F975D"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16457</w:t>
            </w:r>
          </w:p>
        </w:tc>
        <w:tc>
          <w:tcPr>
            <w:tcW w:w="2093" w:type="pct"/>
          </w:tcPr>
          <w:p w14:paraId="09BE968D"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St Mary's College BROOME</w:t>
            </w:r>
          </w:p>
        </w:tc>
        <w:tc>
          <w:tcPr>
            <w:tcW w:w="630" w:type="pct"/>
            <w:vAlign w:val="center"/>
          </w:tcPr>
          <w:p w14:paraId="6FA26010" w14:textId="586E8D7F"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$6,643 </w:t>
            </w:r>
          </w:p>
        </w:tc>
        <w:tc>
          <w:tcPr>
            <w:tcW w:w="630" w:type="pct"/>
            <w:vAlign w:val="center"/>
          </w:tcPr>
          <w:p w14:paraId="434C42A0" w14:textId="0D024A65"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$13,615 </w:t>
            </w:r>
          </w:p>
        </w:tc>
        <w:tc>
          <w:tcPr>
            <w:tcW w:w="629" w:type="pct"/>
            <w:vAlign w:val="center"/>
          </w:tcPr>
          <w:p w14:paraId="5FA4C712" w14:textId="4A2BE1EA"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$14,023 </w:t>
            </w:r>
          </w:p>
        </w:tc>
        <w:tc>
          <w:tcPr>
            <w:tcW w:w="629" w:type="pct"/>
            <w:vAlign w:val="center"/>
          </w:tcPr>
          <w:p w14:paraId="4F75DA4D" w14:textId="67A41B0F"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CA367B">
              <w:rPr>
                <w:rFonts w:asciiTheme="minorHAnsi" w:hAnsiTheme="minorHAnsi" w:cstheme="minorHAnsi"/>
                <w:color w:val="4472C4" w:themeColor="accent1"/>
                <w:szCs w:val="20"/>
              </w:rPr>
              <w:t xml:space="preserve">$14,444 </w:t>
            </w:r>
          </w:p>
        </w:tc>
      </w:tr>
      <w:tr w:rsidR="00701ED8" w:rsidRPr="00A64432" w14:paraId="2AC1128C" w14:textId="77777777" w:rsidTr="00B54B8D">
        <w:trPr>
          <w:trHeight w:val="143"/>
        </w:trPr>
        <w:tc>
          <w:tcPr>
            <w:tcW w:w="389" w:type="pct"/>
            <w:vAlign w:val="center"/>
          </w:tcPr>
          <w:p w14:paraId="1C7666C6" w14:textId="423100CF"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6831</w:t>
            </w:r>
          </w:p>
        </w:tc>
        <w:tc>
          <w:tcPr>
            <w:tcW w:w="2093" w:type="pct"/>
          </w:tcPr>
          <w:p w14:paraId="05517068"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St Luke's College KARRATHA</w:t>
            </w:r>
          </w:p>
        </w:tc>
        <w:tc>
          <w:tcPr>
            <w:tcW w:w="630" w:type="pct"/>
            <w:vAlign w:val="center"/>
          </w:tcPr>
          <w:p w14:paraId="2051FB48" w14:textId="652DF30E"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3331F4">
              <w:rPr>
                <w:rFonts w:asciiTheme="minorHAnsi" w:hAnsiTheme="minorHAnsi" w:cstheme="minorHAnsi"/>
                <w:color w:val="4472C4" w:themeColor="accent1"/>
                <w:szCs w:val="20"/>
              </w:rPr>
              <w:t xml:space="preserve">$8,105 </w:t>
            </w:r>
          </w:p>
        </w:tc>
        <w:tc>
          <w:tcPr>
            <w:tcW w:w="630" w:type="pct"/>
            <w:vAlign w:val="center"/>
          </w:tcPr>
          <w:p w14:paraId="0421C729" w14:textId="27080A19"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3331F4">
              <w:rPr>
                <w:rFonts w:asciiTheme="minorHAnsi" w:hAnsiTheme="minorHAnsi" w:cstheme="minorHAnsi"/>
                <w:color w:val="4472C4" w:themeColor="accent1"/>
                <w:szCs w:val="20"/>
              </w:rPr>
              <w:t xml:space="preserve">$14,685 </w:t>
            </w:r>
          </w:p>
        </w:tc>
        <w:tc>
          <w:tcPr>
            <w:tcW w:w="629" w:type="pct"/>
            <w:vAlign w:val="center"/>
          </w:tcPr>
          <w:p w14:paraId="1EE226BF" w14:textId="060D06D2"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3331F4">
              <w:rPr>
                <w:rFonts w:asciiTheme="minorHAnsi" w:hAnsiTheme="minorHAnsi" w:cstheme="minorHAnsi"/>
                <w:color w:val="4472C4" w:themeColor="accent1"/>
                <w:szCs w:val="20"/>
              </w:rPr>
              <w:t xml:space="preserve">$15,126 </w:t>
            </w:r>
          </w:p>
        </w:tc>
        <w:tc>
          <w:tcPr>
            <w:tcW w:w="629" w:type="pct"/>
            <w:vAlign w:val="center"/>
          </w:tcPr>
          <w:p w14:paraId="64F51F5D" w14:textId="3B87F667"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3331F4">
              <w:rPr>
                <w:rFonts w:asciiTheme="minorHAnsi" w:hAnsiTheme="minorHAnsi" w:cstheme="minorHAnsi"/>
                <w:color w:val="4472C4" w:themeColor="accent1"/>
                <w:szCs w:val="20"/>
              </w:rPr>
              <w:t xml:space="preserve">$15,579 </w:t>
            </w:r>
          </w:p>
        </w:tc>
      </w:tr>
      <w:tr w:rsidR="00701ED8" w:rsidRPr="00A64432" w14:paraId="70973CBA" w14:textId="77777777" w:rsidTr="00B54B8D">
        <w:trPr>
          <w:trHeight w:val="143"/>
        </w:trPr>
        <w:tc>
          <w:tcPr>
            <w:tcW w:w="389" w:type="pct"/>
            <w:vAlign w:val="center"/>
          </w:tcPr>
          <w:p w14:paraId="4BF13D94" w14:textId="22E7CA41"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206</w:t>
            </w:r>
          </w:p>
        </w:tc>
        <w:tc>
          <w:tcPr>
            <w:tcW w:w="2093" w:type="pct"/>
          </w:tcPr>
          <w:p w14:paraId="00D443DE"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St Mary Star of the Sea Catholic School CARNARVON</w:t>
            </w:r>
          </w:p>
        </w:tc>
        <w:tc>
          <w:tcPr>
            <w:tcW w:w="630" w:type="pct"/>
            <w:vAlign w:val="center"/>
          </w:tcPr>
          <w:p w14:paraId="6A3C3ABE" w14:textId="0EFED992"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3331F4">
              <w:rPr>
                <w:rFonts w:asciiTheme="minorHAnsi" w:hAnsiTheme="minorHAnsi" w:cstheme="minorHAnsi"/>
                <w:color w:val="4472C4" w:themeColor="accent1"/>
                <w:szCs w:val="20"/>
              </w:rPr>
              <w:t xml:space="preserve">$7,361 </w:t>
            </w:r>
          </w:p>
        </w:tc>
        <w:tc>
          <w:tcPr>
            <w:tcW w:w="630" w:type="pct"/>
            <w:vAlign w:val="center"/>
          </w:tcPr>
          <w:p w14:paraId="23A6737A" w14:textId="445C995A"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3331F4">
              <w:rPr>
                <w:rFonts w:asciiTheme="minorHAnsi" w:hAnsiTheme="minorHAnsi" w:cstheme="minorHAnsi"/>
                <w:color w:val="4472C4" w:themeColor="accent1"/>
                <w:szCs w:val="20"/>
              </w:rPr>
              <w:t xml:space="preserve">$14,090 </w:t>
            </w:r>
          </w:p>
        </w:tc>
        <w:tc>
          <w:tcPr>
            <w:tcW w:w="629" w:type="pct"/>
            <w:vAlign w:val="center"/>
          </w:tcPr>
          <w:p w14:paraId="43A8D634" w14:textId="6BB8CD20"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3331F4">
              <w:rPr>
                <w:rFonts w:asciiTheme="minorHAnsi" w:hAnsiTheme="minorHAnsi" w:cstheme="minorHAnsi"/>
                <w:color w:val="4472C4" w:themeColor="accent1"/>
                <w:szCs w:val="20"/>
              </w:rPr>
              <w:t xml:space="preserve">$14,513 </w:t>
            </w:r>
          </w:p>
        </w:tc>
        <w:tc>
          <w:tcPr>
            <w:tcW w:w="629" w:type="pct"/>
            <w:vAlign w:val="center"/>
          </w:tcPr>
          <w:p w14:paraId="3F2E5C49" w14:textId="5A5B9A63"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sidRPr="003331F4">
              <w:rPr>
                <w:rFonts w:asciiTheme="minorHAnsi" w:hAnsiTheme="minorHAnsi" w:cstheme="minorHAnsi"/>
                <w:color w:val="4472C4" w:themeColor="accent1"/>
                <w:szCs w:val="20"/>
              </w:rPr>
              <w:t xml:space="preserve">$14,948 </w:t>
            </w:r>
          </w:p>
        </w:tc>
      </w:tr>
      <w:tr w:rsidR="00701ED8" w:rsidRPr="00A64432" w14:paraId="65598BB1" w14:textId="77777777" w:rsidTr="00B54B8D">
        <w:trPr>
          <w:trHeight w:val="143"/>
        </w:trPr>
        <w:tc>
          <w:tcPr>
            <w:tcW w:w="389" w:type="pct"/>
            <w:vAlign w:val="center"/>
          </w:tcPr>
          <w:p w14:paraId="75018E19" w14:textId="5767DF39" w:rsidR="00BA07FB" w:rsidRPr="003C3B97" w:rsidRDefault="00BA07FB" w:rsidP="00190923">
            <w:pPr>
              <w:spacing w:before="0" w:after="0" w:line="240" w:lineRule="auto"/>
              <w:rPr>
                <w:rFonts w:asciiTheme="minorHAnsi" w:hAnsiTheme="minorHAnsi" w:cstheme="minorHAnsi"/>
                <w:szCs w:val="20"/>
              </w:rPr>
            </w:pPr>
            <w:r>
              <w:rPr>
                <w:rFonts w:asciiTheme="minorHAnsi" w:hAnsiTheme="minorHAnsi" w:cstheme="minorHAnsi"/>
                <w:szCs w:val="20"/>
              </w:rPr>
              <w:t>13634</w:t>
            </w:r>
          </w:p>
        </w:tc>
        <w:tc>
          <w:tcPr>
            <w:tcW w:w="2093" w:type="pct"/>
          </w:tcPr>
          <w:p w14:paraId="57B54FE3" w14:textId="77777777" w:rsidR="00BA07FB" w:rsidRPr="000F4117" w:rsidRDefault="00BA07FB" w:rsidP="00BA07FB">
            <w:pPr>
              <w:spacing w:before="0" w:after="0" w:line="240" w:lineRule="auto"/>
              <w:rPr>
                <w:rFonts w:asciiTheme="minorHAnsi" w:hAnsiTheme="minorHAnsi" w:cstheme="minorHAnsi"/>
                <w:szCs w:val="20"/>
              </w:rPr>
            </w:pPr>
            <w:r w:rsidRPr="000F4117">
              <w:rPr>
                <w:rFonts w:asciiTheme="minorHAnsi" w:hAnsiTheme="minorHAnsi" w:cstheme="minorHAnsi"/>
                <w:szCs w:val="20"/>
              </w:rPr>
              <w:t>Seton Catholic College SAMSON</w:t>
            </w:r>
          </w:p>
        </w:tc>
        <w:tc>
          <w:tcPr>
            <w:tcW w:w="630" w:type="pct"/>
            <w:vAlign w:val="center"/>
          </w:tcPr>
          <w:p w14:paraId="61C6AC93" w14:textId="2EC1156E"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$369,048</w:t>
            </w:r>
          </w:p>
        </w:tc>
        <w:tc>
          <w:tcPr>
            <w:tcW w:w="630" w:type="pct"/>
            <w:vAlign w:val="center"/>
          </w:tcPr>
          <w:p w14:paraId="1DD77FF0" w14:textId="7505DCFE"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$2,000</w:t>
            </w:r>
          </w:p>
        </w:tc>
        <w:tc>
          <w:tcPr>
            <w:tcW w:w="629" w:type="pct"/>
            <w:vAlign w:val="center"/>
          </w:tcPr>
          <w:p w14:paraId="6F53C951" w14:textId="4A6F80C1"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$2,060</w:t>
            </w:r>
          </w:p>
        </w:tc>
        <w:tc>
          <w:tcPr>
            <w:tcW w:w="629" w:type="pct"/>
            <w:vAlign w:val="center"/>
          </w:tcPr>
          <w:p w14:paraId="7C5F0BED" w14:textId="3B7F80C2" w:rsidR="00BA07FB" w:rsidRPr="00371F31"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$2,122</w:t>
            </w:r>
          </w:p>
        </w:tc>
      </w:tr>
      <w:tr w:rsidR="00701ED8" w:rsidRPr="00A64432" w14:paraId="3E49390B" w14:textId="77777777" w:rsidTr="00701ED8">
        <w:trPr>
          <w:trHeight w:val="143"/>
        </w:trPr>
        <w:tc>
          <w:tcPr>
            <w:tcW w:w="389" w:type="pct"/>
          </w:tcPr>
          <w:p w14:paraId="3B579747" w14:textId="77777777" w:rsidR="00BA07FB" w:rsidRDefault="00BA07FB" w:rsidP="00BA07FB">
            <w:pPr>
              <w:spacing w:before="0" w:after="0" w:line="240" w:lineRule="auto"/>
              <w:rPr>
                <w:rFonts w:asciiTheme="minorHAnsi" w:hAnsiTheme="minorHAnsi" w:cstheme="minorHAnsi"/>
                <w:szCs w:val="20"/>
              </w:rPr>
            </w:pPr>
          </w:p>
        </w:tc>
        <w:tc>
          <w:tcPr>
            <w:tcW w:w="2093" w:type="pct"/>
          </w:tcPr>
          <w:p w14:paraId="2A53417B" w14:textId="44019D26" w:rsidR="00BA07FB" w:rsidRPr="000F4117" w:rsidRDefault="00BA07FB" w:rsidP="00BA07FB">
            <w:pPr>
              <w:spacing w:before="0" w:after="0" w:line="240" w:lineRule="auto"/>
              <w:rPr>
                <w:rFonts w:asciiTheme="minorHAnsi" w:hAnsiTheme="minorHAnsi" w:cstheme="minorHAnsi"/>
                <w:szCs w:val="20"/>
              </w:rPr>
            </w:pPr>
            <w:r>
              <w:rPr>
                <w:rFonts w:asciiTheme="minorHAnsi" w:hAnsiTheme="minorHAnsi" w:cstheme="minorHAnsi"/>
                <w:szCs w:val="20"/>
              </w:rPr>
              <w:t>Eligible CEWA Schools (To be Confirmed)</w:t>
            </w:r>
          </w:p>
        </w:tc>
        <w:tc>
          <w:tcPr>
            <w:tcW w:w="630" w:type="pct"/>
            <w:vAlign w:val="center"/>
          </w:tcPr>
          <w:p w14:paraId="5703D87C" w14:textId="15D56B68" w:rsidR="00BA07FB"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$131,905</w:t>
            </w:r>
          </w:p>
        </w:tc>
        <w:tc>
          <w:tcPr>
            <w:tcW w:w="630" w:type="pct"/>
            <w:vAlign w:val="center"/>
          </w:tcPr>
          <w:p w14:paraId="4994EDDB" w14:textId="320DCEC7" w:rsidR="00BA07FB"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29" w:type="pct"/>
            <w:vAlign w:val="center"/>
          </w:tcPr>
          <w:p w14:paraId="7175B81B" w14:textId="7CED9C34" w:rsidR="00BA07FB"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629" w:type="pct"/>
            <w:vAlign w:val="center"/>
          </w:tcPr>
          <w:p w14:paraId="4C24E3F0" w14:textId="6EEBC07F" w:rsidR="00BA07FB" w:rsidRDefault="00BA07FB"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r>
      <w:tr w:rsidR="00701ED8" w:rsidRPr="00A64432" w14:paraId="3A19550E" w14:textId="77777777" w:rsidTr="00B54B8D">
        <w:trPr>
          <w:trHeight w:val="143"/>
        </w:trPr>
        <w:tc>
          <w:tcPr>
            <w:tcW w:w="389" w:type="pct"/>
          </w:tcPr>
          <w:p w14:paraId="1E9E45E0" w14:textId="77777777" w:rsidR="00BA07FB" w:rsidRPr="003C3B97" w:rsidRDefault="00BA07FB" w:rsidP="00BA07FB">
            <w:pPr>
              <w:spacing w:before="0" w:after="0" w:line="240" w:lineRule="auto"/>
              <w:jc w:val="center"/>
              <w:rPr>
                <w:rFonts w:asciiTheme="minorHAnsi" w:hAnsiTheme="minorHAnsi" w:cstheme="minorHAnsi"/>
                <w:szCs w:val="20"/>
              </w:rPr>
            </w:pPr>
          </w:p>
        </w:tc>
        <w:tc>
          <w:tcPr>
            <w:tcW w:w="2093" w:type="pct"/>
          </w:tcPr>
          <w:p w14:paraId="38EB639A" w14:textId="1A75E0B5" w:rsidR="00BA07FB" w:rsidRPr="00A64432" w:rsidRDefault="00BA07FB" w:rsidP="00BA07FB">
            <w:pPr>
              <w:spacing w:before="0" w:after="0" w:line="240" w:lineRule="auto"/>
              <w:rPr>
                <w:rFonts w:asciiTheme="minorHAnsi" w:hAnsiTheme="minorHAnsi" w:cstheme="minorHAnsi"/>
                <w:sz w:val="18"/>
                <w:szCs w:val="18"/>
              </w:rPr>
            </w:pPr>
          </w:p>
        </w:tc>
        <w:tc>
          <w:tcPr>
            <w:tcW w:w="630" w:type="pct"/>
            <w:vAlign w:val="center"/>
          </w:tcPr>
          <w:p w14:paraId="3958D623" w14:textId="0767FA19" w:rsidR="00BA07FB" w:rsidRPr="000F4117" w:rsidRDefault="00BA07FB" w:rsidP="00B54B8D">
            <w:pPr>
              <w:spacing w:before="0" w:after="0" w:line="240" w:lineRule="auto"/>
              <w:jc w:val="center"/>
              <w:rPr>
                <w:rFonts w:asciiTheme="minorHAnsi" w:hAnsiTheme="minorHAnsi" w:cstheme="minorHAnsi"/>
                <w:b/>
                <w:bCs/>
                <w:color w:val="4472C4" w:themeColor="accent1"/>
                <w:sz w:val="18"/>
                <w:szCs w:val="18"/>
              </w:rPr>
            </w:pPr>
            <w:r w:rsidRPr="000F4117">
              <w:rPr>
                <w:rFonts w:asciiTheme="minorHAnsi" w:hAnsiTheme="minorHAnsi" w:cstheme="minorHAnsi"/>
                <w:b/>
                <w:bCs/>
                <w:color w:val="4472C4" w:themeColor="accent1"/>
                <w:sz w:val="18"/>
                <w:szCs w:val="18"/>
              </w:rPr>
              <w:t>$1,</w:t>
            </w:r>
            <w:r>
              <w:rPr>
                <w:rFonts w:asciiTheme="minorHAnsi" w:hAnsiTheme="minorHAnsi" w:cstheme="minorHAnsi"/>
                <w:b/>
                <w:bCs/>
                <w:color w:val="4472C4" w:themeColor="accent1"/>
                <w:sz w:val="18"/>
                <w:szCs w:val="18"/>
              </w:rPr>
              <w:t>361,106</w:t>
            </w:r>
          </w:p>
        </w:tc>
        <w:tc>
          <w:tcPr>
            <w:tcW w:w="630" w:type="pct"/>
            <w:vAlign w:val="center"/>
          </w:tcPr>
          <w:p w14:paraId="201BCDF0" w14:textId="7B7950E7" w:rsidR="00BA07FB" w:rsidRPr="000F4117" w:rsidRDefault="00BA07FB" w:rsidP="00B54B8D">
            <w:pPr>
              <w:spacing w:before="0" w:after="0" w:line="240" w:lineRule="auto"/>
              <w:jc w:val="center"/>
              <w:rPr>
                <w:rFonts w:asciiTheme="minorHAnsi" w:hAnsiTheme="minorHAnsi" w:cstheme="minorHAnsi"/>
                <w:b/>
                <w:bCs/>
                <w:color w:val="4472C4" w:themeColor="accent1"/>
                <w:sz w:val="18"/>
                <w:szCs w:val="18"/>
              </w:rPr>
            </w:pPr>
            <w:r w:rsidRPr="000F4117">
              <w:rPr>
                <w:rFonts w:asciiTheme="minorHAnsi" w:hAnsiTheme="minorHAnsi" w:cstheme="minorHAnsi"/>
                <w:b/>
                <w:bCs/>
                <w:color w:val="4472C4" w:themeColor="accent1"/>
                <w:sz w:val="18"/>
                <w:szCs w:val="18"/>
              </w:rPr>
              <w:t>$</w:t>
            </w:r>
            <w:r>
              <w:rPr>
                <w:rFonts w:asciiTheme="minorHAnsi" w:hAnsiTheme="minorHAnsi" w:cstheme="minorHAnsi"/>
                <w:b/>
                <w:bCs/>
                <w:color w:val="4472C4" w:themeColor="accent1"/>
                <w:sz w:val="18"/>
                <w:szCs w:val="18"/>
              </w:rPr>
              <w:t>1,126,724</w:t>
            </w:r>
          </w:p>
        </w:tc>
        <w:tc>
          <w:tcPr>
            <w:tcW w:w="629" w:type="pct"/>
            <w:vAlign w:val="center"/>
          </w:tcPr>
          <w:p w14:paraId="65B84621" w14:textId="3D97DECD" w:rsidR="00BA07FB" w:rsidRPr="000F4117" w:rsidRDefault="00BA07FB" w:rsidP="00B54B8D">
            <w:pPr>
              <w:spacing w:before="0" w:after="0" w:line="240" w:lineRule="auto"/>
              <w:jc w:val="center"/>
              <w:rPr>
                <w:rFonts w:asciiTheme="minorHAnsi" w:hAnsiTheme="minorHAnsi" w:cstheme="minorHAnsi"/>
                <w:b/>
                <w:bCs/>
                <w:color w:val="4472C4" w:themeColor="accent1"/>
                <w:sz w:val="18"/>
                <w:szCs w:val="18"/>
              </w:rPr>
            </w:pPr>
            <w:r w:rsidRPr="000F4117">
              <w:rPr>
                <w:rFonts w:asciiTheme="minorHAnsi" w:hAnsiTheme="minorHAnsi" w:cstheme="minorHAnsi"/>
                <w:b/>
                <w:bCs/>
                <w:color w:val="4472C4" w:themeColor="accent1"/>
                <w:sz w:val="18"/>
                <w:szCs w:val="18"/>
              </w:rPr>
              <w:t>$</w:t>
            </w:r>
            <w:r>
              <w:rPr>
                <w:rFonts w:asciiTheme="minorHAnsi" w:hAnsiTheme="minorHAnsi" w:cstheme="minorHAnsi"/>
                <w:b/>
                <w:bCs/>
                <w:color w:val="4472C4" w:themeColor="accent1"/>
                <w:sz w:val="18"/>
                <w:szCs w:val="18"/>
              </w:rPr>
              <w:t>1,160,528</w:t>
            </w:r>
          </w:p>
        </w:tc>
        <w:tc>
          <w:tcPr>
            <w:tcW w:w="629" w:type="pct"/>
            <w:vAlign w:val="center"/>
          </w:tcPr>
          <w:p w14:paraId="696746F0" w14:textId="0F23A215" w:rsidR="00BA07FB" w:rsidRPr="000F4117" w:rsidRDefault="00BA07FB" w:rsidP="00B54B8D">
            <w:pPr>
              <w:spacing w:before="0" w:after="0" w:line="240" w:lineRule="auto"/>
              <w:jc w:val="center"/>
              <w:rPr>
                <w:rFonts w:asciiTheme="minorHAnsi" w:hAnsiTheme="minorHAnsi" w:cstheme="minorHAnsi"/>
                <w:b/>
                <w:bCs/>
                <w:color w:val="4472C4" w:themeColor="accent1"/>
                <w:sz w:val="18"/>
                <w:szCs w:val="18"/>
              </w:rPr>
            </w:pPr>
            <w:r w:rsidRPr="000F4117">
              <w:rPr>
                <w:rFonts w:asciiTheme="minorHAnsi" w:hAnsiTheme="minorHAnsi" w:cstheme="minorHAnsi"/>
                <w:b/>
                <w:bCs/>
                <w:color w:val="4472C4" w:themeColor="accent1"/>
                <w:sz w:val="18"/>
                <w:szCs w:val="18"/>
              </w:rPr>
              <w:t>$</w:t>
            </w:r>
            <w:r>
              <w:rPr>
                <w:rFonts w:asciiTheme="minorHAnsi" w:hAnsiTheme="minorHAnsi" w:cstheme="minorHAnsi"/>
                <w:b/>
                <w:bCs/>
                <w:color w:val="4472C4" w:themeColor="accent1"/>
                <w:sz w:val="18"/>
                <w:szCs w:val="18"/>
              </w:rPr>
              <w:t>1,195,340</w:t>
            </w:r>
          </w:p>
        </w:tc>
      </w:tr>
    </w:tbl>
    <w:p w14:paraId="59358987" w14:textId="75E9F4A1" w:rsidR="00A64432" w:rsidRDefault="00A64432" w:rsidP="00321099">
      <w:pPr>
        <w:rPr>
          <w:rFonts w:asciiTheme="minorHAnsi" w:hAnsiTheme="minorHAnsi" w:cstheme="minorHAnsi"/>
          <w:b/>
          <w:bCs/>
          <w:sz w:val="22"/>
          <w:szCs w:val="22"/>
        </w:rPr>
      </w:pPr>
    </w:p>
    <w:p w14:paraId="2DA1AA49" w14:textId="77777777" w:rsidR="00F33663" w:rsidRDefault="00F33663" w:rsidP="00321099">
      <w:pPr>
        <w:rPr>
          <w:rFonts w:asciiTheme="minorHAnsi" w:hAnsiTheme="minorHAnsi" w:cstheme="minorHAnsi"/>
          <w:b/>
          <w:bCs/>
          <w:sz w:val="22"/>
          <w:szCs w:val="22"/>
        </w:rPr>
      </w:pPr>
    </w:p>
    <w:p w14:paraId="7AAF1AC2" w14:textId="77777777" w:rsidR="00F33663" w:rsidRDefault="00F33663" w:rsidP="00321099">
      <w:pPr>
        <w:rPr>
          <w:rFonts w:asciiTheme="minorHAnsi" w:hAnsiTheme="minorHAnsi" w:cstheme="minorHAnsi"/>
          <w:b/>
          <w:bCs/>
          <w:sz w:val="22"/>
          <w:szCs w:val="22"/>
        </w:rPr>
      </w:pPr>
    </w:p>
    <w:p w14:paraId="345AB06E" w14:textId="23DC3B81" w:rsidR="00F33663" w:rsidRDefault="00F33663" w:rsidP="00321099">
      <w:pPr>
        <w:rPr>
          <w:rFonts w:asciiTheme="minorHAnsi" w:hAnsiTheme="minorHAnsi" w:cstheme="minorHAnsi"/>
          <w:b/>
          <w:bCs/>
          <w:sz w:val="22"/>
          <w:szCs w:val="22"/>
        </w:rPr>
      </w:pPr>
    </w:p>
    <w:p w14:paraId="52E38A25" w14:textId="77777777" w:rsidR="00033510" w:rsidRDefault="00033510" w:rsidP="00321099">
      <w:pPr>
        <w:rPr>
          <w:rFonts w:asciiTheme="minorHAnsi" w:hAnsiTheme="minorHAnsi" w:cstheme="minorHAnsi"/>
          <w:b/>
          <w:bCs/>
          <w:sz w:val="22"/>
          <w:szCs w:val="22"/>
        </w:rPr>
      </w:pPr>
    </w:p>
    <w:p w14:paraId="186D868E" w14:textId="582644CF" w:rsidR="004E6388" w:rsidRDefault="004E6388" w:rsidP="00321099">
      <w:pPr>
        <w:rPr>
          <w:rFonts w:asciiTheme="minorHAnsi" w:hAnsiTheme="minorHAnsi" w:cstheme="minorHAnsi"/>
          <w:b/>
          <w:bCs/>
          <w:sz w:val="22"/>
          <w:szCs w:val="22"/>
        </w:rPr>
      </w:pPr>
    </w:p>
    <w:p w14:paraId="4F2A9B5B" w14:textId="4085512E" w:rsidR="00B01BAD" w:rsidRDefault="00B01BAD" w:rsidP="00321099">
      <w:pPr>
        <w:rPr>
          <w:rFonts w:asciiTheme="minorHAnsi" w:hAnsiTheme="minorHAnsi" w:cstheme="minorHAnsi"/>
          <w:b/>
          <w:bCs/>
          <w:sz w:val="22"/>
          <w:szCs w:val="22"/>
        </w:rPr>
      </w:pPr>
    </w:p>
    <w:p w14:paraId="558838D0" w14:textId="7ED7EDEA" w:rsidR="00B01BAD" w:rsidRDefault="00B01BAD" w:rsidP="00321099">
      <w:pPr>
        <w:rPr>
          <w:rFonts w:asciiTheme="minorHAnsi" w:hAnsiTheme="minorHAnsi" w:cstheme="minorHAnsi"/>
          <w:b/>
          <w:bCs/>
          <w:sz w:val="22"/>
          <w:szCs w:val="22"/>
        </w:rPr>
      </w:pPr>
    </w:p>
    <w:p w14:paraId="3CCF1ED2" w14:textId="02835D77" w:rsidR="00B01BAD" w:rsidRDefault="00B01BAD" w:rsidP="00321099">
      <w:pPr>
        <w:rPr>
          <w:rFonts w:asciiTheme="minorHAnsi" w:hAnsiTheme="minorHAnsi" w:cstheme="minorHAnsi"/>
          <w:b/>
          <w:bCs/>
          <w:sz w:val="22"/>
          <w:szCs w:val="22"/>
        </w:rPr>
      </w:pPr>
    </w:p>
    <w:p w14:paraId="04A550F6" w14:textId="104A25DA" w:rsidR="00B01BAD" w:rsidRDefault="00B01BAD" w:rsidP="00321099">
      <w:pPr>
        <w:rPr>
          <w:rFonts w:asciiTheme="minorHAnsi" w:hAnsiTheme="minorHAnsi" w:cstheme="minorHAnsi"/>
          <w:b/>
          <w:bCs/>
          <w:sz w:val="22"/>
          <w:szCs w:val="22"/>
        </w:rPr>
      </w:pPr>
    </w:p>
    <w:p w14:paraId="079ADC90" w14:textId="25E21179" w:rsidR="00B01BAD" w:rsidRDefault="00B01BAD" w:rsidP="00321099">
      <w:pPr>
        <w:rPr>
          <w:rFonts w:asciiTheme="minorHAnsi" w:hAnsiTheme="minorHAnsi" w:cstheme="minorHAnsi"/>
          <w:b/>
          <w:bCs/>
          <w:sz w:val="22"/>
          <w:szCs w:val="22"/>
        </w:rPr>
      </w:pPr>
    </w:p>
    <w:p w14:paraId="6CC51CF4" w14:textId="77777777" w:rsidR="00B01BAD" w:rsidRDefault="00B01BAD" w:rsidP="00321099">
      <w:pPr>
        <w:rPr>
          <w:rFonts w:asciiTheme="minorHAnsi" w:hAnsiTheme="minorHAnsi" w:cstheme="minorHAnsi"/>
          <w:b/>
          <w:bCs/>
          <w:sz w:val="22"/>
          <w:szCs w:val="22"/>
        </w:rPr>
      </w:pPr>
    </w:p>
    <w:p w14:paraId="6E86BBB8" w14:textId="5C74AAF6" w:rsidR="00F33663" w:rsidRDefault="00321099" w:rsidP="00321099">
      <w:pPr>
        <w:rPr>
          <w:rFonts w:asciiTheme="minorHAnsi" w:hAnsiTheme="minorHAnsi" w:cstheme="minorHAnsi"/>
          <w:b/>
          <w:bCs/>
          <w:sz w:val="22"/>
          <w:szCs w:val="22"/>
        </w:rPr>
      </w:pPr>
      <w:r w:rsidRPr="00953910">
        <w:rPr>
          <w:rFonts w:asciiTheme="minorHAnsi" w:hAnsiTheme="minorHAnsi" w:cstheme="minorHAnsi"/>
          <w:b/>
          <w:bCs/>
          <w:sz w:val="22"/>
          <w:szCs w:val="22"/>
        </w:rPr>
        <w:lastRenderedPageBreak/>
        <w:t>Priority B – Transition Assistance</w:t>
      </w:r>
    </w:p>
    <w:tbl>
      <w:tblPr>
        <w:tblStyle w:val="TableGrid"/>
        <w:tblW w:w="0" w:type="auto"/>
        <w:tblInd w:w="0" w:type="dxa"/>
        <w:tblBorders>
          <w:insideV w:val="none" w:sz="0" w:space="0" w:color="auto"/>
        </w:tblBorders>
        <w:tblLayout w:type="fixed"/>
        <w:tblLook w:val="04A0" w:firstRow="1" w:lastRow="0" w:firstColumn="1" w:lastColumn="0" w:noHBand="0" w:noVBand="1"/>
      </w:tblPr>
      <w:tblGrid>
        <w:gridCol w:w="913"/>
        <w:gridCol w:w="4252"/>
        <w:gridCol w:w="1304"/>
        <w:gridCol w:w="1304"/>
        <w:gridCol w:w="1304"/>
        <w:gridCol w:w="1304"/>
      </w:tblGrid>
      <w:tr w:rsidR="00C45EA6" w:rsidRPr="00953910" w14:paraId="46607B29" w14:textId="77777777" w:rsidTr="00B54B8D">
        <w:trPr>
          <w:trHeight w:val="152"/>
        </w:trPr>
        <w:tc>
          <w:tcPr>
            <w:tcW w:w="913" w:type="dxa"/>
            <w:shd w:val="clear" w:color="auto" w:fill="B4C6E7" w:themeFill="accent1" w:themeFillTint="66"/>
          </w:tcPr>
          <w:p w14:paraId="7606C04D" w14:textId="77777777" w:rsidR="00341A8B" w:rsidRPr="003D354F" w:rsidRDefault="00341A8B" w:rsidP="00C67F01">
            <w:pPr>
              <w:spacing w:line="240" w:lineRule="auto"/>
              <w:rPr>
                <w:rFonts w:asciiTheme="minorHAnsi" w:hAnsiTheme="minorHAnsi" w:cstheme="minorHAnsi"/>
                <w:b/>
                <w:bCs/>
                <w:szCs w:val="20"/>
              </w:rPr>
            </w:pPr>
            <w:r w:rsidRPr="003D354F">
              <w:rPr>
                <w:rFonts w:asciiTheme="minorHAnsi" w:hAnsiTheme="minorHAnsi" w:cstheme="minorHAnsi"/>
                <w:b/>
                <w:bCs/>
                <w:szCs w:val="20"/>
              </w:rPr>
              <w:t>AGEID</w:t>
            </w:r>
          </w:p>
        </w:tc>
        <w:tc>
          <w:tcPr>
            <w:tcW w:w="4252" w:type="dxa"/>
            <w:shd w:val="clear" w:color="auto" w:fill="B4C6E7" w:themeFill="accent1" w:themeFillTint="66"/>
            <w:vAlign w:val="center"/>
          </w:tcPr>
          <w:p w14:paraId="7C0C490C" w14:textId="77777777" w:rsidR="00341A8B" w:rsidRPr="003D354F" w:rsidRDefault="00341A8B" w:rsidP="008A5187">
            <w:pPr>
              <w:spacing w:line="240" w:lineRule="auto"/>
              <w:rPr>
                <w:rFonts w:asciiTheme="minorHAnsi" w:hAnsiTheme="minorHAnsi" w:cstheme="minorHAnsi"/>
                <w:b/>
                <w:bCs/>
                <w:szCs w:val="20"/>
              </w:rPr>
            </w:pPr>
            <w:r w:rsidRPr="003D354F">
              <w:rPr>
                <w:rFonts w:asciiTheme="minorHAnsi" w:hAnsiTheme="minorHAnsi" w:cstheme="minorHAnsi"/>
                <w:b/>
                <w:bCs/>
                <w:szCs w:val="20"/>
              </w:rPr>
              <w:t>School Name</w:t>
            </w:r>
          </w:p>
        </w:tc>
        <w:tc>
          <w:tcPr>
            <w:tcW w:w="1304" w:type="dxa"/>
            <w:shd w:val="clear" w:color="auto" w:fill="B4C6E7" w:themeFill="accent1" w:themeFillTint="66"/>
          </w:tcPr>
          <w:p w14:paraId="7E5B53F5" w14:textId="77777777" w:rsidR="00341A8B" w:rsidRPr="003D354F" w:rsidRDefault="00341A8B" w:rsidP="00115319">
            <w:pPr>
              <w:jc w:val="center"/>
              <w:rPr>
                <w:rFonts w:asciiTheme="minorHAnsi" w:hAnsiTheme="minorHAnsi" w:cstheme="minorHAnsi"/>
                <w:b/>
                <w:bCs/>
                <w:szCs w:val="20"/>
              </w:rPr>
            </w:pPr>
            <w:r w:rsidRPr="003D354F">
              <w:rPr>
                <w:rFonts w:asciiTheme="minorHAnsi" w:hAnsiTheme="minorHAnsi" w:cstheme="minorHAnsi"/>
                <w:b/>
                <w:bCs/>
                <w:szCs w:val="20"/>
              </w:rPr>
              <w:t>2022</w:t>
            </w:r>
          </w:p>
        </w:tc>
        <w:tc>
          <w:tcPr>
            <w:tcW w:w="1304" w:type="dxa"/>
            <w:shd w:val="clear" w:color="auto" w:fill="B4C6E7" w:themeFill="accent1" w:themeFillTint="66"/>
          </w:tcPr>
          <w:p w14:paraId="10B0CEED" w14:textId="77777777" w:rsidR="00341A8B" w:rsidRPr="003D354F" w:rsidRDefault="00341A8B" w:rsidP="00115319">
            <w:pPr>
              <w:jc w:val="center"/>
              <w:rPr>
                <w:rFonts w:asciiTheme="minorHAnsi" w:hAnsiTheme="minorHAnsi" w:cstheme="minorHAnsi"/>
                <w:b/>
                <w:bCs/>
                <w:szCs w:val="20"/>
              </w:rPr>
            </w:pPr>
            <w:r w:rsidRPr="003D354F">
              <w:rPr>
                <w:rFonts w:asciiTheme="minorHAnsi" w:hAnsiTheme="minorHAnsi" w:cstheme="minorHAnsi"/>
                <w:b/>
                <w:bCs/>
                <w:szCs w:val="20"/>
              </w:rPr>
              <w:t>2023</w:t>
            </w:r>
          </w:p>
        </w:tc>
        <w:tc>
          <w:tcPr>
            <w:tcW w:w="1304" w:type="dxa"/>
            <w:shd w:val="clear" w:color="auto" w:fill="B4C6E7" w:themeFill="accent1" w:themeFillTint="66"/>
          </w:tcPr>
          <w:p w14:paraId="69FF0362" w14:textId="77777777" w:rsidR="00341A8B" w:rsidRPr="003D354F" w:rsidRDefault="00341A8B" w:rsidP="00115319">
            <w:pPr>
              <w:jc w:val="center"/>
              <w:rPr>
                <w:rFonts w:asciiTheme="minorHAnsi" w:hAnsiTheme="minorHAnsi" w:cstheme="minorHAnsi"/>
                <w:b/>
                <w:bCs/>
                <w:szCs w:val="20"/>
              </w:rPr>
            </w:pPr>
            <w:r w:rsidRPr="003D354F">
              <w:rPr>
                <w:rFonts w:asciiTheme="minorHAnsi" w:hAnsiTheme="minorHAnsi" w:cstheme="minorHAnsi"/>
                <w:b/>
                <w:bCs/>
                <w:szCs w:val="20"/>
              </w:rPr>
              <w:t>2024</w:t>
            </w:r>
          </w:p>
        </w:tc>
        <w:tc>
          <w:tcPr>
            <w:tcW w:w="1304" w:type="dxa"/>
            <w:shd w:val="clear" w:color="auto" w:fill="B4C6E7" w:themeFill="accent1" w:themeFillTint="66"/>
          </w:tcPr>
          <w:p w14:paraId="7731A3A9" w14:textId="77777777" w:rsidR="00341A8B" w:rsidRPr="003D354F" w:rsidRDefault="00341A8B" w:rsidP="00115319">
            <w:pPr>
              <w:jc w:val="center"/>
              <w:rPr>
                <w:rFonts w:asciiTheme="minorHAnsi" w:hAnsiTheme="minorHAnsi" w:cstheme="minorHAnsi"/>
                <w:b/>
                <w:bCs/>
                <w:szCs w:val="20"/>
              </w:rPr>
            </w:pPr>
            <w:r w:rsidRPr="003D354F">
              <w:rPr>
                <w:rFonts w:asciiTheme="minorHAnsi" w:hAnsiTheme="minorHAnsi" w:cstheme="minorHAnsi"/>
                <w:b/>
                <w:bCs/>
                <w:szCs w:val="20"/>
              </w:rPr>
              <w:t>2025</w:t>
            </w:r>
          </w:p>
        </w:tc>
      </w:tr>
      <w:tr w:rsidR="00C45EA6" w:rsidRPr="00953910" w14:paraId="4C985CF4" w14:textId="77777777" w:rsidTr="00B54B8D">
        <w:trPr>
          <w:trHeight w:val="143"/>
        </w:trPr>
        <w:tc>
          <w:tcPr>
            <w:tcW w:w="913" w:type="dxa"/>
            <w:vAlign w:val="center"/>
          </w:tcPr>
          <w:p w14:paraId="7E61BBF7" w14:textId="74597D14" w:rsidR="0079330E" w:rsidRPr="00E33097" w:rsidRDefault="00E33097" w:rsidP="00190923">
            <w:pPr>
              <w:spacing w:before="0" w:after="0" w:line="240" w:lineRule="auto"/>
              <w:rPr>
                <w:rFonts w:asciiTheme="minorHAnsi" w:hAnsiTheme="minorHAnsi" w:cstheme="minorHAnsi"/>
                <w:szCs w:val="20"/>
              </w:rPr>
            </w:pPr>
            <w:r w:rsidRPr="00E33097">
              <w:rPr>
                <w:rFonts w:asciiTheme="minorHAnsi" w:hAnsiTheme="minorHAnsi" w:cstheme="minorHAnsi"/>
                <w:szCs w:val="20"/>
              </w:rPr>
              <w:t>86701</w:t>
            </w:r>
          </w:p>
        </w:tc>
        <w:tc>
          <w:tcPr>
            <w:tcW w:w="4252" w:type="dxa"/>
          </w:tcPr>
          <w:p w14:paraId="0674FE67" w14:textId="452BA5A3" w:rsidR="0079330E" w:rsidRPr="00E33097" w:rsidRDefault="0079330E" w:rsidP="0079330E">
            <w:pPr>
              <w:spacing w:before="0" w:after="0" w:line="240" w:lineRule="auto"/>
              <w:rPr>
                <w:rFonts w:asciiTheme="minorHAnsi" w:hAnsiTheme="minorHAnsi" w:cstheme="minorHAnsi"/>
                <w:szCs w:val="20"/>
              </w:rPr>
            </w:pPr>
            <w:r w:rsidRPr="00E33097">
              <w:rPr>
                <w:rFonts w:asciiTheme="minorHAnsi" w:hAnsiTheme="minorHAnsi" w:cstheme="minorHAnsi"/>
                <w:szCs w:val="20"/>
              </w:rPr>
              <w:t xml:space="preserve">St Martin de </w:t>
            </w:r>
            <w:proofErr w:type="spellStart"/>
            <w:r w:rsidRPr="00E33097">
              <w:rPr>
                <w:rFonts w:asciiTheme="minorHAnsi" w:hAnsiTheme="minorHAnsi" w:cstheme="minorHAnsi"/>
                <w:szCs w:val="20"/>
              </w:rPr>
              <w:t>Porres</w:t>
            </w:r>
            <w:proofErr w:type="spellEnd"/>
            <w:r w:rsidRPr="00E33097">
              <w:rPr>
                <w:rFonts w:asciiTheme="minorHAnsi" w:hAnsiTheme="minorHAnsi" w:cstheme="minorHAnsi"/>
                <w:szCs w:val="20"/>
              </w:rPr>
              <w:t xml:space="preserve"> School BROOME</w:t>
            </w:r>
          </w:p>
        </w:tc>
        <w:tc>
          <w:tcPr>
            <w:tcW w:w="1304" w:type="dxa"/>
            <w:vAlign w:val="center"/>
          </w:tcPr>
          <w:p w14:paraId="515058B5" w14:textId="2883ABCE" w:rsidR="0079330E" w:rsidRPr="00953910" w:rsidRDefault="0079330E" w:rsidP="0079330E">
            <w:pPr>
              <w:spacing w:before="0" w:after="0" w:line="240" w:lineRule="auto"/>
              <w:jc w:val="center"/>
              <w:rPr>
                <w:rFonts w:asciiTheme="minorHAnsi" w:hAnsiTheme="minorHAnsi" w:cstheme="minorHAnsi"/>
                <w:szCs w:val="20"/>
              </w:rPr>
            </w:pPr>
            <w:r>
              <w:rPr>
                <w:rFonts w:asciiTheme="minorHAnsi" w:hAnsiTheme="minorHAnsi" w:cstheme="minorHAnsi"/>
                <w:color w:val="4472C4" w:themeColor="accent1"/>
                <w:szCs w:val="20"/>
              </w:rPr>
              <w:t>$</w:t>
            </w:r>
            <w:r w:rsidRPr="0079330E">
              <w:rPr>
                <w:rFonts w:asciiTheme="minorHAnsi" w:hAnsiTheme="minorHAnsi" w:cstheme="minorHAnsi"/>
                <w:color w:val="4472C4" w:themeColor="accent1"/>
                <w:szCs w:val="20"/>
              </w:rPr>
              <w:t>17</w:t>
            </w:r>
            <w:r>
              <w:rPr>
                <w:rFonts w:asciiTheme="minorHAnsi" w:hAnsiTheme="minorHAnsi" w:cstheme="minorHAnsi"/>
                <w:color w:val="4472C4" w:themeColor="accent1"/>
                <w:szCs w:val="20"/>
              </w:rPr>
              <w:t>,</w:t>
            </w:r>
            <w:r w:rsidRPr="0079330E">
              <w:rPr>
                <w:rFonts w:asciiTheme="minorHAnsi" w:hAnsiTheme="minorHAnsi" w:cstheme="minorHAnsi"/>
                <w:color w:val="4472C4" w:themeColor="accent1"/>
                <w:szCs w:val="20"/>
              </w:rPr>
              <w:t>748</w:t>
            </w:r>
          </w:p>
        </w:tc>
        <w:tc>
          <w:tcPr>
            <w:tcW w:w="1304" w:type="dxa"/>
            <w:vAlign w:val="center"/>
          </w:tcPr>
          <w:p w14:paraId="126806CD" w14:textId="2A371198" w:rsidR="0079330E" w:rsidRPr="00953910" w:rsidRDefault="0079330E" w:rsidP="0079330E">
            <w:pPr>
              <w:spacing w:before="0" w:after="0" w:line="240" w:lineRule="auto"/>
              <w:jc w:val="center"/>
              <w:rPr>
                <w:rFonts w:asciiTheme="minorHAnsi" w:hAnsiTheme="minorHAnsi" w:cstheme="minorHAnsi"/>
                <w:szCs w:val="20"/>
              </w:rPr>
            </w:pPr>
            <w:r>
              <w:rPr>
                <w:rFonts w:asciiTheme="minorHAnsi" w:hAnsiTheme="minorHAnsi" w:cstheme="minorHAnsi"/>
                <w:color w:val="4472C4" w:themeColor="accent1"/>
                <w:szCs w:val="20"/>
              </w:rPr>
              <w:t>$</w:t>
            </w:r>
            <w:r w:rsidRPr="0079330E">
              <w:rPr>
                <w:rFonts w:asciiTheme="minorHAnsi" w:hAnsiTheme="minorHAnsi" w:cstheme="minorHAnsi"/>
                <w:color w:val="4472C4" w:themeColor="accent1"/>
                <w:szCs w:val="20"/>
              </w:rPr>
              <w:t>6</w:t>
            </w:r>
            <w:r>
              <w:rPr>
                <w:rFonts w:asciiTheme="minorHAnsi" w:hAnsiTheme="minorHAnsi" w:cstheme="minorHAnsi"/>
                <w:color w:val="4472C4" w:themeColor="accent1"/>
                <w:szCs w:val="20"/>
              </w:rPr>
              <w:t>,</w:t>
            </w:r>
            <w:r w:rsidRPr="0079330E">
              <w:rPr>
                <w:rFonts w:asciiTheme="minorHAnsi" w:hAnsiTheme="minorHAnsi" w:cstheme="minorHAnsi"/>
                <w:color w:val="4472C4" w:themeColor="accent1"/>
                <w:szCs w:val="20"/>
              </w:rPr>
              <w:t>266</w:t>
            </w:r>
          </w:p>
        </w:tc>
        <w:tc>
          <w:tcPr>
            <w:tcW w:w="1304" w:type="dxa"/>
            <w:vAlign w:val="center"/>
          </w:tcPr>
          <w:p w14:paraId="3BD9A14B" w14:textId="66FF3338" w:rsidR="0079330E" w:rsidRPr="00953910" w:rsidRDefault="0079330E" w:rsidP="0079330E">
            <w:pPr>
              <w:spacing w:before="0" w:after="0" w:line="240" w:lineRule="auto"/>
              <w:jc w:val="center"/>
              <w:rPr>
                <w:rFonts w:asciiTheme="minorHAnsi" w:hAnsiTheme="minorHAnsi" w:cstheme="minorHAnsi"/>
                <w:szCs w:val="20"/>
              </w:rPr>
            </w:pPr>
            <w:r>
              <w:rPr>
                <w:rFonts w:asciiTheme="minorHAnsi" w:hAnsiTheme="minorHAnsi" w:cstheme="minorHAnsi"/>
                <w:color w:val="4472C4" w:themeColor="accent1"/>
                <w:szCs w:val="20"/>
              </w:rPr>
              <w:t>$</w:t>
            </w:r>
            <w:r w:rsidRPr="0079330E">
              <w:rPr>
                <w:rFonts w:asciiTheme="minorHAnsi" w:hAnsiTheme="minorHAnsi" w:cstheme="minorHAnsi"/>
                <w:color w:val="4472C4" w:themeColor="accent1"/>
                <w:szCs w:val="20"/>
              </w:rPr>
              <w:t>6</w:t>
            </w:r>
            <w:r>
              <w:rPr>
                <w:rFonts w:asciiTheme="minorHAnsi" w:hAnsiTheme="minorHAnsi" w:cstheme="minorHAnsi"/>
                <w:color w:val="4472C4" w:themeColor="accent1"/>
                <w:szCs w:val="20"/>
              </w:rPr>
              <w:t>,</w:t>
            </w:r>
            <w:r w:rsidRPr="0079330E">
              <w:rPr>
                <w:rFonts w:asciiTheme="minorHAnsi" w:hAnsiTheme="minorHAnsi" w:cstheme="minorHAnsi"/>
                <w:color w:val="4472C4" w:themeColor="accent1"/>
                <w:szCs w:val="20"/>
              </w:rPr>
              <w:t>454</w:t>
            </w:r>
          </w:p>
        </w:tc>
        <w:tc>
          <w:tcPr>
            <w:tcW w:w="1304" w:type="dxa"/>
          </w:tcPr>
          <w:p w14:paraId="270D8447" w14:textId="7ECEDFBD" w:rsidR="0079330E" w:rsidRPr="00953910" w:rsidRDefault="0079330E" w:rsidP="0079330E">
            <w:pPr>
              <w:spacing w:before="0" w:after="0" w:line="240" w:lineRule="auto"/>
              <w:jc w:val="center"/>
              <w:rPr>
                <w:rFonts w:asciiTheme="minorHAnsi" w:hAnsiTheme="minorHAnsi" w:cstheme="minorHAnsi"/>
                <w:szCs w:val="20"/>
              </w:rPr>
            </w:pPr>
            <w:r>
              <w:rPr>
                <w:rFonts w:asciiTheme="minorHAnsi" w:hAnsiTheme="minorHAnsi" w:cstheme="minorHAnsi"/>
                <w:color w:val="4472C4" w:themeColor="accent1"/>
                <w:szCs w:val="20"/>
              </w:rPr>
              <w:t>$</w:t>
            </w:r>
            <w:r w:rsidRPr="004460AE">
              <w:rPr>
                <w:rFonts w:asciiTheme="minorHAnsi" w:hAnsiTheme="minorHAnsi" w:cstheme="minorHAnsi"/>
                <w:color w:val="4472C4" w:themeColor="accent1"/>
                <w:szCs w:val="20"/>
              </w:rPr>
              <w:t>6,648</w:t>
            </w:r>
          </w:p>
        </w:tc>
      </w:tr>
      <w:tr w:rsidR="00C45EA6" w:rsidRPr="00953910" w14:paraId="039C0EEC" w14:textId="77777777" w:rsidTr="00B54B8D">
        <w:trPr>
          <w:trHeight w:val="143"/>
        </w:trPr>
        <w:tc>
          <w:tcPr>
            <w:tcW w:w="913" w:type="dxa"/>
            <w:vAlign w:val="center"/>
          </w:tcPr>
          <w:p w14:paraId="0C32C939" w14:textId="5E3BDC6C"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192</w:t>
            </w:r>
          </w:p>
        </w:tc>
        <w:tc>
          <w:tcPr>
            <w:tcW w:w="4252" w:type="dxa"/>
          </w:tcPr>
          <w:p w14:paraId="135E3540" w14:textId="3D9B0D75"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St Joseph's School SOUTHERN CROSS</w:t>
            </w:r>
          </w:p>
        </w:tc>
        <w:tc>
          <w:tcPr>
            <w:tcW w:w="1304" w:type="dxa"/>
          </w:tcPr>
          <w:p w14:paraId="202D8BCE" w14:textId="10519A9A"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430942">
              <w:rPr>
                <w:rFonts w:asciiTheme="minorHAnsi" w:hAnsiTheme="minorHAnsi" w:cstheme="minorHAnsi"/>
                <w:color w:val="4472C4" w:themeColor="accent1"/>
                <w:szCs w:val="20"/>
              </w:rPr>
              <w:t>$17,748</w:t>
            </w:r>
          </w:p>
        </w:tc>
        <w:tc>
          <w:tcPr>
            <w:tcW w:w="1304" w:type="dxa"/>
          </w:tcPr>
          <w:p w14:paraId="0E59101E" w14:textId="716F67E0"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8E2ADA">
              <w:rPr>
                <w:rFonts w:asciiTheme="minorHAnsi" w:hAnsiTheme="minorHAnsi" w:cstheme="minorHAnsi"/>
                <w:color w:val="4472C4" w:themeColor="accent1"/>
                <w:szCs w:val="20"/>
              </w:rPr>
              <w:t>$6,266</w:t>
            </w:r>
          </w:p>
        </w:tc>
        <w:tc>
          <w:tcPr>
            <w:tcW w:w="1304" w:type="dxa"/>
          </w:tcPr>
          <w:p w14:paraId="09CBFDCF" w14:textId="6FD534CA"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085271">
              <w:rPr>
                <w:rFonts w:asciiTheme="minorHAnsi" w:hAnsiTheme="minorHAnsi" w:cstheme="minorHAnsi"/>
                <w:color w:val="4472C4" w:themeColor="accent1"/>
                <w:szCs w:val="20"/>
              </w:rPr>
              <w:t>$6,454</w:t>
            </w:r>
          </w:p>
        </w:tc>
        <w:tc>
          <w:tcPr>
            <w:tcW w:w="1304" w:type="dxa"/>
          </w:tcPr>
          <w:p w14:paraId="71D4966F" w14:textId="4725BC0A"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AD423A">
              <w:rPr>
                <w:rFonts w:asciiTheme="minorHAnsi" w:hAnsiTheme="minorHAnsi" w:cstheme="minorHAnsi"/>
                <w:color w:val="4472C4" w:themeColor="accent1"/>
                <w:szCs w:val="20"/>
              </w:rPr>
              <w:t>$6,648</w:t>
            </w:r>
          </w:p>
        </w:tc>
      </w:tr>
      <w:tr w:rsidR="00C45EA6" w:rsidRPr="00953910" w14:paraId="35F8E5AF" w14:textId="77777777" w:rsidTr="00B54B8D">
        <w:trPr>
          <w:trHeight w:val="143"/>
        </w:trPr>
        <w:tc>
          <w:tcPr>
            <w:tcW w:w="913" w:type="dxa"/>
            <w:vAlign w:val="center"/>
          </w:tcPr>
          <w:p w14:paraId="1ECBE743" w14:textId="57B8C21E"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190</w:t>
            </w:r>
          </w:p>
        </w:tc>
        <w:tc>
          <w:tcPr>
            <w:tcW w:w="4252" w:type="dxa"/>
          </w:tcPr>
          <w:p w14:paraId="0F73B57B" w14:textId="2E8C6DE3"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St Joseph's School PEMBERTON</w:t>
            </w:r>
          </w:p>
        </w:tc>
        <w:tc>
          <w:tcPr>
            <w:tcW w:w="1304" w:type="dxa"/>
          </w:tcPr>
          <w:p w14:paraId="6505F5BD" w14:textId="39CC4888"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430942">
              <w:rPr>
                <w:rFonts w:asciiTheme="minorHAnsi" w:hAnsiTheme="minorHAnsi" w:cstheme="minorHAnsi"/>
                <w:color w:val="4472C4" w:themeColor="accent1"/>
                <w:szCs w:val="20"/>
              </w:rPr>
              <w:t>$17,748</w:t>
            </w:r>
          </w:p>
        </w:tc>
        <w:tc>
          <w:tcPr>
            <w:tcW w:w="1304" w:type="dxa"/>
          </w:tcPr>
          <w:p w14:paraId="30B14D7F" w14:textId="0AAC873F"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8E2ADA">
              <w:rPr>
                <w:rFonts w:asciiTheme="minorHAnsi" w:hAnsiTheme="minorHAnsi" w:cstheme="minorHAnsi"/>
                <w:color w:val="4472C4" w:themeColor="accent1"/>
                <w:szCs w:val="20"/>
              </w:rPr>
              <w:t>$6,266</w:t>
            </w:r>
          </w:p>
        </w:tc>
        <w:tc>
          <w:tcPr>
            <w:tcW w:w="1304" w:type="dxa"/>
          </w:tcPr>
          <w:p w14:paraId="1CF6C1F4" w14:textId="643A1B66"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085271">
              <w:rPr>
                <w:rFonts w:asciiTheme="minorHAnsi" w:hAnsiTheme="minorHAnsi" w:cstheme="minorHAnsi"/>
                <w:color w:val="4472C4" w:themeColor="accent1"/>
                <w:szCs w:val="20"/>
              </w:rPr>
              <w:t>$6,454</w:t>
            </w:r>
          </w:p>
        </w:tc>
        <w:tc>
          <w:tcPr>
            <w:tcW w:w="1304" w:type="dxa"/>
          </w:tcPr>
          <w:p w14:paraId="417B65B0" w14:textId="0E92F22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AD423A">
              <w:rPr>
                <w:rFonts w:asciiTheme="minorHAnsi" w:hAnsiTheme="minorHAnsi" w:cstheme="minorHAnsi"/>
                <w:color w:val="4472C4" w:themeColor="accent1"/>
                <w:szCs w:val="20"/>
              </w:rPr>
              <w:t>$6,648</w:t>
            </w:r>
          </w:p>
        </w:tc>
      </w:tr>
      <w:tr w:rsidR="00C45EA6" w:rsidRPr="00953910" w14:paraId="00EDCCD8" w14:textId="77777777" w:rsidTr="00B54B8D">
        <w:trPr>
          <w:trHeight w:val="143"/>
        </w:trPr>
        <w:tc>
          <w:tcPr>
            <w:tcW w:w="913" w:type="dxa"/>
            <w:vAlign w:val="center"/>
          </w:tcPr>
          <w:p w14:paraId="6A2AA9B3" w14:textId="113702E1"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187</w:t>
            </w:r>
          </w:p>
        </w:tc>
        <w:tc>
          <w:tcPr>
            <w:tcW w:w="4252" w:type="dxa"/>
          </w:tcPr>
          <w:p w14:paraId="01BD2B7D" w14:textId="6DBA8B4D"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St Joseph's School MOORA</w:t>
            </w:r>
          </w:p>
        </w:tc>
        <w:tc>
          <w:tcPr>
            <w:tcW w:w="1304" w:type="dxa"/>
          </w:tcPr>
          <w:p w14:paraId="5139FB14" w14:textId="4C581D8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430942">
              <w:rPr>
                <w:rFonts w:asciiTheme="minorHAnsi" w:hAnsiTheme="minorHAnsi" w:cstheme="minorHAnsi"/>
                <w:color w:val="4472C4" w:themeColor="accent1"/>
                <w:szCs w:val="20"/>
              </w:rPr>
              <w:t>$17,748</w:t>
            </w:r>
          </w:p>
        </w:tc>
        <w:tc>
          <w:tcPr>
            <w:tcW w:w="1304" w:type="dxa"/>
          </w:tcPr>
          <w:p w14:paraId="38620F9A" w14:textId="361A6EE6"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8E2ADA">
              <w:rPr>
                <w:rFonts w:asciiTheme="minorHAnsi" w:hAnsiTheme="minorHAnsi" w:cstheme="minorHAnsi"/>
                <w:color w:val="4472C4" w:themeColor="accent1"/>
                <w:szCs w:val="20"/>
              </w:rPr>
              <w:t>$6,266</w:t>
            </w:r>
          </w:p>
        </w:tc>
        <w:tc>
          <w:tcPr>
            <w:tcW w:w="1304" w:type="dxa"/>
          </w:tcPr>
          <w:p w14:paraId="24FD4F8E" w14:textId="5F188351"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085271">
              <w:rPr>
                <w:rFonts w:asciiTheme="minorHAnsi" w:hAnsiTheme="minorHAnsi" w:cstheme="minorHAnsi"/>
                <w:color w:val="4472C4" w:themeColor="accent1"/>
                <w:szCs w:val="20"/>
              </w:rPr>
              <w:t>$6,454</w:t>
            </w:r>
          </w:p>
        </w:tc>
        <w:tc>
          <w:tcPr>
            <w:tcW w:w="1304" w:type="dxa"/>
          </w:tcPr>
          <w:p w14:paraId="24E1AE70" w14:textId="1A29CBF6"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AD423A">
              <w:rPr>
                <w:rFonts w:asciiTheme="minorHAnsi" w:hAnsiTheme="minorHAnsi" w:cstheme="minorHAnsi"/>
                <w:color w:val="4472C4" w:themeColor="accent1"/>
                <w:szCs w:val="20"/>
              </w:rPr>
              <w:t>$6,648</w:t>
            </w:r>
          </w:p>
        </w:tc>
      </w:tr>
      <w:tr w:rsidR="00C45EA6" w:rsidRPr="00953910" w14:paraId="5BF97FC2" w14:textId="77777777" w:rsidTr="00B54B8D">
        <w:trPr>
          <w:trHeight w:val="143"/>
        </w:trPr>
        <w:tc>
          <w:tcPr>
            <w:tcW w:w="913" w:type="dxa"/>
            <w:vAlign w:val="center"/>
          </w:tcPr>
          <w:p w14:paraId="6E57F0EE" w14:textId="28543BFB"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193</w:t>
            </w:r>
          </w:p>
        </w:tc>
        <w:tc>
          <w:tcPr>
            <w:tcW w:w="4252" w:type="dxa"/>
          </w:tcPr>
          <w:p w14:paraId="3EC2CD8D" w14:textId="48A04082"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St Joseph's School WAROONA</w:t>
            </w:r>
          </w:p>
        </w:tc>
        <w:tc>
          <w:tcPr>
            <w:tcW w:w="1304" w:type="dxa"/>
          </w:tcPr>
          <w:p w14:paraId="52547410" w14:textId="68E94B76"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430942">
              <w:rPr>
                <w:rFonts w:asciiTheme="minorHAnsi" w:hAnsiTheme="minorHAnsi" w:cstheme="minorHAnsi"/>
                <w:color w:val="4472C4" w:themeColor="accent1"/>
                <w:szCs w:val="20"/>
              </w:rPr>
              <w:t>$17,748</w:t>
            </w:r>
          </w:p>
        </w:tc>
        <w:tc>
          <w:tcPr>
            <w:tcW w:w="1304" w:type="dxa"/>
          </w:tcPr>
          <w:p w14:paraId="0CF55B7D" w14:textId="0DA84924"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8E2ADA">
              <w:rPr>
                <w:rFonts w:asciiTheme="minorHAnsi" w:hAnsiTheme="minorHAnsi" w:cstheme="minorHAnsi"/>
                <w:color w:val="4472C4" w:themeColor="accent1"/>
                <w:szCs w:val="20"/>
              </w:rPr>
              <w:t>$6,266</w:t>
            </w:r>
          </w:p>
        </w:tc>
        <w:tc>
          <w:tcPr>
            <w:tcW w:w="1304" w:type="dxa"/>
          </w:tcPr>
          <w:p w14:paraId="3BC37D70" w14:textId="2BF340BE"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085271">
              <w:rPr>
                <w:rFonts w:asciiTheme="minorHAnsi" w:hAnsiTheme="minorHAnsi" w:cstheme="minorHAnsi"/>
                <w:color w:val="4472C4" w:themeColor="accent1"/>
                <w:szCs w:val="20"/>
              </w:rPr>
              <w:t>$6,454</w:t>
            </w:r>
          </w:p>
        </w:tc>
        <w:tc>
          <w:tcPr>
            <w:tcW w:w="1304" w:type="dxa"/>
          </w:tcPr>
          <w:p w14:paraId="55AFFFE9" w14:textId="352661A5"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AD423A">
              <w:rPr>
                <w:rFonts w:asciiTheme="minorHAnsi" w:hAnsiTheme="minorHAnsi" w:cstheme="minorHAnsi"/>
                <w:color w:val="4472C4" w:themeColor="accent1"/>
                <w:szCs w:val="20"/>
              </w:rPr>
              <w:t>$6,648</w:t>
            </w:r>
          </w:p>
        </w:tc>
      </w:tr>
      <w:tr w:rsidR="00C45EA6" w:rsidRPr="00953910" w14:paraId="131ADCE0" w14:textId="77777777" w:rsidTr="00B54B8D">
        <w:trPr>
          <w:trHeight w:val="143"/>
        </w:trPr>
        <w:tc>
          <w:tcPr>
            <w:tcW w:w="913" w:type="dxa"/>
            <w:vAlign w:val="center"/>
          </w:tcPr>
          <w:p w14:paraId="762BC9A9" w14:textId="3E09C425"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194</w:t>
            </w:r>
          </w:p>
        </w:tc>
        <w:tc>
          <w:tcPr>
            <w:tcW w:w="4252" w:type="dxa"/>
          </w:tcPr>
          <w:p w14:paraId="08E44FE9" w14:textId="0130D763"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St Joseph's School WYNDHAM</w:t>
            </w:r>
          </w:p>
        </w:tc>
        <w:tc>
          <w:tcPr>
            <w:tcW w:w="1304" w:type="dxa"/>
          </w:tcPr>
          <w:p w14:paraId="39DA4655" w14:textId="0EE03215"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430942">
              <w:rPr>
                <w:rFonts w:asciiTheme="minorHAnsi" w:hAnsiTheme="minorHAnsi" w:cstheme="minorHAnsi"/>
                <w:color w:val="4472C4" w:themeColor="accent1"/>
                <w:szCs w:val="20"/>
              </w:rPr>
              <w:t>$17,748</w:t>
            </w:r>
          </w:p>
        </w:tc>
        <w:tc>
          <w:tcPr>
            <w:tcW w:w="1304" w:type="dxa"/>
          </w:tcPr>
          <w:p w14:paraId="05C8F68F" w14:textId="0C7C5715"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8E2ADA">
              <w:rPr>
                <w:rFonts w:asciiTheme="minorHAnsi" w:hAnsiTheme="minorHAnsi" w:cstheme="minorHAnsi"/>
                <w:color w:val="4472C4" w:themeColor="accent1"/>
                <w:szCs w:val="20"/>
              </w:rPr>
              <w:t>$6,266</w:t>
            </w:r>
          </w:p>
        </w:tc>
        <w:tc>
          <w:tcPr>
            <w:tcW w:w="1304" w:type="dxa"/>
          </w:tcPr>
          <w:p w14:paraId="09A790F6" w14:textId="720A6BEE"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085271">
              <w:rPr>
                <w:rFonts w:asciiTheme="minorHAnsi" w:hAnsiTheme="minorHAnsi" w:cstheme="minorHAnsi"/>
                <w:color w:val="4472C4" w:themeColor="accent1"/>
                <w:szCs w:val="20"/>
              </w:rPr>
              <w:t>$6,454</w:t>
            </w:r>
          </w:p>
        </w:tc>
        <w:tc>
          <w:tcPr>
            <w:tcW w:w="1304" w:type="dxa"/>
          </w:tcPr>
          <w:p w14:paraId="7C70EC01" w14:textId="7C56AF55"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AD423A">
              <w:rPr>
                <w:rFonts w:asciiTheme="minorHAnsi" w:hAnsiTheme="minorHAnsi" w:cstheme="minorHAnsi"/>
                <w:color w:val="4472C4" w:themeColor="accent1"/>
                <w:szCs w:val="20"/>
              </w:rPr>
              <w:t>$6,648</w:t>
            </w:r>
          </w:p>
        </w:tc>
      </w:tr>
      <w:tr w:rsidR="00C45EA6" w:rsidRPr="00953910" w14:paraId="7A97B1ED" w14:textId="77777777" w:rsidTr="00B54B8D">
        <w:trPr>
          <w:trHeight w:val="143"/>
        </w:trPr>
        <w:tc>
          <w:tcPr>
            <w:tcW w:w="913" w:type="dxa"/>
            <w:vAlign w:val="center"/>
          </w:tcPr>
          <w:p w14:paraId="6AFCEC4C" w14:textId="15C2A22D"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130</w:t>
            </w:r>
          </w:p>
        </w:tc>
        <w:tc>
          <w:tcPr>
            <w:tcW w:w="4252" w:type="dxa"/>
          </w:tcPr>
          <w:p w14:paraId="04020DE8" w14:textId="747BBCCC"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Sacred Heart Catholic School GOOMALLING</w:t>
            </w:r>
          </w:p>
        </w:tc>
        <w:tc>
          <w:tcPr>
            <w:tcW w:w="1304" w:type="dxa"/>
          </w:tcPr>
          <w:p w14:paraId="5DDC3F24" w14:textId="4D3E9A5B"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430942">
              <w:rPr>
                <w:rFonts w:asciiTheme="minorHAnsi" w:hAnsiTheme="minorHAnsi" w:cstheme="minorHAnsi"/>
                <w:color w:val="4472C4" w:themeColor="accent1"/>
                <w:szCs w:val="20"/>
              </w:rPr>
              <w:t>$17,748</w:t>
            </w:r>
          </w:p>
        </w:tc>
        <w:tc>
          <w:tcPr>
            <w:tcW w:w="1304" w:type="dxa"/>
          </w:tcPr>
          <w:p w14:paraId="656F3B51" w14:textId="4E84CEBA"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8E2ADA">
              <w:rPr>
                <w:rFonts w:asciiTheme="minorHAnsi" w:hAnsiTheme="minorHAnsi" w:cstheme="minorHAnsi"/>
                <w:color w:val="4472C4" w:themeColor="accent1"/>
                <w:szCs w:val="20"/>
              </w:rPr>
              <w:t>$6,266</w:t>
            </w:r>
          </w:p>
        </w:tc>
        <w:tc>
          <w:tcPr>
            <w:tcW w:w="1304" w:type="dxa"/>
          </w:tcPr>
          <w:p w14:paraId="77437A33" w14:textId="44C735E2"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085271">
              <w:rPr>
                <w:rFonts w:asciiTheme="minorHAnsi" w:hAnsiTheme="minorHAnsi" w:cstheme="minorHAnsi"/>
                <w:color w:val="4472C4" w:themeColor="accent1"/>
                <w:szCs w:val="20"/>
              </w:rPr>
              <w:t>$6,454</w:t>
            </w:r>
          </w:p>
        </w:tc>
        <w:tc>
          <w:tcPr>
            <w:tcW w:w="1304" w:type="dxa"/>
          </w:tcPr>
          <w:p w14:paraId="72B3E651" w14:textId="74E830E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AD423A">
              <w:rPr>
                <w:rFonts w:asciiTheme="minorHAnsi" w:hAnsiTheme="minorHAnsi" w:cstheme="minorHAnsi"/>
                <w:color w:val="4472C4" w:themeColor="accent1"/>
                <w:szCs w:val="20"/>
              </w:rPr>
              <w:t>$6,648</w:t>
            </w:r>
          </w:p>
        </w:tc>
      </w:tr>
      <w:tr w:rsidR="00C45EA6" w:rsidRPr="00953910" w14:paraId="7BE8CD94" w14:textId="77777777" w:rsidTr="00B54B8D">
        <w:trPr>
          <w:trHeight w:val="143"/>
        </w:trPr>
        <w:tc>
          <w:tcPr>
            <w:tcW w:w="913" w:type="dxa"/>
            <w:vAlign w:val="center"/>
          </w:tcPr>
          <w:p w14:paraId="4804C5C6" w14:textId="7FADA253"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118</w:t>
            </w:r>
          </w:p>
        </w:tc>
        <w:tc>
          <w:tcPr>
            <w:tcW w:w="4252" w:type="dxa"/>
          </w:tcPr>
          <w:p w14:paraId="7A2405AF" w14:textId="521651C4"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Our Lady of Mount Carmel School MULLEWA</w:t>
            </w:r>
          </w:p>
        </w:tc>
        <w:tc>
          <w:tcPr>
            <w:tcW w:w="1304" w:type="dxa"/>
          </w:tcPr>
          <w:p w14:paraId="52FAF2B9" w14:textId="27B8AC17"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430942">
              <w:rPr>
                <w:rFonts w:asciiTheme="minorHAnsi" w:hAnsiTheme="minorHAnsi" w:cstheme="minorHAnsi"/>
                <w:color w:val="4472C4" w:themeColor="accent1"/>
                <w:szCs w:val="20"/>
              </w:rPr>
              <w:t>$17,748</w:t>
            </w:r>
          </w:p>
        </w:tc>
        <w:tc>
          <w:tcPr>
            <w:tcW w:w="1304" w:type="dxa"/>
          </w:tcPr>
          <w:p w14:paraId="003E8FA2" w14:textId="6B180587"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8E2ADA">
              <w:rPr>
                <w:rFonts w:asciiTheme="minorHAnsi" w:hAnsiTheme="minorHAnsi" w:cstheme="minorHAnsi"/>
                <w:color w:val="4472C4" w:themeColor="accent1"/>
                <w:szCs w:val="20"/>
              </w:rPr>
              <w:t>$6,266</w:t>
            </w:r>
          </w:p>
        </w:tc>
        <w:tc>
          <w:tcPr>
            <w:tcW w:w="1304" w:type="dxa"/>
          </w:tcPr>
          <w:p w14:paraId="7B18E6F5" w14:textId="0675B764"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085271">
              <w:rPr>
                <w:rFonts w:asciiTheme="minorHAnsi" w:hAnsiTheme="minorHAnsi" w:cstheme="minorHAnsi"/>
                <w:color w:val="4472C4" w:themeColor="accent1"/>
                <w:szCs w:val="20"/>
              </w:rPr>
              <w:t>$6,454</w:t>
            </w:r>
          </w:p>
        </w:tc>
        <w:tc>
          <w:tcPr>
            <w:tcW w:w="1304" w:type="dxa"/>
          </w:tcPr>
          <w:p w14:paraId="05612C2F" w14:textId="7CAD292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AD423A">
              <w:rPr>
                <w:rFonts w:asciiTheme="minorHAnsi" w:hAnsiTheme="minorHAnsi" w:cstheme="minorHAnsi"/>
                <w:color w:val="4472C4" w:themeColor="accent1"/>
                <w:szCs w:val="20"/>
              </w:rPr>
              <w:t>$6,648</w:t>
            </w:r>
          </w:p>
        </w:tc>
      </w:tr>
      <w:tr w:rsidR="00C45EA6" w:rsidRPr="00953910" w14:paraId="100B4DA8" w14:textId="77777777" w:rsidTr="00B54B8D">
        <w:trPr>
          <w:trHeight w:val="143"/>
        </w:trPr>
        <w:tc>
          <w:tcPr>
            <w:tcW w:w="913" w:type="dxa"/>
            <w:vAlign w:val="center"/>
          </w:tcPr>
          <w:p w14:paraId="2AA69084" w14:textId="46365EF1"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127</w:t>
            </w:r>
          </w:p>
        </w:tc>
        <w:tc>
          <w:tcPr>
            <w:tcW w:w="4252" w:type="dxa"/>
          </w:tcPr>
          <w:p w14:paraId="5302EF9E" w14:textId="6CA3BAC9"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St Mary's Catholic School BOYUP BROOK</w:t>
            </w:r>
          </w:p>
        </w:tc>
        <w:tc>
          <w:tcPr>
            <w:tcW w:w="1304" w:type="dxa"/>
          </w:tcPr>
          <w:p w14:paraId="32AF6E2B" w14:textId="310D33D8"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430942">
              <w:rPr>
                <w:rFonts w:asciiTheme="minorHAnsi" w:hAnsiTheme="minorHAnsi" w:cstheme="minorHAnsi"/>
                <w:color w:val="4472C4" w:themeColor="accent1"/>
                <w:szCs w:val="20"/>
              </w:rPr>
              <w:t>$17,748</w:t>
            </w:r>
          </w:p>
        </w:tc>
        <w:tc>
          <w:tcPr>
            <w:tcW w:w="1304" w:type="dxa"/>
          </w:tcPr>
          <w:p w14:paraId="0F22456F" w14:textId="6D922B6F"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8E2ADA">
              <w:rPr>
                <w:rFonts w:asciiTheme="minorHAnsi" w:hAnsiTheme="minorHAnsi" w:cstheme="minorHAnsi"/>
                <w:color w:val="4472C4" w:themeColor="accent1"/>
                <w:szCs w:val="20"/>
              </w:rPr>
              <w:t>$6,266</w:t>
            </w:r>
          </w:p>
        </w:tc>
        <w:tc>
          <w:tcPr>
            <w:tcW w:w="1304" w:type="dxa"/>
          </w:tcPr>
          <w:p w14:paraId="30CE76B0" w14:textId="162036F7"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085271">
              <w:rPr>
                <w:rFonts w:asciiTheme="minorHAnsi" w:hAnsiTheme="minorHAnsi" w:cstheme="minorHAnsi"/>
                <w:color w:val="4472C4" w:themeColor="accent1"/>
                <w:szCs w:val="20"/>
              </w:rPr>
              <w:t>$6,454</w:t>
            </w:r>
          </w:p>
        </w:tc>
        <w:tc>
          <w:tcPr>
            <w:tcW w:w="1304" w:type="dxa"/>
          </w:tcPr>
          <w:p w14:paraId="7BABFCB9" w14:textId="769DF2F1"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AD423A">
              <w:rPr>
                <w:rFonts w:asciiTheme="minorHAnsi" w:hAnsiTheme="minorHAnsi" w:cstheme="minorHAnsi"/>
                <w:color w:val="4472C4" w:themeColor="accent1"/>
                <w:szCs w:val="20"/>
              </w:rPr>
              <w:t>$6,648</w:t>
            </w:r>
          </w:p>
        </w:tc>
      </w:tr>
      <w:tr w:rsidR="00C45EA6" w:rsidRPr="00953910" w14:paraId="5AFCF5FD" w14:textId="77777777" w:rsidTr="00B54B8D">
        <w:trPr>
          <w:trHeight w:val="143"/>
        </w:trPr>
        <w:tc>
          <w:tcPr>
            <w:tcW w:w="913" w:type="dxa"/>
            <w:vAlign w:val="center"/>
          </w:tcPr>
          <w:p w14:paraId="166DE967" w14:textId="5C7B35F2"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211</w:t>
            </w:r>
          </w:p>
        </w:tc>
        <w:tc>
          <w:tcPr>
            <w:tcW w:w="4252" w:type="dxa"/>
          </w:tcPr>
          <w:p w14:paraId="119FBF81" w14:textId="7578B506"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St Mary's School NORTHAMPTON</w:t>
            </w:r>
          </w:p>
        </w:tc>
        <w:tc>
          <w:tcPr>
            <w:tcW w:w="1304" w:type="dxa"/>
          </w:tcPr>
          <w:p w14:paraId="38827C59" w14:textId="47F3464B"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00E93CED" w14:textId="746113CE"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0ED2F45E" w14:textId="5A7AA6E9"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vAlign w:val="center"/>
          </w:tcPr>
          <w:p w14:paraId="4DF56A54" w14:textId="247E04FC"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79330E">
              <w:rPr>
                <w:rFonts w:asciiTheme="minorHAnsi" w:hAnsiTheme="minorHAnsi" w:cstheme="minorHAnsi"/>
                <w:color w:val="4472C4" w:themeColor="accent1"/>
                <w:szCs w:val="20"/>
              </w:rPr>
              <w:t>6</w:t>
            </w:r>
            <w:r>
              <w:rPr>
                <w:rFonts w:asciiTheme="minorHAnsi" w:hAnsiTheme="minorHAnsi" w:cstheme="minorHAnsi"/>
                <w:color w:val="4472C4" w:themeColor="accent1"/>
                <w:szCs w:val="20"/>
              </w:rPr>
              <w:t>,</w:t>
            </w:r>
            <w:r w:rsidRPr="0079330E">
              <w:rPr>
                <w:rFonts w:asciiTheme="minorHAnsi" w:hAnsiTheme="minorHAnsi" w:cstheme="minorHAnsi"/>
                <w:color w:val="4472C4" w:themeColor="accent1"/>
                <w:szCs w:val="20"/>
              </w:rPr>
              <w:t>648</w:t>
            </w:r>
          </w:p>
        </w:tc>
      </w:tr>
      <w:tr w:rsidR="00C45EA6" w:rsidRPr="00953910" w14:paraId="01786545" w14:textId="77777777" w:rsidTr="00B54B8D">
        <w:trPr>
          <w:trHeight w:val="143"/>
        </w:trPr>
        <w:tc>
          <w:tcPr>
            <w:tcW w:w="913" w:type="dxa"/>
            <w:vAlign w:val="center"/>
          </w:tcPr>
          <w:p w14:paraId="19590300" w14:textId="1D64BFC8"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207</w:t>
            </w:r>
          </w:p>
        </w:tc>
        <w:tc>
          <w:tcPr>
            <w:tcW w:w="4252" w:type="dxa"/>
          </w:tcPr>
          <w:p w14:paraId="06D4D8A4" w14:textId="26547EAD"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St Mary's School DONNYBROOK</w:t>
            </w:r>
          </w:p>
        </w:tc>
        <w:tc>
          <w:tcPr>
            <w:tcW w:w="1304" w:type="dxa"/>
          </w:tcPr>
          <w:p w14:paraId="2E87C38D" w14:textId="56806A78"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2965C600" w14:textId="33D8F0A8"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4069B64E" w14:textId="056E799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3283B30A" w14:textId="5A5B33E8"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4E740648" w14:textId="77777777" w:rsidTr="00B54B8D">
        <w:trPr>
          <w:trHeight w:val="143"/>
        </w:trPr>
        <w:tc>
          <w:tcPr>
            <w:tcW w:w="913" w:type="dxa"/>
            <w:vAlign w:val="center"/>
          </w:tcPr>
          <w:p w14:paraId="4693C667" w14:textId="14DD3CDA"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210</w:t>
            </w:r>
          </w:p>
        </w:tc>
        <w:tc>
          <w:tcPr>
            <w:tcW w:w="4252" w:type="dxa"/>
          </w:tcPr>
          <w:p w14:paraId="2E2F3F20" w14:textId="0C43D868"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St Mary's School MERREDIN</w:t>
            </w:r>
          </w:p>
        </w:tc>
        <w:tc>
          <w:tcPr>
            <w:tcW w:w="1304" w:type="dxa"/>
          </w:tcPr>
          <w:p w14:paraId="65958311" w14:textId="587FA96F"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33D21837" w14:textId="0953129D"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1DF7C52F" w14:textId="37188C51"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45544F53" w14:textId="613EDA7B"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116DC6A8" w14:textId="77777777" w:rsidTr="00B54B8D">
        <w:trPr>
          <w:trHeight w:val="143"/>
        </w:trPr>
        <w:tc>
          <w:tcPr>
            <w:tcW w:w="913" w:type="dxa"/>
            <w:vAlign w:val="center"/>
          </w:tcPr>
          <w:p w14:paraId="20936AE0" w14:textId="02391A35"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146</w:t>
            </w:r>
          </w:p>
        </w:tc>
        <w:tc>
          <w:tcPr>
            <w:tcW w:w="4252" w:type="dxa"/>
          </w:tcPr>
          <w:p w14:paraId="5277E56C" w14:textId="1B744975" w:rsidR="0079330E" w:rsidRPr="00953910" w:rsidRDefault="0079330E" w:rsidP="0079330E">
            <w:pPr>
              <w:spacing w:before="0" w:after="0" w:line="240" w:lineRule="auto"/>
              <w:rPr>
                <w:rFonts w:asciiTheme="minorHAnsi" w:hAnsiTheme="minorHAnsi" w:cstheme="minorHAnsi"/>
                <w:szCs w:val="20"/>
              </w:rPr>
            </w:pPr>
            <w:r w:rsidRPr="000F4117">
              <w:rPr>
                <w:rFonts w:asciiTheme="minorHAnsi" w:hAnsiTheme="minorHAnsi" w:cstheme="minorHAnsi"/>
                <w:szCs w:val="20"/>
              </w:rPr>
              <w:t>St Bernard's School KOJONUP</w:t>
            </w:r>
          </w:p>
        </w:tc>
        <w:tc>
          <w:tcPr>
            <w:tcW w:w="1304" w:type="dxa"/>
          </w:tcPr>
          <w:p w14:paraId="5CA9361A" w14:textId="2A51217D"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628D636D" w14:textId="6B9C9071"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652C4096" w14:textId="7F85C9EC"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6DB69B39" w14:textId="0630820A"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28A97F24" w14:textId="77777777" w:rsidTr="00B54B8D">
        <w:trPr>
          <w:trHeight w:val="143"/>
        </w:trPr>
        <w:tc>
          <w:tcPr>
            <w:tcW w:w="913" w:type="dxa"/>
            <w:vAlign w:val="center"/>
          </w:tcPr>
          <w:p w14:paraId="0F21BB77" w14:textId="4766F097"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2162</w:t>
            </w:r>
          </w:p>
        </w:tc>
        <w:tc>
          <w:tcPr>
            <w:tcW w:w="4252" w:type="dxa"/>
          </w:tcPr>
          <w:p w14:paraId="1C2179A8" w14:textId="75E6D859" w:rsidR="0079330E"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St Patrick's School KATANNING</w:t>
            </w:r>
          </w:p>
        </w:tc>
        <w:tc>
          <w:tcPr>
            <w:tcW w:w="1304" w:type="dxa"/>
          </w:tcPr>
          <w:p w14:paraId="4B44E910" w14:textId="61EEA7BE"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2DADEC25" w14:textId="68772BE9"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04491F69" w14:textId="04F22F18"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0446BC11" w14:textId="341DE561"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2FF8761A" w14:textId="77777777" w:rsidTr="00B54B8D">
        <w:trPr>
          <w:trHeight w:val="143"/>
        </w:trPr>
        <w:tc>
          <w:tcPr>
            <w:tcW w:w="913" w:type="dxa"/>
            <w:vAlign w:val="center"/>
          </w:tcPr>
          <w:p w14:paraId="2083AD27" w14:textId="03318CE4"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214</w:t>
            </w:r>
          </w:p>
        </w:tc>
        <w:tc>
          <w:tcPr>
            <w:tcW w:w="4252" w:type="dxa"/>
          </w:tcPr>
          <w:p w14:paraId="76966F95" w14:textId="38A016E1" w:rsidR="0079330E"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St Michael's School BRUNSWICK JUNCTION</w:t>
            </w:r>
          </w:p>
        </w:tc>
        <w:tc>
          <w:tcPr>
            <w:tcW w:w="1304" w:type="dxa"/>
          </w:tcPr>
          <w:p w14:paraId="04438CBC" w14:textId="4BA9A634"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2E7AC776" w14:textId="2AD83B94"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3742D86D" w14:textId="1CABA11F"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1A75B048" w14:textId="5DB18FC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4D342DA0" w14:textId="77777777" w:rsidTr="00B54B8D">
        <w:trPr>
          <w:trHeight w:val="143"/>
        </w:trPr>
        <w:tc>
          <w:tcPr>
            <w:tcW w:w="913" w:type="dxa"/>
            <w:vAlign w:val="center"/>
          </w:tcPr>
          <w:p w14:paraId="58117E01" w14:textId="0B383D3E"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28992</w:t>
            </w:r>
          </w:p>
        </w:tc>
        <w:tc>
          <w:tcPr>
            <w:tcW w:w="4252" w:type="dxa"/>
          </w:tcPr>
          <w:p w14:paraId="321BD677" w14:textId="5E9B8C3A" w:rsidR="0079330E"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Geraldton Flexible Learning Centre GERALDTON</w:t>
            </w:r>
          </w:p>
        </w:tc>
        <w:tc>
          <w:tcPr>
            <w:tcW w:w="1304" w:type="dxa"/>
          </w:tcPr>
          <w:p w14:paraId="70FF4E7F" w14:textId="06204652"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0D7351FB" w14:textId="741AC28D"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1C1CB6C5" w14:textId="5CB4135B"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149C59F8" w14:textId="141707D9"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30963970" w14:textId="77777777" w:rsidTr="00B54B8D">
        <w:trPr>
          <w:trHeight w:val="143"/>
        </w:trPr>
        <w:tc>
          <w:tcPr>
            <w:tcW w:w="913" w:type="dxa"/>
            <w:vAlign w:val="center"/>
          </w:tcPr>
          <w:p w14:paraId="1BC8CC89" w14:textId="50721181" w:rsidR="0079330E"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13997</w:t>
            </w:r>
          </w:p>
        </w:tc>
        <w:tc>
          <w:tcPr>
            <w:tcW w:w="4252" w:type="dxa"/>
          </w:tcPr>
          <w:p w14:paraId="015B6377" w14:textId="3D5A9B51" w:rsidR="0079330E"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Our Lady Star of the Sea Catholic Primary School ESPERANCE</w:t>
            </w:r>
          </w:p>
        </w:tc>
        <w:tc>
          <w:tcPr>
            <w:tcW w:w="1304" w:type="dxa"/>
            <w:vAlign w:val="center"/>
          </w:tcPr>
          <w:p w14:paraId="2A0373FB" w14:textId="07982C0A" w:rsidR="0079330E" w:rsidRPr="008C02EE" w:rsidRDefault="0079330E" w:rsidP="00C45EA6">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vAlign w:val="center"/>
          </w:tcPr>
          <w:p w14:paraId="618538AA" w14:textId="2C301E2E" w:rsidR="0079330E" w:rsidRPr="008C02EE" w:rsidRDefault="0079330E" w:rsidP="00C45EA6">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vAlign w:val="center"/>
          </w:tcPr>
          <w:p w14:paraId="4EDBC299" w14:textId="4AF67C59" w:rsidR="0079330E" w:rsidRPr="008C02EE" w:rsidRDefault="0079330E" w:rsidP="00C45EA6">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vAlign w:val="center"/>
          </w:tcPr>
          <w:p w14:paraId="5FC5568D" w14:textId="2EA58FED" w:rsidR="0079330E" w:rsidRPr="008C02EE" w:rsidRDefault="0079330E" w:rsidP="00C45EA6">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7892EFA6" w14:textId="77777777" w:rsidTr="00B54B8D">
        <w:trPr>
          <w:trHeight w:val="143"/>
        </w:trPr>
        <w:tc>
          <w:tcPr>
            <w:tcW w:w="913" w:type="dxa"/>
            <w:vAlign w:val="center"/>
          </w:tcPr>
          <w:p w14:paraId="756CC35A" w14:textId="5A9C5285" w:rsidR="0079330E"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2154</w:t>
            </w:r>
          </w:p>
        </w:tc>
        <w:tc>
          <w:tcPr>
            <w:tcW w:w="4252" w:type="dxa"/>
          </w:tcPr>
          <w:p w14:paraId="688F3A7F" w14:textId="2694DBD6" w:rsidR="0079330E"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Holy Rosary School DERBY</w:t>
            </w:r>
          </w:p>
        </w:tc>
        <w:tc>
          <w:tcPr>
            <w:tcW w:w="1304" w:type="dxa"/>
          </w:tcPr>
          <w:p w14:paraId="59C3FC11" w14:textId="2F46256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4EAA0186" w14:textId="7528582A"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6B095A5A" w14:textId="2E71452D"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60DC2561" w14:textId="339FAA31"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1987C0E8" w14:textId="77777777" w:rsidTr="00B54B8D">
        <w:trPr>
          <w:trHeight w:val="143"/>
        </w:trPr>
        <w:tc>
          <w:tcPr>
            <w:tcW w:w="913" w:type="dxa"/>
            <w:vAlign w:val="center"/>
          </w:tcPr>
          <w:p w14:paraId="42C2D890" w14:textId="5D771BCE" w:rsidR="0079330E"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15658</w:t>
            </w:r>
          </w:p>
        </w:tc>
        <w:tc>
          <w:tcPr>
            <w:tcW w:w="4252" w:type="dxa"/>
          </w:tcPr>
          <w:p w14:paraId="47FADAEA" w14:textId="2898F805" w:rsidR="0079330E"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Edmund Rice College BINDOON</w:t>
            </w:r>
          </w:p>
        </w:tc>
        <w:tc>
          <w:tcPr>
            <w:tcW w:w="1304" w:type="dxa"/>
          </w:tcPr>
          <w:p w14:paraId="7DAD0B3C" w14:textId="0FA73265"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729500E5" w14:textId="3B6C3D1A"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59503405" w14:textId="6AF5EFDE"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74E89422" w14:textId="2C13551E"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4CA296C4" w14:textId="77777777" w:rsidTr="00B54B8D">
        <w:trPr>
          <w:trHeight w:val="143"/>
        </w:trPr>
        <w:tc>
          <w:tcPr>
            <w:tcW w:w="913" w:type="dxa"/>
            <w:vAlign w:val="center"/>
          </w:tcPr>
          <w:p w14:paraId="28B656E4" w14:textId="0E679977" w:rsidR="0079330E"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139</w:t>
            </w:r>
          </w:p>
        </w:tc>
        <w:tc>
          <w:tcPr>
            <w:tcW w:w="4252" w:type="dxa"/>
          </w:tcPr>
          <w:p w14:paraId="763027FD" w14:textId="27B8EC96" w:rsidR="0079330E"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St Anne's School HARVEY</w:t>
            </w:r>
          </w:p>
        </w:tc>
        <w:tc>
          <w:tcPr>
            <w:tcW w:w="1304" w:type="dxa"/>
          </w:tcPr>
          <w:p w14:paraId="307B19D6" w14:textId="1EE7BA80"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7D9AE335" w14:textId="7E4A442F"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3A0B587F" w14:textId="335E3D7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604EDDDF" w14:textId="4F131DBA"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37C1EA0F" w14:textId="77777777" w:rsidTr="00B54B8D">
        <w:trPr>
          <w:trHeight w:val="143"/>
        </w:trPr>
        <w:tc>
          <w:tcPr>
            <w:tcW w:w="913" w:type="dxa"/>
            <w:vAlign w:val="center"/>
          </w:tcPr>
          <w:p w14:paraId="64E24BEB" w14:textId="691E4B4D" w:rsidR="0079330E"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13588</w:t>
            </w:r>
          </w:p>
        </w:tc>
        <w:tc>
          <w:tcPr>
            <w:tcW w:w="4252" w:type="dxa"/>
          </w:tcPr>
          <w:p w14:paraId="58875CDF" w14:textId="71B5D9B3" w:rsidR="0079330E"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St Thomas More Catholic Primary School MARGARET RIVER</w:t>
            </w:r>
          </w:p>
        </w:tc>
        <w:tc>
          <w:tcPr>
            <w:tcW w:w="1304" w:type="dxa"/>
          </w:tcPr>
          <w:p w14:paraId="5C02C36E" w14:textId="535E223A"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71104CCB" w14:textId="211AD446"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195EEEED" w14:textId="535471D1"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6A00B237" w14:textId="5D775D65"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59D1616D" w14:textId="77777777" w:rsidTr="00B54B8D">
        <w:trPr>
          <w:trHeight w:val="143"/>
        </w:trPr>
        <w:tc>
          <w:tcPr>
            <w:tcW w:w="913" w:type="dxa"/>
            <w:vAlign w:val="center"/>
          </w:tcPr>
          <w:p w14:paraId="36869D57" w14:textId="461BDD2B" w:rsidR="0079330E"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212</w:t>
            </w:r>
          </w:p>
        </w:tc>
        <w:tc>
          <w:tcPr>
            <w:tcW w:w="4252" w:type="dxa"/>
          </w:tcPr>
          <w:p w14:paraId="654EE2ED" w14:textId="0FC273D2" w:rsidR="0079330E"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St Matthew's School NARROGIN</w:t>
            </w:r>
          </w:p>
        </w:tc>
        <w:tc>
          <w:tcPr>
            <w:tcW w:w="1304" w:type="dxa"/>
          </w:tcPr>
          <w:p w14:paraId="1E649383" w14:textId="78C0767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$17,748</w:t>
            </w:r>
          </w:p>
        </w:tc>
        <w:tc>
          <w:tcPr>
            <w:tcW w:w="1304" w:type="dxa"/>
          </w:tcPr>
          <w:p w14:paraId="137BD445" w14:textId="5CCC2B65"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$6,266</w:t>
            </w:r>
          </w:p>
        </w:tc>
        <w:tc>
          <w:tcPr>
            <w:tcW w:w="1304" w:type="dxa"/>
          </w:tcPr>
          <w:p w14:paraId="108B2014" w14:textId="1D377E88"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$6,454</w:t>
            </w:r>
          </w:p>
        </w:tc>
        <w:tc>
          <w:tcPr>
            <w:tcW w:w="1304" w:type="dxa"/>
          </w:tcPr>
          <w:p w14:paraId="445A5DE8" w14:textId="056A522A"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$6,648</w:t>
            </w:r>
          </w:p>
        </w:tc>
      </w:tr>
      <w:tr w:rsidR="00C45EA6" w:rsidRPr="00953910" w14:paraId="1EA6B2A7" w14:textId="77777777" w:rsidTr="00B54B8D">
        <w:trPr>
          <w:trHeight w:val="143"/>
        </w:trPr>
        <w:tc>
          <w:tcPr>
            <w:tcW w:w="913" w:type="dxa"/>
            <w:vAlign w:val="center"/>
          </w:tcPr>
          <w:p w14:paraId="14C8DDCC" w14:textId="23318E9E" w:rsidR="0079330E"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15269</w:t>
            </w:r>
          </w:p>
        </w:tc>
        <w:tc>
          <w:tcPr>
            <w:tcW w:w="4252" w:type="dxa"/>
          </w:tcPr>
          <w:p w14:paraId="78F18E48" w14:textId="65C2B07D" w:rsidR="0079330E"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St Brigid's School BRIDGETOWN</w:t>
            </w:r>
          </w:p>
        </w:tc>
        <w:tc>
          <w:tcPr>
            <w:tcW w:w="1304" w:type="dxa"/>
          </w:tcPr>
          <w:p w14:paraId="65EC62AE" w14:textId="1D1684E1"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D7756A">
              <w:rPr>
                <w:rFonts w:asciiTheme="minorHAnsi" w:hAnsiTheme="minorHAnsi" w:cstheme="minorHAnsi"/>
                <w:color w:val="4472C4" w:themeColor="accent1"/>
                <w:szCs w:val="20"/>
              </w:rPr>
              <w:t>$17,7</w:t>
            </w:r>
            <w:r w:rsidR="004E6388">
              <w:rPr>
                <w:rFonts w:asciiTheme="minorHAnsi" w:hAnsiTheme="minorHAnsi" w:cstheme="minorHAnsi"/>
                <w:color w:val="4472C4" w:themeColor="accent1"/>
                <w:szCs w:val="20"/>
              </w:rPr>
              <w:t>59</w:t>
            </w:r>
          </w:p>
        </w:tc>
        <w:tc>
          <w:tcPr>
            <w:tcW w:w="1304" w:type="dxa"/>
          </w:tcPr>
          <w:p w14:paraId="3892973C" w14:textId="0CA9F06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9572CB">
              <w:rPr>
                <w:rFonts w:asciiTheme="minorHAnsi" w:hAnsiTheme="minorHAnsi" w:cstheme="minorHAnsi"/>
                <w:color w:val="4472C4" w:themeColor="accent1"/>
                <w:szCs w:val="20"/>
              </w:rPr>
              <w:t>$6,2</w:t>
            </w:r>
            <w:r w:rsidR="004E6388">
              <w:rPr>
                <w:rFonts w:asciiTheme="minorHAnsi" w:hAnsiTheme="minorHAnsi" w:cstheme="minorHAnsi"/>
                <w:color w:val="4472C4" w:themeColor="accent1"/>
                <w:szCs w:val="20"/>
              </w:rPr>
              <w:t>78</w:t>
            </w:r>
          </w:p>
        </w:tc>
        <w:tc>
          <w:tcPr>
            <w:tcW w:w="1304" w:type="dxa"/>
          </w:tcPr>
          <w:p w14:paraId="6AC0B375" w14:textId="6073ADEF"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E230B3">
              <w:rPr>
                <w:rFonts w:asciiTheme="minorHAnsi" w:hAnsiTheme="minorHAnsi" w:cstheme="minorHAnsi"/>
                <w:color w:val="4472C4" w:themeColor="accent1"/>
                <w:szCs w:val="20"/>
              </w:rPr>
              <w:t>$6,4</w:t>
            </w:r>
            <w:r w:rsidR="004E6388">
              <w:rPr>
                <w:rFonts w:asciiTheme="minorHAnsi" w:hAnsiTheme="minorHAnsi" w:cstheme="minorHAnsi"/>
                <w:color w:val="4472C4" w:themeColor="accent1"/>
                <w:szCs w:val="20"/>
              </w:rPr>
              <w:t>66</w:t>
            </w:r>
          </w:p>
        </w:tc>
        <w:tc>
          <w:tcPr>
            <w:tcW w:w="1304" w:type="dxa"/>
          </w:tcPr>
          <w:p w14:paraId="7DB18776" w14:textId="2403D913" w:rsidR="0079330E" w:rsidRPr="008C02EE" w:rsidRDefault="0079330E" w:rsidP="0079330E">
            <w:pPr>
              <w:spacing w:before="0" w:after="0" w:line="240" w:lineRule="auto"/>
              <w:jc w:val="center"/>
              <w:rPr>
                <w:rFonts w:asciiTheme="minorHAnsi" w:hAnsiTheme="minorHAnsi" w:cstheme="minorHAnsi"/>
                <w:color w:val="4472C4" w:themeColor="accent1"/>
                <w:szCs w:val="20"/>
              </w:rPr>
            </w:pPr>
            <w:r w:rsidRPr="00623C7F">
              <w:rPr>
                <w:rFonts w:asciiTheme="minorHAnsi" w:hAnsiTheme="minorHAnsi" w:cstheme="minorHAnsi"/>
                <w:color w:val="4472C4" w:themeColor="accent1"/>
                <w:szCs w:val="20"/>
              </w:rPr>
              <w:t>$6,6</w:t>
            </w:r>
            <w:r w:rsidR="004E6388">
              <w:rPr>
                <w:rFonts w:asciiTheme="minorHAnsi" w:hAnsiTheme="minorHAnsi" w:cstheme="minorHAnsi"/>
                <w:color w:val="4472C4" w:themeColor="accent1"/>
                <w:szCs w:val="20"/>
              </w:rPr>
              <w:t>52</w:t>
            </w:r>
          </w:p>
        </w:tc>
      </w:tr>
      <w:tr w:rsidR="00C45EA6" w:rsidRPr="00953910" w14:paraId="2B8B34D8" w14:textId="77777777" w:rsidTr="00B54B8D">
        <w:trPr>
          <w:trHeight w:val="143"/>
        </w:trPr>
        <w:tc>
          <w:tcPr>
            <w:tcW w:w="913" w:type="dxa"/>
            <w:vAlign w:val="center"/>
          </w:tcPr>
          <w:p w14:paraId="423ACE3C" w14:textId="77777777" w:rsidR="000F4117" w:rsidRPr="00953910" w:rsidRDefault="000F4117" w:rsidP="00190923">
            <w:pPr>
              <w:spacing w:before="0" w:after="0" w:line="240" w:lineRule="auto"/>
              <w:rPr>
                <w:rFonts w:asciiTheme="minorHAnsi" w:hAnsiTheme="minorHAnsi" w:cstheme="minorHAnsi"/>
                <w:szCs w:val="20"/>
              </w:rPr>
            </w:pPr>
          </w:p>
        </w:tc>
        <w:tc>
          <w:tcPr>
            <w:tcW w:w="4252" w:type="dxa"/>
          </w:tcPr>
          <w:p w14:paraId="6506A192" w14:textId="1D8B93D2" w:rsidR="000F4117" w:rsidRPr="00953910" w:rsidRDefault="0079330E" w:rsidP="0079330E">
            <w:pPr>
              <w:spacing w:before="0" w:after="0" w:line="240" w:lineRule="auto"/>
              <w:rPr>
                <w:rFonts w:asciiTheme="minorHAnsi" w:hAnsiTheme="minorHAnsi" w:cstheme="minorHAnsi"/>
                <w:szCs w:val="20"/>
              </w:rPr>
            </w:pPr>
            <w:r w:rsidRPr="0079330E">
              <w:rPr>
                <w:rFonts w:asciiTheme="minorHAnsi" w:hAnsiTheme="minorHAnsi" w:cstheme="minorHAnsi"/>
                <w:szCs w:val="20"/>
              </w:rPr>
              <w:t>Eligible CEWA Schools</w:t>
            </w:r>
            <w:r w:rsidR="00ED769D">
              <w:rPr>
                <w:rFonts w:asciiTheme="minorHAnsi" w:hAnsiTheme="minorHAnsi" w:cstheme="minorHAnsi"/>
                <w:szCs w:val="20"/>
              </w:rPr>
              <w:t xml:space="preserve"> (To be Confirmed)</w:t>
            </w:r>
          </w:p>
        </w:tc>
        <w:tc>
          <w:tcPr>
            <w:tcW w:w="1304" w:type="dxa"/>
            <w:vAlign w:val="center"/>
          </w:tcPr>
          <w:p w14:paraId="4A714CB5" w14:textId="2F02664F" w:rsidR="000F4117" w:rsidRPr="008C02EE" w:rsidRDefault="00C45EA6" w:rsidP="000F4117">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1304" w:type="dxa"/>
            <w:vAlign w:val="center"/>
          </w:tcPr>
          <w:p w14:paraId="7798A074" w14:textId="107ADD20" w:rsidR="000F4117" w:rsidRPr="008C02EE" w:rsidRDefault="00C45EA6" w:rsidP="000F4117">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$0</w:t>
            </w:r>
          </w:p>
        </w:tc>
        <w:tc>
          <w:tcPr>
            <w:tcW w:w="1304" w:type="dxa"/>
            <w:vAlign w:val="center"/>
          </w:tcPr>
          <w:p w14:paraId="35508724" w14:textId="0BCEF79C" w:rsidR="000F4117" w:rsidRPr="008C02EE" w:rsidRDefault="00C45EA6" w:rsidP="00B54B8D">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$ 3,075,542</w:t>
            </w:r>
          </w:p>
        </w:tc>
        <w:tc>
          <w:tcPr>
            <w:tcW w:w="1304" w:type="dxa"/>
            <w:vAlign w:val="center"/>
          </w:tcPr>
          <w:p w14:paraId="6D5D3370" w14:textId="23AF947C" w:rsidR="000F4117" w:rsidRPr="008C02EE" w:rsidRDefault="00FD786E" w:rsidP="004B7FD1">
            <w:pPr>
              <w:spacing w:before="0" w:after="0" w:line="240" w:lineRule="auto"/>
              <w:jc w:val="center"/>
              <w:rPr>
                <w:rFonts w:asciiTheme="minorHAnsi" w:hAnsiTheme="minorHAnsi" w:cstheme="minorHAnsi"/>
                <w:color w:val="4472C4" w:themeColor="accent1"/>
                <w:szCs w:val="20"/>
              </w:rPr>
            </w:pPr>
            <w:r>
              <w:rPr>
                <w:rFonts w:asciiTheme="minorHAnsi" w:hAnsiTheme="minorHAnsi" w:cstheme="minorHAnsi"/>
                <w:color w:val="4472C4" w:themeColor="accent1"/>
                <w:szCs w:val="20"/>
              </w:rPr>
              <w:t>$3,131,286</w:t>
            </w:r>
          </w:p>
        </w:tc>
      </w:tr>
      <w:tr w:rsidR="00C45EA6" w:rsidRPr="00953910" w14:paraId="17D98C9A" w14:textId="77777777" w:rsidTr="00B54B8D">
        <w:trPr>
          <w:trHeight w:val="143"/>
        </w:trPr>
        <w:tc>
          <w:tcPr>
            <w:tcW w:w="913" w:type="dxa"/>
            <w:vAlign w:val="center"/>
          </w:tcPr>
          <w:p w14:paraId="32BFE66E" w14:textId="77777777" w:rsidR="000F4117" w:rsidRPr="00953910" w:rsidRDefault="000F4117" w:rsidP="0094350D">
            <w:pPr>
              <w:spacing w:before="0" w:after="0" w:line="240" w:lineRule="auto"/>
              <w:rPr>
                <w:rFonts w:asciiTheme="minorHAnsi" w:hAnsiTheme="minorHAnsi" w:cstheme="minorHAnsi"/>
                <w:szCs w:val="20"/>
              </w:rPr>
            </w:pPr>
          </w:p>
        </w:tc>
        <w:tc>
          <w:tcPr>
            <w:tcW w:w="4252" w:type="dxa"/>
          </w:tcPr>
          <w:p w14:paraId="06F7CC0D" w14:textId="77777777" w:rsidR="000F4117" w:rsidRPr="00953910" w:rsidRDefault="000F4117" w:rsidP="0079330E">
            <w:pPr>
              <w:spacing w:before="0" w:after="0" w:line="240" w:lineRule="auto"/>
              <w:rPr>
                <w:rFonts w:asciiTheme="minorHAnsi" w:hAnsiTheme="minorHAnsi" w:cstheme="minorHAnsi"/>
                <w:szCs w:val="20"/>
              </w:rPr>
            </w:pPr>
          </w:p>
        </w:tc>
        <w:tc>
          <w:tcPr>
            <w:tcW w:w="1304" w:type="dxa"/>
            <w:vAlign w:val="center"/>
          </w:tcPr>
          <w:p w14:paraId="6B5BCA23" w14:textId="50C1D62E" w:rsidR="000F4117" w:rsidRPr="00917D36" w:rsidRDefault="00917D36" w:rsidP="000F4117">
            <w:pPr>
              <w:spacing w:before="0" w:after="0" w:line="240" w:lineRule="auto"/>
              <w:jc w:val="center"/>
              <w:rPr>
                <w:rFonts w:asciiTheme="minorHAnsi" w:hAnsiTheme="minorHAnsi" w:cstheme="minorHAnsi"/>
                <w:b/>
                <w:bCs/>
                <w:color w:val="4472C4" w:themeColor="accent1"/>
                <w:szCs w:val="20"/>
              </w:rPr>
            </w:pPr>
            <w:r w:rsidRPr="00917D36">
              <w:rPr>
                <w:rFonts w:asciiTheme="minorHAnsi" w:hAnsiTheme="minorHAnsi" w:cstheme="minorHAnsi"/>
                <w:b/>
                <w:bCs/>
                <w:color w:val="4472C4" w:themeColor="accent1"/>
                <w:szCs w:val="20"/>
              </w:rPr>
              <w:t>$408,2</w:t>
            </w:r>
            <w:r w:rsidR="004E6388">
              <w:rPr>
                <w:rFonts w:asciiTheme="minorHAnsi" w:hAnsiTheme="minorHAnsi" w:cstheme="minorHAnsi"/>
                <w:b/>
                <w:bCs/>
                <w:color w:val="4472C4" w:themeColor="accent1"/>
                <w:szCs w:val="20"/>
              </w:rPr>
              <w:t>15</w:t>
            </w:r>
          </w:p>
        </w:tc>
        <w:tc>
          <w:tcPr>
            <w:tcW w:w="1304" w:type="dxa"/>
            <w:vAlign w:val="center"/>
          </w:tcPr>
          <w:p w14:paraId="3B66A27E" w14:textId="19DB1160" w:rsidR="000F4117" w:rsidRPr="00917D36" w:rsidRDefault="00917D36" w:rsidP="000F4117">
            <w:pPr>
              <w:spacing w:before="0" w:after="0" w:line="240" w:lineRule="auto"/>
              <w:jc w:val="center"/>
              <w:rPr>
                <w:rFonts w:asciiTheme="minorHAnsi" w:hAnsiTheme="minorHAnsi" w:cstheme="minorHAnsi"/>
                <w:b/>
                <w:bCs/>
                <w:color w:val="4472C4" w:themeColor="accent1"/>
                <w:szCs w:val="20"/>
              </w:rPr>
            </w:pPr>
            <w:r w:rsidRPr="00917D36">
              <w:rPr>
                <w:rFonts w:asciiTheme="minorHAnsi" w:hAnsiTheme="minorHAnsi" w:cstheme="minorHAnsi"/>
                <w:b/>
                <w:bCs/>
                <w:color w:val="4472C4" w:themeColor="accent1"/>
                <w:szCs w:val="20"/>
              </w:rPr>
              <w:t>$144,1</w:t>
            </w:r>
            <w:r w:rsidR="00E530AE">
              <w:rPr>
                <w:rFonts w:asciiTheme="minorHAnsi" w:hAnsiTheme="minorHAnsi" w:cstheme="minorHAnsi"/>
                <w:b/>
                <w:bCs/>
                <w:color w:val="4472C4" w:themeColor="accent1"/>
                <w:szCs w:val="20"/>
              </w:rPr>
              <w:t>30</w:t>
            </w:r>
          </w:p>
        </w:tc>
        <w:tc>
          <w:tcPr>
            <w:tcW w:w="1304" w:type="dxa"/>
            <w:vAlign w:val="center"/>
          </w:tcPr>
          <w:p w14:paraId="6B748653" w14:textId="0952C5BC" w:rsidR="000F4117" w:rsidRPr="00917D36" w:rsidRDefault="004B7FD1" w:rsidP="000F4117">
            <w:pPr>
              <w:spacing w:before="0" w:after="0" w:line="240" w:lineRule="auto"/>
              <w:jc w:val="center"/>
              <w:rPr>
                <w:rFonts w:asciiTheme="minorHAnsi" w:hAnsiTheme="minorHAnsi" w:cstheme="minorHAnsi"/>
                <w:b/>
                <w:bCs/>
                <w:color w:val="4472C4" w:themeColor="accent1"/>
                <w:szCs w:val="20"/>
              </w:rPr>
            </w:pPr>
            <w:r>
              <w:rPr>
                <w:rFonts w:asciiTheme="minorHAnsi" w:hAnsiTheme="minorHAnsi" w:cstheme="minorHAnsi"/>
                <w:b/>
                <w:bCs/>
                <w:color w:val="4472C4" w:themeColor="accent1"/>
                <w:szCs w:val="20"/>
              </w:rPr>
              <w:t>$</w:t>
            </w:r>
            <w:r w:rsidR="00FD786E">
              <w:rPr>
                <w:rFonts w:asciiTheme="minorHAnsi" w:hAnsiTheme="minorHAnsi" w:cstheme="minorHAnsi"/>
                <w:b/>
                <w:bCs/>
                <w:color w:val="4472C4" w:themeColor="accent1"/>
                <w:szCs w:val="20"/>
              </w:rPr>
              <w:t>3,223,996</w:t>
            </w:r>
          </w:p>
        </w:tc>
        <w:tc>
          <w:tcPr>
            <w:tcW w:w="1304" w:type="dxa"/>
            <w:vAlign w:val="center"/>
          </w:tcPr>
          <w:p w14:paraId="70521416" w14:textId="6186B9C4" w:rsidR="000F4117" w:rsidRPr="00917D36" w:rsidRDefault="004B7FD1" w:rsidP="000F4117">
            <w:pPr>
              <w:spacing w:before="0" w:after="0" w:line="240" w:lineRule="auto"/>
              <w:jc w:val="center"/>
              <w:rPr>
                <w:rFonts w:asciiTheme="minorHAnsi" w:hAnsiTheme="minorHAnsi" w:cstheme="minorHAnsi"/>
                <w:b/>
                <w:bCs/>
                <w:color w:val="4472C4" w:themeColor="accent1"/>
                <w:szCs w:val="20"/>
              </w:rPr>
            </w:pPr>
            <w:r>
              <w:rPr>
                <w:rFonts w:asciiTheme="minorHAnsi" w:hAnsiTheme="minorHAnsi" w:cstheme="minorHAnsi"/>
                <w:b/>
                <w:bCs/>
                <w:color w:val="4472C4" w:themeColor="accent1"/>
                <w:szCs w:val="20"/>
              </w:rPr>
              <w:t>$</w:t>
            </w:r>
            <w:r w:rsidR="00FD786E">
              <w:rPr>
                <w:rFonts w:asciiTheme="minorHAnsi" w:hAnsiTheme="minorHAnsi" w:cstheme="minorHAnsi"/>
                <w:b/>
                <w:bCs/>
                <w:color w:val="4472C4" w:themeColor="accent1"/>
                <w:szCs w:val="20"/>
              </w:rPr>
              <w:t>3,284,194</w:t>
            </w:r>
          </w:p>
        </w:tc>
      </w:tr>
    </w:tbl>
    <w:p w14:paraId="1036F9F7" w14:textId="424B03DD" w:rsidR="00321099" w:rsidRDefault="00321099" w:rsidP="00321099">
      <w:pPr>
        <w:rPr>
          <w:rFonts w:asciiTheme="minorHAnsi" w:hAnsiTheme="minorHAnsi" w:cstheme="minorHAnsi"/>
          <w:b/>
          <w:bCs/>
          <w:sz w:val="22"/>
          <w:szCs w:val="22"/>
        </w:rPr>
      </w:pPr>
      <w:bookmarkStart w:id="17" w:name="_Hlk82786746"/>
      <w:r w:rsidRPr="00953910">
        <w:rPr>
          <w:rFonts w:asciiTheme="minorHAnsi" w:hAnsiTheme="minorHAnsi" w:cstheme="minorHAnsi"/>
          <w:b/>
          <w:bCs/>
          <w:sz w:val="22"/>
          <w:szCs w:val="22"/>
        </w:rPr>
        <w:t>Priority D – Strengthening outcomes for schools and educationally disadvantaged schools and students</w:t>
      </w:r>
      <w:bookmarkEnd w:id="17"/>
    </w:p>
    <w:tbl>
      <w:tblPr>
        <w:tblStyle w:val="TableGrid"/>
        <w:tblW w:w="4943" w:type="pct"/>
        <w:tblInd w:w="0" w:type="dxa"/>
        <w:tblBorders>
          <w:insideV w:val="none" w:sz="0" w:space="0" w:color="auto"/>
        </w:tblBorders>
        <w:tblLayout w:type="fixed"/>
        <w:tblLook w:val="04A0" w:firstRow="1" w:lastRow="0" w:firstColumn="1" w:lastColumn="0" w:noHBand="0" w:noVBand="1"/>
      </w:tblPr>
      <w:tblGrid>
        <w:gridCol w:w="867"/>
        <w:gridCol w:w="4253"/>
        <w:gridCol w:w="1305"/>
        <w:gridCol w:w="1307"/>
        <w:gridCol w:w="1305"/>
        <w:gridCol w:w="1300"/>
      </w:tblGrid>
      <w:tr w:rsidR="00701ED8" w:rsidRPr="00953910" w14:paraId="7F7DA9BB" w14:textId="77777777" w:rsidTr="0094350D">
        <w:trPr>
          <w:trHeight w:val="152"/>
        </w:trPr>
        <w:tc>
          <w:tcPr>
            <w:tcW w:w="420" w:type="pct"/>
            <w:shd w:val="clear" w:color="auto" w:fill="B4C6E7" w:themeFill="accent1" w:themeFillTint="66"/>
          </w:tcPr>
          <w:p w14:paraId="28C3272A" w14:textId="77777777" w:rsidR="00341A8B" w:rsidRPr="003D354F" w:rsidRDefault="00341A8B" w:rsidP="00C67F01">
            <w:pPr>
              <w:spacing w:line="240" w:lineRule="auto"/>
              <w:rPr>
                <w:rFonts w:asciiTheme="minorHAnsi" w:hAnsiTheme="minorHAnsi" w:cstheme="minorHAnsi"/>
                <w:b/>
                <w:bCs/>
                <w:szCs w:val="20"/>
              </w:rPr>
            </w:pPr>
            <w:r w:rsidRPr="003D354F">
              <w:rPr>
                <w:rFonts w:asciiTheme="minorHAnsi" w:hAnsiTheme="minorHAnsi" w:cstheme="minorHAnsi"/>
                <w:b/>
                <w:bCs/>
                <w:szCs w:val="20"/>
              </w:rPr>
              <w:t>AGEID</w:t>
            </w:r>
          </w:p>
        </w:tc>
        <w:tc>
          <w:tcPr>
            <w:tcW w:w="2057" w:type="pct"/>
            <w:shd w:val="clear" w:color="auto" w:fill="B4C6E7" w:themeFill="accent1" w:themeFillTint="66"/>
            <w:vAlign w:val="center"/>
          </w:tcPr>
          <w:p w14:paraId="61C24C6C" w14:textId="77777777" w:rsidR="00341A8B" w:rsidRPr="003D354F" w:rsidRDefault="00341A8B" w:rsidP="008A5187">
            <w:pPr>
              <w:spacing w:line="240" w:lineRule="auto"/>
              <w:rPr>
                <w:rFonts w:asciiTheme="minorHAnsi" w:hAnsiTheme="minorHAnsi" w:cstheme="minorHAnsi"/>
                <w:b/>
                <w:bCs/>
                <w:szCs w:val="20"/>
              </w:rPr>
            </w:pPr>
            <w:r w:rsidRPr="003D354F">
              <w:rPr>
                <w:rFonts w:asciiTheme="minorHAnsi" w:hAnsiTheme="minorHAnsi" w:cstheme="minorHAnsi"/>
                <w:b/>
                <w:bCs/>
                <w:szCs w:val="20"/>
              </w:rPr>
              <w:t>School Name</w:t>
            </w:r>
          </w:p>
        </w:tc>
        <w:tc>
          <w:tcPr>
            <w:tcW w:w="631" w:type="pct"/>
            <w:shd w:val="clear" w:color="auto" w:fill="B4C6E7" w:themeFill="accent1" w:themeFillTint="66"/>
          </w:tcPr>
          <w:p w14:paraId="75FAC716" w14:textId="77777777" w:rsidR="00341A8B" w:rsidRPr="003D354F" w:rsidRDefault="00341A8B" w:rsidP="00917D36">
            <w:pPr>
              <w:jc w:val="right"/>
              <w:rPr>
                <w:rFonts w:asciiTheme="minorHAnsi" w:hAnsiTheme="minorHAnsi" w:cstheme="minorHAnsi"/>
                <w:b/>
                <w:bCs/>
                <w:szCs w:val="20"/>
              </w:rPr>
            </w:pPr>
            <w:r w:rsidRPr="003D354F">
              <w:rPr>
                <w:rFonts w:asciiTheme="minorHAnsi" w:hAnsiTheme="minorHAnsi" w:cstheme="minorHAnsi"/>
                <w:b/>
                <w:bCs/>
                <w:szCs w:val="20"/>
              </w:rPr>
              <w:t>2022</w:t>
            </w:r>
          </w:p>
        </w:tc>
        <w:tc>
          <w:tcPr>
            <w:tcW w:w="632" w:type="pct"/>
            <w:shd w:val="clear" w:color="auto" w:fill="B4C6E7" w:themeFill="accent1" w:themeFillTint="66"/>
          </w:tcPr>
          <w:p w14:paraId="30B4A0DD" w14:textId="77777777" w:rsidR="00341A8B" w:rsidRPr="003D354F" w:rsidRDefault="00341A8B" w:rsidP="00917D36">
            <w:pPr>
              <w:jc w:val="right"/>
              <w:rPr>
                <w:rFonts w:asciiTheme="minorHAnsi" w:hAnsiTheme="minorHAnsi" w:cstheme="minorHAnsi"/>
                <w:b/>
                <w:bCs/>
                <w:szCs w:val="20"/>
              </w:rPr>
            </w:pPr>
            <w:r w:rsidRPr="003D354F">
              <w:rPr>
                <w:rFonts w:asciiTheme="minorHAnsi" w:hAnsiTheme="minorHAnsi" w:cstheme="minorHAnsi"/>
                <w:b/>
                <w:bCs/>
                <w:szCs w:val="20"/>
              </w:rPr>
              <w:t>2023</w:t>
            </w:r>
          </w:p>
        </w:tc>
        <w:tc>
          <w:tcPr>
            <w:tcW w:w="631" w:type="pct"/>
            <w:shd w:val="clear" w:color="auto" w:fill="B4C6E7" w:themeFill="accent1" w:themeFillTint="66"/>
          </w:tcPr>
          <w:p w14:paraId="1C8BFA28" w14:textId="77777777" w:rsidR="00341A8B" w:rsidRPr="003D354F" w:rsidRDefault="00341A8B" w:rsidP="00917D36">
            <w:pPr>
              <w:jc w:val="right"/>
              <w:rPr>
                <w:rFonts w:asciiTheme="minorHAnsi" w:hAnsiTheme="minorHAnsi" w:cstheme="minorHAnsi"/>
                <w:b/>
                <w:bCs/>
                <w:szCs w:val="20"/>
              </w:rPr>
            </w:pPr>
            <w:r w:rsidRPr="003D354F">
              <w:rPr>
                <w:rFonts w:asciiTheme="minorHAnsi" w:hAnsiTheme="minorHAnsi" w:cstheme="minorHAnsi"/>
                <w:b/>
                <w:bCs/>
                <w:szCs w:val="20"/>
              </w:rPr>
              <w:t>2024</w:t>
            </w:r>
          </w:p>
        </w:tc>
        <w:tc>
          <w:tcPr>
            <w:tcW w:w="630" w:type="pct"/>
            <w:shd w:val="clear" w:color="auto" w:fill="B4C6E7" w:themeFill="accent1" w:themeFillTint="66"/>
          </w:tcPr>
          <w:p w14:paraId="41088907" w14:textId="77777777" w:rsidR="00341A8B" w:rsidRPr="003D354F" w:rsidRDefault="00341A8B" w:rsidP="00917D36">
            <w:pPr>
              <w:jc w:val="right"/>
              <w:rPr>
                <w:rFonts w:asciiTheme="minorHAnsi" w:hAnsiTheme="minorHAnsi" w:cstheme="minorHAnsi"/>
                <w:b/>
                <w:bCs/>
                <w:szCs w:val="20"/>
              </w:rPr>
            </w:pPr>
            <w:r w:rsidRPr="003D354F">
              <w:rPr>
                <w:rFonts w:asciiTheme="minorHAnsi" w:hAnsiTheme="minorHAnsi" w:cstheme="minorHAnsi"/>
                <w:b/>
                <w:bCs/>
                <w:szCs w:val="20"/>
              </w:rPr>
              <w:t>2025</w:t>
            </w:r>
          </w:p>
        </w:tc>
      </w:tr>
      <w:tr w:rsidR="00701ED8" w:rsidRPr="00953910" w14:paraId="06C9A99B" w14:textId="77777777" w:rsidTr="0094350D">
        <w:trPr>
          <w:trHeight w:val="143"/>
        </w:trPr>
        <w:tc>
          <w:tcPr>
            <w:tcW w:w="420" w:type="pct"/>
            <w:vAlign w:val="center"/>
          </w:tcPr>
          <w:p w14:paraId="12E5631F" w14:textId="16CC4C29" w:rsidR="00917D36" w:rsidRPr="00953910" w:rsidRDefault="00EC3172" w:rsidP="00190923">
            <w:pPr>
              <w:spacing w:before="0" w:after="0" w:line="240" w:lineRule="auto"/>
              <w:rPr>
                <w:rFonts w:asciiTheme="minorHAnsi" w:hAnsiTheme="minorHAnsi" w:cstheme="minorHAnsi"/>
                <w:szCs w:val="20"/>
              </w:rPr>
            </w:pPr>
            <w:r>
              <w:rPr>
                <w:rFonts w:asciiTheme="minorHAnsi" w:hAnsiTheme="minorHAnsi" w:cstheme="minorHAnsi"/>
                <w:szCs w:val="20"/>
              </w:rPr>
              <w:t>2712</w:t>
            </w:r>
          </w:p>
        </w:tc>
        <w:tc>
          <w:tcPr>
            <w:tcW w:w="2057" w:type="pct"/>
          </w:tcPr>
          <w:p w14:paraId="05185D3A" w14:textId="50E27008" w:rsidR="00917D36" w:rsidRPr="00953910" w:rsidRDefault="00917D36" w:rsidP="00917D36">
            <w:pPr>
              <w:spacing w:before="0" w:after="0" w:line="240" w:lineRule="auto"/>
              <w:rPr>
                <w:rFonts w:asciiTheme="minorHAnsi" w:hAnsiTheme="minorHAnsi" w:cstheme="minorHAnsi"/>
                <w:szCs w:val="20"/>
              </w:rPr>
            </w:pPr>
            <w:r w:rsidRPr="00917D36">
              <w:rPr>
                <w:rFonts w:asciiTheme="minorHAnsi" w:hAnsiTheme="minorHAnsi" w:cstheme="minorHAnsi"/>
                <w:szCs w:val="20"/>
              </w:rPr>
              <w:t>St Joseph's College ALBANY</w:t>
            </w:r>
          </w:p>
        </w:tc>
        <w:tc>
          <w:tcPr>
            <w:tcW w:w="631" w:type="pct"/>
            <w:vAlign w:val="center"/>
          </w:tcPr>
          <w:p w14:paraId="12BD400E" w14:textId="262DFBDD" w:rsidR="00917D36" w:rsidRPr="00E33097" w:rsidRDefault="00917D36" w:rsidP="00917D36">
            <w:pPr>
              <w:spacing w:before="0" w:after="0" w:line="240" w:lineRule="auto"/>
              <w:jc w:val="right"/>
              <w:rPr>
                <w:rFonts w:asciiTheme="minorHAnsi" w:hAnsiTheme="minorHAnsi" w:cstheme="minorHAnsi"/>
                <w:color w:val="2E74B5" w:themeColor="accent5" w:themeShade="BF"/>
                <w:szCs w:val="20"/>
              </w:rPr>
            </w:pPr>
            <w:r w:rsidRPr="00E33097">
              <w:rPr>
                <w:rFonts w:asciiTheme="minorHAnsi" w:hAnsiTheme="minorHAnsi" w:cstheme="minorHAnsi"/>
                <w:color w:val="2E74B5" w:themeColor="accent5" w:themeShade="BF"/>
                <w:szCs w:val="20"/>
              </w:rPr>
              <w:t>$45,000</w:t>
            </w:r>
          </w:p>
        </w:tc>
        <w:tc>
          <w:tcPr>
            <w:tcW w:w="632" w:type="pct"/>
            <w:vAlign w:val="center"/>
          </w:tcPr>
          <w:p w14:paraId="014F2598" w14:textId="15CF3280" w:rsidR="00917D36" w:rsidRPr="00E33097" w:rsidRDefault="00917D36" w:rsidP="00917D36">
            <w:pPr>
              <w:spacing w:before="0" w:after="0" w:line="240" w:lineRule="auto"/>
              <w:jc w:val="right"/>
              <w:rPr>
                <w:rFonts w:asciiTheme="minorHAnsi" w:hAnsiTheme="minorHAnsi" w:cstheme="minorHAnsi"/>
                <w:color w:val="2E74B5" w:themeColor="accent5" w:themeShade="BF"/>
                <w:szCs w:val="20"/>
              </w:rPr>
            </w:pPr>
            <w:r w:rsidRPr="00E33097">
              <w:rPr>
                <w:rFonts w:asciiTheme="minorHAnsi" w:hAnsiTheme="minorHAnsi" w:cstheme="minorHAnsi"/>
                <w:color w:val="2E74B5" w:themeColor="accent5" w:themeShade="BF"/>
                <w:szCs w:val="20"/>
              </w:rPr>
              <w:t>$45,000</w:t>
            </w:r>
          </w:p>
        </w:tc>
        <w:tc>
          <w:tcPr>
            <w:tcW w:w="631" w:type="pct"/>
            <w:vAlign w:val="center"/>
          </w:tcPr>
          <w:p w14:paraId="5461D6CA" w14:textId="39ED0DF1" w:rsidR="00917D36" w:rsidRPr="00E33097" w:rsidRDefault="00917D36" w:rsidP="00917D36">
            <w:pPr>
              <w:spacing w:before="0" w:after="0" w:line="240" w:lineRule="auto"/>
              <w:jc w:val="right"/>
              <w:rPr>
                <w:rFonts w:asciiTheme="minorHAnsi" w:hAnsiTheme="minorHAnsi" w:cstheme="minorHAnsi"/>
                <w:color w:val="2E74B5" w:themeColor="accent5" w:themeShade="BF"/>
                <w:szCs w:val="20"/>
              </w:rPr>
            </w:pPr>
            <w:r w:rsidRPr="00E33097">
              <w:rPr>
                <w:rFonts w:asciiTheme="minorHAnsi" w:hAnsiTheme="minorHAnsi" w:cstheme="minorHAnsi"/>
                <w:color w:val="2E74B5" w:themeColor="accent5" w:themeShade="BF"/>
                <w:szCs w:val="20"/>
              </w:rPr>
              <w:t>$45,000</w:t>
            </w:r>
          </w:p>
        </w:tc>
        <w:tc>
          <w:tcPr>
            <w:tcW w:w="630" w:type="pct"/>
            <w:vAlign w:val="center"/>
          </w:tcPr>
          <w:p w14:paraId="4879E16B" w14:textId="69A103F2" w:rsidR="00917D36" w:rsidRPr="00E33097" w:rsidRDefault="00917D36" w:rsidP="00917D36">
            <w:pPr>
              <w:spacing w:before="0" w:after="0" w:line="240" w:lineRule="auto"/>
              <w:jc w:val="right"/>
              <w:rPr>
                <w:rFonts w:asciiTheme="minorHAnsi" w:hAnsiTheme="minorHAnsi" w:cstheme="minorHAnsi"/>
                <w:color w:val="2E74B5" w:themeColor="accent5" w:themeShade="BF"/>
                <w:szCs w:val="20"/>
              </w:rPr>
            </w:pPr>
            <w:r w:rsidRPr="00E33097">
              <w:rPr>
                <w:rFonts w:asciiTheme="minorHAnsi" w:hAnsiTheme="minorHAnsi" w:cstheme="minorHAnsi"/>
                <w:color w:val="2E74B5" w:themeColor="accent5" w:themeShade="BF"/>
                <w:szCs w:val="20"/>
              </w:rPr>
              <w:t>$45,000</w:t>
            </w:r>
          </w:p>
        </w:tc>
      </w:tr>
      <w:tr w:rsidR="00701ED8" w:rsidRPr="00953910" w14:paraId="473DE741" w14:textId="77777777" w:rsidTr="0094350D">
        <w:trPr>
          <w:trHeight w:val="143"/>
        </w:trPr>
        <w:tc>
          <w:tcPr>
            <w:tcW w:w="420" w:type="pct"/>
            <w:vAlign w:val="center"/>
          </w:tcPr>
          <w:p w14:paraId="017C49B9" w14:textId="3E0D98D1" w:rsidR="00917D36"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163</w:t>
            </w:r>
          </w:p>
        </w:tc>
        <w:tc>
          <w:tcPr>
            <w:tcW w:w="2057" w:type="pct"/>
          </w:tcPr>
          <w:p w14:paraId="1824EA58" w14:textId="15C9ADFE" w:rsidR="00917D36" w:rsidRPr="00953910" w:rsidRDefault="00917D36" w:rsidP="00917D36">
            <w:pPr>
              <w:spacing w:before="0" w:after="0" w:line="240" w:lineRule="auto"/>
              <w:rPr>
                <w:rFonts w:asciiTheme="minorHAnsi" w:hAnsiTheme="minorHAnsi" w:cstheme="minorHAnsi"/>
                <w:szCs w:val="20"/>
              </w:rPr>
            </w:pPr>
            <w:r w:rsidRPr="00917D36">
              <w:rPr>
                <w:rFonts w:asciiTheme="minorHAnsi" w:hAnsiTheme="minorHAnsi" w:cstheme="minorHAnsi"/>
                <w:szCs w:val="20"/>
              </w:rPr>
              <w:t>Xavier Catholic School HILBERT</w:t>
            </w:r>
          </w:p>
        </w:tc>
        <w:tc>
          <w:tcPr>
            <w:tcW w:w="631" w:type="pct"/>
            <w:vAlign w:val="center"/>
          </w:tcPr>
          <w:p w14:paraId="5B3EE4EB" w14:textId="4D2413CB"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2" w:type="pct"/>
            <w:vAlign w:val="center"/>
          </w:tcPr>
          <w:p w14:paraId="16E1047F" w14:textId="48D12620"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1" w:type="pct"/>
            <w:vAlign w:val="center"/>
          </w:tcPr>
          <w:p w14:paraId="51763455" w14:textId="563CB0FD"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0" w:type="pct"/>
            <w:vAlign w:val="center"/>
          </w:tcPr>
          <w:p w14:paraId="3EC2838F" w14:textId="6121520C"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r>
      <w:tr w:rsidR="00701ED8" w:rsidRPr="00953910" w14:paraId="12603CED" w14:textId="77777777" w:rsidTr="0094350D">
        <w:trPr>
          <w:trHeight w:val="143"/>
        </w:trPr>
        <w:tc>
          <w:tcPr>
            <w:tcW w:w="420" w:type="pct"/>
            <w:vAlign w:val="center"/>
          </w:tcPr>
          <w:p w14:paraId="70F54594" w14:textId="03D6552C" w:rsidR="00917D36"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16461</w:t>
            </w:r>
          </w:p>
        </w:tc>
        <w:tc>
          <w:tcPr>
            <w:tcW w:w="2057" w:type="pct"/>
          </w:tcPr>
          <w:p w14:paraId="0C7B4424" w14:textId="29B64F4A" w:rsidR="00917D36" w:rsidRPr="00953910" w:rsidRDefault="00917D36" w:rsidP="00917D36">
            <w:pPr>
              <w:spacing w:before="0" w:after="0" w:line="240" w:lineRule="auto"/>
              <w:rPr>
                <w:rFonts w:asciiTheme="minorHAnsi" w:hAnsiTheme="minorHAnsi" w:cstheme="minorHAnsi"/>
                <w:szCs w:val="20"/>
              </w:rPr>
            </w:pPr>
            <w:proofErr w:type="spellStart"/>
            <w:r w:rsidRPr="00917D36">
              <w:rPr>
                <w:rFonts w:asciiTheme="minorHAnsi" w:hAnsiTheme="minorHAnsi" w:cstheme="minorHAnsi"/>
                <w:szCs w:val="20"/>
              </w:rPr>
              <w:t>Kururrungku</w:t>
            </w:r>
            <w:proofErr w:type="spellEnd"/>
            <w:r w:rsidRPr="00917D36">
              <w:rPr>
                <w:rFonts w:asciiTheme="minorHAnsi" w:hAnsiTheme="minorHAnsi" w:cstheme="minorHAnsi"/>
                <w:szCs w:val="20"/>
              </w:rPr>
              <w:t xml:space="preserve"> Catholic Education Centre - </w:t>
            </w:r>
            <w:proofErr w:type="spellStart"/>
            <w:r w:rsidRPr="00917D36">
              <w:rPr>
                <w:rFonts w:asciiTheme="minorHAnsi" w:hAnsiTheme="minorHAnsi" w:cstheme="minorHAnsi"/>
                <w:szCs w:val="20"/>
              </w:rPr>
              <w:t>Billiluna</w:t>
            </w:r>
            <w:proofErr w:type="spellEnd"/>
            <w:r w:rsidRPr="00917D36">
              <w:rPr>
                <w:rFonts w:asciiTheme="minorHAnsi" w:hAnsiTheme="minorHAnsi" w:cstheme="minorHAnsi"/>
                <w:szCs w:val="20"/>
              </w:rPr>
              <w:t xml:space="preserve"> HALLS CREEK</w:t>
            </w:r>
          </w:p>
        </w:tc>
        <w:tc>
          <w:tcPr>
            <w:tcW w:w="631" w:type="pct"/>
            <w:vAlign w:val="center"/>
          </w:tcPr>
          <w:p w14:paraId="6FF1D8D7" w14:textId="7C1829A9"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40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2" w:type="pct"/>
            <w:vAlign w:val="center"/>
          </w:tcPr>
          <w:p w14:paraId="2C18A00D" w14:textId="1AB07A5C"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40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1" w:type="pct"/>
            <w:vAlign w:val="center"/>
          </w:tcPr>
          <w:p w14:paraId="47C0D496" w14:textId="715EBCF6"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40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0" w:type="pct"/>
            <w:vAlign w:val="center"/>
          </w:tcPr>
          <w:p w14:paraId="4BA84B5E" w14:textId="56558F38"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40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r>
      <w:tr w:rsidR="00701ED8" w:rsidRPr="00953910" w14:paraId="182C8C07" w14:textId="77777777" w:rsidTr="0094350D">
        <w:trPr>
          <w:trHeight w:val="143"/>
        </w:trPr>
        <w:tc>
          <w:tcPr>
            <w:tcW w:w="420" w:type="pct"/>
            <w:vAlign w:val="center"/>
          </w:tcPr>
          <w:p w14:paraId="1737BEDC" w14:textId="2F3C31B8" w:rsidR="00917D36"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214</w:t>
            </w:r>
          </w:p>
        </w:tc>
        <w:tc>
          <w:tcPr>
            <w:tcW w:w="2057" w:type="pct"/>
          </w:tcPr>
          <w:p w14:paraId="50A1BFEF" w14:textId="182AAF5B" w:rsidR="00917D36" w:rsidRPr="00953910" w:rsidRDefault="00917D36" w:rsidP="00917D36">
            <w:pPr>
              <w:spacing w:before="0" w:after="0" w:line="240" w:lineRule="auto"/>
              <w:rPr>
                <w:rFonts w:asciiTheme="minorHAnsi" w:hAnsiTheme="minorHAnsi" w:cstheme="minorHAnsi"/>
                <w:szCs w:val="20"/>
              </w:rPr>
            </w:pPr>
            <w:r w:rsidRPr="00917D36">
              <w:rPr>
                <w:rFonts w:asciiTheme="minorHAnsi" w:hAnsiTheme="minorHAnsi" w:cstheme="minorHAnsi"/>
                <w:szCs w:val="20"/>
              </w:rPr>
              <w:t>St Michael's School BRUNSWICK JUNCTION</w:t>
            </w:r>
          </w:p>
        </w:tc>
        <w:tc>
          <w:tcPr>
            <w:tcW w:w="631" w:type="pct"/>
            <w:vAlign w:val="center"/>
          </w:tcPr>
          <w:p w14:paraId="684D0EA3" w14:textId="46032D35"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8</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2" w:type="pct"/>
            <w:vAlign w:val="center"/>
          </w:tcPr>
          <w:p w14:paraId="6F3762BF" w14:textId="7F52E200"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8</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1" w:type="pct"/>
            <w:vAlign w:val="center"/>
          </w:tcPr>
          <w:p w14:paraId="3AD429EE" w14:textId="5A842E83"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8</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0" w:type="pct"/>
            <w:vAlign w:val="center"/>
          </w:tcPr>
          <w:p w14:paraId="785962B4" w14:textId="2B6430A9"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8</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r>
      <w:tr w:rsidR="00701ED8" w:rsidRPr="00953910" w14:paraId="02CCB234" w14:textId="77777777" w:rsidTr="0094350D">
        <w:trPr>
          <w:trHeight w:val="143"/>
        </w:trPr>
        <w:tc>
          <w:tcPr>
            <w:tcW w:w="420" w:type="pct"/>
            <w:vAlign w:val="center"/>
          </w:tcPr>
          <w:p w14:paraId="648AD75A" w14:textId="2F667E4F" w:rsidR="00917D36"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30059</w:t>
            </w:r>
          </w:p>
        </w:tc>
        <w:tc>
          <w:tcPr>
            <w:tcW w:w="2057" w:type="pct"/>
          </w:tcPr>
          <w:p w14:paraId="3D747AC0" w14:textId="70924F91" w:rsidR="00917D36" w:rsidRPr="00953910" w:rsidRDefault="00917D36" w:rsidP="00917D36">
            <w:pPr>
              <w:spacing w:before="0" w:after="0" w:line="240" w:lineRule="auto"/>
              <w:rPr>
                <w:rFonts w:asciiTheme="minorHAnsi" w:hAnsiTheme="minorHAnsi" w:cstheme="minorHAnsi"/>
                <w:szCs w:val="20"/>
              </w:rPr>
            </w:pPr>
            <w:r w:rsidRPr="00917D36">
              <w:rPr>
                <w:rFonts w:asciiTheme="minorHAnsi" w:hAnsiTheme="minorHAnsi" w:cstheme="minorHAnsi"/>
                <w:szCs w:val="20"/>
              </w:rPr>
              <w:t>St John Bosco College PIARA WATERS</w:t>
            </w:r>
          </w:p>
        </w:tc>
        <w:tc>
          <w:tcPr>
            <w:tcW w:w="631" w:type="pct"/>
            <w:vAlign w:val="center"/>
          </w:tcPr>
          <w:p w14:paraId="3895F689" w14:textId="02EA2AFE"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120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2" w:type="pct"/>
            <w:vAlign w:val="center"/>
          </w:tcPr>
          <w:p w14:paraId="6C1FB6FD" w14:textId="29B51E40"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120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1" w:type="pct"/>
            <w:vAlign w:val="center"/>
          </w:tcPr>
          <w:p w14:paraId="17BC0438" w14:textId="1BF94F41"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120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0" w:type="pct"/>
            <w:vAlign w:val="center"/>
          </w:tcPr>
          <w:p w14:paraId="22FA9902" w14:textId="3DAB8AA7"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120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r>
      <w:tr w:rsidR="00701ED8" w:rsidRPr="00953910" w14:paraId="33802514" w14:textId="77777777" w:rsidTr="0094350D">
        <w:trPr>
          <w:trHeight w:val="143"/>
        </w:trPr>
        <w:tc>
          <w:tcPr>
            <w:tcW w:w="420" w:type="pct"/>
            <w:vAlign w:val="center"/>
          </w:tcPr>
          <w:p w14:paraId="274FC9C6" w14:textId="05AD8CC8" w:rsidR="00917D36" w:rsidRPr="007A15CB" w:rsidRDefault="00B81881" w:rsidP="00190923">
            <w:pPr>
              <w:spacing w:before="0" w:after="0" w:line="240" w:lineRule="auto"/>
              <w:rPr>
                <w:rFonts w:asciiTheme="minorHAnsi" w:hAnsiTheme="minorHAnsi" w:cstheme="minorHAnsi"/>
                <w:szCs w:val="20"/>
              </w:rPr>
            </w:pPr>
            <w:r w:rsidRPr="007A15CB">
              <w:rPr>
                <w:rFonts w:asciiTheme="minorHAnsi" w:hAnsiTheme="minorHAnsi" w:cstheme="minorHAnsi"/>
                <w:szCs w:val="20"/>
              </w:rPr>
              <w:t>16459</w:t>
            </w:r>
          </w:p>
        </w:tc>
        <w:tc>
          <w:tcPr>
            <w:tcW w:w="2057" w:type="pct"/>
          </w:tcPr>
          <w:p w14:paraId="3AFC6D79" w14:textId="406099E0" w:rsidR="00917D36" w:rsidRPr="007A15CB" w:rsidRDefault="00917D36" w:rsidP="00917D36">
            <w:pPr>
              <w:spacing w:before="0" w:after="0" w:line="240" w:lineRule="auto"/>
              <w:rPr>
                <w:rFonts w:asciiTheme="minorHAnsi" w:hAnsiTheme="minorHAnsi" w:cstheme="minorHAnsi"/>
                <w:szCs w:val="20"/>
              </w:rPr>
            </w:pPr>
            <w:r w:rsidRPr="007A15CB">
              <w:rPr>
                <w:rFonts w:asciiTheme="minorHAnsi" w:hAnsiTheme="minorHAnsi" w:cstheme="minorHAnsi"/>
                <w:szCs w:val="20"/>
              </w:rPr>
              <w:t>Christ the King Catholic School BROOME</w:t>
            </w:r>
          </w:p>
        </w:tc>
        <w:tc>
          <w:tcPr>
            <w:tcW w:w="631" w:type="pct"/>
            <w:vAlign w:val="center"/>
          </w:tcPr>
          <w:p w14:paraId="01008BCF" w14:textId="6C7FF27D" w:rsidR="00917D36" w:rsidRPr="007A15CB" w:rsidRDefault="00917D36" w:rsidP="00917D36">
            <w:pPr>
              <w:spacing w:before="0" w:after="0" w:line="240" w:lineRule="auto"/>
              <w:jc w:val="right"/>
              <w:rPr>
                <w:rFonts w:asciiTheme="minorHAnsi" w:hAnsiTheme="minorHAnsi" w:cstheme="minorHAnsi"/>
                <w:color w:val="4472C4" w:themeColor="accent1"/>
                <w:szCs w:val="20"/>
              </w:rPr>
            </w:pPr>
            <w:r w:rsidRPr="007A15CB">
              <w:rPr>
                <w:rFonts w:asciiTheme="minorHAnsi" w:hAnsiTheme="minorHAnsi" w:cstheme="minorHAnsi"/>
                <w:color w:val="4472C4" w:themeColor="accent1"/>
                <w:szCs w:val="20"/>
              </w:rPr>
              <w:t>$50,000</w:t>
            </w:r>
          </w:p>
        </w:tc>
        <w:tc>
          <w:tcPr>
            <w:tcW w:w="632" w:type="pct"/>
            <w:vAlign w:val="center"/>
          </w:tcPr>
          <w:p w14:paraId="0D00374E" w14:textId="245647A8" w:rsidR="00917D36" w:rsidRPr="007A15CB" w:rsidRDefault="00917D36" w:rsidP="00917D36">
            <w:pPr>
              <w:spacing w:before="0" w:after="0" w:line="240" w:lineRule="auto"/>
              <w:jc w:val="right"/>
              <w:rPr>
                <w:rFonts w:asciiTheme="minorHAnsi" w:hAnsiTheme="minorHAnsi" w:cstheme="minorHAnsi"/>
                <w:color w:val="4472C4" w:themeColor="accent1"/>
                <w:szCs w:val="20"/>
              </w:rPr>
            </w:pPr>
            <w:r w:rsidRPr="007A15CB">
              <w:rPr>
                <w:rFonts w:asciiTheme="minorHAnsi" w:hAnsiTheme="minorHAnsi" w:cstheme="minorHAnsi"/>
                <w:color w:val="4472C4" w:themeColor="accent1"/>
                <w:szCs w:val="20"/>
              </w:rPr>
              <w:t>$50,000</w:t>
            </w:r>
          </w:p>
        </w:tc>
        <w:tc>
          <w:tcPr>
            <w:tcW w:w="631" w:type="pct"/>
            <w:vAlign w:val="center"/>
          </w:tcPr>
          <w:p w14:paraId="5C565A2A" w14:textId="46622729" w:rsidR="00917D36" w:rsidRPr="007A15CB" w:rsidRDefault="00917D36" w:rsidP="00917D36">
            <w:pPr>
              <w:spacing w:before="0" w:after="0" w:line="240" w:lineRule="auto"/>
              <w:jc w:val="right"/>
              <w:rPr>
                <w:rFonts w:asciiTheme="minorHAnsi" w:hAnsiTheme="minorHAnsi" w:cstheme="minorHAnsi"/>
                <w:color w:val="4472C4" w:themeColor="accent1"/>
                <w:szCs w:val="20"/>
              </w:rPr>
            </w:pPr>
            <w:r w:rsidRPr="007A15CB">
              <w:rPr>
                <w:rFonts w:asciiTheme="minorHAnsi" w:hAnsiTheme="minorHAnsi" w:cstheme="minorHAnsi"/>
                <w:color w:val="4472C4" w:themeColor="accent1"/>
                <w:szCs w:val="20"/>
              </w:rPr>
              <w:t>$50,000</w:t>
            </w:r>
          </w:p>
        </w:tc>
        <w:tc>
          <w:tcPr>
            <w:tcW w:w="630" w:type="pct"/>
            <w:vAlign w:val="center"/>
          </w:tcPr>
          <w:p w14:paraId="77CDF6C0" w14:textId="78F2F88A" w:rsidR="00917D36" w:rsidRPr="008C02EE" w:rsidRDefault="00917D36" w:rsidP="00917D36">
            <w:pPr>
              <w:spacing w:before="0" w:after="0" w:line="240" w:lineRule="auto"/>
              <w:jc w:val="right"/>
              <w:rPr>
                <w:rFonts w:asciiTheme="minorHAnsi" w:hAnsiTheme="minorHAnsi" w:cstheme="minorHAnsi"/>
                <w:color w:val="4472C4" w:themeColor="accent1"/>
                <w:szCs w:val="20"/>
              </w:rPr>
            </w:pPr>
            <w:r w:rsidRPr="007A15CB">
              <w:rPr>
                <w:rFonts w:asciiTheme="minorHAnsi" w:hAnsiTheme="minorHAnsi" w:cstheme="minorHAnsi"/>
                <w:color w:val="4472C4" w:themeColor="accent1"/>
                <w:szCs w:val="20"/>
              </w:rPr>
              <w:t>$50,000</w:t>
            </w:r>
          </w:p>
        </w:tc>
      </w:tr>
      <w:tr w:rsidR="00701ED8" w:rsidRPr="00953910" w14:paraId="12192F99" w14:textId="77777777" w:rsidTr="0094350D">
        <w:trPr>
          <w:trHeight w:val="143"/>
        </w:trPr>
        <w:tc>
          <w:tcPr>
            <w:tcW w:w="420" w:type="pct"/>
            <w:vAlign w:val="center"/>
          </w:tcPr>
          <w:p w14:paraId="0BEC5EC8" w14:textId="71377F3A" w:rsidR="00917D36"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2757</w:t>
            </w:r>
          </w:p>
        </w:tc>
        <w:tc>
          <w:tcPr>
            <w:tcW w:w="2057" w:type="pct"/>
          </w:tcPr>
          <w:p w14:paraId="05FCE910" w14:textId="09606A5E" w:rsidR="00917D36" w:rsidRPr="00953910" w:rsidRDefault="00917D36" w:rsidP="00917D36">
            <w:pPr>
              <w:spacing w:before="0" w:after="0" w:line="240" w:lineRule="auto"/>
              <w:rPr>
                <w:rFonts w:asciiTheme="minorHAnsi" w:hAnsiTheme="minorHAnsi" w:cstheme="minorHAnsi"/>
                <w:szCs w:val="20"/>
              </w:rPr>
            </w:pPr>
            <w:r w:rsidRPr="00917D36">
              <w:rPr>
                <w:rFonts w:asciiTheme="minorHAnsi" w:hAnsiTheme="minorHAnsi" w:cstheme="minorHAnsi"/>
                <w:szCs w:val="20"/>
              </w:rPr>
              <w:t>Assumption Catholic Primary School MANDURAH</w:t>
            </w:r>
          </w:p>
        </w:tc>
        <w:tc>
          <w:tcPr>
            <w:tcW w:w="631" w:type="pct"/>
            <w:vAlign w:val="center"/>
          </w:tcPr>
          <w:p w14:paraId="5285CC73" w14:textId="0386A9AA"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45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2" w:type="pct"/>
            <w:vAlign w:val="center"/>
          </w:tcPr>
          <w:p w14:paraId="7201361C" w14:textId="1D07B9AC"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45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1" w:type="pct"/>
            <w:vAlign w:val="center"/>
          </w:tcPr>
          <w:p w14:paraId="3385C450" w14:textId="3E8532BA"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45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0" w:type="pct"/>
            <w:vAlign w:val="center"/>
          </w:tcPr>
          <w:p w14:paraId="2DC8F985" w14:textId="1C35B81A"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45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r>
      <w:tr w:rsidR="00701ED8" w:rsidRPr="00953910" w14:paraId="7650449A" w14:textId="77777777" w:rsidTr="0094350D">
        <w:trPr>
          <w:trHeight w:val="143"/>
        </w:trPr>
        <w:tc>
          <w:tcPr>
            <w:tcW w:w="420" w:type="pct"/>
            <w:vAlign w:val="center"/>
          </w:tcPr>
          <w:p w14:paraId="09CC469C" w14:textId="36B4E2EC" w:rsidR="00917D36" w:rsidRPr="00E33097" w:rsidRDefault="00E33097" w:rsidP="00190923">
            <w:pPr>
              <w:spacing w:before="0" w:after="0" w:line="240" w:lineRule="auto"/>
              <w:rPr>
                <w:rFonts w:asciiTheme="minorHAnsi" w:hAnsiTheme="minorHAnsi" w:cstheme="minorHAnsi"/>
                <w:szCs w:val="20"/>
              </w:rPr>
            </w:pPr>
            <w:r w:rsidRPr="00E33097">
              <w:rPr>
                <w:rFonts w:asciiTheme="minorHAnsi" w:hAnsiTheme="minorHAnsi" w:cstheme="minorHAnsi"/>
                <w:szCs w:val="20"/>
              </w:rPr>
              <w:t>8787</w:t>
            </w:r>
          </w:p>
        </w:tc>
        <w:tc>
          <w:tcPr>
            <w:tcW w:w="2057" w:type="pct"/>
          </w:tcPr>
          <w:p w14:paraId="7CBD812C" w14:textId="1F45F506" w:rsidR="00917D36" w:rsidRPr="00E33097" w:rsidRDefault="00917D36" w:rsidP="00917D36">
            <w:pPr>
              <w:spacing w:before="0" w:after="0" w:line="240" w:lineRule="auto"/>
              <w:rPr>
                <w:rFonts w:asciiTheme="minorHAnsi" w:hAnsiTheme="minorHAnsi" w:cstheme="minorHAnsi"/>
                <w:szCs w:val="20"/>
              </w:rPr>
            </w:pPr>
            <w:proofErr w:type="spellStart"/>
            <w:r w:rsidRPr="00E33097">
              <w:rPr>
                <w:rFonts w:asciiTheme="minorHAnsi" w:hAnsiTheme="minorHAnsi" w:cstheme="minorHAnsi"/>
                <w:szCs w:val="20"/>
              </w:rPr>
              <w:t>Warlawurru</w:t>
            </w:r>
            <w:proofErr w:type="spellEnd"/>
            <w:r w:rsidRPr="00E33097">
              <w:rPr>
                <w:rFonts w:asciiTheme="minorHAnsi" w:hAnsiTheme="minorHAnsi" w:cstheme="minorHAnsi"/>
                <w:szCs w:val="20"/>
              </w:rPr>
              <w:t xml:space="preserve"> Catholic School HALLS CREEK</w:t>
            </w:r>
          </w:p>
        </w:tc>
        <w:tc>
          <w:tcPr>
            <w:tcW w:w="631" w:type="pct"/>
            <w:vAlign w:val="center"/>
          </w:tcPr>
          <w:p w14:paraId="0D115F29" w14:textId="602799BA"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2" w:type="pct"/>
            <w:vAlign w:val="center"/>
          </w:tcPr>
          <w:p w14:paraId="6E7C6A34" w14:textId="4C6AB375"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1" w:type="pct"/>
            <w:vAlign w:val="center"/>
          </w:tcPr>
          <w:p w14:paraId="36034394" w14:textId="16F7D374"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0" w:type="pct"/>
            <w:vAlign w:val="center"/>
          </w:tcPr>
          <w:p w14:paraId="364453D1" w14:textId="53E47B8F"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r>
      <w:tr w:rsidR="00701ED8" w:rsidRPr="00953910" w14:paraId="385E51FC" w14:textId="77777777" w:rsidTr="0094350D">
        <w:trPr>
          <w:trHeight w:val="143"/>
        </w:trPr>
        <w:tc>
          <w:tcPr>
            <w:tcW w:w="420" w:type="pct"/>
            <w:vAlign w:val="center"/>
          </w:tcPr>
          <w:p w14:paraId="752132ED" w14:textId="5117481E" w:rsidR="00917D36" w:rsidRPr="00E33097" w:rsidRDefault="00EC3172" w:rsidP="00190923">
            <w:pPr>
              <w:spacing w:before="0" w:after="0" w:line="240" w:lineRule="auto"/>
              <w:rPr>
                <w:rFonts w:asciiTheme="minorHAnsi" w:hAnsiTheme="minorHAnsi" w:cstheme="minorHAnsi"/>
                <w:szCs w:val="20"/>
              </w:rPr>
            </w:pPr>
            <w:r w:rsidRPr="00E33097">
              <w:rPr>
                <w:rFonts w:asciiTheme="minorHAnsi" w:hAnsiTheme="minorHAnsi" w:cstheme="minorHAnsi"/>
                <w:szCs w:val="20"/>
              </w:rPr>
              <w:t>193</w:t>
            </w:r>
          </w:p>
        </w:tc>
        <w:tc>
          <w:tcPr>
            <w:tcW w:w="2057" w:type="pct"/>
          </w:tcPr>
          <w:p w14:paraId="15ABB0C7" w14:textId="6A06A351" w:rsidR="00917D36" w:rsidRPr="00E33097" w:rsidRDefault="00917D36" w:rsidP="00917D36">
            <w:pPr>
              <w:spacing w:before="0" w:after="0" w:line="240" w:lineRule="auto"/>
              <w:rPr>
                <w:rFonts w:asciiTheme="minorHAnsi" w:hAnsiTheme="minorHAnsi" w:cstheme="minorHAnsi"/>
                <w:szCs w:val="20"/>
              </w:rPr>
            </w:pPr>
            <w:r w:rsidRPr="00E33097">
              <w:rPr>
                <w:rFonts w:asciiTheme="minorHAnsi" w:hAnsiTheme="minorHAnsi" w:cstheme="minorHAnsi"/>
                <w:szCs w:val="20"/>
              </w:rPr>
              <w:t>St Joseph's School WAROONA</w:t>
            </w:r>
          </w:p>
        </w:tc>
        <w:tc>
          <w:tcPr>
            <w:tcW w:w="631" w:type="pct"/>
            <w:vAlign w:val="center"/>
          </w:tcPr>
          <w:p w14:paraId="76A96D60" w14:textId="6A414C89"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80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2" w:type="pct"/>
            <w:vAlign w:val="center"/>
          </w:tcPr>
          <w:p w14:paraId="5CD5E6B9" w14:textId="34735D48"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80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1" w:type="pct"/>
            <w:vAlign w:val="center"/>
          </w:tcPr>
          <w:p w14:paraId="150121F3" w14:textId="3C77C05D"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80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0" w:type="pct"/>
            <w:vAlign w:val="center"/>
          </w:tcPr>
          <w:p w14:paraId="6780197A" w14:textId="7F650D0A"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80</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r>
      <w:tr w:rsidR="00701ED8" w:rsidRPr="00953910" w14:paraId="6CA2B3BC" w14:textId="77777777" w:rsidTr="0094350D">
        <w:trPr>
          <w:trHeight w:val="143"/>
        </w:trPr>
        <w:tc>
          <w:tcPr>
            <w:tcW w:w="420" w:type="pct"/>
            <w:vAlign w:val="center"/>
          </w:tcPr>
          <w:p w14:paraId="2A1C2D3E" w14:textId="2FB39FD0" w:rsidR="00917D36" w:rsidRPr="00E33097" w:rsidRDefault="00EC3172" w:rsidP="00190923">
            <w:pPr>
              <w:spacing w:before="0" w:after="0" w:line="240" w:lineRule="auto"/>
              <w:rPr>
                <w:rFonts w:asciiTheme="minorHAnsi" w:hAnsiTheme="minorHAnsi" w:cstheme="minorHAnsi"/>
                <w:szCs w:val="20"/>
              </w:rPr>
            </w:pPr>
            <w:r w:rsidRPr="00E33097">
              <w:rPr>
                <w:rFonts w:asciiTheme="minorHAnsi" w:hAnsiTheme="minorHAnsi" w:cstheme="minorHAnsi"/>
                <w:szCs w:val="20"/>
              </w:rPr>
              <w:t>194</w:t>
            </w:r>
          </w:p>
        </w:tc>
        <w:tc>
          <w:tcPr>
            <w:tcW w:w="2057" w:type="pct"/>
          </w:tcPr>
          <w:p w14:paraId="160068D6" w14:textId="714071C5" w:rsidR="00917D36" w:rsidRPr="00E33097" w:rsidRDefault="00917D36" w:rsidP="00917D36">
            <w:pPr>
              <w:spacing w:before="0" w:after="0" w:line="240" w:lineRule="auto"/>
              <w:rPr>
                <w:rFonts w:asciiTheme="minorHAnsi" w:hAnsiTheme="minorHAnsi" w:cstheme="minorHAnsi"/>
                <w:szCs w:val="20"/>
              </w:rPr>
            </w:pPr>
            <w:r w:rsidRPr="00E33097">
              <w:rPr>
                <w:rFonts w:asciiTheme="minorHAnsi" w:hAnsiTheme="minorHAnsi" w:cstheme="minorHAnsi"/>
                <w:szCs w:val="20"/>
              </w:rPr>
              <w:t>St Joseph's School WYNDHAM</w:t>
            </w:r>
          </w:p>
        </w:tc>
        <w:tc>
          <w:tcPr>
            <w:tcW w:w="631" w:type="pct"/>
            <w:vAlign w:val="center"/>
          </w:tcPr>
          <w:p w14:paraId="28C28DE5" w14:textId="6622070C"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2" w:type="pct"/>
            <w:vAlign w:val="center"/>
          </w:tcPr>
          <w:p w14:paraId="4ACA4DDA" w14:textId="48CE5B76"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1" w:type="pct"/>
            <w:vAlign w:val="center"/>
          </w:tcPr>
          <w:p w14:paraId="4E197EDC" w14:textId="591B849A"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c>
          <w:tcPr>
            <w:tcW w:w="630" w:type="pct"/>
            <w:vAlign w:val="center"/>
          </w:tcPr>
          <w:p w14:paraId="43248F85" w14:textId="62B22EA5"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25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000</w:t>
            </w:r>
          </w:p>
        </w:tc>
      </w:tr>
      <w:tr w:rsidR="00701ED8" w:rsidRPr="00953910" w14:paraId="0F386E31" w14:textId="77777777" w:rsidTr="0094350D">
        <w:trPr>
          <w:trHeight w:val="143"/>
        </w:trPr>
        <w:tc>
          <w:tcPr>
            <w:tcW w:w="420" w:type="pct"/>
            <w:vAlign w:val="center"/>
          </w:tcPr>
          <w:p w14:paraId="26A7AD19" w14:textId="2F603D44" w:rsidR="00917D36" w:rsidRPr="00E33097" w:rsidRDefault="00142C5B" w:rsidP="00190923">
            <w:pPr>
              <w:spacing w:before="0" w:after="0" w:line="240" w:lineRule="auto"/>
              <w:rPr>
                <w:rFonts w:asciiTheme="minorHAnsi" w:hAnsiTheme="minorHAnsi" w:cstheme="minorHAnsi"/>
                <w:szCs w:val="20"/>
              </w:rPr>
            </w:pPr>
            <w:r w:rsidRPr="00E33097">
              <w:rPr>
                <w:rFonts w:asciiTheme="minorHAnsi" w:hAnsiTheme="minorHAnsi" w:cstheme="minorHAnsi"/>
                <w:szCs w:val="20"/>
              </w:rPr>
              <w:t>5624</w:t>
            </w:r>
          </w:p>
        </w:tc>
        <w:tc>
          <w:tcPr>
            <w:tcW w:w="2057" w:type="pct"/>
          </w:tcPr>
          <w:p w14:paraId="09A86AF5" w14:textId="6B8E1CC2" w:rsidR="00917D36" w:rsidRPr="00E33097" w:rsidRDefault="00917D36" w:rsidP="0094350D">
            <w:pPr>
              <w:spacing w:before="0" w:after="0" w:line="240" w:lineRule="auto"/>
              <w:ind w:right="-443"/>
              <w:rPr>
                <w:rFonts w:asciiTheme="minorHAnsi" w:hAnsiTheme="minorHAnsi" w:cstheme="minorHAnsi"/>
                <w:szCs w:val="20"/>
              </w:rPr>
            </w:pPr>
            <w:r w:rsidRPr="00E33097">
              <w:rPr>
                <w:rFonts w:asciiTheme="minorHAnsi" w:hAnsiTheme="minorHAnsi" w:cstheme="minorHAnsi"/>
                <w:szCs w:val="20"/>
              </w:rPr>
              <w:t>Clontarf Aboriginal College WATERFORD</w:t>
            </w:r>
          </w:p>
        </w:tc>
        <w:tc>
          <w:tcPr>
            <w:tcW w:w="631" w:type="pct"/>
            <w:vAlign w:val="center"/>
          </w:tcPr>
          <w:p w14:paraId="1D1BE870" w14:textId="42754B0D"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35</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624</w:t>
            </w:r>
          </w:p>
        </w:tc>
        <w:tc>
          <w:tcPr>
            <w:tcW w:w="632" w:type="pct"/>
            <w:vAlign w:val="center"/>
          </w:tcPr>
          <w:p w14:paraId="52B0C357" w14:textId="610D0090"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006E6C38">
              <w:rPr>
                <w:rFonts w:asciiTheme="minorHAnsi" w:hAnsiTheme="minorHAnsi" w:cstheme="minorHAnsi"/>
                <w:color w:val="4472C4" w:themeColor="accent1"/>
                <w:szCs w:val="20"/>
              </w:rPr>
              <w:t>16,192</w:t>
            </w:r>
          </w:p>
        </w:tc>
        <w:tc>
          <w:tcPr>
            <w:tcW w:w="631" w:type="pct"/>
            <w:vAlign w:val="center"/>
          </w:tcPr>
          <w:p w14:paraId="6242B25A" w14:textId="45210676" w:rsidR="00917D36" w:rsidRPr="008C02EE" w:rsidRDefault="006E6C38"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$16,192</w:t>
            </w:r>
          </w:p>
        </w:tc>
        <w:tc>
          <w:tcPr>
            <w:tcW w:w="630" w:type="pct"/>
            <w:vAlign w:val="center"/>
          </w:tcPr>
          <w:p w14:paraId="33C1070E" w14:textId="1D416CA8" w:rsidR="00917D36" w:rsidRPr="008C02EE" w:rsidRDefault="006E6C38"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$16,192</w:t>
            </w:r>
          </w:p>
        </w:tc>
      </w:tr>
      <w:tr w:rsidR="00701ED8" w:rsidRPr="00953910" w14:paraId="7CA466D2" w14:textId="77777777" w:rsidTr="0094350D">
        <w:trPr>
          <w:trHeight w:val="143"/>
        </w:trPr>
        <w:tc>
          <w:tcPr>
            <w:tcW w:w="420" w:type="pct"/>
            <w:vAlign w:val="center"/>
          </w:tcPr>
          <w:p w14:paraId="5596F93E" w14:textId="14AE7757" w:rsidR="00917D36" w:rsidRPr="00E33097" w:rsidRDefault="00E33097" w:rsidP="00190923">
            <w:pPr>
              <w:spacing w:before="0" w:after="0" w:line="240" w:lineRule="auto"/>
              <w:rPr>
                <w:rFonts w:asciiTheme="minorHAnsi" w:hAnsiTheme="minorHAnsi" w:cstheme="minorHAnsi"/>
                <w:szCs w:val="20"/>
              </w:rPr>
            </w:pPr>
            <w:r w:rsidRPr="00E33097">
              <w:rPr>
                <w:rFonts w:asciiTheme="minorHAnsi" w:hAnsiTheme="minorHAnsi" w:cstheme="minorHAnsi"/>
                <w:szCs w:val="20"/>
              </w:rPr>
              <w:t>86701</w:t>
            </w:r>
          </w:p>
        </w:tc>
        <w:tc>
          <w:tcPr>
            <w:tcW w:w="2057" w:type="pct"/>
          </w:tcPr>
          <w:p w14:paraId="1BE4B337" w14:textId="6E70100C" w:rsidR="00917D36" w:rsidRPr="00E33097" w:rsidRDefault="00917D36" w:rsidP="00917D36">
            <w:pPr>
              <w:spacing w:before="0" w:after="0" w:line="240" w:lineRule="auto"/>
              <w:rPr>
                <w:rFonts w:asciiTheme="minorHAnsi" w:hAnsiTheme="minorHAnsi" w:cstheme="minorHAnsi"/>
                <w:szCs w:val="20"/>
              </w:rPr>
            </w:pPr>
            <w:r w:rsidRPr="00E33097">
              <w:rPr>
                <w:rFonts w:asciiTheme="minorHAnsi" w:hAnsiTheme="minorHAnsi" w:cstheme="minorHAnsi"/>
                <w:szCs w:val="20"/>
              </w:rPr>
              <w:t xml:space="preserve">St Martin de </w:t>
            </w:r>
            <w:proofErr w:type="spellStart"/>
            <w:r w:rsidRPr="00E33097">
              <w:rPr>
                <w:rFonts w:asciiTheme="minorHAnsi" w:hAnsiTheme="minorHAnsi" w:cstheme="minorHAnsi"/>
                <w:szCs w:val="20"/>
              </w:rPr>
              <w:t>Porres</w:t>
            </w:r>
            <w:proofErr w:type="spellEnd"/>
            <w:r w:rsidRPr="00E33097">
              <w:rPr>
                <w:rFonts w:asciiTheme="minorHAnsi" w:hAnsiTheme="minorHAnsi" w:cstheme="minorHAnsi"/>
                <w:szCs w:val="20"/>
              </w:rPr>
              <w:t xml:space="preserve"> School BROOME</w:t>
            </w:r>
          </w:p>
        </w:tc>
        <w:tc>
          <w:tcPr>
            <w:tcW w:w="631" w:type="pct"/>
            <w:vAlign w:val="center"/>
          </w:tcPr>
          <w:p w14:paraId="2FBC09D7" w14:textId="28CCF695"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39</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722</w:t>
            </w:r>
          </w:p>
        </w:tc>
        <w:tc>
          <w:tcPr>
            <w:tcW w:w="632" w:type="pct"/>
            <w:vAlign w:val="center"/>
          </w:tcPr>
          <w:p w14:paraId="5BD2542C" w14:textId="61060812"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006E6C38">
              <w:rPr>
                <w:rFonts w:asciiTheme="minorHAnsi" w:hAnsiTheme="minorHAnsi" w:cstheme="minorHAnsi"/>
                <w:color w:val="4472C4" w:themeColor="accent1"/>
                <w:szCs w:val="20"/>
              </w:rPr>
              <w:t>18,055</w:t>
            </w:r>
          </w:p>
        </w:tc>
        <w:tc>
          <w:tcPr>
            <w:tcW w:w="631" w:type="pct"/>
            <w:vAlign w:val="center"/>
          </w:tcPr>
          <w:p w14:paraId="2EF3F85F" w14:textId="0642C24B" w:rsidR="00917D36" w:rsidRPr="008C02EE" w:rsidRDefault="006E6C38"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$18,055</w:t>
            </w:r>
          </w:p>
        </w:tc>
        <w:tc>
          <w:tcPr>
            <w:tcW w:w="630" w:type="pct"/>
            <w:vAlign w:val="center"/>
          </w:tcPr>
          <w:p w14:paraId="608C2CED" w14:textId="7044C237" w:rsidR="00917D36" w:rsidRPr="008C02EE" w:rsidRDefault="006E6C38"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$18,055</w:t>
            </w:r>
          </w:p>
        </w:tc>
      </w:tr>
      <w:tr w:rsidR="00701ED8" w:rsidRPr="00953910" w14:paraId="5CC5A639" w14:textId="77777777" w:rsidTr="0094350D">
        <w:trPr>
          <w:trHeight w:val="143"/>
        </w:trPr>
        <w:tc>
          <w:tcPr>
            <w:tcW w:w="420" w:type="pct"/>
            <w:vAlign w:val="center"/>
          </w:tcPr>
          <w:p w14:paraId="328152AE" w14:textId="663C5FA4" w:rsidR="00917D36"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30238</w:t>
            </w:r>
          </w:p>
        </w:tc>
        <w:tc>
          <w:tcPr>
            <w:tcW w:w="2057" w:type="pct"/>
          </w:tcPr>
          <w:p w14:paraId="264DB9E6" w14:textId="14E771FE" w:rsidR="00917D36" w:rsidRPr="00953910" w:rsidRDefault="00917D36" w:rsidP="00917D36">
            <w:pPr>
              <w:spacing w:before="0" w:after="0" w:line="240" w:lineRule="auto"/>
              <w:rPr>
                <w:rFonts w:asciiTheme="minorHAnsi" w:hAnsiTheme="minorHAnsi" w:cstheme="minorHAnsi"/>
                <w:szCs w:val="20"/>
              </w:rPr>
            </w:pPr>
            <w:r w:rsidRPr="00917D36">
              <w:rPr>
                <w:rFonts w:asciiTheme="minorHAnsi" w:hAnsiTheme="minorHAnsi" w:cstheme="minorHAnsi"/>
                <w:szCs w:val="20"/>
              </w:rPr>
              <w:t>St Francis' School MADDINGTON</w:t>
            </w:r>
          </w:p>
        </w:tc>
        <w:tc>
          <w:tcPr>
            <w:tcW w:w="631" w:type="pct"/>
            <w:vAlign w:val="center"/>
          </w:tcPr>
          <w:p w14:paraId="0EE17A7C" w14:textId="216C04ED" w:rsidR="00917D36" w:rsidRPr="008C02EE" w:rsidRDefault="00361421"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$20,791</w:t>
            </w:r>
          </w:p>
        </w:tc>
        <w:tc>
          <w:tcPr>
            <w:tcW w:w="632" w:type="pct"/>
            <w:vAlign w:val="center"/>
          </w:tcPr>
          <w:p w14:paraId="7B2496EC" w14:textId="2F4D9934" w:rsidR="00917D36" w:rsidRPr="008C02EE" w:rsidRDefault="00361421"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$9,450</w:t>
            </w:r>
          </w:p>
        </w:tc>
        <w:tc>
          <w:tcPr>
            <w:tcW w:w="631" w:type="pct"/>
            <w:vAlign w:val="center"/>
          </w:tcPr>
          <w:p w14:paraId="45BEDE8F" w14:textId="00724000" w:rsidR="00917D36" w:rsidRPr="008C02EE" w:rsidRDefault="00361421"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$9,450</w:t>
            </w:r>
          </w:p>
        </w:tc>
        <w:tc>
          <w:tcPr>
            <w:tcW w:w="630" w:type="pct"/>
            <w:vAlign w:val="center"/>
          </w:tcPr>
          <w:p w14:paraId="466CF37C" w14:textId="3A0DDFFF" w:rsidR="00361421" w:rsidRPr="008C02EE" w:rsidRDefault="00361421"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$9,450</w:t>
            </w:r>
          </w:p>
        </w:tc>
      </w:tr>
      <w:tr w:rsidR="00701ED8" w:rsidRPr="00953910" w14:paraId="3246A7A1" w14:textId="77777777" w:rsidTr="0094350D">
        <w:trPr>
          <w:trHeight w:val="143"/>
        </w:trPr>
        <w:tc>
          <w:tcPr>
            <w:tcW w:w="420" w:type="pct"/>
            <w:vAlign w:val="center"/>
          </w:tcPr>
          <w:p w14:paraId="5A8CACC0" w14:textId="216B86E3" w:rsidR="00917D36" w:rsidRPr="00953910" w:rsidRDefault="00142C5B" w:rsidP="00190923">
            <w:pPr>
              <w:spacing w:before="0" w:after="0" w:line="240" w:lineRule="auto"/>
              <w:rPr>
                <w:rFonts w:asciiTheme="minorHAnsi" w:hAnsiTheme="minorHAnsi" w:cstheme="minorHAnsi"/>
                <w:szCs w:val="20"/>
              </w:rPr>
            </w:pPr>
            <w:r>
              <w:rPr>
                <w:rFonts w:asciiTheme="minorHAnsi" w:hAnsiTheme="minorHAnsi" w:cstheme="minorHAnsi"/>
                <w:szCs w:val="20"/>
              </w:rPr>
              <w:t>15659</w:t>
            </w:r>
          </w:p>
        </w:tc>
        <w:tc>
          <w:tcPr>
            <w:tcW w:w="2057" w:type="pct"/>
          </w:tcPr>
          <w:p w14:paraId="61CC1EBC" w14:textId="370F47D5" w:rsidR="00917D36" w:rsidRPr="00953910" w:rsidRDefault="00917D36" w:rsidP="00917D36">
            <w:pPr>
              <w:spacing w:before="0" w:after="0" w:line="240" w:lineRule="auto"/>
              <w:rPr>
                <w:rFonts w:asciiTheme="minorHAnsi" w:hAnsiTheme="minorHAnsi" w:cstheme="minorHAnsi"/>
                <w:szCs w:val="20"/>
              </w:rPr>
            </w:pPr>
            <w:r w:rsidRPr="00917D36">
              <w:rPr>
                <w:rFonts w:asciiTheme="minorHAnsi" w:hAnsiTheme="minorHAnsi" w:cstheme="minorHAnsi"/>
                <w:szCs w:val="20"/>
              </w:rPr>
              <w:t>St Clare's School LATHLAIN</w:t>
            </w:r>
          </w:p>
        </w:tc>
        <w:tc>
          <w:tcPr>
            <w:tcW w:w="631" w:type="pct"/>
            <w:vAlign w:val="center"/>
          </w:tcPr>
          <w:p w14:paraId="6EC3FC18" w14:textId="0A3155E0"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13</w:t>
            </w:r>
            <w:r>
              <w:rPr>
                <w:rFonts w:asciiTheme="minorHAnsi" w:hAnsiTheme="minorHAnsi" w:cstheme="minorHAnsi"/>
                <w:color w:val="4472C4" w:themeColor="accent1"/>
                <w:szCs w:val="20"/>
              </w:rPr>
              <w:t>,</w:t>
            </w:r>
            <w:r w:rsidRPr="00917D36">
              <w:rPr>
                <w:rFonts w:asciiTheme="minorHAnsi" w:hAnsiTheme="minorHAnsi" w:cstheme="minorHAnsi"/>
                <w:color w:val="4472C4" w:themeColor="accent1"/>
                <w:szCs w:val="20"/>
              </w:rPr>
              <w:t>86</w:t>
            </w:r>
            <w:r w:rsidR="0093631D">
              <w:rPr>
                <w:rFonts w:asciiTheme="minorHAnsi" w:hAnsiTheme="minorHAnsi" w:cstheme="minorHAnsi"/>
                <w:color w:val="4472C4" w:themeColor="accent1"/>
                <w:szCs w:val="20"/>
              </w:rPr>
              <w:t>3</w:t>
            </w:r>
          </w:p>
        </w:tc>
        <w:tc>
          <w:tcPr>
            <w:tcW w:w="632" w:type="pct"/>
            <w:vAlign w:val="center"/>
          </w:tcPr>
          <w:p w14:paraId="6FAB10D6" w14:textId="6AD76D5D" w:rsidR="00917D36" w:rsidRPr="008C02EE" w:rsidRDefault="00917D36"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w:t>
            </w:r>
            <w:r w:rsidR="00361421">
              <w:rPr>
                <w:rFonts w:asciiTheme="minorHAnsi" w:hAnsiTheme="minorHAnsi" w:cstheme="minorHAnsi"/>
                <w:color w:val="4472C4" w:themeColor="accent1"/>
                <w:szCs w:val="20"/>
              </w:rPr>
              <w:t>6,30</w:t>
            </w:r>
            <w:r w:rsidR="00B859C4">
              <w:rPr>
                <w:rFonts w:asciiTheme="minorHAnsi" w:hAnsiTheme="minorHAnsi" w:cstheme="minorHAnsi"/>
                <w:color w:val="4472C4" w:themeColor="accent1"/>
                <w:szCs w:val="20"/>
              </w:rPr>
              <w:t>3</w:t>
            </w:r>
          </w:p>
        </w:tc>
        <w:tc>
          <w:tcPr>
            <w:tcW w:w="631" w:type="pct"/>
            <w:vAlign w:val="center"/>
          </w:tcPr>
          <w:p w14:paraId="10B1E625" w14:textId="31BA8A32" w:rsidR="00917D36" w:rsidRPr="008C02EE" w:rsidRDefault="00361421"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$6,30</w:t>
            </w:r>
            <w:r w:rsidR="00B859C4">
              <w:rPr>
                <w:rFonts w:asciiTheme="minorHAnsi" w:hAnsiTheme="minorHAnsi" w:cstheme="minorHAnsi"/>
                <w:color w:val="4472C4" w:themeColor="accent1"/>
                <w:szCs w:val="20"/>
              </w:rPr>
              <w:t>3</w:t>
            </w:r>
          </w:p>
        </w:tc>
        <w:tc>
          <w:tcPr>
            <w:tcW w:w="630" w:type="pct"/>
            <w:vAlign w:val="center"/>
          </w:tcPr>
          <w:p w14:paraId="13D6CB6C" w14:textId="30E49E02" w:rsidR="00917D36" w:rsidRPr="008C02EE" w:rsidRDefault="00361421" w:rsidP="00917D36">
            <w:pPr>
              <w:spacing w:before="0" w:after="0" w:line="240" w:lineRule="auto"/>
              <w:jc w:val="right"/>
              <w:rPr>
                <w:rFonts w:asciiTheme="minorHAnsi" w:hAnsiTheme="minorHAnsi" w:cstheme="minorHAnsi"/>
                <w:color w:val="4472C4" w:themeColor="accent1"/>
                <w:szCs w:val="20"/>
              </w:rPr>
            </w:pPr>
            <w:r>
              <w:rPr>
                <w:rFonts w:asciiTheme="minorHAnsi" w:hAnsiTheme="minorHAnsi" w:cstheme="minorHAnsi"/>
                <w:color w:val="4472C4" w:themeColor="accent1"/>
                <w:szCs w:val="20"/>
              </w:rPr>
              <w:t>$6,30</w:t>
            </w:r>
            <w:r w:rsidR="00B859C4">
              <w:rPr>
                <w:rFonts w:asciiTheme="minorHAnsi" w:hAnsiTheme="minorHAnsi" w:cstheme="minorHAnsi"/>
                <w:color w:val="4472C4" w:themeColor="accent1"/>
                <w:szCs w:val="20"/>
              </w:rPr>
              <w:t>3</w:t>
            </w:r>
          </w:p>
        </w:tc>
      </w:tr>
      <w:tr w:rsidR="00701ED8" w:rsidRPr="00953910" w14:paraId="1BA4ADD2" w14:textId="77777777" w:rsidTr="0094350D">
        <w:trPr>
          <w:trHeight w:val="143"/>
        </w:trPr>
        <w:tc>
          <w:tcPr>
            <w:tcW w:w="420" w:type="pct"/>
            <w:vAlign w:val="center"/>
          </w:tcPr>
          <w:p w14:paraId="74C159EA" w14:textId="22EC2668" w:rsidR="00FD786E" w:rsidRDefault="00FD786E" w:rsidP="00190923">
            <w:pPr>
              <w:spacing w:before="0" w:after="0" w:line="240" w:lineRule="auto"/>
              <w:rPr>
                <w:rFonts w:asciiTheme="minorHAnsi" w:hAnsiTheme="minorHAnsi" w:cstheme="minorHAnsi"/>
                <w:szCs w:val="20"/>
              </w:rPr>
            </w:pPr>
            <w:r>
              <w:rPr>
                <w:rFonts w:asciiTheme="minorHAnsi" w:hAnsiTheme="minorHAnsi" w:cstheme="minorHAnsi"/>
                <w:szCs w:val="20"/>
              </w:rPr>
              <w:t>16457</w:t>
            </w:r>
          </w:p>
        </w:tc>
        <w:tc>
          <w:tcPr>
            <w:tcW w:w="2057" w:type="pct"/>
          </w:tcPr>
          <w:p w14:paraId="38A34FF5" w14:textId="4B684362" w:rsidR="00FD786E" w:rsidRPr="00917D36" w:rsidRDefault="00FD786E" w:rsidP="00FD786E">
            <w:pPr>
              <w:spacing w:before="0" w:after="0" w:line="240" w:lineRule="auto"/>
              <w:rPr>
                <w:rFonts w:asciiTheme="minorHAnsi" w:hAnsiTheme="minorHAnsi" w:cstheme="minorHAnsi"/>
                <w:szCs w:val="20"/>
              </w:rPr>
            </w:pPr>
            <w:r>
              <w:rPr>
                <w:rFonts w:asciiTheme="minorHAnsi" w:hAnsiTheme="minorHAnsi" w:cstheme="minorHAnsi"/>
                <w:szCs w:val="20"/>
              </w:rPr>
              <w:t>St Mary’s College BROOME</w:t>
            </w:r>
          </w:p>
        </w:tc>
        <w:tc>
          <w:tcPr>
            <w:tcW w:w="631" w:type="pct"/>
          </w:tcPr>
          <w:p w14:paraId="6C3F3DD9" w14:textId="204E5071" w:rsidR="00FD786E" w:rsidRDefault="00FD786E" w:rsidP="00FD786E">
            <w:pPr>
              <w:spacing w:before="0" w:after="0" w:line="240" w:lineRule="auto"/>
              <w:jc w:val="right"/>
              <w:rPr>
                <w:rFonts w:asciiTheme="minorHAnsi" w:hAnsiTheme="minorHAnsi" w:cstheme="minorHAnsi"/>
                <w:color w:val="4472C4" w:themeColor="accent1"/>
                <w:szCs w:val="20"/>
              </w:rPr>
            </w:pPr>
            <w:r w:rsidRPr="004F0DD9">
              <w:rPr>
                <w:rFonts w:asciiTheme="minorHAnsi" w:hAnsiTheme="minorHAnsi" w:cstheme="minorHAnsi"/>
                <w:color w:val="4472C4" w:themeColor="accent1"/>
                <w:szCs w:val="20"/>
              </w:rPr>
              <w:t xml:space="preserve"> $50,400 </w:t>
            </w:r>
          </w:p>
        </w:tc>
        <w:tc>
          <w:tcPr>
            <w:tcW w:w="632" w:type="pct"/>
          </w:tcPr>
          <w:p w14:paraId="5134917C" w14:textId="7770B705" w:rsidR="00FD786E" w:rsidRDefault="00FD786E" w:rsidP="00FD786E">
            <w:pPr>
              <w:spacing w:before="0" w:after="0" w:line="240" w:lineRule="auto"/>
              <w:jc w:val="right"/>
              <w:rPr>
                <w:rFonts w:asciiTheme="minorHAnsi" w:hAnsiTheme="minorHAnsi" w:cstheme="minorHAnsi"/>
                <w:color w:val="4472C4" w:themeColor="accent1"/>
                <w:szCs w:val="20"/>
              </w:rPr>
            </w:pPr>
            <w:r w:rsidRPr="004F0DD9">
              <w:rPr>
                <w:rFonts w:asciiTheme="minorHAnsi" w:hAnsiTheme="minorHAnsi" w:cstheme="minorHAnsi"/>
                <w:color w:val="4472C4" w:themeColor="accent1"/>
                <w:szCs w:val="20"/>
              </w:rPr>
              <w:t xml:space="preserve"> $50,400 </w:t>
            </w:r>
          </w:p>
        </w:tc>
        <w:tc>
          <w:tcPr>
            <w:tcW w:w="631" w:type="pct"/>
          </w:tcPr>
          <w:p w14:paraId="68BE325D" w14:textId="3A2A2EF5" w:rsidR="00FD786E" w:rsidRDefault="00FD786E" w:rsidP="00FD786E">
            <w:pPr>
              <w:spacing w:before="0" w:after="0" w:line="240" w:lineRule="auto"/>
              <w:jc w:val="right"/>
              <w:rPr>
                <w:rFonts w:asciiTheme="minorHAnsi" w:hAnsiTheme="minorHAnsi" w:cstheme="minorHAnsi"/>
                <w:color w:val="4472C4" w:themeColor="accent1"/>
                <w:szCs w:val="20"/>
              </w:rPr>
            </w:pPr>
            <w:r w:rsidRPr="004F0DD9">
              <w:rPr>
                <w:rFonts w:asciiTheme="minorHAnsi" w:hAnsiTheme="minorHAnsi" w:cstheme="minorHAnsi"/>
                <w:color w:val="4472C4" w:themeColor="accent1"/>
                <w:szCs w:val="20"/>
              </w:rPr>
              <w:t xml:space="preserve"> $51,912 </w:t>
            </w:r>
          </w:p>
        </w:tc>
        <w:tc>
          <w:tcPr>
            <w:tcW w:w="630" w:type="pct"/>
          </w:tcPr>
          <w:p w14:paraId="639EFE56" w14:textId="7F583575" w:rsidR="00FD786E" w:rsidRDefault="00FD786E" w:rsidP="00FD786E">
            <w:pPr>
              <w:spacing w:before="0" w:after="0" w:line="240" w:lineRule="auto"/>
              <w:jc w:val="right"/>
              <w:rPr>
                <w:rFonts w:asciiTheme="minorHAnsi" w:hAnsiTheme="minorHAnsi" w:cstheme="minorHAnsi"/>
                <w:color w:val="4472C4" w:themeColor="accent1"/>
                <w:szCs w:val="20"/>
              </w:rPr>
            </w:pPr>
            <w:r w:rsidRPr="004F0DD9">
              <w:rPr>
                <w:rFonts w:asciiTheme="minorHAnsi" w:hAnsiTheme="minorHAnsi" w:cstheme="minorHAnsi"/>
                <w:color w:val="4472C4" w:themeColor="accent1"/>
                <w:szCs w:val="20"/>
              </w:rPr>
              <w:t xml:space="preserve"> $53,469 </w:t>
            </w:r>
          </w:p>
        </w:tc>
      </w:tr>
      <w:tr w:rsidR="00701ED8" w:rsidRPr="00953910" w14:paraId="259339C7" w14:textId="77777777" w:rsidTr="0094350D">
        <w:trPr>
          <w:trHeight w:val="143"/>
        </w:trPr>
        <w:tc>
          <w:tcPr>
            <w:tcW w:w="420" w:type="pct"/>
            <w:vAlign w:val="center"/>
          </w:tcPr>
          <w:p w14:paraId="7078F842" w14:textId="77777777" w:rsidR="00FD786E" w:rsidRPr="00953910" w:rsidRDefault="00FD786E" w:rsidP="0094350D">
            <w:pPr>
              <w:spacing w:before="0" w:after="0" w:line="240" w:lineRule="auto"/>
              <w:rPr>
                <w:rFonts w:asciiTheme="minorHAnsi" w:hAnsiTheme="minorHAnsi" w:cstheme="minorHAnsi"/>
                <w:szCs w:val="20"/>
              </w:rPr>
            </w:pPr>
          </w:p>
        </w:tc>
        <w:tc>
          <w:tcPr>
            <w:tcW w:w="2057" w:type="pct"/>
          </w:tcPr>
          <w:p w14:paraId="6BD8F1FC" w14:textId="77777777" w:rsidR="00FD786E" w:rsidRPr="00953910" w:rsidRDefault="00FD786E" w:rsidP="00FD786E">
            <w:pPr>
              <w:spacing w:before="0" w:after="0" w:line="240" w:lineRule="auto"/>
              <w:rPr>
                <w:rFonts w:asciiTheme="minorHAnsi" w:hAnsiTheme="minorHAnsi" w:cstheme="minorHAnsi"/>
                <w:szCs w:val="20"/>
              </w:rPr>
            </w:pPr>
          </w:p>
        </w:tc>
        <w:tc>
          <w:tcPr>
            <w:tcW w:w="631" w:type="pct"/>
            <w:vAlign w:val="center"/>
          </w:tcPr>
          <w:p w14:paraId="7CC8540B" w14:textId="5EB214BD" w:rsidR="00FD786E" w:rsidRPr="00917D36" w:rsidRDefault="00FD786E" w:rsidP="00FD786E">
            <w:pPr>
              <w:spacing w:before="0" w:after="0" w:line="240" w:lineRule="auto"/>
              <w:jc w:val="right"/>
              <w:rPr>
                <w:rFonts w:asciiTheme="minorHAnsi" w:hAnsiTheme="minorHAnsi" w:cstheme="minorHAnsi"/>
                <w:b/>
                <w:bCs/>
                <w:color w:val="4472C4" w:themeColor="accent1"/>
                <w:szCs w:val="20"/>
              </w:rPr>
            </w:pPr>
            <w:r w:rsidRPr="00917D36">
              <w:rPr>
                <w:rFonts w:asciiTheme="minorHAnsi" w:hAnsiTheme="minorHAnsi" w:cstheme="minorHAnsi"/>
                <w:b/>
                <w:bCs/>
                <w:color w:val="4472C4" w:themeColor="accent1"/>
                <w:szCs w:val="20"/>
              </w:rPr>
              <w:t>$</w:t>
            </w:r>
            <w:r>
              <w:rPr>
                <w:rFonts w:asciiTheme="minorHAnsi" w:hAnsiTheme="minorHAnsi" w:cstheme="minorHAnsi"/>
                <w:b/>
                <w:bCs/>
                <w:color w:val="4472C4" w:themeColor="accent1"/>
                <w:szCs w:val="20"/>
              </w:rPr>
              <w:t>618,400</w:t>
            </w:r>
          </w:p>
        </w:tc>
        <w:tc>
          <w:tcPr>
            <w:tcW w:w="632" w:type="pct"/>
            <w:vAlign w:val="center"/>
          </w:tcPr>
          <w:p w14:paraId="2C4D21CF" w14:textId="1821018C" w:rsidR="00FD786E" w:rsidRPr="00917D36" w:rsidRDefault="00FD786E" w:rsidP="00FD786E">
            <w:pPr>
              <w:spacing w:before="0" w:after="0" w:line="240" w:lineRule="auto"/>
              <w:jc w:val="right"/>
              <w:rPr>
                <w:rFonts w:asciiTheme="minorHAnsi" w:hAnsiTheme="minorHAnsi" w:cstheme="minorHAnsi"/>
                <w:b/>
                <w:bCs/>
                <w:color w:val="4472C4" w:themeColor="accent1"/>
                <w:szCs w:val="20"/>
              </w:rPr>
            </w:pPr>
            <w:r w:rsidRPr="00917D36">
              <w:rPr>
                <w:rFonts w:asciiTheme="minorHAnsi" w:hAnsiTheme="minorHAnsi" w:cstheme="minorHAnsi"/>
                <w:b/>
                <w:bCs/>
                <w:color w:val="4472C4" w:themeColor="accent1"/>
                <w:szCs w:val="20"/>
              </w:rPr>
              <w:t>$</w:t>
            </w:r>
            <w:r>
              <w:rPr>
                <w:rFonts w:asciiTheme="minorHAnsi" w:hAnsiTheme="minorHAnsi" w:cstheme="minorHAnsi"/>
                <w:b/>
                <w:bCs/>
                <w:color w:val="4472C4" w:themeColor="accent1"/>
                <w:szCs w:val="20"/>
              </w:rPr>
              <w:t>633,977</w:t>
            </w:r>
          </w:p>
        </w:tc>
        <w:tc>
          <w:tcPr>
            <w:tcW w:w="631" w:type="pct"/>
            <w:vAlign w:val="center"/>
          </w:tcPr>
          <w:p w14:paraId="2616C6C3" w14:textId="118F8B3E" w:rsidR="00FD786E" w:rsidRPr="00917D36" w:rsidRDefault="00FD786E" w:rsidP="00FD786E">
            <w:pPr>
              <w:spacing w:before="0" w:after="0" w:line="240" w:lineRule="auto"/>
              <w:jc w:val="right"/>
              <w:rPr>
                <w:rFonts w:asciiTheme="minorHAnsi" w:hAnsiTheme="minorHAnsi" w:cstheme="minorHAnsi"/>
                <w:b/>
                <w:bCs/>
                <w:color w:val="4472C4" w:themeColor="accent1"/>
                <w:szCs w:val="20"/>
              </w:rPr>
            </w:pPr>
            <w:r w:rsidRPr="00917D36">
              <w:rPr>
                <w:rFonts w:asciiTheme="minorHAnsi" w:hAnsiTheme="minorHAnsi" w:cstheme="minorHAnsi"/>
                <w:b/>
                <w:bCs/>
                <w:color w:val="4472C4" w:themeColor="accent1"/>
                <w:szCs w:val="20"/>
              </w:rPr>
              <w:t>$</w:t>
            </w:r>
            <w:r>
              <w:rPr>
                <w:rFonts w:asciiTheme="minorHAnsi" w:hAnsiTheme="minorHAnsi" w:cstheme="minorHAnsi"/>
                <w:b/>
                <w:bCs/>
                <w:color w:val="4472C4" w:themeColor="accent1"/>
                <w:szCs w:val="20"/>
              </w:rPr>
              <w:t>652,998</w:t>
            </w:r>
          </w:p>
        </w:tc>
        <w:tc>
          <w:tcPr>
            <w:tcW w:w="630" w:type="pct"/>
            <w:vAlign w:val="center"/>
          </w:tcPr>
          <w:p w14:paraId="52D3E208" w14:textId="0270A40D" w:rsidR="00FD786E" w:rsidRPr="00917D36" w:rsidRDefault="00FD786E" w:rsidP="00FD786E">
            <w:pPr>
              <w:spacing w:before="0" w:after="0" w:line="240" w:lineRule="auto"/>
              <w:jc w:val="right"/>
              <w:rPr>
                <w:rFonts w:asciiTheme="minorHAnsi" w:hAnsiTheme="minorHAnsi" w:cstheme="minorHAnsi"/>
                <w:b/>
                <w:bCs/>
                <w:color w:val="4472C4" w:themeColor="accent1"/>
                <w:szCs w:val="20"/>
              </w:rPr>
            </w:pPr>
            <w:r w:rsidRPr="00917D36">
              <w:rPr>
                <w:rFonts w:asciiTheme="minorHAnsi" w:hAnsiTheme="minorHAnsi" w:cstheme="minorHAnsi"/>
                <w:b/>
                <w:bCs/>
                <w:color w:val="4472C4" w:themeColor="accent1"/>
                <w:szCs w:val="20"/>
              </w:rPr>
              <w:t>$</w:t>
            </w:r>
            <w:r>
              <w:rPr>
                <w:rFonts w:asciiTheme="minorHAnsi" w:hAnsiTheme="minorHAnsi" w:cstheme="minorHAnsi"/>
                <w:b/>
                <w:bCs/>
                <w:color w:val="4472C4" w:themeColor="accent1"/>
                <w:szCs w:val="20"/>
              </w:rPr>
              <w:t>672,586</w:t>
            </w:r>
          </w:p>
        </w:tc>
      </w:tr>
    </w:tbl>
    <w:p w14:paraId="0A66028A" w14:textId="77777777" w:rsidR="00D17686" w:rsidRDefault="00D17686" w:rsidP="00321099">
      <w:pPr>
        <w:rPr>
          <w:rFonts w:asciiTheme="minorHAnsi" w:hAnsiTheme="minorHAnsi" w:cstheme="minorHAnsi"/>
          <w:b/>
          <w:bCs/>
          <w:sz w:val="22"/>
          <w:szCs w:val="22"/>
        </w:rPr>
      </w:pPr>
    </w:p>
    <w:p w14:paraId="07BA7858" w14:textId="3F200EE9" w:rsidR="00216A6D" w:rsidRPr="003D354F" w:rsidRDefault="00216A6D" w:rsidP="00B92C4D">
      <w:pPr>
        <w:rPr>
          <w:rFonts w:cstheme="minorHAnsi"/>
          <w:color w:val="4472C4" w:themeColor="accent1"/>
          <w:sz w:val="2"/>
          <w:szCs w:val="2"/>
        </w:rPr>
      </w:pPr>
    </w:p>
    <w:sectPr w:rsidR="00216A6D" w:rsidRPr="003D354F" w:rsidSect="00395087">
      <w:pgSz w:w="11906" w:h="16838"/>
      <w:pgMar w:top="720" w:right="720" w:bottom="720"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CD3B3" w14:textId="77777777" w:rsidR="008F5FC7" w:rsidRDefault="008F5FC7">
      <w:pPr>
        <w:spacing w:before="0" w:after="0" w:line="240" w:lineRule="auto"/>
      </w:pPr>
      <w:r>
        <w:separator/>
      </w:r>
    </w:p>
  </w:endnote>
  <w:endnote w:type="continuationSeparator" w:id="0">
    <w:p w14:paraId="3EB9CF50" w14:textId="77777777" w:rsidR="008F5FC7" w:rsidRDefault="008F5F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BAE6" w14:textId="77777777" w:rsidR="00C07F61" w:rsidRDefault="00C07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650B" w14:textId="77777777" w:rsidR="00C07F61" w:rsidRDefault="00C07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153E" w14:textId="77777777" w:rsidR="00C07F61" w:rsidRDefault="00C07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0C4D" w14:textId="77777777" w:rsidR="008F5FC7" w:rsidRDefault="008F5FC7">
      <w:pPr>
        <w:spacing w:before="0" w:after="0" w:line="240" w:lineRule="auto"/>
      </w:pPr>
      <w:r>
        <w:separator/>
      </w:r>
    </w:p>
  </w:footnote>
  <w:footnote w:type="continuationSeparator" w:id="0">
    <w:p w14:paraId="4EEC4D7F" w14:textId="77777777" w:rsidR="008F5FC7" w:rsidRDefault="008F5FC7">
      <w:pPr>
        <w:spacing w:before="0" w:after="0" w:line="240" w:lineRule="auto"/>
      </w:pPr>
      <w:r>
        <w:continuationSeparator/>
      </w:r>
    </w:p>
  </w:footnote>
  <w:footnote w:id="1">
    <w:p w14:paraId="69731630" w14:textId="0ACCAE2B" w:rsidR="00C07F61" w:rsidRPr="00BE3E89" w:rsidRDefault="00C07F61" w:rsidP="002C78E9">
      <w:pPr>
        <w:pStyle w:val="FootnoteText"/>
        <w:rPr>
          <w:rFonts w:asciiTheme="minorHAnsi" w:hAnsiTheme="minorHAnsi" w:cstheme="minorHAnsi"/>
          <w:color w:val="FF0000"/>
          <w:sz w:val="16"/>
          <w:szCs w:val="16"/>
        </w:rPr>
      </w:pPr>
      <w:r w:rsidRPr="00BE3E89">
        <w:rPr>
          <w:rStyle w:val="FootnoteReference"/>
          <w:color w:val="FF0000"/>
        </w:rPr>
        <w:footnoteRef/>
      </w:r>
      <w:r w:rsidRPr="00BE3E89">
        <w:rPr>
          <w:color w:val="FF0000"/>
        </w:rPr>
        <w:t xml:space="preserve"> </w:t>
      </w:r>
      <w:r w:rsidRPr="00BE3E89">
        <w:rPr>
          <w:rFonts w:asciiTheme="minorHAnsi" w:hAnsiTheme="minorHAnsi" w:cstheme="minorHAnsi"/>
          <w:color w:val="FF0000"/>
          <w:sz w:val="16"/>
          <w:szCs w:val="16"/>
        </w:rPr>
        <w:t>Please separately identify expenditure on the activity managed centrally by the NGRB (i.e. programs) and funding distributed directly to schools (i.e. grants).</w:t>
      </w:r>
      <w:r>
        <w:rPr>
          <w:rFonts w:asciiTheme="minorHAnsi" w:hAnsiTheme="minorHAnsi" w:cstheme="minorHAnsi"/>
          <w:color w:val="FF0000"/>
          <w:sz w:val="16"/>
          <w:szCs w:val="16"/>
        </w:rPr>
        <w:t xml:space="preserve"> </w:t>
      </w:r>
      <w:r w:rsidRPr="00BE3E89">
        <w:rPr>
          <w:rFonts w:asciiTheme="minorHAnsi" w:hAnsiTheme="minorHAnsi" w:cstheme="minorHAnsi"/>
          <w:color w:val="FF0000"/>
          <w:sz w:val="16"/>
          <w:szCs w:val="16"/>
        </w:rPr>
        <w:t xml:space="preserve">Where an NGRB plans to distribute CAF funding to schools, </w:t>
      </w:r>
      <w:r>
        <w:rPr>
          <w:rFonts w:asciiTheme="minorHAnsi" w:hAnsiTheme="minorHAnsi" w:cstheme="minorHAnsi"/>
          <w:color w:val="FF0000"/>
          <w:sz w:val="16"/>
          <w:szCs w:val="16"/>
        </w:rPr>
        <w:t>a</w:t>
      </w:r>
      <w:r w:rsidRPr="00BE3E89">
        <w:rPr>
          <w:rFonts w:asciiTheme="minorHAnsi" w:hAnsiTheme="minorHAnsi" w:cstheme="minorHAnsi"/>
          <w:color w:val="FF0000"/>
          <w:sz w:val="16"/>
          <w:szCs w:val="16"/>
        </w:rPr>
        <w:t xml:space="preserve"> list of </w:t>
      </w:r>
      <w:r>
        <w:rPr>
          <w:rFonts w:asciiTheme="minorHAnsi" w:hAnsiTheme="minorHAnsi" w:cstheme="minorHAnsi"/>
          <w:color w:val="FF0000"/>
          <w:sz w:val="16"/>
          <w:szCs w:val="16"/>
        </w:rPr>
        <w:t xml:space="preserve">indicative </w:t>
      </w:r>
      <w:r w:rsidRPr="00BE3E89">
        <w:rPr>
          <w:rFonts w:asciiTheme="minorHAnsi" w:hAnsiTheme="minorHAnsi" w:cstheme="minorHAnsi"/>
          <w:color w:val="FF0000"/>
          <w:sz w:val="16"/>
          <w:szCs w:val="16"/>
        </w:rPr>
        <w:t xml:space="preserve">allocations </w:t>
      </w:r>
      <w:r>
        <w:rPr>
          <w:rFonts w:asciiTheme="minorHAnsi" w:hAnsiTheme="minorHAnsi" w:cstheme="minorHAnsi"/>
          <w:color w:val="FF0000"/>
          <w:sz w:val="16"/>
          <w:szCs w:val="16"/>
        </w:rPr>
        <w:t xml:space="preserve">at a </w:t>
      </w:r>
      <w:r w:rsidRPr="00BE3E89">
        <w:rPr>
          <w:rFonts w:asciiTheme="minorHAnsi" w:hAnsiTheme="minorHAnsi" w:cstheme="minorHAnsi"/>
          <w:color w:val="FF0000"/>
          <w:sz w:val="16"/>
          <w:szCs w:val="16"/>
        </w:rPr>
        <w:t xml:space="preserve">school-level </w:t>
      </w:r>
      <w:r>
        <w:rPr>
          <w:rFonts w:asciiTheme="minorHAnsi" w:hAnsiTheme="minorHAnsi" w:cstheme="minorHAnsi"/>
          <w:color w:val="FF0000"/>
          <w:sz w:val="16"/>
          <w:szCs w:val="16"/>
        </w:rPr>
        <w:t xml:space="preserve">should </w:t>
      </w:r>
      <w:r w:rsidRPr="00BE3E89">
        <w:rPr>
          <w:rFonts w:asciiTheme="minorHAnsi" w:hAnsiTheme="minorHAnsi" w:cstheme="minorHAnsi"/>
          <w:color w:val="FF0000"/>
          <w:sz w:val="16"/>
          <w:szCs w:val="16"/>
        </w:rPr>
        <w:t>be included in Schedule 1 to this template.</w:t>
      </w:r>
    </w:p>
  </w:footnote>
  <w:footnote w:id="2">
    <w:p w14:paraId="15B65A1A" w14:textId="77777777" w:rsidR="00C07F61" w:rsidRPr="00BE3E89" w:rsidRDefault="00C07F61" w:rsidP="00115319">
      <w:pPr>
        <w:pStyle w:val="FootnoteText"/>
        <w:rPr>
          <w:rFonts w:asciiTheme="minorHAnsi" w:hAnsiTheme="minorHAnsi" w:cstheme="minorHAnsi"/>
          <w:color w:val="FF0000"/>
          <w:sz w:val="16"/>
          <w:szCs w:val="16"/>
        </w:rPr>
      </w:pPr>
      <w:r w:rsidRPr="00BE3E89">
        <w:rPr>
          <w:rFonts w:asciiTheme="minorHAnsi" w:hAnsiTheme="minorHAnsi" w:cstheme="minorHAnsi"/>
          <w:color w:val="FF0000"/>
          <w:sz w:val="16"/>
          <w:szCs w:val="16"/>
        </w:rPr>
        <w:footnoteRef/>
      </w:r>
      <w:r w:rsidRPr="00BE3E89">
        <w:rPr>
          <w:rFonts w:asciiTheme="minorHAnsi" w:hAnsiTheme="minorHAnsi" w:cstheme="minorHAnsi"/>
          <w:color w:val="FF0000"/>
          <w:sz w:val="16"/>
          <w:szCs w:val="16"/>
        </w:rPr>
        <w:t xml:space="preserve"> </w:t>
      </w:r>
      <w:r>
        <w:rPr>
          <w:rFonts w:asciiTheme="minorHAnsi" w:hAnsiTheme="minorHAnsi" w:cstheme="minorHAnsi"/>
          <w:color w:val="FF0000"/>
          <w:sz w:val="16"/>
          <w:szCs w:val="16"/>
        </w:rPr>
        <w:t>T</w:t>
      </w:r>
      <w:r w:rsidRPr="00BE3E89">
        <w:rPr>
          <w:rFonts w:asciiTheme="minorHAnsi" w:hAnsiTheme="minorHAnsi" w:cstheme="minorHAnsi"/>
          <w:color w:val="FF0000"/>
          <w:sz w:val="16"/>
          <w:szCs w:val="16"/>
        </w:rPr>
        <w:t xml:space="preserve">ransition assistance for regional schools </w:t>
      </w:r>
      <w:r>
        <w:rPr>
          <w:rFonts w:asciiTheme="minorHAnsi" w:hAnsiTheme="minorHAnsi" w:cstheme="minorHAnsi"/>
          <w:color w:val="FF0000"/>
          <w:sz w:val="16"/>
          <w:szCs w:val="16"/>
        </w:rPr>
        <w:t>must be separately identified as an activity. T</w:t>
      </w:r>
      <w:r w:rsidRPr="00BE3E89">
        <w:rPr>
          <w:rFonts w:asciiTheme="minorHAnsi" w:hAnsiTheme="minorHAnsi" w:cstheme="minorHAnsi"/>
          <w:color w:val="FF0000"/>
          <w:sz w:val="16"/>
          <w:szCs w:val="16"/>
        </w:rPr>
        <w:t xml:space="preserve">ransition assistance </w:t>
      </w:r>
      <w:r>
        <w:rPr>
          <w:rFonts w:asciiTheme="minorHAnsi" w:hAnsiTheme="minorHAnsi" w:cstheme="minorHAnsi"/>
          <w:color w:val="FF0000"/>
          <w:sz w:val="16"/>
          <w:szCs w:val="16"/>
        </w:rPr>
        <w:t xml:space="preserve">for </w:t>
      </w:r>
      <w:r w:rsidRPr="00BE3E89">
        <w:rPr>
          <w:rFonts w:asciiTheme="minorHAnsi" w:hAnsiTheme="minorHAnsi" w:cstheme="minorHAnsi"/>
          <w:color w:val="FF0000"/>
          <w:sz w:val="16"/>
          <w:szCs w:val="16"/>
        </w:rPr>
        <w:t>schools that would have been eligible for the National Adjustment Assistance Fund</w:t>
      </w:r>
      <w:r>
        <w:rPr>
          <w:rFonts w:asciiTheme="minorHAnsi" w:hAnsiTheme="minorHAnsi" w:cstheme="minorHAnsi"/>
          <w:color w:val="FF0000"/>
          <w:sz w:val="16"/>
          <w:szCs w:val="16"/>
        </w:rPr>
        <w:t xml:space="preserve"> must be separately identified as an activity.</w:t>
      </w:r>
    </w:p>
  </w:footnote>
  <w:footnote w:id="3">
    <w:p w14:paraId="2EA8FB62" w14:textId="77777777" w:rsidR="00C07F61" w:rsidRPr="00523CF1" w:rsidRDefault="00C07F61" w:rsidP="00F54904">
      <w:pPr>
        <w:pStyle w:val="FootnoteText"/>
        <w:rPr>
          <w:rFonts w:asciiTheme="minorHAnsi" w:hAnsiTheme="minorHAnsi" w:cstheme="minorHAnsi"/>
          <w:sz w:val="16"/>
          <w:szCs w:val="16"/>
        </w:rPr>
      </w:pPr>
      <w:r w:rsidRPr="008C02EE">
        <w:rPr>
          <w:rStyle w:val="FootnoteReference"/>
          <w:color w:val="FF0000"/>
        </w:rPr>
        <w:footnoteRef/>
      </w:r>
      <w:r w:rsidRPr="008C02EE">
        <w:rPr>
          <w:color w:val="FF0000"/>
        </w:rPr>
        <w:t xml:space="preserve"> </w:t>
      </w:r>
      <w:bookmarkStart w:id="3" w:name="_Hlk84805439"/>
      <w:r w:rsidRPr="008C02EE">
        <w:rPr>
          <w:rFonts w:asciiTheme="minorHAnsi" w:hAnsiTheme="minorHAnsi" w:cstheme="minorHAnsi"/>
          <w:color w:val="FF0000"/>
          <w:sz w:val="16"/>
          <w:szCs w:val="16"/>
        </w:rPr>
        <w:t>The NGRB’s administrative costs directly associated with implementing the activities. These should not exceed two per cent of total funding over 2020 to 2029. In limited circumstances an NGRB may apply in writing for an increase in allowance.</w:t>
      </w:r>
      <w:bookmarkEnd w:id="3"/>
    </w:p>
  </w:footnote>
  <w:footnote w:id="4">
    <w:p w14:paraId="308AFA17" w14:textId="41010DF5" w:rsidR="00982AE7" w:rsidRPr="00523CF1" w:rsidRDefault="00982AE7" w:rsidP="00F54904">
      <w:pPr>
        <w:pStyle w:val="FootnoteText"/>
        <w:rPr>
          <w:rFonts w:asciiTheme="minorHAnsi" w:hAnsiTheme="minorHAnsi" w:cstheme="minorHAnsi"/>
          <w:sz w:val="16"/>
          <w:szCs w:val="16"/>
        </w:rPr>
      </w:pPr>
      <w:r w:rsidRPr="008C02EE">
        <w:rPr>
          <w:rStyle w:val="FootnoteReference"/>
          <w:color w:val="FF0000"/>
        </w:rPr>
        <w:footnoteRef/>
      </w:r>
      <w:r w:rsidRPr="008C02EE">
        <w:rPr>
          <w:color w:val="FF0000"/>
        </w:rPr>
        <w:t xml:space="preserve"> </w:t>
      </w:r>
      <w:r>
        <w:rPr>
          <w:rFonts w:asciiTheme="minorHAnsi" w:hAnsiTheme="minorHAnsi" w:cstheme="minorHAnsi"/>
          <w:color w:val="FF0000"/>
          <w:sz w:val="16"/>
          <w:szCs w:val="16"/>
        </w:rPr>
        <w:t>Sum of c</w:t>
      </w:r>
      <w:r w:rsidRPr="00F54904">
        <w:rPr>
          <w:rFonts w:asciiTheme="minorHAnsi" w:hAnsiTheme="minorHAnsi" w:cstheme="minorHAnsi"/>
          <w:color w:val="FF0000"/>
          <w:sz w:val="16"/>
          <w:szCs w:val="16"/>
        </w:rPr>
        <w:t xml:space="preserve">entralised, </w:t>
      </w:r>
      <w:r>
        <w:rPr>
          <w:rFonts w:asciiTheme="minorHAnsi" w:hAnsiTheme="minorHAnsi" w:cstheme="minorHAnsi"/>
          <w:color w:val="FF0000"/>
          <w:sz w:val="16"/>
          <w:szCs w:val="16"/>
        </w:rPr>
        <w:t>d</w:t>
      </w:r>
      <w:r w:rsidRPr="00F54904">
        <w:rPr>
          <w:rFonts w:asciiTheme="minorHAnsi" w:hAnsiTheme="minorHAnsi" w:cstheme="minorHAnsi"/>
          <w:color w:val="FF0000"/>
          <w:sz w:val="16"/>
          <w:szCs w:val="16"/>
        </w:rPr>
        <w:t xml:space="preserve">istributed, and </w:t>
      </w:r>
      <w:r>
        <w:rPr>
          <w:rFonts w:asciiTheme="minorHAnsi" w:hAnsiTheme="minorHAnsi" w:cstheme="minorHAnsi"/>
          <w:color w:val="FF0000"/>
          <w:sz w:val="16"/>
          <w:szCs w:val="16"/>
        </w:rPr>
        <w:t>a</w:t>
      </w:r>
      <w:r w:rsidRPr="00F54904">
        <w:rPr>
          <w:rFonts w:asciiTheme="minorHAnsi" w:hAnsiTheme="minorHAnsi" w:cstheme="minorHAnsi"/>
          <w:color w:val="FF0000"/>
          <w:sz w:val="16"/>
          <w:szCs w:val="16"/>
        </w:rPr>
        <w:t>dministrative</w:t>
      </w:r>
      <w:r>
        <w:rPr>
          <w:rFonts w:asciiTheme="minorHAnsi" w:hAnsiTheme="minorHAnsi" w:cstheme="minorHAnsi"/>
          <w:color w:val="FF0000"/>
          <w:sz w:val="16"/>
          <w:szCs w:val="16"/>
        </w:rPr>
        <w:t xml:space="preserve"> expenditure</w:t>
      </w:r>
    </w:p>
  </w:footnote>
  <w:footnote w:id="5">
    <w:p w14:paraId="7651695B" w14:textId="36E32DC6" w:rsidR="00C07F61" w:rsidRPr="008C02EE" w:rsidRDefault="00C07F61" w:rsidP="00A97F4B">
      <w:pPr>
        <w:pStyle w:val="FootnoteText"/>
        <w:rPr>
          <w:rFonts w:asciiTheme="minorHAnsi" w:hAnsiTheme="minorHAnsi" w:cstheme="minorHAnsi"/>
          <w:color w:val="FF0000"/>
          <w:sz w:val="16"/>
          <w:szCs w:val="16"/>
        </w:rPr>
      </w:pPr>
      <w:r w:rsidRPr="008C02EE">
        <w:rPr>
          <w:rStyle w:val="FootnoteReference"/>
          <w:rFonts w:asciiTheme="minorHAnsi" w:hAnsiTheme="minorHAnsi" w:cstheme="minorHAnsi"/>
          <w:color w:val="FF0000"/>
          <w:sz w:val="16"/>
          <w:szCs w:val="16"/>
        </w:rPr>
        <w:footnoteRef/>
      </w:r>
      <w:r w:rsidRPr="008C02EE">
        <w:rPr>
          <w:rFonts w:asciiTheme="minorHAnsi" w:hAnsiTheme="minorHAnsi" w:cstheme="minorHAnsi"/>
          <w:color w:val="FF0000"/>
          <w:sz w:val="16"/>
          <w:szCs w:val="16"/>
        </w:rPr>
        <w:t xml:space="preserve"> Please note </w:t>
      </w:r>
      <w:r>
        <w:rPr>
          <w:rFonts w:asciiTheme="minorHAnsi" w:hAnsiTheme="minorHAnsi" w:cstheme="minorHAnsi"/>
          <w:color w:val="FF0000"/>
          <w:sz w:val="16"/>
          <w:szCs w:val="16"/>
        </w:rPr>
        <w:t>this is the amount paid by the Department in 2020 and 2021 that will be carried forward into 2022.</w:t>
      </w:r>
      <w:r w:rsidRPr="0078117D">
        <w:rPr>
          <w:rFonts w:asciiTheme="minorHAnsi" w:hAnsiTheme="minorHAnsi" w:cstheme="minorHAnsi"/>
          <w:color w:val="FF0000"/>
          <w:sz w:val="16"/>
          <w:szCs w:val="16"/>
        </w:rPr>
        <w:t xml:space="preserve"> </w:t>
      </w:r>
      <w:r>
        <w:rPr>
          <w:rFonts w:asciiTheme="minorHAnsi" w:hAnsiTheme="minorHAnsi" w:cstheme="minorHAnsi"/>
          <w:color w:val="FF0000"/>
          <w:sz w:val="16"/>
          <w:szCs w:val="16"/>
        </w:rPr>
        <w:t>The amount in this row should be attributed as expenditure in a future year(s) in the planned expenditure row below.</w:t>
      </w:r>
    </w:p>
  </w:footnote>
  <w:footnote w:id="6">
    <w:p w14:paraId="75F3C952" w14:textId="372CA2AB" w:rsidR="00C07F61" w:rsidRPr="008C02EE" w:rsidRDefault="00C07F61">
      <w:pPr>
        <w:pStyle w:val="FootnoteText"/>
        <w:rPr>
          <w:rFonts w:asciiTheme="minorHAnsi" w:hAnsiTheme="minorHAnsi" w:cstheme="minorHAnsi"/>
          <w:color w:val="FF0000"/>
          <w:sz w:val="16"/>
          <w:szCs w:val="16"/>
        </w:rPr>
      </w:pPr>
      <w:r w:rsidRPr="008C02EE">
        <w:rPr>
          <w:rStyle w:val="FootnoteReference"/>
          <w:rFonts w:asciiTheme="minorHAnsi" w:hAnsiTheme="minorHAnsi" w:cstheme="minorHAnsi"/>
          <w:color w:val="FF0000"/>
          <w:sz w:val="16"/>
          <w:szCs w:val="16"/>
        </w:rPr>
        <w:footnoteRef/>
      </w:r>
      <w:r w:rsidRPr="008C02EE">
        <w:rPr>
          <w:rFonts w:asciiTheme="minorHAnsi" w:hAnsiTheme="minorHAnsi" w:cstheme="minorHAnsi"/>
          <w:color w:val="FF0000"/>
          <w:sz w:val="16"/>
          <w:szCs w:val="16"/>
        </w:rPr>
        <w:t xml:space="preserve"> Please note </w:t>
      </w:r>
      <w:r>
        <w:rPr>
          <w:rFonts w:asciiTheme="minorHAnsi" w:hAnsiTheme="minorHAnsi" w:cstheme="minorHAnsi"/>
          <w:color w:val="FF0000"/>
          <w:sz w:val="16"/>
          <w:szCs w:val="16"/>
        </w:rPr>
        <w:t xml:space="preserve">this is actual interest earned that will be carried forward into 2022. The amount in this row should be attributed as expenditure in a future year(s) in the planned expenditure row below. </w:t>
      </w:r>
      <w:r w:rsidRPr="000B0572">
        <w:rPr>
          <w:rFonts w:asciiTheme="minorHAnsi" w:hAnsiTheme="minorHAnsi" w:cstheme="minorHAnsi"/>
          <w:color w:val="FF0000"/>
          <w:sz w:val="16"/>
          <w:szCs w:val="16"/>
        </w:rPr>
        <w:t>If no interest is being brought forward in to 2022, please put N/A.</w:t>
      </w:r>
    </w:p>
  </w:footnote>
  <w:footnote w:id="7">
    <w:p w14:paraId="4DD99648" w14:textId="4FFAEABB" w:rsidR="00982AE7" w:rsidRPr="00443AD2" w:rsidRDefault="00982AE7" w:rsidP="00205854">
      <w:pPr>
        <w:pStyle w:val="FootnoteText"/>
        <w:rPr>
          <w:rFonts w:asciiTheme="minorHAnsi" w:hAnsiTheme="minorHAnsi" w:cstheme="minorHAnsi"/>
          <w:color w:val="FF0000"/>
          <w:sz w:val="16"/>
          <w:szCs w:val="16"/>
        </w:rPr>
      </w:pPr>
      <w:r w:rsidRPr="00443AD2">
        <w:rPr>
          <w:rStyle w:val="FootnoteReference"/>
          <w:rFonts w:asciiTheme="minorHAnsi" w:hAnsiTheme="minorHAnsi" w:cstheme="minorHAnsi"/>
          <w:color w:val="FF0000"/>
          <w:sz w:val="16"/>
          <w:szCs w:val="16"/>
        </w:rPr>
        <w:footnoteRef/>
      </w:r>
      <w:r w:rsidRPr="00443AD2">
        <w:rPr>
          <w:rFonts w:asciiTheme="minorHAnsi" w:hAnsiTheme="minorHAnsi" w:cstheme="minorHAnsi"/>
          <w:color w:val="FF0000"/>
          <w:sz w:val="16"/>
          <w:szCs w:val="16"/>
        </w:rPr>
        <w:t xml:space="preserve"> Please note this row </w:t>
      </w:r>
      <w:bookmarkStart w:id="5" w:name="_Hlk82791640"/>
      <w:r>
        <w:rPr>
          <w:rFonts w:asciiTheme="minorHAnsi" w:hAnsiTheme="minorHAnsi" w:cstheme="minorHAnsi"/>
          <w:color w:val="FF0000"/>
          <w:sz w:val="16"/>
          <w:szCs w:val="16"/>
        </w:rPr>
        <w:t xml:space="preserve">should include all CAF funding (except amounts spent in 2020 and 2021 and amounts to be spent 2021, </w:t>
      </w:r>
      <w:r w:rsidRPr="000B0572">
        <w:rPr>
          <w:rFonts w:asciiTheme="minorHAnsi" w:hAnsiTheme="minorHAnsi" w:cstheme="minorHAnsi"/>
          <w:color w:val="FF0000"/>
          <w:sz w:val="16"/>
          <w:szCs w:val="16"/>
        </w:rPr>
        <w:t>noting this work plan will be finalised before the end of 2021</w:t>
      </w:r>
      <w:r>
        <w:rPr>
          <w:rFonts w:asciiTheme="minorHAnsi" w:hAnsiTheme="minorHAnsi" w:cstheme="minorHAnsi"/>
          <w:color w:val="FF0000"/>
          <w:sz w:val="16"/>
          <w:szCs w:val="16"/>
        </w:rPr>
        <w:t xml:space="preserve">) </w:t>
      </w:r>
      <w:bookmarkEnd w:id="5"/>
      <w:r>
        <w:rPr>
          <w:rFonts w:asciiTheme="minorHAnsi" w:hAnsiTheme="minorHAnsi" w:cstheme="minorHAnsi"/>
          <w:color w:val="FF0000"/>
          <w:sz w:val="16"/>
          <w:szCs w:val="16"/>
        </w:rPr>
        <w:t>and where applicable, actual interest earned on funds held in 2020 and 2021</w:t>
      </w:r>
      <w:r w:rsidRPr="000B0572">
        <w:t xml:space="preserve"> </w:t>
      </w:r>
      <w:r w:rsidRPr="000B0572">
        <w:rPr>
          <w:rFonts w:asciiTheme="minorHAnsi" w:hAnsiTheme="minorHAnsi" w:cstheme="minorHAnsi"/>
          <w:color w:val="FF0000"/>
          <w:sz w:val="16"/>
          <w:szCs w:val="16"/>
        </w:rPr>
        <w:t>being brought forward in to 2022</w:t>
      </w:r>
      <w:r>
        <w:rPr>
          <w:rFonts w:asciiTheme="minorHAnsi" w:hAnsiTheme="minorHAnsi" w:cstheme="minorHAnsi"/>
          <w:color w:val="FF0000"/>
          <w:sz w:val="16"/>
          <w:szCs w:val="16"/>
        </w:rPr>
        <w:t xml:space="preserve"> .</w:t>
      </w:r>
    </w:p>
  </w:footnote>
  <w:footnote w:id="8">
    <w:p w14:paraId="07409696" w14:textId="7339A449" w:rsidR="00C07F61" w:rsidRPr="00443AD2" w:rsidRDefault="00C07F61" w:rsidP="00205854">
      <w:pPr>
        <w:pStyle w:val="FootnoteText"/>
        <w:rPr>
          <w:rFonts w:asciiTheme="minorHAnsi" w:hAnsiTheme="minorHAnsi" w:cstheme="minorHAnsi"/>
          <w:color w:val="FF0000"/>
          <w:sz w:val="16"/>
          <w:szCs w:val="16"/>
        </w:rPr>
      </w:pPr>
      <w:r w:rsidRPr="00443AD2">
        <w:rPr>
          <w:rStyle w:val="FootnoteReference"/>
          <w:rFonts w:asciiTheme="minorHAnsi" w:hAnsiTheme="minorHAnsi" w:cstheme="minorHAnsi"/>
          <w:color w:val="FF0000"/>
          <w:sz w:val="16"/>
          <w:szCs w:val="16"/>
        </w:rPr>
        <w:footnoteRef/>
      </w:r>
      <w:r w:rsidRPr="00443AD2">
        <w:rPr>
          <w:rFonts w:asciiTheme="minorHAnsi" w:hAnsiTheme="minorHAnsi" w:cstheme="minorHAnsi"/>
          <w:color w:val="FF0000"/>
          <w:sz w:val="16"/>
          <w:szCs w:val="16"/>
        </w:rPr>
        <w:t xml:space="preserve"> Please note this row is used to monitor the rate of expenditure to ensure agreed proportions of investment are met.</w:t>
      </w:r>
    </w:p>
  </w:footnote>
  <w:footnote w:id="9">
    <w:p w14:paraId="6E79A91C" w14:textId="4818562E" w:rsidR="00C07F61" w:rsidRPr="00443AD2" w:rsidRDefault="00C07F61" w:rsidP="002B080C">
      <w:pPr>
        <w:pStyle w:val="FootnoteText"/>
        <w:rPr>
          <w:rFonts w:asciiTheme="minorHAnsi" w:hAnsiTheme="minorHAnsi" w:cstheme="minorHAnsi"/>
          <w:color w:val="FF0000"/>
          <w:sz w:val="16"/>
          <w:szCs w:val="16"/>
        </w:rPr>
      </w:pPr>
      <w:r w:rsidRPr="00443AD2">
        <w:rPr>
          <w:rStyle w:val="FootnoteReference"/>
          <w:rFonts w:asciiTheme="minorHAnsi" w:hAnsiTheme="minorHAnsi" w:cstheme="minorHAnsi"/>
          <w:color w:val="FF0000"/>
          <w:sz w:val="16"/>
          <w:szCs w:val="16"/>
        </w:rPr>
        <w:footnoteRef/>
      </w:r>
      <w:r w:rsidRPr="00443AD2">
        <w:rPr>
          <w:rFonts w:asciiTheme="minorHAnsi" w:hAnsiTheme="minorHAnsi" w:cstheme="minorHAnsi"/>
          <w:color w:val="FF0000"/>
          <w:sz w:val="16"/>
          <w:szCs w:val="16"/>
        </w:rPr>
        <w:t xml:space="preserve"> </w:t>
      </w:r>
      <w:r w:rsidRPr="008C02EE">
        <w:rPr>
          <w:rFonts w:asciiTheme="minorHAnsi" w:hAnsiTheme="minorHAnsi" w:cstheme="minorHAnsi"/>
          <w:color w:val="FF0000"/>
          <w:sz w:val="16"/>
          <w:szCs w:val="16"/>
        </w:rPr>
        <w:t xml:space="preserve">Please note </w:t>
      </w:r>
      <w:r>
        <w:rPr>
          <w:rFonts w:asciiTheme="minorHAnsi" w:hAnsiTheme="minorHAnsi" w:cstheme="minorHAnsi"/>
          <w:color w:val="FF0000"/>
          <w:sz w:val="16"/>
          <w:szCs w:val="16"/>
        </w:rPr>
        <w:t>this is any amount of</w:t>
      </w:r>
      <w:r>
        <w:rPr>
          <w:rFonts w:asciiTheme="minorHAnsi" w:hAnsiTheme="minorHAnsi" w:cstheme="minorHAnsi"/>
          <w:bCs/>
          <w:color w:val="FF0000"/>
          <w:sz w:val="16"/>
          <w:szCs w:val="16"/>
        </w:rPr>
        <w:t xml:space="preserve"> CAF funding to be paid by the Department</w:t>
      </w:r>
      <w:r>
        <w:rPr>
          <w:rFonts w:asciiTheme="minorHAnsi" w:hAnsiTheme="minorHAnsi" w:cstheme="minorHAnsi"/>
          <w:color w:val="FF0000"/>
          <w:sz w:val="16"/>
          <w:szCs w:val="16"/>
        </w:rPr>
        <w:t xml:space="preserve"> for the relevant year that is not spent in the relevant year. A rationale for deferring funding must be provided below this table. For 2022 to 2025, the amounts in this row should match the Budget for 2022-2025 table above. </w:t>
      </w:r>
      <w:r w:rsidRPr="00016271">
        <w:rPr>
          <w:rFonts w:asciiTheme="minorHAnsi" w:hAnsiTheme="minorHAnsi" w:cstheme="minorHAnsi"/>
          <w:color w:val="FF0000"/>
          <w:sz w:val="16"/>
          <w:szCs w:val="16"/>
        </w:rPr>
        <w:t>This row should include deferred CAF funding paid by the Department and, where applicable, for 2022 may include actual interest earned on funds held in 2020 and 2021 being carried forward again into to 2023. For example, an NGRB may plan to defer $5 million in 2022 and defer another $5 million in 2023, with the resulting $10 million to be spent in 2024. This row would show $5 million in deferred expenditure in 2022, $5 million deferred in 2023 and then $0 in 2024.</w:t>
      </w:r>
    </w:p>
  </w:footnote>
  <w:footnote w:id="10">
    <w:p w14:paraId="78989919" w14:textId="7D33E635" w:rsidR="00982AE7" w:rsidRPr="00016271" w:rsidRDefault="00982AE7" w:rsidP="00205854">
      <w:pPr>
        <w:pStyle w:val="FootnoteText"/>
        <w:rPr>
          <w:rFonts w:asciiTheme="minorHAnsi" w:hAnsiTheme="minorHAnsi" w:cstheme="minorHAnsi"/>
          <w:bCs/>
          <w:color w:val="FF0000"/>
          <w:sz w:val="16"/>
          <w:szCs w:val="16"/>
        </w:rPr>
      </w:pPr>
      <w:r w:rsidRPr="00443AD2">
        <w:rPr>
          <w:rStyle w:val="FootnoteReference"/>
          <w:rFonts w:asciiTheme="minorHAnsi" w:hAnsiTheme="minorHAnsi" w:cstheme="minorHAnsi"/>
          <w:color w:val="FF0000"/>
          <w:sz w:val="16"/>
          <w:szCs w:val="16"/>
        </w:rPr>
        <w:footnoteRef/>
      </w:r>
      <w:r w:rsidRPr="00443AD2">
        <w:rPr>
          <w:rFonts w:asciiTheme="minorHAnsi" w:hAnsiTheme="minorHAnsi" w:cstheme="minorHAnsi"/>
          <w:color w:val="FF0000"/>
          <w:sz w:val="16"/>
          <w:szCs w:val="16"/>
        </w:rPr>
        <w:t xml:space="preserve"> </w:t>
      </w:r>
      <w:r w:rsidRPr="008C02EE">
        <w:rPr>
          <w:rFonts w:asciiTheme="minorHAnsi" w:hAnsiTheme="minorHAnsi" w:cstheme="minorHAnsi"/>
          <w:color w:val="FF0000"/>
          <w:sz w:val="16"/>
          <w:szCs w:val="16"/>
        </w:rPr>
        <w:t xml:space="preserve">Please note </w:t>
      </w:r>
      <w:r>
        <w:rPr>
          <w:rFonts w:asciiTheme="minorHAnsi" w:hAnsiTheme="minorHAnsi" w:cstheme="minorHAnsi"/>
          <w:color w:val="FF0000"/>
          <w:sz w:val="16"/>
          <w:szCs w:val="16"/>
        </w:rPr>
        <w:t>this is the total amount carried forward to the next year</w:t>
      </w:r>
      <w:r w:rsidRPr="00F7459B">
        <w:rPr>
          <w:rFonts w:asciiTheme="minorHAnsi" w:hAnsiTheme="minorHAnsi" w:cstheme="minorHAnsi"/>
          <w:color w:val="FF0000"/>
          <w:sz w:val="16"/>
          <w:szCs w:val="16"/>
        </w:rPr>
        <w:t xml:space="preserve"> or any subsequent year</w:t>
      </w:r>
      <w:r>
        <w:rPr>
          <w:rFonts w:asciiTheme="minorHAnsi" w:hAnsiTheme="minorHAnsi" w:cstheme="minorHAnsi"/>
          <w:color w:val="FF0000"/>
          <w:sz w:val="16"/>
          <w:szCs w:val="16"/>
        </w:rPr>
        <w:t xml:space="preserve"> </w:t>
      </w:r>
      <w:r w:rsidRPr="00016271">
        <w:rPr>
          <w:rFonts w:asciiTheme="minorHAnsi" w:hAnsiTheme="minorHAnsi" w:cstheme="minorHAnsi"/>
          <w:color w:val="FF0000"/>
          <w:sz w:val="16"/>
          <w:szCs w:val="16"/>
        </w:rPr>
        <w:t>and will show the cumulative deferred expenditure from the relevant year and/or previous years that has not yet been spent</w:t>
      </w:r>
      <w:r>
        <w:rPr>
          <w:rFonts w:asciiTheme="minorHAnsi" w:hAnsiTheme="minorHAnsi" w:cstheme="minorHAnsi"/>
          <w:color w:val="FF0000"/>
          <w:sz w:val="16"/>
          <w:szCs w:val="16"/>
        </w:rPr>
        <w:t xml:space="preserve">. This row should include </w:t>
      </w:r>
      <w:r>
        <w:rPr>
          <w:rFonts w:asciiTheme="minorHAnsi" w:hAnsiTheme="minorHAnsi" w:cstheme="minorHAnsi"/>
          <w:bCs/>
          <w:color w:val="FF0000"/>
          <w:sz w:val="16"/>
          <w:szCs w:val="16"/>
        </w:rPr>
        <w:t>deferred CAF funding paid by the Department</w:t>
      </w:r>
      <w:r>
        <w:rPr>
          <w:rFonts w:asciiTheme="minorHAnsi" w:hAnsiTheme="minorHAnsi" w:cstheme="minorHAnsi"/>
          <w:color w:val="FF0000"/>
          <w:sz w:val="16"/>
          <w:szCs w:val="16"/>
        </w:rPr>
        <w:t xml:space="preserve"> and where </w:t>
      </w:r>
      <w:r w:rsidRPr="00016271">
        <w:rPr>
          <w:rFonts w:asciiTheme="minorHAnsi" w:hAnsiTheme="minorHAnsi" w:cstheme="minorHAnsi"/>
          <w:bCs/>
          <w:color w:val="FF0000"/>
          <w:sz w:val="16"/>
          <w:szCs w:val="16"/>
        </w:rPr>
        <w:t>applicable, actual interest earned on funds held in 2020 and 2021</w:t>
      </w:r>
      <w:r w:rsidRPr="00F7459B">
        <w:rPr>
          <w:rFonts w:asciiTheme="minorHAnsi" w:hAnsiTheme="minorHAnsi" w:cstheme="minorHAnsi"/>
          <w:bCs/>
          <w:color w:val="FF0000"/>
          <w:sz w:val="16"/>
          <w:szCs w:val="16"/>
        </w:rPr>
        <w:t xml:space="preserve"> being brought forward in to 2022</w:t>
      </w:r>
      <w:r w:rsidRPr="00016271">
        <w:rPr>
          <w:rFonts w:asciiTheme="minorHAnsi" w:hAnsiTheme="minorHAnsi" w:cstheme="minorHAnsi"/>
          <w:bCs/>
          <w:color w:val="FF0000"/>
          <w:sz w:val="16"/>
          <w:szCs w:val="16"/>
        </w:rPr>
        <w:t>.</w:t>
      </w:r>
      <w:r w:rsidRPr="00F7459B">
        <w:rPr>
          <w:rFonts w:asciiTheme="minorHAnsi" w:hAnsiTheme="minorHAnsi" w:cstheme="minorHAnsi"/>
          <w:bCs/>
          <w:color w:val="FF0000"/>
          <w:sz w:val="16"/>
          <w:szCs w:val="16"/>
        </w:rPr>
        <w:t xml:space="preserve"> Continuing the example from the deferred expenditure row where an NGRB may plan to defer $5 million in 2022 and defer another $5 million in 2023, with the resulting $10 million to be spent in 2024. This row would show $5 million in accrued expenditure in 2022, $10 million in 2023 and then $0 in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EDFA" w14:textId="77777777" w:rsidR="00C07F61" w:rsidRDefault="00C07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7719" w14:textId="7A4056C0" w:rsidR="00C07F61" w:rsidRDefault="00C07F61" w:rsidP="00E65A47">
    <w:pPr>
      <w:pBdr>
        <w:bottom w:val="single" w:sz="4" w:space="1" w:color="auto"/>
      </w:pBdr>
      <w:spacing w:line="240" w:lineRule="auto"/>
      <w:jc w:val="center"/>
      <w:rPr>
        <w:rFonts w:cstheme="minorHAnsi"/>
        <w:b/>
        <w:color w:val="000000" w:themeColor="text1"/>
        <w:sz w:val="22"/>
        <w:szCs w:val="28"/>
      </w:rPr>
    </w:pPr>
    <w:r>
      <w:rPr>
        <w:rFonts w:cstheme="minorHAnsi"/>
        <w:b/>
        <w:color w:val="000000" w:themeColor="text1"/>
        <w:sz w:val="22"/>
        <w:szCs w:val="28"/>
      </w:rPr>
      <w:t>Choice and Affordability Fund – Work Plan 2022–2025</w:t>
    </w:r>
  </w:p>
  <w:p w14:paraId="517B2686" w14:textId="77777777" w:rsidR="00C07F61" w:rsidRPr="00E65A47" w:rsidRDefault="00C07F61" w:rsidP="00E65A47">
    <w:pPr>
      <w:pBdr>
        <w:bottom w:val="single" w:sz="4" w:space="1" w:color="auto"/>
      </w:pBdr>
      <w:spacing w:line="240" w:lineRule="auto"/>
      <w:jc w:val="center"/>
      <w:rPr>
        <w:rFonts w:cstheme="minorHAnsi"/>
        <w:b/>
        <w:color w:val="000000" w:themeColor="text1"/>
        <w:sz w:val="22"/>
        <w:szCs w:val="28"/>
      </w:rPr>
    </w:pPr>
    <w:r w:rsidRPr="00E65A47">
      <w:rPr>
        <w:rFonts w:cstheme="minorHAnsi"/>
        <w:b/>
        <w:color w:val="000000" w:themeColor="text1"/>
        <w:sz w:val="22"/>
        <w:szCs w:val="28"/>
      </w:rPr>
      <w:t>Catholic Education Western Australia Ltd</w:t>
    </w:r>
  </w:p>
  <w:p w14:paraId="5B1FCFB9" w14:textId="73E809A6" w:rsidR="00C07F61" w:rsidRDefault="00C07F61" w:rsidP="00E65A47">
    <w:pPr>
      <w:pBdr>
        <w:bottom w:val="single" w:sz="4" w:space="1" w:color="auto"/>
      </w:pBdr>
      <w:spacing w:line="240" w:lineRule="auto"/>
      <w:jc w:val="center"/>
      <w:rPr>
        <w:rFonts w:cstheme="minorHAnsi"/>
        <w:bCs/>
        <w:i/>
        <w:iCs/>
        <w:color w:val="000000" w:themeColor="text1"/>
        <w:sz w:val="22"/>
        <w:szCs w:val="28"/>
      </w:rPr>
    </w:pPr>
  </w:p>
  <w:p w14:paraId="70755BBC" w14:textId="77777777" w:rsidR="00C07F61" w:rsidRDefault="00C07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DA25" w14:textId="77777777" w:rsidR="00C07F61" w:rsidRDefault="00C07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323F3"/>
    <w:multiLevelType w:val="hybridMultilevel"/>
    <w:tmpl w:val="ABFA30C2"/>
    <w:lvl w:ilvl="0" w:tplc="EBC47D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4A7D5B"/>
    <w:multiLevelType w:val="hybridMultilevel"/>
    <w:tmpl w:val="DB9E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E96324"/>
    <w:multiLevelType w:val="hybridMultilevel"/>
    <w:tmpl w:val="40BE33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F2732"/>
    <w:multiLevelType w:val="hybridMultilevel"/>
    <w:tmpl w:val="E61EB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8A0A9F"/>
    <w:multiLevelType w:val="hybridMultilevel"/>
    <w:tmpl w:val="45FC350E"/>
    <w:lvl w:ilvl="0" w:tplc="3D3A3D5A">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0D7285"/>
    <w:multiLevelType w:val="hybridMultilevel"/>
    <w:tmpl w:val="FD2C0E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22F7F6D"/>
    <w:multiLevelType w:val="hybridMultilevel"/>
    <w:tmpl w:val="8CAAB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045B6A"/>
    <w:multiLevelType w:val="hybridMultilevel"/>
    <w:tmpl w:val="F51E3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F0405F"/>
    <w:multiLevelType w:val="hybridMultilevel"/>
    <w:tmpl w:val="96F23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C157A"/>
    <w:multiLevelType w:val="hybridMultilevel"/>
    <w:tmpl w:val="4824242A"/>
    <w:lvl w:ilvl="0" w:tplc="EBC47D9A">
      <w:start w:val="1"/>
      <w:numFmt w:val="bullet"/>
      <w:lvlText w:val=""/>
      <w:lvlJc w:val="left"/>
      <w:pPr>
        <w:ind w:left="-131" w:hanging="360"/>
      </w:pPr>
      <w:rPr>
        <w:rFonts w:ascii="Symbol" w:hAnsi="Symbol" w:hint="default"/>
        <w:color w:val="FF0000"/>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1" w15:restartNumberingAfterBreak="0">
    <w:nsid w:val="386779AC"/>
    <w:multiLevelType w:val="hybridMultilevel"/>
    <w:tmpl w:val="39FE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A968C4"/>
    <w:multiLevelType w:val="hybridMultilevel"/>
    <w:tmpl w:val="EBCEE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7A39F3"/>
    <w:multiLevelType w:val="hybridMultilevel"/>
    <w:tmpl w:val="DC56496A"/>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4" w15:restartNumberingAfterBreak="0">
    <w:nsid w:val="4A3930C0"/>
    <w:multiLevelType w:val="hybridMultilevel"/>
    <w:tmpl w:val="7B5CFB2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601896"/>
    <w:multiLevelType w:val="hybridMultilevel"/>
    <w:tmpl w:val="C8FE2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460A39"/>
    <w:multiLevelType w:val="hybridMultilevel"/>
    <w:tmpl w:val="FE64ED56"/>
    <w:lvl w:ilvl="0" w:tplc="694E3772">
      <w:start w:val="1"/>
      <w:numFmt w:val="decimal"/>
      <w:lvlText w:val="%1."/>
      <w:lvlJc w:val="left"/>
      <w:pPr>
        <w:ind w:left="360" w:hanging="360"/>
      </w:pPr>
      <w:rPr>
        <w:color w:val="auto"/>
      </w:rPr>
    </w:lvl>
    <w:lvl w:ilvl="1" w:tplc="99A4A16E">
      <w:start w:val="1"/>
      <w:numFmt w:val="lowerLetter"/>
      <w:lvlText w:val="%2)"/>
      <w:lvlJc w:val="left"/>
      <w:pPr>
        <w:ind w:left="1080" w:hanging="360"/>
      </w:pPr>
      <w:rPr>
        <w:b w:val="0"/>
        <w:bCs w:val="0"/>
        <w:i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683088B"/>
    <w:multiLevelType w:val="hybridMultilevel"/>
    <w:tmpl w:val="C706B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A444C7"/>
    <w:multiLevelType w:val="hybridMultilevel"/>
    <w:tmpl w:val="FD34768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8B3D34"/>
    <w:multiLevelType w:val="hybridMultilevel"/>
    <w:tmpl w:val="49FEE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F0668D"/>
    <w:multiLevelType w:val="hybridMultilevel"/>
    <w:tmpl w:val="FA5C5DE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7A241A8F"/>
    <w:multiLevelType w:val="hybridMultilevel"/>
    <w:tmpl w:val="2D3EF3B4"/>
    <w:lvl w:ilvl="0" w:tplc="258E1D9A">
      <w:numFmt w:val="bullet"/>
      <w:lvlText w:val="•"/>
      <w:lvlJc w:val="left"/>
      <w:pPr>
        <w:ind w:left="357" w:hanging="357"/>
      </w:pPr>
      <w:rPr>
        <w:rFonts w:hint="default"/>
        <w:w w:val="99"/>
        <w:sz w:val="20"/>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231F01"/>
    <w:multiLevelType w:val="hybridMultilevel"/>
    <w:tmpl w:val="21587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3775BC"/>
    <w:multiLevelType w:val="hybridMultilevel"/>
    <w:tmpl w:val="A6B86D0C"/>
    <w:lvl w:ilvl="0" w:tplc="AD8A20C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C34424"/>
    <w:multiLevelType w:val="hybridMultilevel"/>
    <w:tmpl w:val="B13AB0FC"/>
    <w:lvl w:ilvl="0" w:tplc="61D0BE0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3"/>
  </w:num>
  <w:num w:numId="3">
    <w:abstractNumId w:val="24"/>
  </w:num>
  <w:num w:numId="4">
    <w:abstractNumId w:val="2"/>
  </w:num>
  <w:num w:numId="5">
    <w:abstractNumId w:val="13"/>
  </w:num>
  <w:num w:numId="6">
    <w:abstractNumId w:val="16"/>
  </w:num>
  <w:num w:numId="7">
    <w:abstractNumId w:val="19"/>
  </w:num>
  <w:num w:numId="8">
    <w:abstractNumId w:val="0"/>
  </w:num>
  <w:num w:numId="9">
    <w:abstractNumId w:val="10"/>
  </w:num>
  <w:num w:numId="10">
    <w:abstractNumId w:val="12"/>
  </w:num>
  <w:num w:numId="11">
    <w:abstractNumId w:val="20"/>
  </w:num>
  <w:num w:numId="12">
    <w:abstractNumId w:val="4"/>
  </w:num>
  <w:num w:numId="13">
    <w:abstractNumId w:val="7"/>
  </w:num>
  <w:num w:numId="14">
    <w:abstractNumId w:val="6"/>
  </w:num>
  <w:num w:numId="15">
    <w:abstractNumId w:val="17"/>
  </w:num>
  <w:num w:numId="16">
    <w:abstractNumId w:val="6"/>
  </w:num>
  <w:num w:numId="17">
    <w:abstractNumId w:val="22"/>
  </w:num>
  <w:num w:numId="18">
    <w:abstractNumId w:val="15"/>
  </w:num>
  <w:num w:numId="19">
    <w:abstractNumId w:val="14"/>
  </w:num>
  <w:num w:numId="20">
    <w:abstractNumId w:val="9"/>
  </w:num>
  <w:num w:numId="21">
    <w:abstractNumId w:val="8"/>
  </w:num>
  <w:num w:numId="22">
    <w:abstractNumId w:val="21"/>
  </w:num>
  <w:num w:numId="23">
    <w:abstractNumId w:val="11"/>
  </w:num>
  <w:num w:numId="24">
    <w:abstractNumId w:val="1"/>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6D"/>
    <w:rsid w:val="000018A1"/>
    <w:rsid w:val="00003D33"/>
    <w:rsid w:val="000118CE"/>
    <w:rsid w:val="00012766"/>
    <w:rsid w:val="00012C77"/>
    <w:rsid w:val="00013A8A"/>
    <w:rsid w:val="00016271"/>
    <w:rsid w:val="00016C10"/>
    <w:rsid w:val="000222C4"/>
    <w:rsid w:val="000240ED"/>
    <w:rsid w:val="000272C7"/>
    <w:rsid w:val="0003178C"/>
    <w:rsid w:val="00031B7B"/>
    <w:rsid w:val="00033510"/>
    <w:rsid w:val="00035083"/>
    <w:rsid w:val="00037CD9"/>
    <w:rsid w:val="00037E05"/>
    <w:rsid w:val="00041435"/>
    <w:rsid w:val="00041BB6"/>
    <w:rsid w:val="00045E8A"/>
    <w:rsid w:val="00047591"/>
    <w:rsid w:val="00047765"/>
    <w:rsid w:val="000525DF"/>
    <w:rsid w:val="000529A7"/>
    <w:rsid w:val="00055DAB"/>
    <w:rsid w:val="00056284"/>
    <w:rsid w:val="00056F0E"/>
    <w:rsid w:val="000627A9"/>
    <w:rsid w:val="00064107"/>
    <w:rsid w:val="0006455A"/>
    <w:rsid w:val="00064FBE"/>
    <w:rsid w:val="000654DA"/>
    <w:rsid w:val="00065C54"/>
    <w:rsid w:val="00065E6D"/>
    <w:rsid w:val="0007328D"/>
    <w:rsid w:val="00077C8A"/>
    <w:rsid w:val="00081EAB"/>
    <w:rsid w:val="000914E6"/>
    <w:rsid w:val="00092FAF"/>
    <w:rsid w:val="000A0554"/>
    <w:rsid w:val="000A1F5A"/>
    <w:rsid w:val="000A35DF"/>
    <w:rsid w:val="000A38E0"/>
    <w:rsid w:val="000A4646"/>
    <w:rsid w:val="000A4A1F"/>
    <w:rsid w:val="000A662E"/>
    <w:rsid w:val="000B0572"/>
    <w:rsid w:val="000B3C38"/>
    <w:rsid w:val="000B49A8"/>
    <w:rsid w:val="000B7AED"/>
    <w:rsid w:val="000B7CE7"/>
    <w:rsid w:val="000C0DF1"/>
    <w:rsid w:val="000C43C0"/>
    <w:rsid w:val="000C5B19"/>
    <w:rsid w:val="000C5C82"/>
    <w:rsid w:val="000D47FD"/>
    <w:rsid w:val="000D6222"/>
    <w:rsid w:val="000E29F7"/>
    <w:rsid w:val="000F4117"/>
    <w:rsid w:val="001033AE"/>
    <w:rsid w:val="00111BB7"/>
    <w:rsid w:val="00112964"/>
    <w:rsid w:val="00114C00"/>
    <w:rsid w:val="00115319"/>
    <w:rsid w:val="00121149"/>
    <w:rsid w:val="00126806"/>
    <w:rsid w:val="00131FE6"/>
    <w:rsid w:val="00132F6E"/>
    <w:rsid w:val="001338BC"/>
    <w:rsid w:val="00135584"/>
    <w:rsid w:val="00142C5B"/>
    <w:rsid w:val="001473F4"/>
    <w:rsid w:val="00147C22"/>
    <w:rsid w:val="00147C2F"/>
    <w:rsid w:val="00150389"/>
    <w:rsid w:val="00156303"/>
    <w:rsid w:val="00157DEF"/>
    <w:rsid w:val="00160066"/>
    <w:rsid w:val="001603A8"/>
    <w:rsid w:val="00160815"/>
    <w:rsid w:val="00161F45"/>
    <w:rsid w:val="0016278B"/>
    <w:rsid w:val="001632A4"/>
    <w:rsid w:val="00166D75"/>
    <w:rsid w:val="00173F58"/>
    <w:rsid w:val="00176AE1"/>
    <w:rsid w:val="00181FDF"/>
    <w:rsid w:val="00183C39"/>
    <w:rsid w:val="00184792"/>
    <w:rsid w:val="00184F59"/>
    <w:rsid w:val="00185083"/>
    <w:rsid w:val="00187B9F"/>
    <w:rsid w:val="00187C14"/>
    <w:rsid w:val="00190923"/>
    <w:rsid w:val="00192C4A"/>
    <w:rsid w:val="001930F0"/>
    <w:rsid w:val="001A1CC1"/>
    <w:rsid w:val="001A27B8"/>
    <w:rsid w:val="001A79C1"/>
    <w:rsid w:val="001A7ACA"/>
    <w:rsid w:val="001B1F2B"/>
    <w:rsid w:val="001B36EE"/>
    <w:rsid w:val="001B4C7A"/>
    <w:rsid w:val="001B5D1D"/>
    <w:rsid w:val="001C67E7"/>
    <w:rsid w:val="001D176B"/>
    <w:rsid w:val="001D2B82"/>
    <w:rsid w:val="001D3278"/>
    <w:rsid w:val="001D3F29"/>
    <w:rsid w:val="001D4104"/>
    <w:rsid w:val="001D430F"/>
    <w:rsid w:val="001E19B4"/>
    <w:rsid w:val="001E2329"/>
    <w:rsid w:val="001E2E3F"/>
    <w:rsid w:val="001E4707"/>
    <w:rsid w:val="001F001B"/>
    <w:rsid w:val="001F353B"/>
    <w:rsid w:val="001F63BA"/>
    <w:rsid w:val="0020113D"/>
    <w:rsid w:val="00201AA0"/>
    <w:rsid w:val="00202B77"/>
    <w:rsid w:val="002055E3"/>
    <w:rsid w:val="00205854"/>
    <w:rsid w:val="00207867"/>
    <w:rsid w:val="00211409"/>
    <w:rsid w:val="00211D31"/>
    <w:rsid w:val="002131E9"/>
    <w:rsid w:val="00216A6D"/>
    <w:rsid w:val="0021798C"/>
    <w:rsid w:val="0022071A"/>
    <w:rsid w:val="002211C6"/>
    <w:rsid w:val="00221E9E"/>
    <w:rsid w:val="00225E3A"/>
    <w:rsid w:val="00227614"/>
    <w:rsid w:val="002306C7"/>
    <w:rsid w:val="002330CB"/>
    <w:rsid w:val="00242659"/>
    <w:rsid w:val="00245277"/>
    <w:rsid w:val="00245A99"/>
    <w:rsid w:val="00247248"/>
    <w:rsid w:val="00250274"/>
    <w:rsid w:val="002516EF"/>
    <w:rsid w:val="00254AE6"/>
    <w:rsid w:val="00256482"/>
    <w:rsid w:val="00256703"/>
    <w:rsid w:val="002600AE"/>
    <w:rsid w:val="0026089B"/>
    <w:rsid w:val="002645A9"/>
    <w:rsid w:val="00276A13"/>
    <w:rsid w:val="00284B19"/>
    <w:rsid w:val="00290F4D"/>
    <w:rsid w:val="002931DE"/>
    <w:rsid w:val="002947C5"/>
    <w:rsid w:val="00297B7A"/>
    <w:rsid w:val="002A001F"/>
    <w:rsid w:val="002A0892"/>
    <w:rsid w:val="002A2CCF"/>
    <w:rsid w:val="002A6363"/>
    <w:rsid w:val="002A689F"/>
    <w:rsid w:val="002B080C"/>
    <w:rsid w:val="002B13FE"/>
    <w:rsid w:val="002B4EBC"/>
    <w:rsid w:val="002C78E9"/>
    <w:rsid w:val="002D5B40"/>
    <w:rsid w:val="002D5B7C"/>
    <w:rsid w:val="002D7721"/>
    <w:rsid w:val="002E495F"/>
    <w:rsid w:val="002E5FFB"/>
    <w:rsid w:val="002E6D13"/>
    <w:rsid w:val="002F1238"/>
    <w:rsid w:val="002F15AA"/>
    <w:rsid w:val="002F5AF7"/>
    <w:rsid w:val="00300436"/>
    <w:rsid w:val="00310E63"/>
    <w:rsid w:val="00312C5F"/>
    <w:rsid w:val="00313252"/>
    <w:rsid w:val="00314B9F"/>
    <w:rsid w:val="003169EF"/>
    <w:rsid w:val="00321099"/>
    <w:rsid w:val="003226C7"/>
    <w:rsid w:val="00322D73"/>
    <w:rsid w:val="00322E85"/>
    <w:rsid w:val="003257FB"/>
    <w:rsid w:val="003264F7"/>
    <w:rsid w:val="00331E38"/>
    <w:rsid w:val="00333386"/>
    <w:rsid w:val="00337BF5"/>
    <w:rsid w:val="003401BB"/>
    <w:rsid w:val="00341A8B"/>
    <w:rsid w:val="00343E3D"/>
    <w:rsid w:val="00344FA3"/>
    <w:rsid w:val="0034530C"/>
    <w:rsid w:val="003540BA"/>
    <w:rsid w:val="00354A8A"/>
    <w:rsid w:val="00357BB4"/>
    <w:rsid w:val="00360BE8"/>
    <w:rsid w:val="00361421"/>
    <w:rsid w:val="00363492"/>
    <w:rsid w:val="0036367D"/>
    <w:rsid w:val="00371F31"/>
    <w:rsid w:val="00372121"/>
    <w:rsid w:val="0038025B"/>
    <w:rsid w:val="003902F5"/>
    <w:rsid w:val="00391452"/>
    <w:rsid w:val="00393611"/>
    <w:rsid w:val="00395087"/>
    <w:rsid w:val="003951DB"/>
    <w:rsid w:val="00396173"/>
    <w:rsid w:val="00396AFB"/>
    <w:rsid w:val="00396FA0"/>
    <w:rsid w:val="003A0CF7"/>
    <w:rsid w:val="003A2462"/>
    <w:rsid w:val="003A2F97"/>
    <w:rsid w:val="003A3785"/>
    <w:rsid w:val="003A4A65"/>
    <w:rsid w:val="003A6E3F"/>
    <w:rsid w:val="003B00EB"/>
    <w:rsid w:val="003B17B4"/>
    <w:rsid w:val="003B1A2F"/>
    <w:rsid w:val="003B6480"/>
    <w:rsid w:val="003B66B9"/>
    <w:rsid w:val="003B7BA4"/>
    <w:rsid w:val="003C2788"/>
    <w:rsid w:val="003C3B97"/>
    <w:rsid w:val="003D0CE4"/>
    <w:rsid w:val="003D1628"/>
    <w:rsid w:val="003D1A9D"/>
    <w:rsid w:val="003D24F5"/>
    <w:rsid w:val="003D354F"/>
    <w:rsid w:val="003D559D"/>
    <w:rsid w:val="003D5704"/>
    <w:rsid w:val="003E08C1"/>
    <w:rsid w:val="003E7F4B"/>
    <w:rsid w:val="003F284D"/>
    <w:rsid w:val="003F292B"/>
    <w:rsid w:val="003F2A04"/>
    <w:rsid w:val="003F4F25"/>
    <w:rsid w:val="00400BAF"/>
    <w:rsid w:val="00400C6E"/>
    <w:rsid w:val="00402947"/>
    <w:rsid w:val="0040339E"/>
    <w:rsid w:val="004038BD"/>
    <w:rsid w:val="00403A6B"/>
    <w:rsid w:val="00403EEE"/>
    <w:rsid w:val="00410676"/>
    <w:rsid w:val="00411BA3"/>
    <w:rsid w:val="004125ED"/>
    <w:rsid w:val="004128D9"/>
    <w:rsid w:val="0041470B"/>
    <w:rsid w:val="00415A2F"/>
    <w:rsid w:val="00416D2E"/>
    <w:rsid w:val="0041787F"/>
    <w:rsid w:val="0042343F"/>
    <w:rsid w:val="004243E1"/>
    <w:rsid w:val="00425BD0"/>
    <w:rsid w:val="00426EAE"/>
    <w:rsid w:val="0043018C"/>
    <w:rsid w:val="00431421"/>
    <w:rsid w:val="00437F53"/>
    <w:rsid w:val="00440C4D"/>
    <w:rsid w:val="00442FC5"/>
    <w:rsid w:val="00443A38"/>
    <w:rsid w:val="00443AD2"/>
    <w:rsid w:val="004475D4"/>
    <w:rsid w:val="004506F2"/>
    <w:rsid w:val="004539AE"/>
    <w:rsid w:val="004557CC"/>
    <w:rsid w:val="004562BD"/>
    <w:rsid w:val="00460921"/>
    <w:rsid w:val="00462005"/>
    <w:rsid w:val="004630F2"/>
    <w:rsid w:val="00466720"/>
    <w:rsid w:val="00466A79"/>
    <w:rsid w:val="00474ED4"/>
    <w:rsid w:val="004766F9"/>
    <w:rsid w:val="004778E8"/>
    <w:rsid w:val="00480EE9"/>
    <w:rsid w:val="00481AF1"/>
    <w:rsid w:val="00486654"/>
    <w:rsid w:val="00487370"/>
    <w:rsid w:val="00494EAA"/>
    <w:rsid w:val="0049512E"/>
    <w:rsid w:val="004A048B"/>
    <w:rsid w:val="004A643B"/>
    <w:rsid w:val="004A747C"/>
    <w:rsid w:val="004B0D25"/>
    <w:rsid w:val="004B1015"/>
    <w:rsid w:val="004B1783"/>
    <w:rsid w:val="004B2CFB"/>
    <w:rsid w:val="004B6602"/>
    <w:rsid w:val="004B7FD1"/>
    <w:rsid w:val="004C2300"/>
    <w:rsid w:val="004C65E2"/>
    <w:rsid w:val="004C6D41"/>
    <w:rsid w:val="004C6D43"/>
    <w:rsid w:val="004C7381"/>
    <w:rsid w:val="004D191D"/>
    <w:rsid w:val="004D2953"/>
    <w:rsid w:val="004D3563"/>
    <w:rsid w:val="004D3584"/>
    <w:rsid w:val="004D4B1F"/>
    <w:rsid w:val="004E3F82"/>
    <w:rsid w:val="004E6388"/>
    <w:rsid w:val="004F22F0"/>
    <w:rsid w:val="004F2BC8"/>
    <w:rsid w:val="004F37E8"/>
    <w:rsid w:val="004F4526"/>
    <w:rsid w:val="004F5816"/>
    <w:rsid w:val="004F6ED8"/>
    <w:rsid w:val="00500CFC"/>
    <w:rsid w:val="00501F8B"/>
    <w:rsid w:val="0050617E"/>
    <w:rsid w:val="005146CD"/>
    <w:rsid w:val="005165A2"/>
    <w:rsid w:val="00522CB1"/>
    <w:rsid w:val="00522DC0"/>
    <w:rsid w:val="00523283"/>
    <w:rsid w:val="00523CF1"/>
    <w:rsid w:val="00523E75"/>
    <w:rsid w:val="00524402"/>
    <w:rsid w:val="00524A7A"/>
    <w:rsid w:val="00525C60"/>
    <w:rsid w:val="00531548"/>
    <w:rsid w:val="005323A0"/>
    <w:rsid w:val="00534FF5"/>
    <w:rsid w:val="00537642"/>
    <w:rsid w:val="005401BF"/>
    <w:rsid w:val="0054536D"/>
    <w:rsid w:val="0054776A"/>
    <w:rsid w:val="00555CC4"/>
    <w:rsid w:val="00556448"/>
    <w:rsid w:val="00556697"/>
    <w:rsid w:val="0056267F"/>
    <w:rsid w:val="00563CDE"/>
    <w:rsid w:val="00564686"/>
    <w:rsid w:val="0056499C"/>
    <w:rsid w:val="00564C32"/>
    <w:rsid w:val="00571CD3"/>
    <w:rsid w:val="00572111"/>
    <w:rsid w:val="00574A89"/>
    <w:rsid w:val="00575924"/>
    <w:rsid w:val="0058029D"/>
    <w:rsid w:val="00583F34"/>
    <w:rsid w:val="00587B5D"/>
    <w:rsid w:val="005929BD"/>
    <w:rsid w:val="00597E66"/>
    <w:rsid w:val="005A0E34"/>
    <w:rsid w:val="005A127C"/>
    <w:rsid w:val="005A3645"/>
    <w:rsid w:val="005A4052"/>
    <w:rsid w:val="005A4B31"/>
    <w:rsid w:val="005B173A"/>
    <w:rsid w:val="005B335D"/>
    <w:rsid w:val="005C3BEF"/>
    <w:rsid w:val="005C6ED7"/>
    <w:rsid w:val="005C798C"/>
    <w:rsid w:val="005D136A"/>
    <w:rsid w:val="005D7043"/>
    <w:rsid w:val="005F2975"/>
    <w:rsid w:val="005F3561"/>
    <w:rsid w:val="005F3B1C"/>
    <w:rsid w:val="005F4A69"/>
    <w:rsid w:val="005F54B8"/>
    <w:rsid w:val="005F6D89"/>
    <w:rsid w:val="005F6E03"/>
    <w:rsid w:val="006026AD"/>
    <w:rsid w:val="00605DBD"/>
    <w:rsid w:val="00610F1F"/>
    <w:rsid w:val="00613215"/>
    <w:rsid w:val="00614360"/>
    <w:rsid w:val="006147CE"/>
    <w:rsid w:val="006150C7"/>
    <w:rsid w:val="00616D84"/>
    <w:rsid w:val="00630E36"/>
    <w:rsid w:val="006410F7"/>
    <w:rsid w:val="006439DA"/>
    <w:rsid w:val="00645BC3"/>
    <w:rsid w:val="00645CB2"/>
    <w:rsid w:val="00646B5E"/>
    <w:rsid w:val="00651337"/>
    <w:rsid w:val="00654044"/>
    <w:rsid w:val="0065607B"/>
    <w:rsid w:val="006635E2"/>
    <w:rsid w:val="00665AD1"/>
    <w:rsid w:val="00665F27"/>
    <w:rsid w:val="0066774B"/>
    <w:rsid w:val="00674579"/>
    <w:rsid w:val="00676101"/>
    <w:rsid w:val="00681691"/>
    <w:rsid w:val="00682B4E"/>
    <w:rsid w:val="00686A27"/>
    <w:rsid w:val="00691876"/>
    <w:rsid w:val="00695337"/>
    <w:rsid w:val="00695DCF"/>
    <w:rsid w:val="006A192B"/>
    <w:rsid w:val="006A2AF2"/>
    <w:rsid w:val="006A3CE7"/>
    <w:rsid w:val="006A3D16"/>
    <w:rsid w:val="006A5D74"/>
    <w:rsid w:val="006B33D9"/>
    <w:rsid w:val="006B35C6"/>
    <w:rsid w:val="006B6711"/>
    <w:rsid w:val="006C26DD"/>
    <w:rsid w:val="006C4437"/>
    <w:rsid w:val="006C4DCA"/>
    <w:rsid w:val="006C55D7"/>
    <w:rsid w:val="006C65DD"/>
    <w:rsid w:val="006C6E90"/>
    <w:rsid w:val="006D41AE"/>
    <w:rsid w:val="006D590F"/>
    <w:rsid w:val="006D59A6"/>
    <w:rsid w:val="006E1BC4"/>
    <w:rsid w:val="006E3BE2"/>
    <w:rsid w:val="006E6C38"/>
    <w:rsid w:val="006E756D"/>
    <w:rsid w:val="006E7D16"/>
    <w:rsid w:val="006F79A2"/>
    <w:rsid w:val="00700000"/>
    <w:rsid w:val="00700C7C"/>
    <w:rsid w:val="00701ED8"/>
    <w:rsid w:val="00703147"/>
    <w:rsid w:val="00703C0C"/>
    <w:rsid w:val="00706114"/>
    <w:rsid w:val="00712720"/>
    <w:rsid w:val="00713A7A"/>
    <w:rsid w:val="007147F5"/>
    <w:rsid w:val="007171B7"/>
    <w:rsid w:val="00723857"/>
    <w:rsid w:val="00724426"/>
    <w:rsid w:val="007245DB"/>
    <w:rsid w:val="00725E61"/>
    <w:rsid w:val="00733308"/>
    <w:rsid w:val="00734D67"/>
    <w:rsid w:val="007362ED"/>
    <w:rsid w:val="007372B6"/>
    <w:rsid w:val="00741D26"/>
    <w:rsid w:val="00742C47"/>
    <w:rsid w:val="00743ABE"/>
    <w:rsid w:val="007445CD"/>
    <w:rsid w:val="0075079D"/>
    <w:rsid w:val="00750881"/>
    <w:rsid w:val="007568BC"/>
    <w:rsid w:val="007568F1"/>
    <w:rsid w:val="00756A4A"/>
    <w:rsid w:val="007662C8"/>
    <w:rsid w:val="007668F8"/>
    <w:rsid w:val="00767262"/>
    <w:rsid w:val="007704CC"/>
    <w:rsid w:val="0077256F"/>
    <w:rsid w:val="007725DF"/>
    <w:rsid w:val="0077399B"/>
    <w:rsid w:val="00773F67"/>
    <w:rsid w:val="007746B9"/>
    <w:rsid w:val="00775B91"/>
    <w:rsid w:val="00776E33"/>
    <w:rsid w:val="0078117D"/>
    <w:rsid w:val="0078291B"/>
    <w:rsid w:val="0078400B"/>
    <w:rsid w:val="00790F47"/>
    <w:rsid w:val="007925D5"/>
    <w:rsid w:val="0079330E"/>
    <w:rsid w:val="00795714"/>
    <w:rsid w:val="0079772A"/>
    <w:rsid w:val="007979C0"/>
    <w:rsid w:val="007A15CB"/>
    <w:rsid w:val="007A4820"/>
    <w:rsid w:val="007A7268"/>
    <w:rsid w:val="007B040F"/>
    <w:rsid w:val="007B6A47"/>
    <w:rsid w:val="007B75F4"/>
    <w:rsid w:val="007B7966"/>
    <w:rsid w:val="007C0845"/>
    <w:rsid w:val="007C2E49"/>
    <w:rsid w:val="007C3865"/>
    <w:rsid w:val="007C3BC6"/>
    <w:rsid w:val="007C3F3D"/>
    <w:rsid w:val="007C5762"/>
    <w:rsid w:val="007D2695"/>
    <w:rsid w:val="007D2FFC"/>
    <w:rsid w:val="007D4C29"/>
    <w:rsid w:val="007E0D50"/>
    <w:rsid w:val="007E0EB8"/>
    <w:rsid w:val="007E6D18"/>
    <w:rsid w:val="007F2102"/>
    <w:rsid w:val="007F22E4"/>
    <w:rsid w:val="007F27D4"/>
    <w:rsid w:val="007F29BC"/>
    <w:rsid w:val="007F2C99"/>
    <w:rsid w:val="007F38AF"/>
    <w:rsid w:val="007F4507"/>
    <w:rsid w:val="008011C0"/>
    <w:rsid w:val="008028EB"/>
    <w:rsid w:val="00802E7B"/>
    <w:rsid w:val="00806EF6"/>
    <w:rsid w:val="0080782F"/>
    <w:rsid w:val="00812642"/>
    <w:rsid w:val="00813600"/>
    <w:rsid w:val="008207D0"/>
    <w:rsid w:val="00821113"/>
    <w:rsid w:val="00821888"/>
    <w:rsid w:val="008221C1"/>
    <w:rsid w:val="00826AA4"/>
    <w:rsid w:val="00831C45"/>
    <w:rsid w:val="008343BF"/>
    <w:rsid w:val="00836D5E"/>
    <w:rsid w:val="00836F23"/>
    <w:rsid w:val="008400F8"/>
    <w:rsid w:val="008445DC"/>
    <w:rsid w:val="0084533B"/>
    <w:rsid w:val="00846D36"/>
    <w:rsid w:val="00846E6B"/>
    <w:rsid w:val="00854DBD"/>
    <w:rsid w:val="008555E1"/>
    <w:rsid w:val="00857110"/>
    <w:rsid w:val="00857E2C"/>
    <w:rsid w:val="008625C1"/>
    <w:rsid w:val="0086326A"/>
    <w:rsid w:val="0086513A"/>
    <w:rsid w:val="00870B63"/>
    <w:rsid w:val="00871B4C"/>
    <w:rsid w:val="00872A0F"/>
    <w:rsid w:val="00876F2E"/>
    <w:rsid w:val="008814A4"/>
    <w:rsid w:val="00881899"/>
    <w:rsid w:val="00881A89"/>
    <w:rsid w:val="0088245F"/>
    <w:rsid w:val="00884119"/>
    <w:rsid w:val="00885B4D"/>
    <w:rsid w:val="0088733B"/>
    <w:rsid w:val="0088752E"/>
    <w:rsid w:val="00893B7D"/>
    <w:rsid w:val="008955DB"/>
    <w:rsid w:val="00896510"/>
    <w:rsid w:val="008A5187"/>
    <w:rsid w:val="008A59D2"/>
    <w:rsid w:val="008B1F4B"/>
    <w:rsid w:val="008B2D09"/>
    <w:rsid w:val="008B39E3"/>
    <w:rsid w:val="008B5299"/>
    <w:rsid w:val="008B7AE1"/>
    <w:rsid w:val="008C02EE"/>
    <w:rsid w:val="008C1CC6"/>
    <w:rsid w:val="008C3FA7"/>
    <w:rsid w:val="008C5CD8"/>
    <w:rsid w:val="008D027C"/>
    <w:rsid w:val="008D0CF2"/>
    <w:rsid w:val="008D14E5"/>
    <w:rsid w:val="008D1F7E"/>
    <w:rsid w:val="008D2604"/>
    <w:rsid w:val="008D2ECB"/>
    <w:rsid w:val="008D49E1"/>
    <w:rsid w:val="008D4E89"/>
    <w:rsid w:val="008D5683"/>
    <w:rsid w:val="008D6D60"/>
    <w:rsid w:val="008D744A"/>
    <w:rsid w:val="008E0B8E"/>
    <w:rsid w:val="008E2913"/>
    <w:rsid w:val="008E3F98"/>
    <w:rsid w:val="008F2763"/>
    <w:rsid w:val="008F4EAE"/>
    <w:rsid w:val="008F5FC7"/>
    <w:rsid w:val="008F6D92"/>
    <w:rsid w:val="00900655"/>
    <w:rsid w:val="009111B3"/>
    <w:rsid w:val="00912887"/>
    <w:rsid w:val="00914DEB"/>
    <w:rsid w:val="00914F87"/>
    <w:rsid w:val="00917D36"/>
    <w:rsid w:val="00920C6A"/>
    <w:rsid w:val="009229C9"/>
    <w:rsid w:val="00924067"/>
    <w:rsid w:val="00924AB5"/>
    <w:rsid w:val="00927E59"/>
    <w:rsid w:val="00931995"/>
    <w:rsid w:val="0093631D"/>
    <w:rsid w:val="00936E91"/>
    <w:rsid w:val="00941255"/>
    <w:rsid w:val="00942313"/>
    <w:rsid w:val="0094350D"/>
    <w:rsid w:val="009441BA"/>
    <w:rsid w:val="0094555B"/>
    <w:rsid w:val="00953910"/>
    <w:rsid w:val="009549D1"/>
    <w:rsid w:val="00955527"/>
    <w:rsid w:val="0095715A"/>
    <w:rsid w:val="00957518"/>
    <w:rsid w:val="0096038D"/>
    <w:rsid w:val="00963064"/>
    <w:rsid w:val="00966FD0"/>
    <w:rsid w:val="009676B8"/>
    <w:rsid w:val="0096785F"/>
    <w:rsid w:val="00967BFC"/>
    <w:rsid w:val="0097669E"/>
    <w:rsid w:val="00980C50"/>
    <w:rsid w:val="00981CF8"/>
    <w:rsid w:val="00982AE7"/>
    <w:rsid w:val="009831C0"/>
    <w:rsid w:val="00985925"/>
    <w:rsid w:val="009A3023"/>
    <w:rsid w:val="009A3379"/>
    <w:rsid w:val="009A4BAB"/>
    <w:rsid w:val="009A72B2"/>
    <w:rsid w:val="009B2383"/>
    <w:rsid w:val="009B253C"/>
    <w:rsid w:val="009B2640"/>
    <w:rsid w:val="009B2CA1"/>
    <w:rsid w:val="009B2D99"/>
    <w:rsid w:val="009C138B"/>
    <w:rsid w:val="009C22A9"/>
    <w:rsid w:val="009C3573"/>
    <w:rsid w:val="009D033F"/>
    <w:rsid w:val="009D62D7"/>
    <w:rsid w:val="009E0094"/>
    <w:rsid w:val="009E00CE"/>
    <w:rsid w:val="009E0617"/>
    <w:rsid w:val="009E254D"/>
    <w:rsid w:val="009E29FC"/>
    <w:rsid w:val="009E366B"/>
    <w:rsid w:val="009E4A24"/>
    <w:rsid w:val="009E570E"/>
    <w:rsid w:val="009E7134"/>
    <w:rsid w:val="009E7D42"/>
    <w:rsid w:val="009F1D75"/>
    <w:rsid w:val="009F2B7F"/>
    <w:rsid w:val="009F4A0E"/>
    <w:rsid w:val="00A02CDE"/>
    <w:rsid w:val="00A04452"/>
    <w:rsid w:val="00A05ECB"/>
    <w:rsid w:val="00A132A1"/>
    <w:rsid w:val="00A14F58"/>
    <w:rsid w:val="00A30D69"/>
    <w:rsid w:val="00A328B8"/>
    <w:rsid w:val="00A32955"/>
    <w:rsid w:val="00A42E4E"/>
    <w:rsid w:val="00A432C4"/>
    <w:rsid w:val="00A436AC"/>
    <w:rsid w:val="00A43E24"/>
    <w:rsid w:val="00A46F21"/>
    <w:rsid w:val="00A52BF5"/>
    <w:rsid w:val="00A5378C"/>
    <w:rsid w:val="00A55909"/>
    <w:rsid w:val="00A64432"/>
    <w:rsid w:val="00A6580B"/>
    <w:rsid w:val="00A66D5E"/>
    <w:rsid w:val="00A72427"/>
    <w:rsid w:val="00A7249F"/>
    <w:rsid w:val="00A741E4"/>
    <w:rsid w:val="00A76CD7"/>
    <w:rsid w:val="00A77E60"/>
    <w:rsid w:val="00A84D89"/>
    <w:rsid w:val="00A9330B"/>
    <w:rsid w:val="00A97F4B"/>
    <w:rsid w:val="00AA10B3"/>
    <w:rsid w:val="00AA197C"/>
    <w:rsid w:val="00AA2F21"/>
    <w:rsid w:val="00AA49EE"/>
    <w:rsid w:val="00AB12D5"/>
    <w:rsid w:val="00AB1B22"/>
    <w:rsid w:val="00AB3574"/>
    <w:rsid w:val="00AB6898"/>
    <w:rsid w:val="00AC068E"/>
    <w:rsid w:val="00AC6A52"/>
    <w:rsid w:val="00AD02A3"/>
    <w:rsid w:val="00AD3BEE"/>
    <w:rsid w:val="00AD53A0"/>
    <w:rsid w:val="00AE4F9F"/>
    <w:rsid w:val="00AE581C"/>
    <w:rsid w:val="00AF7CB2"/>
    <w:rsid w:val="00AF7F32"/>
    <w:rsid w:val="00B00463"/>
    <w:rsid w:val="00B00D26"/>
    <w:rsid w:val="00B0131A"/>
    <w:rsid w:val="00B0185E"/>
    <w:rsid w:val="00B01BAD"/>
    <w:rsid w:val="00B02D39"/>
    <w:rsid w:val="00B04FD2"/>
    <w:rsid w:val="00B05539"/>
    <w:rsid w:val="00B07AD7"/>
    <w:rsid w:val="00B10CB8"/>
    <w:rsid w:val="00B1101C"/>
    <w:rsid w:val="00B1263B"/>
    <w:rsid w:val="00B1340C"/>
    <w:rsid w:val="00B15AF3"/>
    <w:rsid w:val="00B15BE4"/>
    <w:rsid w:val="00B21064"/>
    <w:rsid w:val="00B242E7"/>
    <w:rsid w:val="00B27C51"/>
    <w:rsid w:val="00B33D69"/>
    <w:rsid w:val="00B3402A"/>
    <w:rsid w:val="00B40ED8"/>
    <w:rsid w:val="00B4435E"/>
    <w:rsid w:val="00B47A3C"/>
    <w:rsid w:val="00B51C51"/>
    <w:rsid w:val="00B54B8D"/>
    <w:rsid w:val="00B57EF8"/>
    <w:rsid w:val="00B60FDA"/>
    <w:rsid w:val="00B627E9"/>
    <w:rsid w:val="00B64A1D"/>
    <w:rsid w:val="00B64CB7"/>
    <w:rsid w:val="00B67519"/>
    <w:rsid w:val="00B6755F"/>
    <w:rsid w:val="00B67B27"/>
    <w:rsid w:val="00B7009C"/>
    <w:rsid w:val="00B73108"/>
    <w:rsid w:val="00B73B1A"/>
    <w:rsid w:val="00B74AE5"/>
    <w:rsid w:val="00B74E98"/>
    <w:rsid w:val="00B81881"/>
    <w:rsid w:val="00B81887"/>
    <w:rsid w:val="00B823B1"/>
    <w:rsid w:val="00B82B4B"/>
    <w:rsid w:val="00B844C8"/>
    <w:rsid w:val="00B84E09"/>
    <w:rsid w:val="00B852CA"/>
    <w:rsid w:val="00B859C4"/>
    <w:rsid w:val="00B8762A"/>
    <w:rsid w:val="00B92A7B"/>
    <w:rsid w:val="00B92C4D"/>
    <w:rsid w:val="00BA07FB"/>
    <w:rsid w:val="00BA1DCC"/>
    <w:rsid w:val="00BA2674"/>
    <w:rsid w:val="00BA5801"/>
    <w:rsid w:val="00BB3A36"/>
    <w:rsid w:val="00BC4326"/>
    <w:rsid w:val="00BC5059"/>
    <w:rsid w:val="00BC5BD1"/>
    <w:rsid w:val="00BC5C8B"/>
    <w:rsid w:val="00BC615A"/>
    <w:rsid w:val="00BD0036"/>
    <w:rsid w:val="00BD463E"/>
    <w:rsid w:val="00BE2C55"/>
    <w:rsid w:val="00BE3D7F"/>
    <w:rsid w:val="00BE3E89"/>
    <w:rsid w:val="00BE6293"/>
    <w:rsid w:val="00C039A6"/>
    <w:rsid w:val="00C03AF2"/>
    <w:rsid w:val="00C04FA6"/>
    <w:rsid w:val="00C06F1F"/>
    <w:rsid w:val="00C07F61"/>
    <w:rsid w:val="00C117B0"/>
    <w:rsid w:val="00C12EB9"/>
    <w:rsid w:val="00C14013"/>
    <w:rsid w:val="00C14B29"/>
    <w:rsid w:val="00C15B22"/>
    <w:rsid w:val="00C167DE"/>
    <w:rsid w:val="00C234AE"/>
    <w:rsid w:val="00C33145"/>
    <w:rsid w:val="00C35776"/>
    <w:rsid w:val="00C35FC9"/>
    <w:rsid w:val="00C3632A"/>
    <w:rsid w:val="00C364B1"/>
    <w:rsid w:val="00C43D33"/>
    <w:rsid w:val="00C441F7"/>
    <w:rsid w:val="00C44C57"/>
    <w:rsid w:val="00C45511"/>
    <w:rsid w:val="00C45EA6"/>
    <w:rsid w:val="00C55FE2"/>
    <w:rsid w:val="00C574BF"/>
    <w:rsid w:val="00C57B21"/>
    <w:rsid w:val="00C65647"/>
    <w:rsid w:val="00C65EB2"/>
    <w:rsid w:val="00C66180"/>
    <w:rsid w:val="00C67F01"/>
    <w:rsid w:val="00C733C5"/>
    <w:rsid w:val="00C73C84"/>
    <w:rsid w:val="00C76DFD"/>
    <w:rsid w:val="00C77F7E"/>
    <w:rsid w:val="00C81B35"/>
    <w:rsid w:val="00C8276B"/>
    <w:rsid w:val="00C8349D"/>
    <w:rsid w:val="00C84FE7"/>
    <w:rsid w:val="00C8585D"/>
    <w:rsid w:val="00C85CF9"/>
    <w:rsid w:val="00C86373"/>
    <w:rsid w:val="00C97A8A"/>
    <w:rsid w:val="00CA31A9"/>
    <w:rsid w:val="00CA3A37"/>
    <w:rsid w:val="00CA40B0"/>
    <w:rsid w:val="00CA6D2F"/>
    <w:rsid w:val="00CB2831"/>
    <w:rsid w:val="00CB75ED"/>
    <w:rsid w:val="00CC02D3"/>
    <w:rsid w:val="00CC060D"/>
    <w:rsid w:val="00CC485A"/>
    <w:rsid w:val="00CD0182"/>
    <w:rsid w:val="00CD3422"/>
    <w:rsid w:val="00CD7984"/>
    <w:rsid w:val="00CE2831"/>
    <w:rsid w:val="00CE5EEF"/>
    <w:rsid w:val="00CE7918"/>
    <w:rsid w:val="00CF5AA6"/>
    <w:rsid w:val="00CF696F"/>
    <w:rsid w:val="00D00330"/>
    <w:rsid w:val="00D02C9D"/>
    <w:rsid w:val="00D0447E"/>
    <w:rsid w:val="00D05252"/>
    <w:rsid w:val="00D0547C"/>
    <w:rsid w:val="00D05544"/>
    <w:rsid w:val="00D078AE"/>
    <w:rsid w:val="00D10842"/>
    <w:rsid w:val="00D16DE8"/>
    <w:rsid w:val="00D17686"/>
    <w:rsid w:val="00D22EB2"/>
    <w:rsid w:val="00D23B89"/>
    <w:rsid w:val="00D252A8"/>
    <w:rsid w:val="00D256FE"/>
    <w:rsid w:val="00D25D17"/>
    <w:rsid w:val="00D270E0"/>
    <w:rsid w:val="00D2734C"/>
    <w:rsid w:val="00D3264B"/>
    <w:rsid w:val="00D3526E"/>
    <w:rsid w:val="00D357DF"/>
    <w:rsid w:val="00D40293"/>
    <w:rsid w:val="00D51625"/>
    <w:rsid w:val="00D54B95"/>
    <w:rsid w:val="00D569E3"/>
    <w:rsid w:val="00D5774B"/>
    <w:rsid w:val="00D73142"/>
    <w:rsid w:val="00D7453F"/>
    <w:rsid w:val="00D77071"/>
    <w:rsid w:val="00D77097"/>
    <w:rsid w:val="00D84A30"/>
    <w:rsid w:val="00D90925"/>
    <w:rsid w:val="00D91B0F"/>
    <w:rsid w:val="00D93A9B"/>
    <w:rsid w:val="00D954EC"/>
    <w:rsid w:val="00DA0186"/>
    <w:rsid w:val="00DA0403"/>
    <w:rsid w:val="00DA25A1"/>
    <w:rsid w:val="00DA2E95"/>
    <w:rsid w:val="00DA3D54"/>
    <w:rsid w:val="00DB30FB"/>
    <w:rsid w:val="00DB33F7"/>
    <w:rsid w:val="00DB66F0"/>
    <w:rsid w:val="00DC23D2"/>
    <w:rsid w:val="00DC5355"/>
    <w:rsid w:val="00DC7DAC"/>
    <w:rsid w:val="00DD169F"/>
    <w:rsid w:val="00DD2437"/>
    <w:rsid w:val="00DD3260"/>
    <w:rsid w:val="00DD6DD7"/>
    <w:rsid w:val="00DD7BAF"/>
    <w:rsid w:val="00DE0993"/>
    <w:rsid w:val="00DE0A43"/>
    <w:rsid w:val="00DE3D95"/>
    <w:rsid w:val="00DE5165"/>
    <w:rsid w:val="00DE5C61"/>
    <w:rsid w:val="00DE6B2C"/>
    <w:rsid w:val="00DF3278"/>
    <w:rsid w:val="00DF724E"/>
    <w:rsid w:val="00DF7F84"/>
    <w:rsid w:val="00E01906"/>
    <w:rsid w:val="00E02472"/>
    <w:rsid w:val="00E0348A"/>
    <w:rsid w:val="00E053E5"/>
    <w:rsid w:val="00E05B2E"/>
    <w:rsid w:val="00E07C64"/>
    <w:rsid w:val="00E12D02"/>
    <w:rsid w:val="00E1485E"/>
    <w:rsid w:val="00E14EC9"/>
    <w:rsid w:val="00E1500F"/>
    <w:rsid w:val="00E21BCC"/>
    <w:rsid w:val="00E223A3"/>
    <w:rsid w:val="00E23283"/>
    <w:rsid w:val="00E2377E"/>
    <w:rsid w:val="00E32993"/>
    <w:rsid w:val="00E33097"/>
    <w:rsid w:val="00E5075A"/>
    <w:rsid w:val="00E50C27"/>
    <w:rsid w:val="00E530AE"/>
    <w:rsid w:val="00E53368"/>
    <w:rsid w:val="00E57D63"/>
    <w:rsid w:val="00E614EF"/>
    <w:rsid w:val="00E617DF"/>
    <w:rsid w:val="00E643B5"/>
    <w:rsid w:val="00E65A47"/>
    <w:rsid w:val="00E67B8D"/>
    <w:rsid w:val="00E738F2"/>
    <w:rsid w:val="00E84F8C"/>
    <w:rsid w:val="00E915BD"/>
    <w:rsid w:val="00EA063D"/>
    <w:rsid w:val="00EA1A5E"/>
    <w:rsid w:val="00EA54C9"/>
    <w:rsid w:val="00EA7450"/>
    <w:rsid w:val="00EB195E"/>
    <w:rsid w:val="00EB5163"/>
    <w:rsid w:val="00EB5CD3"/>
    <w:rsid w:val="00EB7A5F"/>
    <w:rsid w:val="00EC3172"/>
    <w:rsid w:val="00EC6D47"/>
    <w:rsid w:val="00EC6E63"/>
    <w:rsid w:val="00EC70D2"/>
    <w:rsid w:val="00EC7273"/>
    <w:rsid w:val="00ED0204"/>
    <w:rsid w:val="00ED077B"/>
    <w:rsid w:val="00ED2B52"/>
    <w:rsid w:val="00ED63F1"/>
    <w:rsid w:val="00ED769D"/>
    <w:rsid w:val="00EE3B8E"/>
    <w:rsid w:val="00EE42BC"/>
    <w:rsid w:val="00EE7AAE"/>
    <w:rsid w:val="00EF076A"/>
    <w:rsid w:val="00EF11DF"/>
    <w:rsid w:val="00EF2565"/>
    <w:rsid w:val="00EF5C7E"/>
    <w:rsid w:val="00EF6697"/>
    <w:rsid w:val="00F020F6"/>
    <w:rsid w:val="00F03F5B"/>
    <w:rsid w:val="00F061A1"/>
    <w:rsid w:val="00F06464"/>
    <w:rsid w:val="00F20331"/>
    <w:rsid w:val="00F210E6"/>
    <w:rsid w:val="00F23944"/>
    <w:rsid w:val="00F23EF9"/>
    <w:rsid w:val="00F33663"/>
    <w:rsid w:val="00F33978"/>
    <w:rsid w:val="00F34526"/>
    <w:rsid w:val="00F358CD"/>
    <w:rsid w:val="00F35C6C"/>
    <w:rsid w:val="00F36875"/>
    <w:rsid w:val="00F369A3"/>
    <w:rsid w:val="00F37DCA"/>
    <w:rsid w:val="00F45FD8"/>
    <w:rsid w:val="00F46520"/>
    <w:rsid w:val="00F50B71"/>
    <w:rsid w:val="00F52201"/>
    <w:rsid w:val="00F54904"/>
    <w:rsid w:val="00F54F51"/>
    <w:rsid w:val="00F65748"/>
    <w:rsid w:val="00F67D50"/>
    <w:rsid w:val="00F72F5C"/>
    <w:rsid w:val="00F73C7C"/>
    <w:rsid w:val="00F7459B"/>
    <w:rsid w:val="00F84A3F"/>
    <w:rsid w:val="00F86E2E"/>
    <w:rsid w:val="00F91437"/>
    <w:rsid w:val="00F92B36"/>
    <w:rsid w:val="00F94BCB"/>
    <w:rsid w:val="00F95486"/>
    <w:rsid w:val="00F974A3"/>
    <w:rsid w:val="00FA1D73"/>
    <w:rsid w:val="00FA2360"/>
    <w:rsid w:val="00FA57EA"/>
    <w:rsid w:val="00FA6607"/>
    <w:rsid w:val="00FB10FB"/>
    <w:rsid w:val="00FB3817"/>
    <w:rsid w:val="00FB530B"/>
    <w:rsid w:val="00FB7032"/>
    <w:rsid w:val="00FB7DA6"/>
    <w:rsid w:val="00FC2D55"/>
    <w:rsid w:val="00FC3AFE"/>
    <w:rsid w:val="00FC3E97"/>
    <w:rsid w:val="00FC5D21"/>
    <w:rsid w:val="00FD0421"/>
    <w:rsid w:val="00FD1F25"/>
    <w:rsid w:val="00FD20F4"/>
    <w:rsid w:val="00FD5134"/>
    <w:rsid w:val="00FD786E"/>
    <w:rsid w:val="00FD7C94"/>
    <w:rsid w:val="00FD7D4F"/>
    <w:rsid w:val="00FE2E35"/>
    <w:rsid w:val="00FE5745"/>
    <w:rsid w:val="00FE57B8"/>
    <w:rsid w:val="00FF2F73"/>
    <w:rsid w:val="00FF33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35163"/>
  <w15:chartTrackingRefBased/>
  <w15:docId w15:val="{22A001B3-4977-4094-9C2F-BA7CCC11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6D"/>
    <w:pPr>
      <w:spacing w:before="120" w:after="120" w:line="240" w:lineRule="atLeast"/>
    </w:pPr>
    <w:rPr>
      <w:rFonts w:ascii="Arial" w:eastAsia="Times New Roman" w:hAnsi="Arial" w:cs="Times New Roman"/>
      <w:sz w:val="20"/>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A6D"/>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216A6D"/>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6A6D"/>
    <w:pPr>
      <w:tabs>
        <w:tab w:val="center" w:pos="4513"/>
        <w:tab w:val="right" w:pos="9026"/>
      </w:tabs>
      <w:spacing w:before="0" w:after="0"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6A6D"/>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216A6D"/>
  </w:style>
  <w:style w:type="paragraph" w:customStyle="1" w:styleId="Default">
    <w:name w:val="Default"/>
    <w:rsid w:val="00216A6D"/>
    <w:pPr>
      <w:autoSpaceDE w:val="0"/>
      <w:autoSpaceDN w:val="0"/>
      <w:adjustRightInd w:val="0"/>
      <w:spacing w:after="0" w:line="240" w:lineRule="auto"/>
    </w:pPr>
    <w:rPr>
      <w:rFonts w:ascii="Corbel" w:hAnsi="Corbel" w:cs="Corbel"/>
      <w:color w:val="000000"/>
      <w:sz w:val="24"/>
      <w:szCs w:val="24"/>
    </w:rPr>
  </w:style>
  <w:style w:type="paragraph" w:styleId="Header">
    <w:name w:val="header"/>
    <w:basedOn w:val="Normal"/>
    <w:link w:val="HeaderChar"/>
    <w:uiPriority w:val="99"/>
    <w:unhideWhenUsed/>
    <w:rsid w:val="0006410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64107"/>
    <w:rPr>
      <w:rFonts w:ascii="Arial" w:eastAsia="Times New Roman" w:hAnsi="Arial" w:cs="Times New Roman"/>
      <w:sz w:val="20"/>
      <w:szCs w:val="24"/>
      <w:lang w:eastAsia="en-AU"/>
    </w:rPr>
  </w:style>
  <w:style w:type="character" w:styleId="CommentReference">
    <w:name w:val="annotation reference"/>
    <w:basedOn w:val="DefaultParagraphFont"/>
    <w:uiPriority w:val="99"/>
    <w:semiHidden/>
    <w:unhideWhenUsed/>
    <w:rsid w:val="008B7AE1"/>
    <w:rPr>
      <w:sz w:val="16"/>
      <w:szCs w:val="16"/>
    </w:rPr>
  </w:style>
  <w:style w:type="paragraph" w:styleId="CommentText">
    <w:name w:val="annotation text"/>
    <w:basedOn w:val="Normal"/>
    <w:link w:val="CommentTextChar"/>
    <w:uiPriority w:val="99"/>
    <w:unhideWhenUsed/>
    <w:rsid w:val="008B7AE1"/>
    <w:pPr>
      <w:spacing w:line="240" w:lineRule="auto"/>
    </w:pPr>
    <w:rPr>
      <w:szCs w:val="20"/>
    </w:rPr>
  </w:style>
  <w:style w:type="character" w:customStyle="1" w:styleId="CommentTextChar">
    <w:name w:val="Comment Text Char"/>
    <w:basedOn w:val="DefaultParagraphFont"/>
    <w:link w:val="CommentText"/>
    <w:uiPriority w:val="99"/>
    <w:rsid w:val="008B7AE1"/>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B7AE1"/>
    <w:rPr>
      <w:b/>
      <w:bCs/>
    </w:rPr>
  </w:style>
  <w:style w:type="character" w:customStyle="1" w:styleId="CommentSubjectChar">
    <w:name w:val="Comment Subject Char"/>
    <w:basedOn w:val="CommentTextChar"/>
    <w:link w:val="CommentSubject"/>
    <w:uiPriority w:val="99"/>
    <w:semiHidden/>
    <w:rsid w:val="008B7AE1"/>
    <w:rPr>
      <w:rFonts w:ascii="Arial" w:eastAsia="Times New Roman" w:hAnsi="Arial" w:cs="Times New Roman"/>
      <w:b/>
      <w:bCs/>
      <w:sz w:val="20"/>
      <w:szCs w:val="20"/>
      <w:lang w:eastAsia="en-AU"/>
    </w:rPr>
  </w:style>
  <w:style w:type="paragraph" w:styleId="BalloonText">
    <w:name w:val="Balloon Text"/>
    <w:basedOn w:val="Normal"/>
    <w:link w:val="BalloonTextChar"/>
    <w:uiPriority w:val="99"/>
    <w:semiHidden/>
    <w:unhideWhenUsed/>
    <w:rsid w:val="008B7AE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AE1"/>
    <w:rPr>
      <w:rFonts w:ascii="Segoe UI" w:eastAsia="Times New Roman" w:hAnsi="Segoe UI" w:cs="Segoe UI"/>
      <w:sz w:val="18"/>
      <w:szCs w:val="18"/>
      <w:lang w:eastAsia="en-AU"/>
    </w:rPr>
  </w:style>
  <w:style w:type="paragraph" w:styleId="FootnoteText">
    <w:name w:val="footnote text"/>
    <w:basedOn w:val="Normal"/>
    <w:link w:val="FootnoteTextChar"/>
    <w:uiPriority w:val="99"/>
    <w:semiHidden/>
    <w:unhideWhenUsed/>
    <w:rsid w:val="00537642"/>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537642"/>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537642"/>
    <w:rPr>
      <w:vertAlign w:val="superscript"/>
    </w:rPr>
  </w:style>
  <w:style w:type="paragraph" w:styleId="EndnoteText">
    <w:name w:val="endnote text"/>
    <w:basedOn w:val="Normal"/>
    <w:link w:val="EndnoteTextChar"/>
    <w:uiPriority w:val="99"/>
    <w:semiHidden/>
    <w:unhideWhenUsed/>
    <w:rsid w:val="00846E6B"/>
    <w:pPr>
      <w:spacing w:before="0" w:after="0" w:line="240" w:lineRule="auto"/>
    </w:pPr>
    <w:rPr>
      <w:szCs w:val="20"/>
    </w:rPr>
  </w:style>
  <w:style w:type="character" w:customStyle="1" w:styleId="EndnoteTextChar">
    <w:name w:val="Endnote Text Char"/>
    <w:basedOn w:val="DefaultParagraphFont"/>
    <w:link w:val="EndnoteText"/>
    <w:uiPriority w:val="99"/>
    <w:semiHidden/>
    <w:rsid w:val="00846E6B"/>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846E6B"/>
    <w:rPr>
      <w:vertAlign w:val="superscript"/>
    </w:rPr>
  </w:style>
  <w:style w:type="paragraph" w:styleId="Revision">
    <w:name w:val="Revision"/>
    <w:hidden/>
    <w:uiPriority w:val="99"/>
    <w:semiHidden/>
    <w:rsid w:val="000B0572"/>
    <w:pPr>
      <w:spacing w:after="0" w:line="240" w:lineRule="auto"/>
    </w:pPr>
    <w:rPr>
      <w:rFonts w:ascii="Arial" w:eastAsia="Times New Roman" w:hAnsi="Arial" w:cs="Times New Roman"/>
      <w:sz w:val="20"/>
      <w:szCs w:val="24"/>
      <w:lang w:eastAsia="en-AU"/>
    </w:rPr>
  </w:style>
  <w:style w:type="paragraph" w:customStyle="1" w:styleId="TableParagraph">
    <w:name w:val="Table Paragraph"/>
    <w:basedOn w:val="Normal"/>
    <w:uiPriority w:val="1"/>
    <w:qFormat/>
    <w:rsid w:val="000B7CE7"/>
    <w:pPr>
      <w:widowControl w:val="0"/>
      <w:autoSpaceDE w:val="0"/>
      <w:autoSpaceDN w:val="0"/>
      <w:spacing w:before="0" w:after="0" w:line="240" w:lineRule="auto"/>
    </w:pPr>
    <w:rPr>
      <w:rFonts w:eastAsia="Arial" w:cs="Arial"/>
      <w:sz w:val="22"/>
      <w:szCs w:val="22"/>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7053">
      <w:bodyDiv w:val="1"/>
      <w:marLeft w:val="0"/>
      <w:marRight w:val="0"/>
      <w:marTop w:val="0"/>
      <w:marBottom w:val="0"/>
      <w:divBdr>
        <w:top w:val="none" w:sz="0" w:space="0" w:color="auto"/>
        <w:left w:val="none" w:sz="0" w:space="0" w:color="auto"/>
        <w:bottom w:val="none" w:sz="0" w:space="0" w:color="auto"/>
        <w:right w:val="none" w:sz="0" w:space="0" w:color="auto"/>
      </w:divBdr>
    </w:div>
    <w:div w:id="42366258">
      <w:bodyDiv w:val="1"/>
      <w:marLeft w:val="0"/>
      <w:marRight w:val="0"/>
      <w:marTop w:val="0"/>
      <w:marBottom w:val="0"/>
      <w:divBdr>
        <w:top w:val="none" w:sz="0" w:space="0" w:color="auto"/>
        <w:left w:val="none" w:sz="0" w:space="0" w:color="auto"/>
        <w:bottom w:val="none" w:sz="0" w:space="0" w:color="auto"/>
        <w:right w:val="none" w:sz="0" w:space="0" w:color="auto"/>
      </w:divBdr>
    </w:div>
    <w:div w:id="65077320">
      <w:bodyDiv w:val="1"/>
      <w:marLeft w:val="0"/>
      <w:marRight w:val="0"/>
      <w:marTop w:val="0"/>
      <w:marBottom w:val="0"/>
      <w:divBdr>
        <w:top w:val="none" w:sz="0" w:space="0" w:color="auto"/>
        <w:left w:val="none" w:sz="0" w:space="0" w:color="auto"/>
        <w:bottom w:val="none" w:sz="0" w:space="0" w:color="auto"/>
        <w:right w:val="none" w:sz="0" w:space="0" w:color="auto"/>
      </w:divBdr>
    </w:div>
    <w:div w:id="77097989">
      <w:bodyDiv w:val="1"/>
      <w:marLeft w:val="0"/>
      <w:marRight w:val="0"/>
      <w:marTop w:val="0"/>
      <w:marBottom w:val="0"/>
      <w:divBdr>
        <w:top w:val="none" w:sz="0" w:space="0" w:color="auto"/>
        <w:left w:val="none" w:sz="0" w:space="0" w:color="auto"/>
        <w:bottom w:val="none" w:sz="0" w:space="0" w:color="auto"/>
        <w:right w:val="none" w:sz="0" w:space="0" w:color="auto"/>
      </w:divBdr>
    </w:div>
    <w:div w:id="188958103">
      <w:bodyDiv w:val="1"/>
      <w:marLeft w:val="0"/>
      <w:marRight w:val="0"/>
      <w:marTop w:val="0"/>
      <w:marBottom w:val="0"/>
      <w:divBdr>
        <w:top w:val="none" w:sz="0" w:space="0" w:color="auto"/>
        <w:left w:val="none" w:sz="0" w:space="0" w:color="auto"/>
        <w:bottom w:val="none" w:sz="0" w:space="0" w:color="auto"/>
        <w:right w:val="none" w:sz="0" w:space="0" w:color="auto"/>
      </w:divBdr>
    </w:div>
    <w:div w:id="288319596">
      <w:bodyDiv w:val="1"/>
      <w:marLeft w:val="0"/>
      <w:marRight w:val="0"/>
      <w:marTop w:val="0"/>
      <w:marBottom w:val="0"/>
      <w:divBdr>
        <w:top w:val="none" w:sz="0" w:space="0" w:color="auto"/>
        <w:left w:val="none" w:sz="0" w:space="0" w:color="auto"/>
        <w:bottom w:val="none" w:sz="0" w:space="0" w:color="auto"/>
        <w:right w:val="none" w:sz="0" w:space="0" w:color="auto"/>
      </w:divBdr>
    </w:div>
    <w:div w:id="369915169">
      <w:bodyDiv w:val="1"/>
      <w:marLeft w:val="0"/>
      <w:marRight w:val="0"/>
      <w:marTop w:val="0"/>
      <w:marBottom w:val="0"/>
      <w:divBdr>
        <w:top w:val="none" w:sz="0" w:space="0" w:color="auto"/>
        <w:left w:val="none" w:sz="0" w:space="0" w:color="auto"/>
        <w:bottom w:val="none" w:sz="0" w:space="0" w:color="auto"/>
        <w:right w:val="none" w:sz="0" w:space="0" w:color="auto"/>
      </w:divBdr>
    </w:div>
    <w:div w:id="377705296">
      <w:bodyDiv w:val="1"/>
      <w:marLeft w:val="0"/>
      <w:marRight w:val="0"/>
      <w:marTop w:val="0"/>
      <w:marBottom w:val="0"/>
      <w:divBdr>
        <w:top w:val="none" w:sz="0" w:space="0" w:color="auto"/>
        <w:left w:val="none" w:sz="0" w:space="0" w:color="auto"/>
        <w:bottom w:val="none" w:sz="0" w:space="0" w:color="auto"/>
        <w:right w:val="none" w:sz="0" w:space="0" w:color="auto"/>
      </w:divBdr>
    </w:div>
    <w:div w:id="445930345">
      <w:bodyDiv w:val="1"/>
      <w:marLeft w:val="0"/>
      <w:marRight w:val="0"/>
      <w:marTop w:val="0"/>
      <w:marBottom w:val="0"/>
      <w:divBdr>
        <w:top w:val="none" w:sz="0" w:space="0" w:color="auto"/>
        <w:left w:val="none" w:sz="0" w:space="0" w:color="auto"/>
        <w:bottom w:val="none" w:sz="0" w:space="0" w:color="auto"/>
        <w:right w:val="none" w:sz="0" w:space="0" w:color="auto"/>
      </w:divBdr>
    </w:div>
    <w:div w:id="698167955">
      <w:bodyDiv w:val="1"/>
      <w:marLeft w:val="0"/>
      <w:marRight w:val="0"/>
      <w:marTop w:val="0"/>
      <w:marBottom w:val="0"/>
      <w:divBdr>
        <w:top w:val="none" w:sz="0" w:space="0" w:color="auto"/>
        <w:left w:val="none" w:sz="0" w:space="0" w:color="auto"/>
        <w:bottom w:val="none" w:sz="0" w:space="0" w:color="auto"/>
        <w:right w:val="none" w:sz="0" w:space="0" w:color="auto"/>
      </w:divBdr>
    </w:div>
    <w:div w:id="805701202">
      <w:bodyDiv w:val="1"/>
      <w:marLeft w:val="0"/>
      <w:marRight w:val="0"/>
      <w:marTop w:val="0"/>
      <w:marBottom w:val="0"/>
      <w:divBdr>
        <w:top w:val="none" w:sz="0" w:space="0" w:color="auto"/>
        <w:left w:val="none" w:sz="0" w:space="0" w:color="auto"/>
        <w:bottom w:val="none" w:sz="0" w:space="0" w:color="auto"/>
        <w:right w:val="none" w:sz="0" w:space="0" w:color="auto"/>
      </w:divBdr>
    </w:div>
    <w:div w:id="889077856">
      <w:bodyDiv w:val="1"/>
      <w:marLeft w:val="0"/>
      <w:marRight w:val="0"/>
      <w:marTop w:val="0"/>
      <w:marBottom w:val="0"/>
      <w:divBdr>
        <w:top w:val="none" w:sz="0" w:space="0" w:color="auto"/>
        <w:left w:val="none" w:sz="0" w:space="0" w:color="auto"/>
        <w:bottom w:val="none" w:sz="0" w:space="0" w:color="auto"/>
        <w:right w:val="none" w:sz="0" w:space="0" w:color="auto"/>
      </w:divBdr>
    </w:div>
    <w:div w:id="945623005">
      <w:bodyDiv w:val="1"/>
      <w:marLeft w:val="0"/>
      <w:marRight w:val="0"/>
      <w:marTop w:val="0"/>
      <w:marBottom w:val="0"/>
      <w:divBdr>
        <w:top w:val="none" w:sz="0" w:space="0" w:color="auto"/>
        <w:left w:val="none" w:sz="0" w:space="0" w:color="auto"/>
        <w:bottom w:val="none" w:sz="0" w:space="0" w:color="auto"/>
        <w:right w:val="none" w:sz="0" w:space="0" w:color="auto"/>
      </w:divBdr>
    </w:div>
    <w:div w:id="1177840160">
      <w:bodyDiv w:val="1"/>
      <w:marLeft w:val="0"/>
      <w:marRight w:val="0"/>
      <w:marTop w:val="0"/>
      <w:marBottom w:val="0"/>
      <w:divBdr>
        <w:top w:val="none" w:sz="0" w:space="0" w:color="auto"/>
        <w:left w:val="none" w:sz="0" w:space="0" w:color="auto"/>
        <w:bottom w:val="none" w:sz="0" w:space="0" w:color="auto"/>
        <w:right w:val="none" w:sz="0" w:space="0" w:color="auto"/>
      </w:divBdr>
    </w:div>
    <w:div w:id="1179657052">
      <w:bodyDiv w:val="1"/>
      <w:marLeft w:val="0"/>
      <w:marRight w:val="0"/>
      <w:marTop w:val="0"/>
      <w:marBottom w:val="0"/>
      <w:divBdr>
        <w:top w:val="none" w:sz="0" w:space="0" w:color="auto"/>
        <w:left w:val="none" w:sz="0" w:space="0" w:color="auto"/>
        <w:bottom w:val="none" w:sz="0" w:space="0" w:color="auto"/>
        <w:right w:val="none" w:sz="0" w:space="0" w:color="auto"/>
      </w:divBdr>
    </w:div>
    <w:div w:id="1346130714">
      <w:bodyDiv w:val="1"/>
      <w:marLeft w:val="0"/>
      <w:marRight w:val="0"/>
      <w:marTop w:val="0"/>
      <w:marBottom w:val="0"/>
      <w:divBdr>
        <w:top w:val="none" w:sz="0" w:space="0" w:color="auto"/>
        <w:left w:val="none" w:sz="0" w:space="0" w:color="auto"/>
        <w:bottom w:val="none" w:sz="0" w:space="0" w:color="auto"/>
        <w:right w:val="none" w:sz="0" w:space="0" w:color="auto"/>
      </w:divBdr>
    </w:div>
    <w:div w:id="1355033133">
      <w:bodyDiv w:val="1"/>
      <w:marLeft w:val="0"/>
      <w:marRight w:val="0"/>
      <w:marTop w:val="0"/>
      <w:marBottom w:val="0"/>
      <w:divBdr>
        <w:top w:val="none" w:sz="0" w:space="0" w:color="auto"/>
        <w:left w:val="none" w:sz="0" w:space="0" w:color="auto"/>
        <w:bottom w:val="none" w:sz="0" w:space="0" w:color="auto"/>
        <w:right w:val="none" w:sz="0" w:space="0" w:color="auto"/>
      </w:divBdr>
    </w:div>
    <w:div w:id="1471633120">
      <w:bodyDiv w:val="1"/>
      <w:marLeft w:val="0"/>
      <w:marRight w:val="0"/>
      <w:marTop w:val="0"/>
      <w:marBottom w:val="0"/>
      <w:divBdr>
        <w:top w:val="none" w:sz="0" w:space="0" w:color="auto"/>
        <w:left w:val="none" w:sz="0" w:space="0" w:color="auto"/>
        <w:bottom w:val="none" w:sz="0" w:space="0" w:color="auto"/>
        <w:right w:val="none" w:sz="0" w:space="0" w:color="auto"/>
      </w:divBdr>
    </w:div>
    <w:div w:id="1595894528">
      <w:bodyDiv w:val="1"/>
      <w:marLeft w:val="0"/>
      <w:marRight w:val="0"/>
      <w:marTop w:val="0"/>
      <w:marBottom w:val="0"/>
      <w:divBdr>
        <w:top w:val="none" w:sz="0" w:space="0" w:color="auto"/>
        <w:left w:val="none" w:sz="0" w:space="0" w:color="auto"/>
        <w:bottom w:val="none" w:sz="0" w:space="0" w:color="auto"/>
        <w:right w:val="none" w:sz="0" w:space="0" w:color="auto"/>
      </w:divBdr>
    </w:div>
    <w:div w:id="1609237713">
      <w:bodyDiv w:val="1"/>
      <w:marLeft w:val="0"/>
      <w:marRight w:val="0"/>
      <w:marTop w:val="0"/>
      <w:marBottom w:val="0"/>
      <w:divBdr>
        <w:top w:val="none" w:sz="0" w:space="0" w:color="auto"/>
        <w:left w:val="none" w:sz="0" w:space="0" w:color="auto"/>
        <w:bottom w:val="none" w:sz="0" w:space="0" w:color="auto"/>
        <w:right w:val="none" w:sz="0" w:space="0" w:color="auto"/>
      </w:divBdr>
    </w:div>
    <w:div w:id="1624459466">
      <w:bodyDiv w:val="1"/>
      <w:marLeft w:val="0"/>
      <w:marRight w:val="0"/>
      <w:marTop w:val="0"/>
      <w:marBottom w:val="0"/>
      <w:divBdr>
        <w:top w:val="none" w:sz="0" w:space="0" w:color="auto"/>
        <w:left w:val="none" w:sz="0" w:space="0" w:color="auto"/>
        <w:bottom w:val="none" w:sz="0" w:space="0" w:color="auto"/>
        <w:right w:val="none" w:sz="0" w:space="0" w:color="auto"/>
      </w:divBdr>
    </w:div>
    <w:div w:id="1796679970">
      <w:bodyDiv w:val="1"/>
      <w:marLeft w:val="0"/>
      <w:marRight w:val="0"/>
      <w:marTop w:val="0"/>
      <w:marBottom w:val="0"/>
      <w:divBdr>
        <w:top w:val="none" w:sz="0" w:space="0" w:color="auto"/>
        <w:left w:val="none" w:sz="0" w:space="0" w:color="auto"/>
        <w:bottom w:val="none" w:sz="0" w:space="0" w:color="auto"/>
        <w:right w:val="none" w:sz="0" w:space="0" w:color="auto"/>
      </w:divBdr>
    </w:div>
    <w:div w:id="1900898620">
      <w:bodyDiv w:val="1"/>
      <w:marLeft w:val="0"/>
      <w:marRight w:val="0"/>
      <w:marTop w:val="0"/>
      <w:marBottom w:val="0"/>
      <w:divBdr>
        <w:top w:val="none" w:sz="0" w:space="0" w:color="auto"/>
        <w:left w:val="none" w:sz="0" w:space="0" w:color="auto"/>
        <w:bottom w:val="none" w:sz="0" w:space="0" w:color="auto"/>
        <w:right w:val="none" w:sz="0" w:space="0" w:color="auto"/>
      </w:divBdr>
    </w:div>
    <w:div w:id="1970471680">
      <w:bodyDiv w:val="1"/>
      <w:marLeft w:val="0"/>
      <w:marRight w:val="0"/>
      <w:marTop w:val="0"/>
      <w:marBottom w:val="0"/>
      <w:divBdr>
        <w:top w:val="none" w:sz="0" w:space="0" w:color="auto"/>
        <w:left w:val="none" w:sz="0" w:space="0" w:color="auto"/>
        <w:bottom w:val="none" w:sz="0" w:space="0" w:color="auto"/>
        <w:right w:val="none" w:sz="0" w:space="0" w:color="auto"/>
      </w:divBdr>
    </w:div>
    <w:div w:id="1976449426">
      <w:bodyDiv w:val="1"/>
      <w:marLeft w:val="0"/>
      <w:marRight w:val="0"/>
      <w:marTop w:val="0"/>
      <w:marBottom w:val="0"/>
      <w:divBdr>
        <w:top w:val="none" w:sz="0" w:space="0" w:color="auto"/>
        <w:left w:val="none" w:sz="0" w:space="0" w:color="auto"/>
        <w:bottom w:val="none" w:sz="0" w:space="0" w:color="auto"/>
        <w:right w:val="none" w:sz="0" w:space="0" w:color="auto"/>
      </w:divBdr>
    </w:div>
    <w:div w:id="21049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9caf1bfe60d73439f58dbba990feba06">
  <xsd:schema xmlns:xsd="http://www.w3.org/2001/XMLSchema" xmlns:xs="http://www.w3.org/2001/XMLSchema" xmlns:p="http://schemas.microsoft.com/office/2006/metadata/properties" xmlns:ns2="F4ED384C-304E-4858-B689-6566CFEFBB79" targetNamespace="http://schemas.microsoft.com/office/2006/metadata/properties" ma:root="true" ma:fieldsID="092a7cb66b91ce2b76ed608795129a09"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Props1.xml><?xml version="1.0" encoding="utf-8"?>
<ds:datastoreItem xmlns:ds="http://schemas.openxmlformats.org/officeDocument/2006/customXml" ds:itemID="{24F47E59-189A-4483-8602-EF0CDE7961BF}">
  <ds:schemaRefs>
    <ds:schemaRef ds:uri="http://schemas.openxmlformats.org/officeDocument/2006/bibliography"/>
  </ds:schemaRefs>
</ds:datastoreItem>
</file>

<file path=customXml/itemProps2.xml><?xml version="1.0" encoding="utf-8"?>
<ds:datastoreItem xmlns:ds="http://schemas.openxmlformats.org/officeDocument/2006/customXml" ds:itemID="{A47E0600-83F4-4CB4-9281-223F15837119}">
  <ds:schemaRefs>
    <ds:schemaRef ds:uri="http://schemas.microsoft.com/sharepoint/v3/contenttype/forms"/>
  </ds:schemaRefs>
</ds:datastoreItem>
</file>

<file path=customXml/itemProps3.xml><?xml version="1.0" encoding="utf-8"?>
<ds:datastoreItem xmlns:ds="http://schemas.openxmlformats.org/officeDocument/2006/customXml" ds:itemID="{0FF61299-B9B8-4FA0-8CD6-0C08C9F43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47E51-726F-4567-9B60-21DB4107FE39}">
  <ds:schemaRefs>
    <ds:schemaRef ds:uri="http://schemas.microsoft.com/office/2006/metadata/properties"/>
    <ds:schemaRef ds:uri="F4ED384C-304E-4858-B689-6566CFEFBB79"/>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10092</Words>
  <Characters>57529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FINNIGAN,Dean</dc:creator>
  <cp:keywords/>
  <dc:description/>
  <cp:lastModifiedBy>FINNIGAN,Dean</cp:lastModifiedBy>
  <cp:revision>2</cp:revision>
  <cp:lastPrinted>2023-01-09T01:42:00Z</cp:lastPrinted>
  <dcterms:created xsi:type="dcterms:W3CDTF">2023-03-13T22:16:00Z</dcterms:created>
  <dcterms:modified xsi:type="dcterms:W3CDTF">2023-03-13T22:16:00Z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0x010100266966F133664895A6EE3632470D45F500AAF793FBF701834F933206889F7D452B</vt:lpwstr>
  </property>
  <property fmtid="{D5CDD505-2E9C-101B-9397-08002B2CF9AE}" pid="3" name="MSIP_Label_04a8dd89-b61f-497f-8a6f-c1563f026dad_Enabled">
    <vt:lpwstr>true</vt:lpwstr>
  </property>
  <property fmtid="{D5CDD505-2E9C-101B-9397-08002B2CF9AE}" pid="4" name="MSIP_Label_04a8dd89-b61f-497f-8a6f-c1563f026dad_SetDate">
    <vt:lpwstr>2022-12-21T07:02:36Z</vt:lpwstr>
  </property>
  <property fmtid="{D5CDD505-2E9C-101B-9397-08002B2CF9AE}" pid="5" name="MSIP_Label_04a8dd89-b61f-497f-8a6f-c1563f026dad_Method">
    <vt:lpwstr>Standard</vt:lpwstr>
  </property>
  <property fmtid="{D5CDD505-2E9C-101B-9397-08002B2CF9AE}" pid="6" name="MSIP_Label_04a8dd89-b61f-497f-8a6f-c1563f026dad_Name">
    <vt:lpwstr>Official</vt:lpwstr>
  </property>
  <property fmtid="{D5CDD505-2E9C-101B-9397-08002B2CF9AE}" pid="7" name="MSIP_Label_04a8dd89-b61f-497f-8a6f-c1563f026dad_SiteId">
    <vt:lpwstr>c5852f23-3633-4f29-b386-51da53e35e23</vt:lpwstr>
  </property>
  <property fmtid="{D5CDD505-2E9C-101B-9397-08002B2CF9AE}" pid="8" name="MSIP_Label_04a8dd89-b61f-497f-8a6f-c1563f026dad_ActionId">
    <vt:lpwstr>f8e05673-87cb-4957-9cb0-1d8574d8e24c</vt:lpwstr>
  </property>
  <property fmtid="{D5CDD505-2E9C-101B-9397-08002B2CF9AE}" pid="9" name="MSIP_Label_04a8dd89-b61f-497f-8a6f-c1563f026dad_ContentBits">
    <vt:lpwstr>0</vt:lpwstr>
  </property>
  <property fmtid="{D5CDD505-2E9C-101B-9397-08002B2CF9AE}" pid="10" name="MSIP_Label_79d889eb-932f-4752-8739-64d25806ef64_Enabled">
    <vt:lpwstr>true</vt:lpwstr>
  </property>
  <property fmtid="{D5CDD505-2E9C-101B-9397-08002B2CF9AE}" pid="11" name="MSIP_Label_79d889eb-932f-4752-8739-64d25806ef64_SetDate">
    <vt:lpwstr>2023-01-24T00:24:19Z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0048779c-5aef-4cae-91db-68ce3f32921b</vt:lpwstr>
  </property>
  <property fmtid="{D5CDD505-2E9C-101B-9397-08002B2CF9AE}" pid="16" name="MSIP_Label_79d889eb-932f-4752-8739-64d25806ef64_ContentBits">
    <vt:lpwstr>0</vt:lpwstr>
  </property>
</Properties>
</file>